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743" w:rsidRDefault="00E545D6" w:rsidP="00E545D6">
      <w:pPr>
        <w:jc w:val="center"/>
      </w:pPr>
      <w:bookmarkStart w:id="0" w:name="imageHolder"/>
      <w:bookmarkEnd w:id="0"/>
      <w:r w:rsidRPr="00D912DB">
        <w:rPr>
          <w:noProof/>
          <w:sz w:val="28"/>
          <w:szCs w:val="28"/>
          <w:lang w:eastAsia="en-AU"/>
        </w:rPr>
        <w:drawing>
          <wp:inline distT="0" distB="0" distL="0" distR="0">
            <wp:extent cx="1605280" cy="1064895"/>
            <wp:effectExtent l="0" t="0" r="0" b="1905"/>
            <wp:docPr id="1" name="Picture 1" descr="Department of Health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partment of Health Cres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06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5D6" w:rsidRDefault="00E545D6" w:rsidP="00E545D6">
      <w:pPr>
        <w:jc w:val="center"/>
      </w:pPr>
    </w:p>
    <w:p w:rsidR="0039725E" w:rsidRPr="00D17332" w:rsidRDefault="00D17332" w:rsidP="00E545D6">
      <w:pPr>
        <w:jc w:val="center"/>
        <w:rPr>
          <w:b/>
          <w:color w:val="FF0000"/>
        </w:rPr>
      </w:pPr>
      <w:r w:rsidRPr="00D17332">
        <w:rPr>
          <w:b/>
          <w:color w:val="FF0000"/>
        </w:rPr>
        <w:t>Disclaimer: this document is currently under review</w:t>
      </w:r>
    </w:p>
    <w:p w:rsidR="00E545D6" w:rsidRPr="00A46C92" w:rsidRDefault="00285A24" w:rsidP="00A46C92">
      <w:pPr>
        <w:pStyle w:val="Heading1"/>
        <w:jc w:val="center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>N</w:t>
      </w:r>
      <w:r w:rsidR="00B00B87" w:rsidRPr="00A46C92">
        <w:rPr>
          <w:rFonts w:ascii="Times New Roman" w:hAnsi="Times New Roman" w:cs="Times New Roman"/>
        </w:rPr>
        <w:t>otification</w:t>
      </w:r>
      <w:r w:rsidRPr="00A46C92">
        <w:rPr>
          <w:rFonts w:ascii="Times New Roman" w:hAnsi="Times New Roman" w:cs="Times New Roman"/>
        </w:rPr>
        <w:t xml:space="preserve"> requirement</w:t>
      </w:r>
      <w:r w:rsidR="00750A7C" w:rsidRPr="00A46C92">
        <w:rPr>
          <w:rFonts w:ascii="Times New Roman" w:hAnsi="Times New Roman" w:cs="Times New Roman"/>
        </w:rPr>
        <w:t xml:space="preserve"> for the </w:t>
      </w:r>
      <w:r w:rsidR="00E545D6" w:rsidRPr="00A46C92">
        <w:rPr>
          <w:rFonts w:ascii="Times New Roman" w:hAnsi="Times New Roman" w:cs="Times New Roman"/>
        </w:rPr>
        <w:t>National</w:t>
      </w:r>
      <w:r w:rsidR="00FF2BFD" w:rsidRPr="00A46C92">
        <w:rPr>
          <w:rFonts w:ascii="Times New Roman" w:hAnsi="Times New Roman" w:cs="Times New Roman"/>
        </w:rPr>
        <w:t xml:space="preserve"> Cervical</w:t>
      </w:r>
      <w:r w:rsidR="00E545D6" w:rsidRPr="00A46C92">
        <w:rPr>
          <w:rFonts w:ascii="Times New Roman" w:hAnsi="Times New Roman" w:cs="Times New Roman"/>
        </w:rPr>
        <w:t xml:space="preserve"> Screening </w:t>
      </w:r>
      <w:r w:rsidR="00FF2BFD" w:rsidRPr="00A46C92">
        <w:rPr>
          <w:rFonts w:ascii="Times New Roman" w:hAnsi="Times New Roman" w:cs="Times New Roman"/>
        </w:rPr>
        <w:t>Program (NCSP) - Factsheet for Colposcopists</w:t>
      </w:r>
    </w:p>
    <w:p w:rsidR="00013BDC" w:rsidRDefault="00013BDC" w:rsidP="001165F7"/>
    <w:p w:rsidR="00027264" w:rsidRDefault="00270EFB" w:rsidP="00270EFB">
      <w:r w:rsidRPr="00137BA1">
        <w:t xml:space="preserve">1 December 2017 marks the commencement of the renewed NCSP </w:t>
      </w:r>
      <w:r w:rsidR="00750A7C">
        <w:t>which will be supported by the</w:t>
      </w:r>
      <w:r w:rsidRPr="00137BA1">
        <w:t xml:space="preserve"> National Cancer Screening Register (the Register)</w:t>
      </w:r>
      <w:r w:rsidR="00750A7C">
        <w:t>.</w:t>
      </w:r>
    </w:p>
    <w:p w:rsidR="00187521" w:rsidRDefault="00187521" w:rsidP="00270EFB"/>
    <w:p w:rsidR="00027264" w:rsidRPr="00027264" w:rsidRDefault="00027264" w:rsidP="00027264">
      <w:r w:rsidRPr="00027264">
        <w:t xml:space="preserve">From </w:t>
      </w:r>
      <w:r w:rsidR="00462386" w:rsidRPr="00137BA1">
        <w:t>1 December 2017</w:t>
      </w:r>
      <w:r w:rsidR="00462386">
        <w:t>,</w:t>
      </w:r>
      <w:r w:rsidRPr="00E97018">
        <w:rPr>
          <w:color w:val="FF0000"/>
        </w:rPr>
        <w:t xml:space="preserve"> </w:t>
      </w:r>
      <w:r w:rsidRPr="00027264">
        <w:t xml:space="preserve">colposcopists </w:t>
      </w:r>
      <w:r w:rsidR="00DA0488">
        <w:t xml:space="preserve">and other healthcare providers who perform colposcopies </w:t>
      </w:r>
      <w:r w:rsidRPr="00027264">
        <w:t>will be required to notify prescribed cervical screening information to the Commonwealth Chief Medical Officer (CMO) through the Register.</w:t>
      </w:r>
    </w:p>
    <w:p w:rsidR="006831F4" w:rsidRPr="00A46C92" w:rsidRDefault="006831F4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 xml:space="preserve">What is </w:t>
      </w:r>
      <w:r w:rsidR="007A0937" w:rsidRPr="00A46C92">
        <w:rPr>
          <w:rFonts w:ascii="Times New Roman" w:hAnsi="Times New Roman" w:cs="Times New Roman"/>
        </w:rPr>
        <w:t>the legal basis</w:t>
      </w:r>
      <w:r w:rsidRPr="00A46C92">
        <w:rPr>
          <w:rFonts w:ascii="Times New Roman" w:hAnsi="Times New Roman" w:cs="Times New Roman"/>
        </w:rPr>
        <w:t xml:space="preserve"> </w:t>
      </w:r>
      <w:r w:rsidR="007A0937" w:rsidRPr="00A46C92">
        <w:rPr>
          <w:rFonts w:ascii="Times New Roman" w:hAnsi="Times New Roman" w:cs="Times New Roman"/>
        </w:rPr>
        <w:t>for mandatory</w:t>
      </w:r>
      <w:r w:rsidRPr="00A46C92">
        <w:rPr>
          <w:rFonts w:ascii="Times New Roman" w:hAnsi="Times New Roman" w:cs="Times New Roman"/>
        </w:rPr>
        <w:t xml:space="preserve"> notification of cervical screening information?</w:t>
      </w:r>
    </w:p>
    <w:p w:rsidR="00ED35EF" w:rsidRPr="00ED35EF" w:rsidRDefault="00ED35EF" w:rsidP="00ED35EF">
      <w:r>
        <w:t xml:space="preserve">The </w:t>
      </w:r>
      <w:r w:rsidRPr="0046178C">
        <w:rPr>
          <w:i/>
        </w:rPr>
        <w:t>National Cancer Screening Register Act 2016</w:t>
      </w:r>
      <w:r>
        <w:t xml:space="preserve"> (the Act) </w:t>
      </w:r>
      <w:r w:rsidRPr="00ED35EF">
        <w:t xml:space="preserve">includes a requirement for prescribed individual healthcare providers to notify prescribed </w:t>
      </w:r>
      <w:r w:rsidR="006831F4">
        <w:t xml:space="preserve">cervical </w:t>
      </w:r>
      <w:r w:rsidRPr="00ED35EF">
        <w:t xml:space="preserve">screening </w:t>
      </w:r>
      <w:r w:rsidR="006831F4">
        <w:t>information</w:t>
      </w:r>
      <w:r w:rsidRPr="00ED35EF">
        <w:t xml:space="preserve"> </w:t>
      </w:r>
      <w:r w:rsidR="00BE2755">
        <w:t xml:space="preserve">to </w:t>
      </w:r>
      <w:r w:rsidR="00BE2755" w:rsidRPr="00ED35EF">
        <w:t xml:space="preserve">the </w:t>
      </w:r>
      <w:r w:rsidR="00BE2755">
        <w:t>CMO</w:t>
      </w:r>
      <w:r w:rsidR="00355B87" w:rsidRPr="00355B87">
        <w:t xml:space="preserve"> </w:t>
      </w:r>
      <w:r w:rsidR="00355B87" w:rsidRPr="00ED35EF">
        <w:t>by the prescribed timeframe</w:t>
      </w:r>
      <w:r w:rsidRPr="00ED35EF">
        <w:t>.</w:t>
      </w:r>
      <w:r>
        <w:t xml:space="preserve"> </w:t>
      </w:r>
      <w:r w:rsidR="00D078F8">
        <w:t xml:space="preserve"> </w:t>
      </w:r>
      <w:r>
        <w:t xml:space="preserve">The details of the information to be </w:t>
      </w:r>
      <w:r w:rsidR="00D078F8">
        <w:t>notified to the Register</w:t>
      </w:r>
      <w:r>
        <w:t xml:space="preserve"> </w:t>
      </w:r>
      <w:r w:rsidR="005D6F5E">
        <w:t>are</w:t>
      </w:r>
      <w:r>
        <w:t xml:space="preserve"> prescribed in the National Cancer Screening Register Rules 2017 (the Rules).</w:t>
      </w:r>
    </w:p>
    <w:p w:rsidR="00B502C6" w:rsidRPr="00A46C92" w:rsidRDefault="00B502C6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>What is the purpose of the Rules?</w:t>
      </w:r>
    </w:p>
    <w:p w:rsidR="00EA61F0" w:rsidRDefault="00B502C6" w:rsidP="00A46C92">
      <w:r>
        <w:t xml:space="preserve">The Rules provide a legislative basis for the collection of </w:t>
      </w:r>
      <w:r w:rsidR="00EA61F0" w:rsidRPr="00ED35EF">
        <w:t>individuals’</w:t>
      </w:r>
      <w:r w:rsidR="00EA61F0">
        <w:t xml:space="preserve"> screening test results, </w:t>
      </w:r>
      <w:r w:rsidR="00EA61F0" w:rsidRPr="00ED35EF">
        <w:t>results of relevant follow-up procedures up to and including the diag</w:t>
      </w:r>
      <w:r w:rsidR="00EA61F0">
        <w:t xml:space="preserve">nosis (or clearance) of cancer, and treatment in relation to pre-cancerous abnormalities </w:t>
      </w:r>
      <w:r w:rsidR="00EA61F0" w:rsidRPr="00ED35EF">
        <w:t xml:space="preserve">to be </w:t>
      </w:r>
      <w:r w:rsidR="00285A24">
        <w:t>notified</w:t>
      </w:r>
      <w:r w:rsidR="00EA61F0" w:rsidRPr="00ED35EF">
        <w:t xml:space="preserve"> to the Register.</w:t>
      </w:r>
    </w:p>
    <w:p w:rsidR="00EA61F0" w:rsidRDefault="00EA61F0" w:rsidP="00B6785F">
      <w:pPr>
        <w:pStyle w:val="ListParagraph"/>
        <w:ind w:left="0"/>
      </w:pPr>
    </w:p>
    <w:p w:rsidR="00B6785F" w:rsidRDefault="00EA61F0" w:rsidP="00A46C92">
      <w:r>
        <w:t xml:space="preserve">The notification requirement </w:t>
      </w:r>
      <w:r w:rsidR="00B502C6">
        <w:t xml:space="preserve">supports the screening </w:t>
      </w:r>
      <w:r w:rsidR="00A92787">
        <w:t xml:space="preserve">processes and clinical pathways, </w:t>
      </w:r>
      <w:r w:rsidR="00B502C6">
        <w:t>the monitoring of program quality, safety and effectiveness</w:t>
      </w:r>
      <w:r w:rsidR="00A92787">
        <w:t xml:space="preserve"> and the safety net function of the Register</w:t>
      </w:r>
      <w:r w:rsidR="00B502C6">
        <w:t>.</w:t>
      </w:r>
    </w:p>
    <w:p w:rsidR="00E35F99" w:rsidRPr="00A46C92" w:rsidRDefault="00E35F99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 xml:space="preserve">Why </w:t>
      </w:r>
      <w:r w:rsidR="00027264" w:rsidRPr="00A46C92">
        <w:rPr>
          <w:rFonts w:ascii="Times New Roman" w:hAnsi="Times New Roman" w:cs="Times New Roman"/>
        </w:rPr>
        <w:t>mandate</w:t>
      </w:r>
      <w:r w:rsidRPr="00A46C92">
        <w:rPr>
          <w:rFonts w:ascii="Times New Roman" w:hAnsi="Times New Roman" w:cs="Times New Roman"/>
        </w:rPr>
        <w:t xml:space="preserve"> colposcopy </w:t>
      </w:r>
      <w:r w:rsidR="00C34367" w:rsidRPr="00A46C92">
        <w:rPr>
          <w:rFonts w:ascii="Times New Roman" w:hAnsi="Times New Roman" w:cs="Times New Roman"/>
        </w:rPr>
        <w:t>notification</w:t>
      </w:r>
      <w:r w:rsidRPr="00A46C92">
        <w:rPr>
          <w:rFonts w:ascii="Times New Roman" w:hAnsi="Times New Roman" w:cs="Times New Roman"/>
        </w:rPr>
        <w:t>?</w:t>
      </w:r>
    </w:p>
    <w:p w:rsidR="00254CEF" w:rsidRDefault="00E35F99" w:rsidP="00B6785F">
      <w:r>
        <w:t xml:space="preserve">The NCSP has historically only relied on pathology reports for supporting women along the screening pathway. This has resulted in a gap in clinical information in the registers when a woman attends colposcopy for management. Colposcopy </w:t>
      </w:r>
      <w:r w:rsidR="00C34367" w:rsidRPr="00C34367">
        <w:t xml:space="preserve">notification </w:t>
      </w:r>
      <w:r>
        <w:t xml:space="preserve">will fill this information gap to inform the safety net function of the </w:t>
      </w:r>
      <w:r w:rsidR="005D6F5E">
        <w:t>Register</w:t>
      </w:r>
      <w:r>
        <w:t xml:space="preserve"> and ensure full clinical histories are available for clinical decision making.</w:t>
      </w:r>
    </w:p>
    <w:p w:rsidR="00254CEF" w:rsidRDefault="00254CEF" w:rsidP="00B6785F"/>
    <w:p w:rsidR="00E35F99" w:rsidRDefault="00E35F99" w:rsidP="00B6785F">
      <w:r>
        <w:t xml:space="preserve">In addition, </w:t>
      </w:r>
      <w:r w:rsidR="00254CEF">
        <w:t xml:space="preserve">colposcopy </w:t>
      </w:r>
      <w:r w:rsidR="00C34367" w:rsidRPr="00C34367">
        <w:t xml:space="preserve">notification </w:t>
      </w:r>
      <w:r>
        <w:t>will enable program quality and performance monitoring acro</w:t>
      </w:r>
      <w:r w:rsidR="00F43AF9">
        <w:t>ss the entire cervical screening pathway</w:t>
      </w:r>
      <w:r>
        <w:t>.</w:t>
      </w:r>
      <w:r w:rsidR="00ED35EF">
        <w:t xml:space="preserve"> </w:t>
      </w:r>
      <w:r w:rsidR="00ED35EF" w:rsidRPr="00ED35EF">
        <w:t xml:space="preserve"> High quality data will also help inform policy for national screening programs and service delivery at the local level.</w:t>
      </w:r>
    </w:p>
    <w:p w:rsidR="001C7397" w:rsidRPr="00A46C92" w:rsidRDefault="00D82652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>Are there other benefits to the notification requirement</w:t>
      </w:r>
      <w:r w:rsidR="001C7397" w:rsidRPr="00A46C92">
        <w:rPr>
          <w:rFonts w:ascii="Times New Roman" w:hAnsi="Times New Roman" w:cs="Times New Roman"/>
        </w:rPr>
        <w:t>?</w:t>
      </w:r>
    </w:p>
    <w:p w:rsidR="001C7397" w:rsidRPr="00CE081C" w:rsidRDefault="005C2A68" w:rsidP="00A46C92">
      <w:r w:rsidRPr="005C2A68">
        <w:t xml:space="preserve">For colposcopists, the data they </w:t>
      </w:r>
      <w:r w:rsidR="00285A24">
        <w:t>notify</w:t>
      </w:r>
      <w:r w:rsidRPr="005C2A68">
        <w:t xml:space="preserve"> to the Register may</w:t>
      </w:r>
      <w:r>
        <w:t xml:space="preserve"> be </w:t>
      </w:r>
      <w:r w:rsidR="001C7397" w:rsidRPr="00CE081C">
        <w:t>access</w:t>
      </w:r>
      <w:r>
        <w:t>ed as</w:t>
      </w:r>
      <w:r w:rsidR="001C7397" w:rsidRPr="00CE081C">
        <w:t xml:space="preserve"> aggregated reports about the tests and treatments they have administered as part of the renewed NCSP.</w:t>
      </w:r>
      <w:r w:rsidR="00B6785F">
        <w:t xml:space="preserve"> </w:t>
      </w:r>
      <w:r w:rsidR="00EC390A">
        <w:t xml:space="preserve"> Colposcopists can use t</w:t>
      </w:r>
      <w:r w:rsidR="001C7397" w:rsidRPr="00CE081C">
        <w:t xml:space="preserve">hese reports for quality improvement purposes, benchmarking </w:t>
      </w:r>
      <w:r w:rsidR="001C7397" w:rsidRPr="00CE081C">
        <w:lastRenderedPageBreak/>
        <w:t>performance against national standards and certification in a recognised quality assurance program such as C-</w:t>
      </w:r>
      <w:proofErr w:type="spellStart"/>
      <w:r w:rsidR="001C7397" w:rsidRPr="00CE081C">
        <w:t>QuIP</w:t>
      </w:r>
      <w:proofErr w:type="spellEnd"/>
      <w:r w:rsidR="001C7397" w:rsidRPr="00CE081C">
        <w:t>.</w:t>
      </w:r>
    </w:p>
    <w:p w:rsidR="00C33E81" w:rsidRPr="00A46C92" w:rsidRDefault="00C33E81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>When do the Rules take effect?</w:t>
      </w:r>
    </w:p>
    <w:p w:rsidR="00C33E81" w:rsidRPr="00EB1507" w:rsidRDefault="00C33E81" w:rsidP="006F566E">
      <w:r w:rsidRPr="00EE5563">
        <w:t>The requirement to notify prescribed info</w:t>
      </w:r>
      <w:r>
        <w:t>rmation to the CMO commences on</w:t>
      </w:r>
      <w:r w:rsidR="004D4A05">
        <w:t xml:space="preserve"> </w:t>
      </w:r>
      <w:r w:rsidR="00EB1507" w:rsidRPr="00EB1507">
        <w:t>1 December 2017.</w:t>
      </w:r>
    </w:p>
    <w:p w:rsidR="008C63D7" w:rsidRPr="00A46C92" w:rsidRDefault="008C63D7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>Who is the person responsible for notifying the required information?</w:t>
      </w:r>
    </w:p>
    <w:p w:rsidR="006C50F9" w:rsidRPr="00A46C92" w:rsidRDefault="006C50F9" w:rsidP="00A46C92">
      <w:r w:rsidRPr="00A46C92">
        <w:t>The Act defines an individual healthcare provider as:</w:t>
      </w:r>
    </w:p>
    <w:p w:rsidR="006C50F9" w:rsidRPr="00A46C92" w:rsidRDefault="006C50F9" w:rsidP="00A46C92">
      <w:r w:rsidRPr="00A46C92">
        <w:t>(a)</w:t>
      </w:r>
      <w:r w:rsidRPr="00A46C92">
        <w:tab/>
      </w:r>
      <w:proofErr w:type="gramStart"/>
      <w:r w:rsidRPr="00A46C92">
        <w:t>an</w:t>
      </w:r>
      <w:proofErr w:type="gramEnd"/>
      <w:r w:rsidRPr="00A46C92">
        <w:t xml:space="preserve"> indivi</w:t>
      </w:r>
      <w:r w:rsidR="004E1A43">
        <w:t>dual who has provided, provides</w:t>
      </w:r>
      <w:r w:rsidRPr="00A46C92">
        <w:t xml:space="preserve">, or is to provide, healthcare; or </w:t>
      </w:r>
    </w:p>
    <w:p w:rsidR="006C50F9" w:rsidRPr="00A46C92" w:rsidRDefault="006C50F9" w:rsidP="00A46C92">
      <w:r w:rsidRPr="00A46C92">
        <w:t>(b)</w:t>
      </w:r>
      <w:r w:rsidRPr="00A46C92">
        <w:tab/>
      </w:r>
      <w:proofErr w:type="gramStart"/>
      <w:r w:rsidRPr="00A46C92">
        <w:t>is</w:t>
      </w:r>
      <w:proofErr w:type="gramEnd"/>
      <w:r w:rsidRPr="00A46C92">
        <w:t xml:space="preserve"> registered by a registration authority as a member of a particular health profession.</w:t>
      </w:r>
    </w:p>
    <w:p w:rsidR="006C50F9" w:rsidRPr="00A46C92" w:rsidRDefault="006C50F9" w:rsidP="00A46C92"/>
    <w:p w:rsidR="008C63D7" w:rsidRPr="00A46C92" w:rsidRDefault="008C63D7" w:rsidP="00A46C92">
      <w:r w:rsidRPr="00A46C92">
        <w:t>The individual healthcare provider for the purpose of colposcopy notification includes colposcopists, that is, specialists or other healthcare providers who perform colposcopies.</w:t>
      </w:r>
    </w:p>
    <w:p w:rsidR="001C7397" w:rsidRPr="00A46C92" w:rsidRDefault="001C7397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 xml:space="preserve">What information do colposcopists need to </w:t>
      </w:r>
      <w:r w:rsidR="00285A24" w:rsidRPr="00A46C92">
        <w:rPr>
          <w:rFonts w:ascii="Times New Roman" w:hAnsi="Times New Roman" w:cs="Times New Roman"/>
        </w:rPr>
        <w:t>notify</w:t>
      </w:r>
      <w:r w:rsidRPr="00A46C92">
        <w:rPr>
          <w:rFonts w:ascii="Times New Roman" w:hAnsi="Times New Roman" w:cs="Times New Roman"/>
        </w:rPr>
        <w:t>?</w:t>
      </w:r>
    </w:p>
    <w:p w:rsidR="001B3F5B" w:rsidRDefault="001B3F5B" w:rsidP="001B3F5B">
      <w:pPr>
        <w:spacing w:after="120"/>
      </w:pPr>
      <w:r>
        <w:t xml:space="preserve">The Rules give effect to the notification requirement in the Act thereby requiring colposcopists to </w:t>
      </w:r>
      <w:r w:rsidR="00285A24">
        <w:t>notify</w:t>
      </w:r>
      <w:r>
        <w:t>:</w:t>
      </w:r>
    </w:p>
    <w:p w:rsidR="001B3F5B" w:rsidRDefault="001B3F5B" w:rsidP="001B3F5B">
      <w:pPr>
        <w:numPr>
          <w:ilvl w:val="0"/>
          <w:numId w:val="7"/>
        </w:numPr>
      </w:pPr>
      <w:r>
        <w:t xml:space="preserve">individuals’ screening test results; </w:t>
      </w:r>
    </w:p>
    <w:p w:rsidR="001B3F5B" w:rsidRDefault="001B3F5B" w:rsidP="001B3F5B">
      <w:pPr>
        <w:numPr>
          <w:ilvl w:val="0"/>
          <w:numId w:val="7"/>
        </w:numPr>
      </w:pPr>
      <w:r>
        <w:t xml:space="preserve">results of follow-up procedures; </w:t>
      </w:r>
    </w:p>
    <w:p w:rsidR="001B3F5B" w:rsidRDefault="001B3F5B" w:rsidP="001B3F5B">
      <w:pPr>
        <w:numPr>
          <w:ilvl w:val="0"/>
          <w:numId w:val="7"/>
        </w:numPr>
      </w:pPr>
      <w:r>
        <w:t xml:space="preserve">diagnosis (or clearance) of cancer; and </w:t>
      </w:r>
    </w:p>
    <w:p w:rsidR="001B3F5B" w:rsidRDefault="001B3F5B" w:rsidP="00DC6C7E">
      <w:pPr>
        <w:widowControl w:val="0"/>
        <w:numPr>
          <w:ilvl w:val="0"/>
          <w:numId w:val="7"/>
        </w:numPr>
        <w:ind w:left="641" w:hanging="357"/>
      </w:pPr>
      <w:proofErr w:type="gramStart"/>
      <w:r>
        <w:t>treatment</w:t>
      </w:r>
      <w:proofErr w:type="gramEnd"/>
      <w:r>
        <w:t xml:space="preserve"> information in relation to pre-cancerous abnormalities. </w:t>
      </w:r>
    </w:p>
    <w:p w:rsidR="00DC6C7E" w:rsidRDefault="00DC6C7E" w:rsidP="00610FC7">
      <w:pPr>
        <w:widowControl w:val="0"/>
      </w:pPr>
    </w:p>
    <w:p w:rsidR="00610FC7" w:rsidRDefault="00610FC7" w:rsidP="00610FC7">
      <w:pPr>
        <w:widowControl w:val="0"/>
      </w:pPr>
      <w:r>
        <w:t xml:space="preserve">The Colposcopy &amp; Treatment Form contains the prescribed information to facilitate </w:t>
      </w:r>
      <w:r w:rsidR="007C1B72">
        <w:t xml:space="preserve">the </w:t>
      </w:r>
      <w:r>
        <w:t xml:space="preserve">notification </w:t>
      </w:r>
      <w:r w:rsidR="007C1B72">
        <w:t>requirement</w:t>
      </w:r>
      <w:r>
        <w:t xml:space="preserve"> (see question</w:t>
      </w:r>
      <w:r w:rsidR="00E428C7">
        <w:t>s below</w:t>
      </w:r>
      <w:r>
        <w:t>).</w:t>
      </w:r>
      <w:r w:rsidR="00E428C7">
        <w:t xml:space="preserve"> The </w:t>
      </w:r>
      <w:r w:rsidR="00E428C7">
        <w:t>required screening test</w:t>
      </w:r>
      <w:r w:rsidR="00E428C7">
        <w:t xml:space="preserve"> information</w:t>
      </w:r>
      <w:r w:rsidR="00E428C7">
        <w:t xml:space="preserve"> </w:t>
      </w:r>
      <w:r w:rsidR="00E428C7">
        <w:t xml:space="preserve">is available at </w:t>
      </w:r>
      <w:r w:rsidR="00E428C7" w:rsidRPr="00A56262">
        <w:rPr>
          <w:u w:val="single"/>
        </w:rPr>
        <w:t>Attachment A</w:t>
      </w:r>
      <w:r w:rsidR="00E428C7">
        <w:t>.</w:t>
      </w:r>
    </w:p>
    <w:p w:rsidR="007B0FA9" w:rsidRDefault="007B0FA9" w:rsidP="00610FC7">
      <w:pPr>
        <w:widowControl w:val="0"/>
      </w:pPr>
    </w:p>
    <w:p w:rsidR="007B0FA9" w:rsidRPr="007B0FA9" w:rsidRDefault="007B0FA9" w:rsidP="007B0FA9">
      <w:pPr>
        <w:pStyle w:val="Heading2"/>
        <w:rPr>
          <w:rFonts w:ascii="Times New Roman" w:hAnsi="Times New Roman" w:cs="Times New Roman"/>
        </w:rPr>
      </w:pPr>
      <w:r w:rsidRPr="007B0FA9">
        <w:rPr>
          <w:rFonts w:ascii="Times New Roman" w:hAnsi="Times New Roman" w:cs="Times New Roman"/>
        </w:rPr>
        <w:t>What if the colposcopy is conducted as part of a clinical trial?</w:t>
      </w:r>
    </w:p>
    <w:p w:rsidR="007B0FA9" w:rsidRDefault="007B0FA9" w:rsidP="007B0FA9">
      <w:pPr>
        <w:widowControl w:val="0"/>
      </w:pPr>
      <w:r>
        <w:t>Colposcopies carried out as part of a clinical trial approved by an ethics committee (within the meaning of the Therapeutic Goods Act 1989) are exempted from the mandatory notification requirement.</w:t>
      </w:r>
    </w:p>
    <w:p w:rsidR="007B0FA9" w:rsidRDefault="007B0FA9" w:rsidP="007B0FA9">
      <w:pPr>
        <w:widowControl w:val="0"/>
      </w:pPr>
    </w:p>
    <w:p w:rsidR="007B0FA9" w:rsidRDefault="007B0FA9" w:rsidP="007B0FA9">
      <w:pPr>
        <w:widowControl w:val="0"/>
      </w:pPr>
      <w:r>
        <w:t>As per the Therapeutic Goods Act 1989, an ethics committee means a committee:</w:t>
      </w:r>
    </w:p>
    <w:p w:rsidR="007B0FA9" w:rsidRDefault="007B0FA9" w:rsidP="007B0FA9">
      <w:pPr>
        <w:pStyle w:val="ListParagraph"/>
        <w:widowControl w:val="0"/>
        <w:numPr>
          <w:ilvl w:val="0"/>
          <w:numId w:val="10"/>
        </w:numPr>
      </w:pPr>
      <w:r>
        <w:t>constituted and operating as an ethics committee in accordance with guidelines issued by the CEO of the National Health and Medical Research Council as in force from time to time; and</w:t>
      </w:r>
    </w:p>
    <w:p w:rsidR="007B0FA9" w:rsidRDefault="007B0FA9" w:rsidP="007B0FA9">
      <w:pPr>
        <w:pStyle w:val="ListParagraph"/>
        <w:widowControl w:val="0"/>
        <w:numPr>
          <w:ilvl w:val="0"/>
          <w:numId w:val="10"/>
        </w:numPr>
      </w:pPr>
      <w:proofErr w:type="gramStart"/>
      <w:r>
        <w:t>which</w:t>
      </w:r>
      <w:proofErr w:type="gramEnd"/>
      <w:r>
        <w:t xml:space="preserve"> has notified its existence to the Australian Health Ethics Committee established under the National Health and Medical Research Council Act 1992.</w:t>
      </w:r>
    </w:p>
    <w:p w:rsidR="007B0FA9" w:rsidRDefault="007B0FA9" w:rsidP="007B0FA9">
      <w:pPr>
        <w:widowControl w:val="0"/>
      </w:pPr>
      <w:r>
        <w:t xml:space="preserve"> </w:t>
      </w:r>
    </w:p>
    <w:p w:rsidR="007B0FA9" w:rsidRDefault="007B0FA9" w:rsidP="007B0FA9">
      <w:pPr>
        <w:widowControl w:val="0"/>
      </w:pPr>
      <w:r>
        <w:t>An example of a clinical trial exempted from the notification requirement is the Compass trial.</w:t>
      </w:r>
    </w:p>
    <w:p w:rsidR="001C7397" w:rsidRPr="00A46C92" w:rsidRDefault="008B43C2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 xml:space="preserve">How do colposcopists </w:t>
      </w:r>
      <w:r w:rsidR="00285A24" w:rsidRPr="00A46C92">
        <w:rPr>
          <w:rFonts w:ascii="Times New Roman" w:hAnsi="Times New Roman" w:cs="Times New Roman"/>
        </w:rPr>
        <w:t>notify the CMO</w:t>
      </w:r>
      <w:r w:rsidR="001C7397" w:rsidRPr="00A46C92">
        <w:rPr>
          <w:rFonts w:ascii="Times New Roman" w:hAnsi="Times New Roman" w:cs="Times New Roman"/>
        </w:rPr>
        <w:t>?</w:t>
      </w:r>
    </w:p>
    <w:p w:rsidR="001B0665" w:rsidRPr="008C5D13" w:rsidRDefault="001B0665" w:rsidP="008C5D13">
      <w:pPr>
        <w:pStyle w:val="Heading3"/>
        <w:rPr>
          <w:rFonts w:ascii="Times New Roman" w:hAnsi="Times New Roman" w:cs="Times New Roman"/>
          <w:b/>
        </w:rPr>
      </w:pPr>
      <w:r w:rsidRPr="008C5D13">
        <w:rPr>
          <w:rFonts w:ascii="Times New Roman" w:hAnsi="Times New Roman" w:cs="Times New Roman"/>
          <w:b/>
        </w:rPr>
        <w:t>Approved Form:</w:t>
      </w:r>
    </w:p>
    <w:p w:rsidR="004D5F67" w:rsidRDefault="004D5F67" w:rsidP="005D0ECC">
      <w:r>
        <w:t>The Colposcopy &amp; Treatment Form</w:t>
      </w:r>
      <w:r w:rsidR="00CD60EF">
        <w:t xml:space="preserve"> should be used to notify colposcopy information to the CMO.  The form </w:t>
      </w:r>
      <w:r>
        <w:t>contains the prescribed information and</w:t>
      </w:r>
      <w:r w:rsidR="00CD60EF">
        <w:t xml:space="preserve"> provides</w:t>
      </w:r>
      <w:r>
        <w:t xml:space="preserve"> instructions on how to </w:t>
      </w:r>
      <w:r w:rsidR="00CD60EF">
        <w:t>complete the</w:t>
      </w:r>
      <w:r w:rsidR="00A83C68">
        <w:t xml:space="preserve"> form</w:t>
      </w:r>
      <w:r w:rsidR="00CD60EF">
        <w:t xml:space="preserve"> </w:t>
      </w:r>
      <w:r w:rsidR="00A83C68">
        <w:t>as well as</w:t>
      </w:r>
      <w:r>
        <w:t xml:space="preserve"> definitions for terminology used </w:t>
      </w:r>
      <w:r w:rsidR="00A83C68">
        <w:t>in the form</w:t>
      </w:r>
      <w:r>
        <w:t>.</w:t>
      </w:r>
    </w:p>
    <w:p w:rsidR="005D0ECC" w:rsidRDefault="005D0ECC" w:rsidP="00593CE5">
      <w:pPr>
        <w:pStyle w:val="ListParagraph"/>
        <w:ind w:left="0"/>
      </w:pPr>
    </w:p>
    <w:p w:rsidR="001221BF" w:rsidRDefault="005D0ECC" w:rsidP="00A46C92">
      <w:r>
        <w:t xml:space="preserve">The </w:t>
      </w:r>
      <w:r w:rsidR="007D1D75">
        <w:t xml:space="preserve">Colposcopy &amp; Treatment Form </w:t>
      </w:r>
      <w:r>
        <w:t xml:space="preserve">can be downloaded from the </w:t>
      </w:r>
      <w:hyperlink r:id="rId10" w:history="1">
        <w:r w:rsidRPr="00A46C92">
          <w:t>cancer screening website</w:t>
        </w:r>
      </w:hyperlink>
      <w:r w:rsidR="00831DBB">
        <w:t>.</w:t>
      </w:r>
    </w:p>
    <w:p w:rsidR="001221BF" w:rsidRDefault="001221BF" w:rsidP="00A46C92"/>
    <w:p w:rsidR="004F7866" w:rsidRDefault="005D0ECC" w:rsidP="00A46C92">
      <w:r>
        <w:lastRenderedPageBreak/>
        <w:t xml:space="preserve">The </w:t>
      </w:r>
      <w:r w:rsidR="004D5F67">
        <w:t xml:space="preserve">Colposcopy &amp; Treatment Form </w:t>
      </w:r>
      <w:r w:rsidR="00231141">
        <w:t>is an a</w:t>
      </w:r>
      <w:r w:rsidR="004F7866">
        <w:t xml:space="preserve">pproved </w:t>
      </w:r>
      <w:r w:rsidR="00231141">
        <w:t>f</w:t>
      </w:r>
      <w:r w:rsidR="004F7866">
        <w:t xml:space="preserve">orm for </w:t>
      </w:r>
      <w:r w:rsidR="00231141">
        <w:t>the purpose of section 25 of the Act</w:t>
      </w:r>
      <w:r w:rsidR="004F7866">
        <w:t>.</w:t>
      </w:r>
    </w:p>
    <w:p w:rsidR="001B0665" w:rsidRPr="008C5D13" w:rsidRDefault="001B0665" w:rsidP="008C5D13">
      <w:pPr>
        <w:pStyle w:val="Heading3"/>
        <w:rPr>
          <w:rFonts w:ascii="Times New Roman" w:hAnsi="Times New Roman" w:cs="Times New Roman"/>
          <w:b/>
        </w:rPr>
      </w:pPr>
      <w:r w:rsidRPr="008C5D13">
        <w:rPr>
          <w:rFonts w:ascii="Times New Roman" w:hAnsi="Times New Roman" w:cs="Times New Roman"/>
          <w:b/>
        </w:rPr>
        <w:t>Lodging the form:</w:t>
      </w:r>
    </w:p>
    <w:p w:rsidR="001221BF" w:rsidRDefault="001B0665" w:rsidP="00A46C92">
      <w:r>
        <w:t>The Register provides the capability for colposcopists to notify prescribed information to the CMO.</w:t>
      </w:r>
    </w:p>
    <w:p w:rsidR="001221BF" w:rsidRDefault="001221BF" w:rsidP="00A46C92"/>
    <w:p w:rsidR="00D47D22" w:rsidRDefault="00D46497" w:rsidP="00A46C92">
      <w:r>
        <w:t>Once completed, t</w:t>
      </w:r>
      <w:r w:rsidR="00D47D22">
        <w:t>he original form can be lodge</w:t>
      </w:r>
      <w:r w:rsidR="00451EA3">
        <w:t>d</w:t>
      </w:r>
      <w:r w:rsidR="00D47D22">
        <w:t xml:space="preserve"> with the Register by:</w:t>
      </w:r>
    </w:p>
    <w:p w:rsidR="00D47D22" w:rsidRDefault="00D47D22" w:rsidP="00A46C92">
      <w:pPr>
        <w:numPr>
          <w:ilvl w:val="0"/>
          <w:numId w:val="7"/>
        </w:numPr>
      </w:pPr>
      <w:r>
        <w:t>Post to National Cervical Screening Program, Reply Paid 90964, SUNSHINE VIC 3020, or</w:t>
      </w:r>
    </w:p>
    <w:p w:rsidR="00D47D22" w:rsidRDefault="00D47D22" w:rsidP="00A46C92">
      <w:pPr>
        <w:numPr>
          <w:ilvl w:val="0"/>
          <w:numId w:val="7"/>
        </w:numPr>
      </w:pPr>
      <w:r>
        <w:t>Fax on 1800 627 702</w:t>
      </w:r>
    </w:p>
    <w:p w:rsidR="001B0665" w:rsidRDefault="00D46497" w:rsidP="00A46C92">
      <w:r>
        <w:t xml:space="preserve">Colposcopists can obtain </w:t>
      </w:r>
      <w:r w:rsidR="00D47D22">
        <w:t>assistance</w:t>
      </w:r>
      <w:r>
        <w:t xml:space="preserve"> with lodging the form</w:t>
      </w:r>
      <w:r w:rsidR="00D47D22">
        <w:t xml:space="preserve"> </w:t>
      </w:r>
      <w:r>
        <w:t>by</w:t>
      </w:r>
      <w:r w:rsidR="00D47D22">
        <w:t xml:space="preserve"> </w:t>
      </w:r>
      <w:r>
        <w:t>contacting</w:t>
      </w:r>
      <w:r w:rsidR="00D47D22">
        <w:t xml:space="preserve"> the Program Contact Centre on 1800 627 701</w:t>
      </w:r>
      <w:r w:rsidR="00F465AE">
        <w:t>.</w:t>
      </w:r>
    </w:p>
    <w:p w:rsidR="004F7866" w:rsidRPr="00A46C92" w:rsidRDefault="004F7866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 xml:space="preserve">What is the timeframe for </w:t>
      </w:r>
      <w:r w:rsidR="00C34367" w:rsidRPr="00A46C92">
        <w:rPr>
          <w:rFonts w:ascii="Times New Roman" w:hAnsi="Times New Roman" w:cs="Times New Roman"/>
        </w:rPr>
        <w:t>notification</w:t>
      </w:r>
      <w:r w:rsidRPr="00A46C92">
        <w:rPr>
          <w:rFonts w:ascii="Times New Roman" w:hAnsi="Times New Roman" w:cs="Times New Roman"/>
        </w:rPr>
        <w:t>?</w:t>
      </w:r>
    </w:p>
    <w:p w:rsidR="004F7866" w:rsidRDefault="004F7866" w:rsidP="005D0ECC">
      <w:pPr>
        <w:keepNext/>
        <w:tabs>
          <w:tab w:val="num" w:pos="426"/>
        </w:tabs>
        <w:ind w:left="66"/>
      </w:pPr>
      <w:r>
        <w:t xml:space="preserve">Colposcopists </w:t>
      </w:r>
      <w:r w:rsidR="009B2988">
        <w:t>are required to notify</w:t>
      </w:r>
      <w:r>
        <w:t xml:space="preserve"> prescribed information to the CMO</w:t>
      </w:r>
      <w:r w:rsidR="009B2988">
        <w:t xml:space="preserve"> through the Register</w:t>
      </w:r>
      <w:r>
        <w:t xml:space="preserve"> within 14 days. The 14 days </w:t>
      </w:r>
      <w:r w:rsidR="00BD3CD8">
        <w:t>commences</w:t>
      </w:r>
      <w:r>
        <w:t xml:space="preserve"> the </w:t>
      </w:r>
      <w:r w:rsidR="004D27DE">
        <w:t>day</w:t>
      </w:r>
      <w:r w:rsidR="00BD3CD8">
        <w:t xml:space="preserve"> after</w:t>
      </w:r>
      <w:r w:rsidR="004D27DE">
        <w:t xml:space="preserve"> the </w:t>
      </w:r>
      <w:r>
        <w:t>colposcopy is carried out.</w:t>
      </w:r>
    </w:p>
    <w:p w:rsidR="00231141" w:rsidRPr="00A46C92" w:rsidRDefault="00231141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 xml:space="preserve">How was the prescribed information </w:t>
      </w:r>
      <w:r w:rsidR="002C54CF" w:rsidRPr="00A46C92">
        <w:rPr>
          <w:rFonts w:ascii="Times New Roman" w:hAnsi="Times New Roman" w:cs="Times New Roman"/>
        </w:rPr>
        <w:t>determined</w:t>
      </w:r>
      <w:r w:rsidRPr="00A46C92">
        <w:rPr>
          <w:rFonts w:ascii="Times New Roman" w:hAnsi="Times New Roman" w:cs="Times New Roman"/>
        </w:rPr>
        <w:t>?</w:t>
      </w:r>
    </w:p>
    <w:p w:rsidR="00231141" w:rsidRDefault="00231141" w:rsidP="00231141">
      <w:r>
        <w:t>A Colposcopy Sub-group of the NCSP Quality and Safety Monitoring Committee considered the data requirements as part of the Quality Framework for the NCSP.</w:t>
      </w:r>
    </w:p>
    <w:p w:rsidR="00231141" w:rsidRDefault="00231141" w:rsidP="00231141"/>
    <w:p w:rsidR="00231141" w:rsidRDefault="00231141" w:rsidP="00231141">
      <w:r>
        <w:t xml:space="preserve">The data items </w:t>
      </w:r>
      <w:r w:rsidR="001A6F66">
        <w:t>have been determined to enable reporting against agreed quality standards</w:t>
      </w:r>
      <w:r w:rsidR="00A37664">
        <w:t xml:space="preserve">.  They </w:t>
      </w:r>
      <w:r>
        <w:t>are based on Colposcopy Data Collection Form developed in consultation with RANZCOG and user</w:t>
      </w:r>
      <w:r w:rsidR="00952ABF">
        <w:t>-</w:t>
      </w:r>
      <w:r>
        <w:t>tested among colposcopists.</w:t>
      </w:r>
      <w:r w:rsidR="00952ABF">
        <w:t xml:space="preserve"> </w:t>
      </w:r>
    </w:p>
    <w:p w:rsidR="001C7397" w:rsidRPr="00A46C92" w:rsidRDefault="001C7397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 xml:space="preserve">What can I do to prepare for the commencement of the mandatory </w:t>
      </w:r>
      <w:r w:rsidR="00C34367" w:rsidRPr="00A46C92">
        <w:rPr>
          <w:rFonts w:ascii="Times New Roman" w:hAnsi="Times New Roman" w:cs="Times New Roman"/>
        </w:rPr>
        <w:t xml:space="preserve">notification </w:t>
      </w:r>
      <w:r w:rsidRPr="00A46C92">
        <w:rPr>
          <w:rFonts w:ascii="Times New Roman" w:hAnsi="Times New Roman" w:cs="Times New Roman"/>
        </w:rPr>
        <w:t>requirement?</w:t>
      </w:r>
    </w:p>
    <w:p w:rsidR="001D60A5" w:rsidRDefault="001C7397" w:rsidP="001D60A5">
      <w:pPr>
        <w:tabs>
          <w:tab w:val="num" w:pos="426"/>
        </w:tabs>
        <w:ind w:left="66"/>
      </w:pPr>
      <w:r w:rsidRPr="002201E2">
        <w:t>It is important that colposcopists familiarise themselves with the new terminology for colposcopy</w:t>
      </w:r>
      <w:r>
        <w:t xml:space="preserve">. </w:t>
      </w:r>
      <w:r w:rsidRPr="002201E2">
        <w:t xml:space="preserve">Education on the new terminology is available </w:t>
      </w:r>
      <w:r>
        <w:t xml:space="preserve">on the </w:t>
      </w:r>
      <w:hyperlink r:id="rId11" w:history="1">
        <w:r w:rsidRPr="00357D2E">
          <w:rPr>
            <w:rStyle w:val="Hyperlink"/>
          </w:rPr>
          <w:t>Cancer Council website</w:t>
        </w:r>
      </w:hyperlink>
      <w:r>
        <w:t>.</w:t>
      </w:r>
    </w:p>
    <w:p w:rsidR="001D60A5" w:rsidRDefault="001D60A5" w:rsidP="001D60A5">
      <w:pPr>
        <w:tabs>
          <w:tab w:val="num" w:pos="426"/>
        </w:tabs>
        <w:ind w:left="66"/>
      </w:pPr>
    </w:p>
    <w:p w:rsidR="001C7397" w:rsidRPr="002201E2" w:rsidRDefault="001C7397" w:rsidP="001D60A5">
      <w:pPr>
        <w:tabs>
          <w:tab w:val="num" w:pos="426"/>
        </w:tabs>
        <w:ind w:left="66"/>
      </w:pPr>
      <w:r>
        <w:t>An education module on the renewed NCSP is also available through</w:t>
      </w:r>
      <w:r w:rsidR="004B508B">
        <w:t xml:space="preserve"> the </w:t>
      </w:r>
      <w:hyperlink r:id="rId12" w:history="1">
        <w:r w:rsidR="004B508B" w:rsidRPr="004B508B">
          <w:rPr>
            <w:rStyle w:val="Hyperlink"/>
          </w:rPr>
          <w:t xml:space="preserve">NPS MedicineWise </w:t>
        </w:r>
        <w:r w:rsidRPr="004B508B">
          <w:rPr>
            <w:rStyle w:val="Hyperlink"/>
          </w:rPr>
          <w:t>website</w:t>
        </w:r>
      </w:hyperlink>
      <w:r w:rsidR="004B508B">
        <w:t>.</w:t>
      </w:r>
    </w:p>
    <w:p w:rsidR="002C54CF" w:rsidRPr="00A46C92" w:rsidRDefault="002C54CF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 xml:space="preserve">Is there a penalty for not complying with the </w:t>
      </w:r>
      <w:r w:rsidR="00C34367" w:rsidRPr="00A46C92">
        <w:rPr>
          <w:rFonts w:ascii="Times New Roman" w:hAnsi="Times New Roman" w:cs="Times New Roman"/>
        </w:rPr>
        <w:t xml:space="preserve">notification </w:t>
      </w:r>
      <w:r w:rsidRPr="00A46C92">
        <w:rPr>
          <w:rFonts w:ascii="Times New Roman" w:hAnsi="Times New Roman" w:cs="Times New Roman"/>
        </w:rPr>
        <w:t>requirement?</w:t>
      </w:r>
    </w:p>
    <w:p w:rsidR="002C54CF" w:rsidRDefault="002C54CF" w:rsidP="002C54CF">
      <w:r>
        <w:t>The Act creates an offense for non-compliance</w:t>
      </w:r>
      <w:r w:rsidR="00B00B87">
        <w:t xml:space="preserve"> with the notification requirement</w:t>
      </w:r>
      <w:r>
        <w:t>.  The maximum fine per offence is 30</w:t>
      </w:r>
      <w:r w:rsidR="008A75F2">
        <w:t xml:space="preserve"> penalty units.  A penalty unit is </w:t>
      </w:r>
      <w:r>
        <w:t xml:space="preserve">$210. </w:t>
      </w:r>
    </w:p>
    <w:p w:rsidR="002C54CF" w:rsidRDefault="002C54CF" w:rsidP="002C54CF"/>
    <w:p w:rsidR="002C54CF" w:rsidRPr="00581D86" w:rsidRDefault="002C54CF" w:rsidP="002C54CF">
      <w:r>
        <w:t>The pena</w:t>
      </w:r>
      <w:r w:rsidR="00CE2FC4">
        <w:t xml:space="preserve">lty commences from 1 May 2018. </w:t>
      </w:r>
    </w:p>
    <w:p w:rsidR="00581D86" w:rsidRPr="00A46C92" w:rsidRDefault="00581D86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 xml:space="preserve">What happens if I fail to </w:t>
      </w:r>
      <w:r w:rsidR="00285A24" w:rsidRPr="00A46C92">
        <w:rPr>
          <w:rFonts w:ascii="Times New Roman" w:hAnsi="Times New Roman" w:cs="Times New Roman"/>
        </w:rPr>
        <w:t>notify</w:t>
      </w:r>
      <w:r w:rsidRPr="00A46C92">
        <w:rPr>
          <w:rFonts w:ascii="Times New Roman" w:hAnsi="Times New Roman" w:cs="Times New Roman"/>
        </w:rPr>
        <w:t>?</w:t>
      </w:r>
    </w:p>
    <w:p w:rsidR="00451EA3" w:rsidRDefault="00581D86" w:rsidP="00581D86">
      <w:r w:rsidRPr="00581D86">
        <w:t xml:space="preserve">The Department recognises that encouraging compliance and raising awareness regarding the requirement to notify will help minimise the need to enforce regulatory action. </w:t>
      </w:r>
    </w:p>
    <w:p w:rsidR="00451EA3" w:rsidRDefault="00451EA3" w:rsidP="00581D86"/>
    <w:p w:rsidR="00581D86" w:rsidRPr="00581D86" w:rsidRDefault="005E6893" w:rsidP="00581D86">
      <w:r w:rsidRPr="00581D86">
        <w:t xml:space="preserve">Where considered appropriate, </w:t>
      </w:r>
      <w:r w:rsidR="00DC6600">
        <w:t>the Department of Health</w:t>
      </w:r>
      <w:r w:rsidR="00DC6600" w:rsidRPr="00581D86">
        <w:t xml:space="preserve"> </w:t>
      </w:r>
      <w:r w:rsidRPr="00581D86">
        <w:t>will provide sufficient notice through warning letters prior to enforcing regulatory action.</w:t>
      </w:r>
    </w:p>
    <w:p w:rsidR="001C7397" w:rsidRPr="00A46C92" w:rsidRDefault="001C7397" w:rsidP="00A46C92">
      <w:pPr>
        <w:pStyle w:val="Heading2"/>
        <w:rPr>
          <w:rFonts w:ascii="Times New Roman" w:hAnsi="Times New Roman" w:cs="Times New Roman"/>
        </w:rPr>
      </w:pPr>
      <w:r w:rsidRPr="00A46C92">
        <w:rPr>
          <w:rFonts w:ascii="Times New Roman" w:hAnsi="Times New Roman" w:cs="Times New Roman"/>
        </w:rPr>
        <w:t>Where can</w:t>
      </w:r>
      <w:r w:rsidR="00F6480D" w:rsidRPr="00A46C92">
        <w:rPr>
          <w:rFonts w:ascii="Times New Roman" w:hAnsi="Times New Roman" w:cs="Times New Roman"/>
        </w:rPr>
        <w:t xml:space="preserve"> </w:t>
      </w:r>
      <w:r w:rsidRPr="00A46C92">
        <w:rPr>
          <w:rFonts w:ascii="Times New Roman" w:hAnsi="Times New Roman" w:cs="Times New Roman"/>
        </w:rPr>
        <w:t>I find more information?</w:t>
      </w:r>
    </w:p>
    <w:p w:rsidR="00E35F99" w:rsidRDefault="00835756" w:rsidP="00E35F99">
      <w:r>
        <w:t xml:space="preserve">More information is available on the Australian Government Department of Health’s </w:t>
      </w:r>
      <w:hyperlink r:id="rId13" w:history="1">
        <w:r w:rsidR="0045684D" w:rsidRPr="0045684D">
          <w:rPr>
            <w:rStyle w:val="Hyperlink"/>
          </w:rPr>
          <w:t>website</w:t>
        </w:r>
      </w:hyperlink>
      <w:r w:rsidR="0045684D">
        <w:t>.</w:t>
      </w:r>
    </w:p>
    <w:p w:rsidR="00D17332" w:rsidRDefault="00D17332" w:rsidP="00D17332">
      <w:pPr>
        <w:rPr>
          <w:b/>
          <w:color w:val="FF0000"/>
        </w:rPr>
      </w:pPr>
    </w:p>
    <w:p w:rsidR="00D17332" w:rsidRPr="00D17332" w:rsidRDefault="00D17332" w:rsidP="00D17332">
      <w:pPr>
        <w:rPr>
          <w:b/>
          <w:color w:val="FF0000"/>
        </w:rPr>
      </w:pPr>
      <w:r w:rsidRPr="00D17332">
        <w:rPr>
          <w:b/>
          <w:color w:val="FF0000"/>
        </w:rPr>
        <w:t>Disclaimer: this document is currently under review</w:t>
      </w:r>
    </w:p>
    <w:p w:rsidR="00B00233" w:rsidRPr="009C0DC9" w:rsidRDefault="00B00233" w:rsidP="00B00233">
      <w:pPr>
        <w:pStyle w:val="Heading3"/>
        <w:rPr>
          <w:rFonts w:ascii="Times New Roman" w:hAnsi="Times New Roman" w:cs="Times New Roman"/>
        </w:rPr>
      </w:pPr>
      <w:r w:rsidRPr="009C0DC9">
        <w:rPr>
          <w:rFonts w:ascii="Times New Roman" w:hAnsi="Times New Roman" w:cs="Times New Roman"/>
        </w:rPr>
        <w:t>ATTACHMENT A</w:t>
      </w:r>
    </w:p>
    <w:p w:rsidR="00B00233" w:rsidRDefault="00B00233" w:rsidP="00B00233">
      <w:pPr>
        <w:spacing w:after="60"/>
        <w:rPr>
          <w:b/>
        </w:rPr>
      </w:pPr>
      <w:r w:rsidRPr="00050883">
        <w:rPr>
          <w:b/>
        </w:rPr>
        <w:t xml:space="preserve">Information for </w:t>
      </w:r>
      <w:r>
        <w:rPr>
          <w:b/>
        </w:rPr>
        <w:t>c</w:t>
      </w:r>
      <w:r w:rsidR="00731540">
        <w:rPr>
          <w:b/>
        </w:rPr>
        <w:t>olposcopists</w:t>
      </w:r>
    </w:p>
    <w:p w:rsidR="006C1144" w:rsidRDefault="006C1144" w:rsidP="00B00233">
      <w:pPr>
        <w:spacing w:after="60"/>
        <w:rPr>
          <w:b/>
        </w:rPr>
      </w:pPr>
    </w:p>
    <w:p w:rsidR="00731540" w:rsidRDefault="00731540" w:rsidP="00731540">
      <w:pPr>
        <w:spacing w:after="60"/>
      </w:pPr>
      <w:r>
        <w:t xml:space="preserve">1. </w:t>
      </w:r>
      <w:r w:rsidRPr="00731540">
        <w:t>Individual’s details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2"/>
        </w:numPr>
        <w:spacing w:after="60"/>
      </w:pPr>
      <w:r>
        <w:t>Medicare number (</w:t>
      </w:r>
      <w:r w:rsidRPr="00731540">
        <w:t>If known</w:t>
      </w:r>
      <w:r>
        <w:t>)</w:t>
      </w:r>
    </w:p>
    <w:p w:rsidR="00731540" w:rsidRPr="00731540" w:rsidRDefault="00731540" w:rsidP="00731540">
      <w:pPr>
        <w:pStyle w:val="ListParagraph"/>
        <w:numPr>
          <w:ilvl w:val="0"/>
          <w:numId w:val="12"/>
        </w:numPr>
        <w:spacing w:after="60"/>
      </w:pPr>
      <w:r w:rsidRPr="00731540">
        <w:t>Name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2"/>
        </w:numPr>
        <w:spacing w:after="60"/>
      </w:pPr>
      <w:r w:rsidRPr="00731540">
        <w:t>Date of birth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2"/>
        </w:numPr>
        <w:spacing w:after="60"/>
      </w:pPr>
      <w:r>
        <w:t>Indigenous status (</w:t>
      </w:r>
      <w:r w:rsidRPr="00731540">
        <w:t>If known</w:t>
      </w:r>
      <w:r>
        <w:t>)</w:t>
      </w:r>
    </w:p>
    <w:p w:rsidR="00731540" w:rsidRPr="00731540" w:rsidRDefault="00731540" w:rsidP="00731540">
      <w:pPr>
        <w:pStyle w:val="ListParagraph"/>
        <w:numPr>
          <w:ilvl w:val="0"/>
          <w:numId w:val="12"/>
        </w:numPr>
        <w:spacing w:after="60"/>
      </w:pPr>
      <w:r w:rsidRPr="00731540">
        <w:t>Country of origin</w:t>
      </w:r>
      <w:r>
        <w:t xml:space="preserve"> (</w:t>
      </w:r>
      <w:r w:rsidRPr="00731540">
        <w:t>If known</w:t>
      </w:r>
      <w:r>
        <w:t>)</w:t>
      </w:r>
    </w:p>
    <w:p w:rsidR="00731540" w:rsidRPr="00731540" w:rsidRDefault="00731540" w:rsidP="00731540">
      <w:pPr>
        <w:pStyle w:val="ListParagraph"/>
        <w:numPr>
          <w:ilvl w:val="0"/>
          <w:numId w:val="12"/>
        </w:numPr>
        <w:spacing w:after="60"/>
      </w:pPr>
      <w:r w:rsidRPr="00731540">
        <w:t xml:space="preserve">Preferred language </w:t>
      </w:r>
      <w:r>
        <w:t>(</w:t>
      </w:r>
      <w:r w:rsidRPr="00731540">
        <w:t>If known</w:t>
      </w:r>
      <w:r>
        <w:t>)</w:t>
      </w:r>
    </w:p>
    <w:p w:rsidR="00731540" w:rsidRDefault="00731540" w:rsidP="00731540">
      <w:pPr>
        <w:pStyle w:val="ListParagraph"/>
        <w:numPr>
          <w:ilvl w:val="0"/>
          <w:numId w:val="12"/>
        </w:numPr>
        <w:spacing w:after="60"/>
      </w:pPr>
      <w:r w:rsidRPr="00731540">
        <w:t>Address</w:t>
      </w:r>
      <w:r w:rsidRPr="00731540">
        <w:tab/>
      </w:r>
    </w:p>
    <w:p w:rsidR="006C1144" w:rsidRPr="00731540" w:rsidRDefault="006C1144" w:rsidP="006C1144">
      <w:pPr>
        <w:pStyle w:val="ListParagraph"/>
        <w:spacing w:after="60"/>
      </w:pPr>
    </w:p>
    <w:p w:rsidR="00731540" w:rsidRDefault="006C1144" w:rsidP="00731540">
      <w:pPr>
        <w:spacing w:after="60"/>
      </w:pPr>
      <w:r>
        <w:t xml:space="preserve">2. </w:t>
      </w:r>
      <w:proofErr w:type="spellStart"/>
      <w:r w:rsidR="00731540" w:rsidRPr="00731540">
        <w:t>Colposcopist’s</w:t>
      </w:r>
      <w:proofErr w:type="spellEnd"/>
      <w:r w:rsidR="00731540" w:rsidRPr="00731540">
        <w:t xml:space="preserve"> details</w:t>
      </w:r>
      <w:r w:rsidR="00731540"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3"/>
        </w:numPr>
        <w:spacing w:after="60"/>
      </w:pPr>
      <w:r w:rsidRPr="00731540">
        <w:t>Name</w:t>
      </w:r>
      <w:r w:rsidRPr="00731540">
        <w:tab/>
        <w:t xml:space="preserve"> </w:t>
      </w:r>
    </w:p>
    <w:p w:rsidR="00731540" w:rsidRPr="00731540" w:rsidRDefault="00731540" w:rsidP="00731540">
      <w:pPr>
        <w:pStyle w:val="ListParagraph"/>
        <w:numPr>
          <w:ilvl w:val="0"/>
          <w:numId w:val="13"/>
        </w:numPr>
        <w:spacing w:after="60"/>
      </w:pPr>
      <w:r w:rsidRPr="00731540">
        <w:t>Clinic name</w:t>
      </w:r>
      <w:r w:rsidRPr="00731540">
        <w:tab/>
      </w:r>
    </w:p>
    <w:p w:rsidR="00731540" w:rsidRDefault="00731540" w:rsidP="00731540">
      <w:pPr>
        <w:pStyle w:val="ListParagraph"/>
        <w:numPr>
          <w:ilvl w:val="0"/>
          <w:numId w:val="13"/>
        </w:numPr>
        <w:spacing w:after="60"/>
      </w:pPr>
      <w:r w:rsidRPr="00731540">
        <w:t>Provider number</w:t>
      </w:r>
      <w:r w:rsidRPr="00731540">
        <w:tab/>
      </w:r>
    </w:p>
    <w:p w:rsidR="006C1144" w:rsidRPr="00731540" w:rsidRDefault="006C1144" w:rsidP="006C1144">
      <w:pPr>
        <w:pStyle w:val="ListParagraph"/>
        <w:spacing w:after="60"/>
      </w:pPr>
    </w:p>
    <w:p w:rsidR="00731540" w:rsidRDefault="006C1144" w:rsidP="00731540">
      <w:pPr>
        <w:spacing w:after="60"/>
      </w:pPr>
      <w:r>
        <w:t xml:space="preserve">3. </w:t>
      </w:r>
      <w:r w:rsidR="00731540" w:rsidRPr="00731540">
        <w:t>Information about the colposcopy</w:t>
      </w:r>
      <w:r w:rsidR="00731540"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5"/>
        </w:numPr>
        <w:spacing w:after="60"/>
      </w:pPr>
      <w:r w:rsidRPr="00731540">
        <w:t xml:space="preserve">Date of colposcopy 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5"/>
        </w:numPr>
        <w:spacing w:after="60"/>
      </w:pPr>
      <w:r>
        <w:t>Indication for colposcopy*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5"/>
        </w:numPr>
        <w:spacing w:after="60"/>
      </w:pPr>
      <w:r w:rsidRPr="00731540">
        <w:t>Adequacy of colposcopy</w:t>
      </w:r>
      <w:r>
        <w:t>*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5"/>
        </w:numPr>
        <w:spacing w:after="60"/>
      </w:pPr>
      <w:r w:rsidRPr="00731540">
        <w:t>Visibility of Transformation zone</w:t>
      </w:r>
      <w:r>
        <w:t>*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5"/>
        </w:numPr>
        <w:spacing w:after="60"/>
      </w:pPr>
      <w:r w:rsidRPr="00731540">
        <w:t>Clinical diagnosis or impression</w:t>
      </w:r>
      <w:r>
        <w:t>*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5"/>
        </w:numPr>
        <w:spacing w:after="60"/>
      </w:pPr>
      <w:r w:rsidRPr="00731540">
        <w:t>Biopsy performed this episode (Y/N)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5"/>
        </w:numPr>
        <w:spacing w:after="60"/>
      </w:pPr>
      <w:r w:rsidRPr="00731540">
        <w:t>Individual pregnant at time of colposcopy (Y/N)</w:t>
      </w:r>
      <w:r w:rsidRPr="00731540">
        <w:tab/>
      </w:r>
    </w:p>
    <w:p w:rsidR="00731540" w:rsidRDefault="00731540" w:rsidP="00731540">
      <w:pPr>
        <w:pStyle w:val="ListParagraph"/>
        <w:numPr>
          <w:ilvl w:val="0"/>
          <w:numId w:val="15"/>
        </w:numPr>
        <w:spacing w:after="60"/>
      </w:pPr>
      <w:r w:rsidRPr="00731540">
        <w:t>Treatment performed this episode (Y/N)</w:t>
      </w:r>
      <w:r w:rsidRPr="00731540">
        <w:tab/>
      </w:r>
    </w:p>
    <w:p w:rsidR="006C1144" w:rsidRPr="00731540" w:rsidRDefault="006C1144" w:rsidP="006C1144">
      <w:pPr>
        <w:pStyle w:val="ListParagraph"/>
        <w:spacing w:after="60"/>
      </w:pPr>
    </w:p>
    <w:p w:rsidR="00731540" w:rsidRDefault="006C1144" w:rsidP="00731540">
      <w:pPr>
        <w:spacing w:after="60"/>
      </w:pPr>
      <w:r>
        <w:t xml:space="preserve">4. </w:t>
      </w:r>
      <w:r w:rsidR="00731540" w:rsidRPr="00731540">
        <w:t>If treatment performed this episode</w:t>
      </w:r>
      <w:r w:rsidR="00731540"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6"/>
        </w:numPr>
        <w:spacing w:after="60"/>
      </w:pPr>
      <w:r w:rsidRPr="00731540">
        <w:t>Kind of treatment</w:t>
      </w:r>
    </w:p>
    <w:p w:rsidR="00731540" w:rsidRPr="00731540" w:rsidRDefault="00731540" w:rsidP="00731540">
      <w:pPr>
        <w:pStyle w:val="ListParagraph"/>
        <w:numPr>
          <w:ilvl w:val="0"/>
          <w:numId w:val="16"/>
        </w:numPr>
        <w:spacing w:after="60"/>
      </w:pPr>
      <w:r w:rsidRPr="00731540">
        <w:t>If excision – excision type*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6"/>
        </w:numPr>
        <w:spacing w:after="60"/>
      </w:pPr>
      <w:r w:rsidRPr="00731540">
        <w:t>If excision – modality or method*</w:t>
      </w:r>
    </w:p>
    <w:p w:rsidR="00731540" w:rsidRPr="00731540" w:rsidRDefault="00731540" w:rsidP="00731540">
      <w:pPr>
        <w:pStyle w:val="ListParagraph"/>
        <w:numPr>
          <w:ilvl w:val="0"/>
          <w:numId w:val="16"/>
        </w:numPr>
        <w:spacing w:after="60"/>
      </w:pPr>
      <w:r w:rsidRPr="00731540">
        <w:t>If ablation - ablation type*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6"/>
        </w:numPr>
        <w:spacing w:after="60"/>
      </w:pPr>
      <w:r w:rsidRPr="00731540">
        <w:t>Hysterectomy performed (Y)</w:t>
      </w:r>
      <w:r w:rsidRPr="00731540">
        <w:tab/>
      </w:r>
    </w:p>
    <w:p w:rsidR="00731540" w:rsidRPr="00731540" w:rsidRDefault="00731540" w:rsidP="00731540">
      <w:pPr>
        <w:pStyle w:val="ListParagraph"/>
        <w:numPr>
          <w:ilvl w:val="0"/>
          <w:numId w:val="16"/>
        </w:numPr>
        <w:spacing w:after="60"/>
      </w:pPr>
      <w:r w:rsidRPr="00731540">
        <w:t>Anaesthetic type*</w:t>
      </w:r>
      <w:r w:rsidRPr="00731540">
        <w:tab/>
        <w:t>Yes</w:t>
      </w:r>
    </w:p>
    <w:p w:rsidR="00731540" w:rsidRPr="00731540" w:rsidRDefault="00731540" w:rsidP="00731540">
      <w:pPr>
        <w:pStyle w:val="ListParagraph"/>
        <w:numPr>
          <w:ilvl w:val="0"/>
          <w:numId w:val="16"/>
        </w:numPr>
        <w:spacing w:after="60"/>
      </w:pPr>
      <w:r>
        <w:t>Location of treatment*</w:t>
      </w:r>
    </w:p>
    <w:p w:rsidR="00731540" w:rsidRDefault="00731540" w:rsidP="00B00233">
      <w:pPr>
        <w:spacing w:after="60"/>
      </w:pPr>
    </w:p>
    <w:p w:rsidR="00731540" w:rsidRDefault="00731540" w:rsidP="00B00233">
      <w:pPr>
        <w:spacing w:after="60"/>
        <w:rPr>
          <w:b/>
        </w:rPr>
      </w:pPr>
      <w:r>
        <w:t>*</w:t>
      </w:r>
      <w:r w:rsidRPr="00050883">
        <w:t xml:space="preserve">The Colposcopy and Treatment Form </w:t>
      </w:r>
      <w:r w:rsidR="004003C4">
        <w:t>will provide</w:t>
      </w:r>
      <w:r w:rsidRPr="00050883">
        <w:t xml:space="preserve"> further data items under these headings to facilitate </w:t>
      </w:r>
      <w:r>
        <w:t>notification</w:t>
      </w:r>
      <w:r w:rsidRPr="00050883">
        <w:t>.</w:t>
      </w:r>
    </w:p>
    <w:p w:rsidR="00B00233" w:rsidRDefault="00B00233" w:rsidP="00E35F99"/>
    <w:p w:rsidR="00456E0A" w:rsidRPr="00D17332" w:rsidRDefault="00456E0A" w:rsidP="00456E0A">
      <w:pPr>
        <w:rPr>
          <w:b/>
          <w:color w:val="FF0000"/>
        </w:rPr>
      </w:pPr>
      <w:r w:rsidRPr="00D17332">
        <w:rPr>
          <w:b/>
          <w:color w:val="FF0000"/>
        </w:rPr>
        <w:t>Disclaimer: this document is currently under review</w:t>
      </w:r>
    </w:p>
    <w:p w:rsidR="00456E0A" w:rsidRPr="002F3AE3" w:rsidRDefault="00456E0A" w:rsidP="00E35F99">
      <w:bookmarkStart w:id="1" w:name="_GoBack"/>
      <w:bookmarkEnd w:id="1"/>
    </w:p>
    <w:sectPr w:rsidR="00456E0A" w:rsidRPr="002F3AE3" w:rsidSect="001517A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7F2" w:rsidRDefault="008C17F2" w:rsidP="008C17F2">
      <w:r>
        <w:separator/>
      </w:r>
    </w:p>
  </w:endnote>
  <w:endnote w:type="continuationSeparator" w:id="0">
    <w:p w:rsidR="008C17F2" w:rsidRDefault="008C17F2" w:rsidP="008C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32" w:rsidRDefault="00D173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7508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17F2" w:rsidRDefault="008C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E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32" w:rsidRDefault="00D173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7F2" w:rsidRDefault="008C17F2" w:rsidP="008C17F2">
      <w:r>
        <w:separator/>
      </w:r>
    </w:p>
  </w:footnote>
  <w:footnote w:type="continuationSeparator" w:id="0">
    <w:p w:rsidR="008C17F2" w:rsidRDefault="008C17F2" w:rsidP="008C17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32" w:rsidRDefault="00D173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32" w:rsidRDefault="00D173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332" w:rsidRDefault="00D173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365"/>
    <w:multiLevelType w:val="hybridMultilevel"/>
    <w:tmpl w:val="BA0E6578"/>
    <w:lvl w:ilvl="0" w:tplc="5882D69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06F92"/>
    <w:multiLevelType w:val="hybridMultilevel"/>
    <w:tmpl w:val="EB8289D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0D0F"/>
    <w:multiLevelType w:val="hybridMultilevel"/>
    <w:tmpl w:val="4568F21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87152"/>
    <w:multiLevelType w:val="hybridMultilevel"/>
    <w:tmpl w:val="3A8C685C"/>
    <w:lvl w:ilvl="0" w:tplc="12081B2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850E2"/>
    <w:multiLevelType w:val="hybridMultilevel"/>
    <w:tmpl w:val="89029C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A0BE0"/>
    <w:multiLevelType w:val="hybridMultilevel"/>
    <w:tmpl w:val="85E074BA"/>
    <w:lvl w:ilvl="0" w:tplc="B804022C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4013D"/>
    <w:multiLevelType w:val="hybridMultilevel"/>
    <w:tmpl w:val="3C42138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908B1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92E97"/>
    <w:multiLevelType w:val="hybridMultilevel"/>
    <w:tmpl w:val="0C52F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7D2175"/>
    <w:multiLevelType w:val="hybridMultilevel"/>
    <w:tmpl w:val="5DB2D3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D855EEF"/>
    <w:multiLevelType w:val="hybridMultilevel"/>
    <w:tmpl w:val="A52AEA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04E18"/>
    <w:multiLevelType w:val="hybridMultilevel"/>
    <w:tmpl w:val="58B21AD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D6A17"/>
    <w:multiLevelType w:val="hybridMultilevel"/>
    <w:tmpl w:val="8E609E9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F270AA"/>
    <w:multiLevelType w:val="hybridMultilevel"/>
    <w:tmpl w:val="FBC664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16652BA"/>
    <w:multiLevelType w:val="hybridMultilevel"/>
    <w:tmpl w:val="D07A69D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D25E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4884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A61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4411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B63F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AFB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EC70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803A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9D4494C"/>
    <w:multiLevelType w:val="hybridMultilevel"/>
    <w:tmpl w:val="4CF6F93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6B793E76"/>
    <w:multiLevelType w:val="hybridMultilevel"/>
    <w:tmpl w:val="A06837DA"/>
    <w:lvl w:ilvl="0" w:tplc="511643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3"/>
  </w:num>
  <w:num w:numId="4">
    <w:abstractNumId w:val="12"/>
  </w:num>
  <w:num w:numId="5">
    <w:abstractNumId w:val="15"/>
  </w:num>
  <w:num w:numId="6">
    <w:abstractNumId w:val="7"/>
  </w:num>
  <w:num w:numId="7">
    <w:abstractNumId w:val="14"/>
  </w:num>
  <w:num w:numId="8">
    <w:abstractNumId w:val="4"/>
  </w:num>
  <w:num w:numId="9">
    <w:abstractNumId w:val="9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  <w:num w:numId="14">
    <w:abstractNumId w:val="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D6"/>
    <w:rsid w:val="00003743"/>
    <w:rsid w:val="00013BDC"/>
    <w:rsid w:val="00027264"/>
    <w:rsid w:val="00067456"/>
    <w:rsid w:val="00083235"/>
    <w:rsid w:val="000E3538"/>
    <w:rsid w:val="001165F7"/>
    <w:rsid w:val="001221BF"/>
    <w:rsid w:val="00130DA2"/>
    <w:rsid w:val="001517AE"/>
    <w:rsid w:val="00187521"/>
    <w:rsid w:val="001A5518"/>
    <w:rsid w:val="001A6F66"/>
    <w:rsid w:val="001B0665"/>
    <w:rsid w:val="001B3443"/>
    <w:rsid w:val="001B3F5B"/>
    <w:rsid w:val="001C5101"/>
    <w:rsid w:val="001C7397"/>
    <w:rsid w:val="001D6080"/>
    <w:rsid w:val="001D60A5"/>
    <w:rsid w:val="00231141"/>
    <w:rsid w:val="00254CEF"/>
    <w:rsid w:val="00270EFB"/>
    <w:rsid w:val="00277F6B"/>
    <w:rsid w:val="00285A24"/>
    <w:rsid w:val="002C54CF"/>
    <w:rsid w:val="002F3AE3"/>
    <w:rsid w:val="0030786C"/>
    <w:rsid w:val="00355B87"/>
    <w:rsid w:val="0039725E"/>
    <w:rsid w:val="0039777F"/>
    <w:rsid w:val="003D17F9"/>
    <w:rsid w:val="003E613B"/>
    <w:rsid w:val="004003C4"/>
    <w:rsid w:val="00451EA3"/>
    <w:rsid w:val="0045684D"/>
    <w:rsid w:val="00456E0A"/>
    <w:rsid w:val="0046178C"/>
    <w:rsid w:val="00462386"/>
    <w:rsid w:val="00463560"/>
    <w:rsid w:val="004867E2"/>
    <w:rsid w:val="004B508B"/>
    <w:rsid w:val="004D1C4C"/>
    <w:rsid w:val="004D27DE"/>
    <w:rsid w:val="004D4A05"/>
    <w:rsid w:val="004D5F67"/>
    <w:rsid w:val="004E1A43"/>
    <w:rsid w:val="004E5E1C"/>
    <w:rsid w:val="004F7866"/>
    <w:rsid w:val="005360BA"/>
    <w:rsid w:val="00576543"/>
    <w:rsid w:val="00581D86"/>
    <w:rsid w:val="00593CE5"/>
    <w:rsid w:val="005C2A68"/>
    <w:rsid w:val="005C51CC"/>
    <w:rsid w:val="005D0ECC"/>
    <w:rsid w:val="005D6F5E"/>
    <w:rsid w:val="005E6893"/>
    <w:rsid w:val="00610FC7"/>
    <w:rsid w:val="00681E84"/>
    <w:rsid w:val="006831F4"/>
    <w:rsid w:val="006C1144"/>
    <w:rsid w:val="006C50F9"/>
    <w:rsid w:val="006F566E"/>
    <w:rsid w:val="0071500F"/>
    <w:rsid w:val="00731540"/>
    <w:rsid w:val="00750A7C"/>
    <w:rsid w:val="007669FB"/>
    <w:rsid w:val="00793348"/>
    <w:rsid w:val="0079606E"/>
    <w:rsid w:val="007A0937"/>
    <w:rsid w:val="007B0FA9"/>
    <w:rsid w:val="007C1B72"/>
    <w:rsid w:val="007D1D75"/>
    <w:rsid w:val="008264EB"/>
    <w:rsid w:val="00831DBB"/>
    <w:rsid w:val="00835756"/>
    <w:rsid w:val="008A75F2"/>
    <w:rsid w:val="008B43C2"/>
    <w:rsid w:val="008C17F2"/>
    <w:rsid w:val="008C5D13"/>
    <w:rsid w:val="008C63D7"/>
    <w:rsid w:val="00952ABF"/>
    <w:rsid w:val="00971A9F"/>
    <w:rsid w:val="009B2988"/>
    <w:rsid w:val="009E0777"/>
    <w:rsid w:val="009E3CF1"/>
    <w:rsid w:val="00A37664"/>
    <w:rsid w:val="00A4512D"/>
    <w:rsid w:val="00A46C92"/>
    <w:rsid w:val="00A705AF"/>
    <w:rsid w:val="00A83C68"/>
    <w:rsid w:val="00A92787"/>
    <w:rsid w:val="00B00233"/>
    <w:rsid w:val="00B00B87"/>
    <w:rsid w:val="00B345AD"/>
    <w:rsid w:val="00B42851"/>
    <w:rsid w:val="00B502C6"/>
    <w:rsid w:val="00B6785F"/>
    <w:rsid w:val="00BB1E18"/>
    <w:rsid w:val="00BD3CD8"/>
    <w:rsid w:val="00BE2755"/>
    <w:rsid w:val="00C33E81"/>
    <w:rsid w:val="00C34367"/>
    <w:rsid w:val="00C40F5F"/>
    <w:rsid w:val="00CA3BCF"/>
    <w:rsid w:val="00CB5B1A"/>
    <w:rsid w:val="00CD60EF"/>
    <w:rsid w:val="00CE2FC4"/>
    <w:rsid w:val="00D078F8"/>
    <w:rsid w:val="00D17332"/>
    <w:rsid w:val="00D418CA"/>
    <w:rsid w:val="00D46497"/>
    <w:rsid w:val="00D47D22"/>
    <w:rsid w:val="00D81A95"/>
    <w:rsid w:val="00D82652"/>
    <w:rsid w:val="00D975EC"/>
    <w:rsid w:val="00DA0488"/>
    <w:rsid w:val="00DB6B19"/>
    <w:rsid w:val="00DC6600"/>
    <w:rsid w:val="00DC6C7E"/>
    <w:rsid w:val="00E35F99"/>
    <w:rsid w:val="00E428C7"/>
    <w:rsid w:val="00E545D6"/>
    <w:rsid w:val="00E97018"/>
    <w:rsid w:val="00EA61F0"/>
    <w:rsid w:val="00EB1507"/>
    <w:rsid w:val="00EC390A"/>
    <w:rsid w:val="00ED35EF"/>
    <w:rsid w:val="00EE5563"/>
    <w:rsid w:val="00F37E99"/>
    <w:rsid w:val="00F43AF9"/>
    <w:rsid w:val="00F465AE"/>
    <w:rsid w:val="00F6480D"/>
    <w:rsid w:val="00FA02CF"/>
    <w:rsid w:val="00FC1F1B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4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5D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1C73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C73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8C1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17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C1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7F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EB15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5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507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54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45D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1C73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C73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8C17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C17F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C17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7F2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EB15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50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50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alth.gov.au/internet/main/publishing.nsf/Content/National-Cancer-Screening-Registe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learn.nps.org.au/mod/page/view.php?id=780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.cancer.org.au/australia/Clinical_question:Colposcopy_terminology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ancerscreening.gov.au/cervicalforms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A045E-C298-463C-A76E-577EE493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1227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Kabangu Jennifer</dc:creator>
  <cp:lastModifiedBy>Kabangu Jennifer</cp:lastModifiedBy>
  <cp:revision>9</cp:revision>
  <cp:lastPrinted>2017-10-27T01:51:00Z</cp:lastPrinted>
  <dcterms:created xsi:type="dcterms:W3CDTF">2017-10-26T01:27:00Z</dcterms:created>
  <dcterms:modified xsi:type="dcterms:W3CDTF">2017-10-27T01:54:00Z</dcterms:modified>
</cp:coreProperties>
</file>