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BB9C7" w14:textId="72E4EF9F" w:rsidR="00E60470" w:rsidRDefault="00E60470" w:rsidP="00E60470">
      <w:pPr>
        <w:pStyle w:val="Heading1"/>
      </w:pPr>
      <w:r w:rsidRPr="00E60470">
        <w:t>Making private health insurance simpler for everyone</w:t>
      </w:r>
    </w:p>
    <w:p w14:paraId="519060A9" w14:textId="77777777" w:rsidR="00E60470" w:rsidRPr="00E60470" w:rsidRDefault="00E60470" w:rsidP="00E60470">
      <w:r w:rsidRPr="00E60470">
        <w:t>The Australian Government has introduced reforms that will make private health insurance simpler and will help people choose the cover that best suits their needs.</w:t>
      </w:r>
    </w:p>
    <w:p w14:paraId="45D74B22" w14:textId="77777777" w:rsidR="009C1FD3" w:rsidRDefault="009C1FD3" w:rsidP="00E60470">
      <w:r w:rsidRPr="009C1FD3">
        <w:t xml:space="preserve">Private health insurers have until 1 April 2020 to roll out the reforms. </w:t>
      </w:r>
    </w:p>
    <w:p w14:paraId="05DAB903" w14:textId="73F62ADD" w:rsidR="00E60470" w:rsidRPr="00E60470" w:rsidRDefault="00E60470" w:rsidP="00E60470">
      <w:r w:rsidRPr="00E60470">
        <w:t>If you already have private health insurance, your insurer will send specific information about your policy.</w:t>
      </w:r>
    </w:p>
    <w:p w14:paraId="62A1ADCD" w14:textId="147DB116" w:rsidR="00E60470" w:rsidRPr="00A2040E" w:rsidRDefault="00F32770" w:rsidP="00A2040E">
      <w:pPr>
        <w:pStyle w:val="Heading2"/>
        <w:rPr>
          <w:b w:val="0"/>
          <w:sz w:val="22"/>
          <w:szCs w:val="22"/>
        </w:rPr>
      </w:pPr>
      <w:r w:rsidRPr="00A2040E">
        <w:rPr>
          <w:b w:val="0"/>
          <w:sz w:val="22"/>
          <w:szCs w:val="22"/>
        </w:rPr>
        <w:t>Four</w:t>
      </w:r>
      <w:r w:rsidR="00E60470" w:rsidRPr="00A2040E">
        <w:rPr>
          <w:b w:val="0"/>
          <w:sz w:val="22"/>
          <w:szCs w:val="22"/>
        </w:rPr>
        <w:t xml:space="preserve"> tiers of hospital cover</w:t>
      </w:r>
    </w:p>
    <w:p w14:paraId="563C3FF4" w14:textId="334B37F2" w:rsidR="00E60470" w:rsidRPr="00E60470" w:rsidRDefault="00E60470" w:rsidP="00E60470">
      <w:r w:rsidRPr="00E60470">
        <w:t>All private hospital cover will be classified as Gold, Silver, Bronze or Basic. What is, and is not covered in these tiers will be based on new minimum standard clinical categories.</w:t>
      </w:r>
      <w:r w:rsidR="004443D9">
        <w:t xml:space="preserve"> See the table on the next page. </w:t>
      </w:r>
      <w:bookmarkStart w:id="0" w:name="_GoBack"/>
      <w:bookmarkEnd w:id="0"/>
    </w:p>
    <w:p w14:paraId="06663DF8" w14:textId="77777777" w:rsidR="00E60470" w:rsidRPr="00A2040E" w:rsidRDefault="00E60470" w:rsidP="00A2040E">
      <w:pPr>
        <w:pStyle w:val="Heading2"/>
        <w:rPr>
          <w:b w:val="0"/>
          <w:sz w:val="22"/>
          <w:szCs w:val="22"/>
        </w:rPr>
      </w:pPr>
      <w:r w:rsidRPr="00A2040E">
        <w:rPr>
          <w:b w:val="0"/>
          <w:sz w:val="22"/>
          <w:szCs w:val="22"/>
        </w:rPr>
        <w:t>Supporting mental health</w:t>
      </w:r>
    </w:p>
    <w:p w14:paraId="2BDD50BE" w14:textId="658855CA" w:rsidR="00E60470" w:rsidRDefault="00E60470" w:rsidP="00E60470">
      <w:r>
        <w:t>Since 1 April 2018, patients with limited cover for mental health treatment have been able to upgrade their hospital cover to access higher benefits for these services without serving a waiting period. Policy holders are able to use this exemption from the usual waiting period on a one off basis.</w:t>
      </w:r>
    </w:p>
    <w:p w14:paraId="511CD6F2" w14:textId="77777777" w:rsidR="00E60470" w:rsidRDefault="00E60470" w:rsidP="005A231E">
      <w:pPr>
        <w:pStyle w:val="Heading2"/>
      </w:pPr>
      <w:r>
        <w:t>Optional changes for private health insurers</w:t>
      </w:r>
    </w:p>
    <w:p w14:paraId="6B333E4C" w14:textId="3296C543" w:rsidR="00E60470" w:rsidRDefault="00E60470" w:rsidP="005A231E">
      <w:pPr>
        <w:pStyle w:val="Heading3"/>
      </w:pPr>
      <w:r>
        <w:t xml:space="preserve">Ability to </w:t>
      </w:r>
      <w:r w:rsidR="00096EAF">
        <w:t xml:space="preserve">increase </w:t>
      </w:r>
      <w:r>
        <w:t>excess levels</w:t>
      </w:r>
    </w:p>
    <w:p w14:paraId="537C6527" w14:textId="77777777" w:rsidR="00E60470" w:rsidRDefault="00E60470" w:rsidP="00E60470">
      <w:r>
        <w:t>Insurers can offer the choice to increase your excess in exchange for a lower premium.</w:t>
      </w:r>
    </w:p>
    <w:p w14:paraId="7890D217" w14:textId="77777777" w:rsidR="00E60470" w:rsidRDefault="00E60470" w:rsidP="00E60470">
      <w:r>
        <w:t>The maximum excess for a policy is now being raised from $500 to $750 for singles and from $1,000 to $1,500 for couples and family policies.</w:t>
      </w:r>
    </w:p>
    <w:p w14:paraId="21D541FF" w14:textId="77777777" w:rsidR="00E60470" w:rsidRDefault="00E60470" w:rsidP="005A231E">
      <w:pPr>
        <w:pStyle w:val="Heading3"/>
      </w:pPr>
      <w:r>
        <w:t>Discounts for 18 to 29 year olds</w:t>
      </w:r>
    </w:p>
    <w:p w14:paraId="0F036F51" w14:textId="77777777" w:rsidR="00E60470" w:rsidRDefault="00E60470" w:rsidP="00E60470">
      <w:r>
        <w:t>Insurers can offer people aged 18–29 discounts of up to 10 per cent off their private hospital premiums. The discount will gradually reduce after you turn 41.</w:t>
      </w:r>
    </w:p>
    <w:p w14:paraId="20CFEA71" w14:textId="77777777" w:rsidR="00E60470" w:rsidRDefault="00E60470" w:rsidP="005A231E">
      <w:pPr>
        <w:pStyle w:val="Heading3"/>
      </w:pPr>
      <w:r>
        <w:t>Travel benefits</w:t>
      </w:r>
    </w:p>
    <w:p w14:paraId="36C32041" w14:textId="77777777" w:rsidR="00E60470" w:rsidRDefault="00E60470" w:rsidP="00E60470">
      <w:r>
        <w:t>Travel and accommodation benefits can be offered as part of hospital cover to people who need to travel long distances to access specialised hospital treatment. This will be particularly beneficial for people living in rural and regional areas.</w:t>
      </w:r>
    </w:p>
    <w:p w14:paraId="3AB68D22" w14:textId="77777777" w:rsidR="00E60470" w:rsidRDefault="00E60470" w:rsidP="005A231E">
      <w:pPr>
        <w:pStyle w:val="Heading2"/>
      </w:pPr>
      <w:r>
        <w:t>Stronger Ombudsman’s powers</w:t>
      </w:r>
    </w:p>
    <w:p w14:paraId="2A9CE360" w14:textId="77777777" w:rsidR="00E60470" w:rsidRDefault="00E60470" w:rsidP="00E60470">
      <w:r>
        <w:t>To better protect consumers, the Private Health Insurance Ombudsman’s role has been expanded to improve its capacity to resolve complaints or issues raised by consumers about their private health insurer.</w:t>
      </w:r>
    </w:p>
    <w:p w14:paraId="20E33162" w14:textId="77777777" w:rsidR="00E60470" w:rsidRDefault="00E60470" w:rsidP="00E60470">
      <w:r>
        <w:t>While the vast majority of complaints can be resolved by working with the insurer, the stronger powers will allow the Ombudsman to inspect and audit private health insurers to address complaints.</w:t>
      </w:r>
    </w:p>
    <w:p w14:paraId="257090D5" w14:textId="77777777" w:rsidR="00E60470" w:rsidRDefault="00E60470" w:rsidP="005A231E">
      <w:pPr>
        <w:pStyle w:val="Heading2"/>
      </w:pPr>
      <w:r>
        <w:lastRenderedPageBreak/>
        <w:t>More information</w:t>
      </w:r>
    </w:p>
    <w:p w14:paraId="1BC62D73" w14:textId="6BBEC144" w:rsidR="00CF02EC" w:rsidRDefault="00E60470" w:rsidP="004F348A">
      <w:r>
        <w:t xml:space="preserve">Visit </w:t>
      </w:r>
      <w:hyperlink r:id="rId8" w:history="1">
        <w:r w:rsidRPr="0075163A">
          <w:rPr>
            <w:rStyle w:val="Hyperlink"/>
          </w:rPr>
          <w:t>health.gov.au</w:t>
        </w:r>
      </w:hyperlink>
      <w:r w:rsidR="00096EAF">
        <w:rPr>
          <w:rStyle w:val="Hyperlink"/>
        </w:rPr>
        <w:t>/private-health-reforms</w:t>
      </w:r>
      <w:r>
        <w:t xml:space="preserve"> for more information.</w:t>
      </w:r>
    </w:p>
    <w:p w14:paraId="3CD7BE66" w14:textId="61FD00C2" w:rsidR="008605E2" w:rsidRDefault="008605E2" w:rsidP="008605E2">
      <w:pPr>
        <w:pStyle w:val="Heading2"/>
      </w:pPr>
      <w:r>
        <w:t>Hos</w:t>
      </w:r>
      <w:r w:rsidRPr="000C4D27">
        <w:t>pital Treatment Product Tiers – Gold, Silver</w:t>
      </w:r>
      <w:r>
        <w:t>, Bronze and Basic</w:t>
      </w:r>
      <w:r w:rsidRPr="008605E2">
        <w:rPr>
          <w:noProof/>
          <w:lang w:val="en-AU"/>
        </w:rPr>
        <w:drawing>
          <wp:inline distT="0" distB="0" distL="0" distR="0" wp14:anchorId="5CBA72B0" wp14:editId="0B028645">
            <wp:extent cx="5850890" cy="5917104"/>
            <wp:effectExtent l="0" t="0" r="0" b="7620"/>
            <wp:docPr id="3" name="Picture 3" descr="This table explains the Gold, Silver, Bronze and Basic hospital treatment product t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DOH0004_PHI_Reforms_Table_RGB (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890" cy="5917104"/>
                    </a:xfrm>
                    <a:prstGeom prst="rect">
                      <a:avLst/>
                    </a:prstGeom>
                    <a:noFill/>
                    <a:ln>
                      <a:noFill/>
                    </a:ln>
                  </pic:spPr>
                </pic:pic>
              </a:graphicData>
            </a:graphic>
          </wp:inline>
        </w:drawing>
      </w:r>
    </w:p>
    <w:sectPr w:rsidR="008605E2" w:rsidSect="00AC018E">
      <w:footerReference w:type="default" r:id="rId10"/>
      <w:footerReference w:type="first" r:id="rId11"/>
      <w:pgSz w:w="11906" w:h="16838"/>
      <w:pgMar w:top="851" w:right="1558" w:bottom="1418" w:left="1134" w:header="18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F241C" w14:textId="77777777" w:rsidR="00865937" w:rsidRDefault="00865937" w:rsidP="004F348A">
      <w:r>
        <w:separator/>
      </w:r>
    </w:p>
  </w:endnote>
  <w:endnote w:type="continuationSeparator" w:id="0">
    <w:p w14:paraId="42311580" w14:textId="77777777" w:rsidR="00865937" w:rsidRDefault="00865937" w:rsidP="004F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FF80" w14:textId="5E5DFBF9" w:rsidR="00AC018E" w:rsidRDefault="00AC018E" w:rsidP="00AC018E">
    <w:pPr>
      <w:pStyle w:val="Footer"/>
      <w:tabs>
        <w:tab w:val="clear" w:pos="4513"/>
      </w:tabs>
    </w:pPr>
    <w:r>
      <w:t>Reform highlights</w:t>
    </w:r>
    <w:r>
      <w:tab/>
    </w:r>
    <w:sdt>
      <w:sdtPr>
        <w:id w:val="-702100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C1FD3">
          <w:rPr>
            <w:noProof/>
          </w:rP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05291"/>
      <w:docPartObj>
        <w:docPartGallery w:val="Page Numbers (Bottom of Page)"/>
        <w:docPartUnique/>
      </w:docPartObj>
    </w:sdtPr>
    <w:sdtEndPr>
      <w:rPr>
        <w:noProof/>
      </w:rPr>
    </w:sdtEndPr>
    <w:sdtContent>
      <w:p w14:paraId="0AA31A81" w14:textId="31CB4DF0" w:rsidR="005F5857" w:rsidRPr="005F5857" w:rsidRDefault="00C70860" w:rsidP="00940885">
        <w:pPr>
          <w:pStyle w:val="Footer"/>
          <w:tabs>
            <w:tab w:val="clear" w:pos="4513"/>
          </w:tabs>
        </w:pPr>
        <w:r>
          <w:t>Reform highlights</w:t>
        </w:r>
        <w:r w:rsidR="005F5857" w:rsidRPr="00033A2E">
          <w:tab/>
        </w:r>
        <w:r w:rsidR="005F5857" w:rsidRPr="00033A2E">
          <w:fldChar w:fldCharType="begin"/>
        </w:r>
        <w:r w:rsidR="005F5857" w:rsidRPr="00033A2E">
          <w:instrText xml:space="preserve"> PAGE   \* MERGEFORMAT </w:instrText>
        </w:r>
        <w:r w:rsidR="005F5857" w:rsidRPr="00033A2E">
          <w:fldChar w:fldCharType="separate"/>
        </w:r>
        <w:r w:rsidR="00AC018E">
          <w:rPr>
            <w:noProof/>
          </w:rPr>
          <w:t>1</w:t>
        </w:r>
        <w:r w:rsidR="005F5857" w:rsidRPr="00033A2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66DB9" w14:textId="77777777" w:rsidR="00865937" w:rsidRDefault="00865937" w:rsidP="004F348A">
      <w:r>
        <w:separator/>
      </w:r>
    </w:p>
  </w:footnote>
  <w:footnote w:type="continuationSeparator" w:id="0">
    <w:p w14:paraId="30BEA673" w14:textId="77777777" w:rsidR="00865937" w:rsidRDefault="00865937" w:rsidP="004F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pStyle w:val="ListNumber"/>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pStyle w:val="ListBullet"/>
      <w:lvlText w:val=""/>
      <w:lvlJc w:val="left"/>
      <w:pPr>
        <w:ind w:left="360" w:hanging="360"/>
      </w:pPr>
      <w:rPr>
        <w:rFonts w:ascii="Symbol" w:hAnsi="Symbol" w:hint="default"/>
        <w:color w:val="005B9B"/>
      </w:rPr>
    </w:lvl>
  </w:abstractNum>
  <w:abstractNum w:abstractNumId="3" w15:restartNumberingAfterBreak="0">
    <w:nsid w:val="23D85D92"/>
    <w:multiLevelType w:val="hybridMultilevel"/>
    <w:tmpl w:val="DF24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5CC6AF52"/>
    <w:lvl w:ilvl="0" w:tplc="37646A60">
      <w:start w:val="1"/>
      <w:numFmt w:val="bullet"/>
      <w:pStyle w:val="ListNumber2"/>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33A2E"/>
    <w:rsid w:val="00061AF3"/>
    <w:rsid w:val="00067456"/>
    <w:rsid w:val="00096EAF"/>
    <w:rsid w:val="000A35FD"/>
    <w:rsid w:val="001B3443"/>
    <w:rsid w:val="001C342A"/>
    <w:rsid w:val="001D095A"/>
    <w:rsid w:val="001E2491"/>
    <w:rsid w:val="001E265E"/>
    <w:rsid w:val="002C67F4"/>
    <w:rsid w:val="002E2D16"/>
    <w:rsid w:val="002F3AE3"/>
    <w:rsid w:val="0030786C"/>
    <w:rsid w:val="003D17F9"/>
    <w:rsid w:val="003E071D"/>
    <w:rsid w:val="00440060"/>
    <w:rsid w:val="004443D9"/>
    <w:rsid w:val="004663DA"/>
    <w:rsid w:val="00482301"/>
    <w:rsid w:val="004867E2"/>
    <w:rsid w:val="004F348A"/>
    <w:rsid w:val="00545812"/>
    <w:rsid w:val="00591CAB"/>
    <w:rsid w:val="005A231E"/>
    <w:rsid w:val="005A74C1"/>
    <w:rsid w:val="005F5857"/>
    <w:rsid w:val="006468FD"/>
    <w:rsid w:val="00656763"/>
    <w:rsid w:val="006D7E6D"/>
    <w:rsid w:val="0070477A"/>
    <w:rsid w:val="00724B94"/>
    <w:rsid w:val="0075163A"/>
    <w:rsid w:val="00790DD7"/>
    <w:rsid w:val="0081015E"/>
    <w:rsid w:val="008264EB"/>
    <w:rsid w:val="008605E2"/>
    <w:rsid w:val="00865937"/>
    <w:rsid w:val="008A5F3A"/>
    <w:rsid w:val="008F2E23"/>
    <w:rsid w:val="00905865"/>
    <w:rsid w:val="00940885"/>
    <w:rsid w:val="009C11AE"/>
    <w:rsid w:val="009C1FD3"/>
    <w:rsid w:val="009F654F"/>
    <w:rsid w:val="00A2040E"/>
    <w:rsid w:val="00A4512D"/>
    <w:rsid w:val="00A66283"/>
    <w:rsid w:val="00A705AF"/>
    <w:rsid w:val="00AC018E"/>
    <w:rsid w:val="00B34AFA"/>
    <w:rsid w:val="00B416D4"/>
    <w:rsid w:val="00B42851"/>
    <w:rsid w:val="00B83B3C"/>
    <w:rsid w:val="00B95830"/>
    <w:rsid w:val="00BB1B5E"/>
    <w:rsid w:val="00BC6210"/>
    <w:rsid w:val="00C41C42"/>
    <w:rsid w:val="00C65279"/>
    <w:rsid w:val="00C70860"/>
    <w:rsid w:val="00C80038"/>
    <w:rsid w:val="00CB0960"/>
    <w:rsid w:val="00CB5B1A"/>
    <w:rsid w:val="00CE5486"/>
    <w:rsid w:val="00CF02EC"/>
    <w:rsid w:val="00D0302F"/>
    <w:rsid w:val="00D13B9A"/>
    <w:rsid w:val="00D511DE"/>
    <w:rsid w:val="00DD6EBA"/>
    <w:rsid w:val="00E25AFC"/>
    <w:rsid w:val="00E330F0"/>
    <w:rsid w:val="00E60470"/>
    <w:rsid w:val="00F32770"/>
    <w:rsid w:val="00F77677"/>
    <w:rsid w:val="00F93440"/>
    <w:rsid w:val="00FC2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67E799"/>
  <w15:docId w15:val="{2927D7C5-778A-40B4-9088-EDDA7614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8A"/>
    <w:pPr>
      <w:spacing w:before="120" w:line="270" w:lineRule="auto"/>
    </w:pPr>
    <w:rPr>
      <w:rFonts w:ascii="Arial" w:hAnsi="Arial"/>
      <w:color w:val="595959" w:themeColor="text1" w:themeTint="A6"/>
      <w:sz w:val="21"/>
      <w:lang w:val="en-US"/>
    </w:rPr>
  </w:style>
  <w:style w:type="paragraph" w:styleId="Heading1">
    <w:name w:val="heading 1"/>
    <w:next w:val="Normal"/>
    <w:link w:val="Heading1Char"/>
    <w:uiPriority w:val="9"/>
    <w:qFormat/>
    <w:rsid w:val="005A74C1"/>
    <w:pPr>
      <w:keepNext/>
      <w:keepLines/>
      <w:spacing w:before="480" w:after="240"/>
      <w:outlineLvl w:val="0"/>
    </w:pPr>
    <w:rPr>
      <w:rFonts w:ascii="Arial" w:eastAsia="MS Gothic" w:hAnsi="Arial" w:cstheme="majorBidi"/>
      <w:color w:val="17365D" w:themeColor="text2" w:themeShade="BF"/>
      <w:sz w:val="40"/>
      <w:szCs w:val="36"/>
      <w:lang w:val="en-US"/>
    </w:rPr>
  </w:style>
  <w:style w:type="paragraph" w:styleId="Heading2">
    <w:name w:val="heading 2"/>
    <w:basedOn w:val="Normal"/>
    <w:next w:val="Normal"/>
    <w:link w:val="Heading2Char"/>
    <w:uiPriority w:val="9"/>
    <w:unhideWhenUsed/>
    <w:qFormat/>
    <w:rsid w:val="005A231E"/>
    <w:pPr>
      <w:keepNext/>
      <w:keepLines/>
      <w:spacing w:before="360" w:after="120" w:line="281" w:lineRule="auto"/>
      <w:outlineLvl w:val="1"/>
    </w:pPr>
    <w:rPr>
      <w:rFonts w:eastAsia="MS Gothic"/>
      <w:b/>
      <w:bCs/>
      <w:color w:val="31849B" w:themeColor="accent5" w:themeShade="BF"/>
      <w:sz w:val="24"/>
      <w:szCs w:val="26"/>
    </w:rPr>
  </w:style>
  <w:style w:type="paragraph" w:styleId="Heading3">
    <w:name w:val="heading 3"/>
    <w:basedOn w:val="Normal"/>
    <w:next w:val="Normal"/>
    <w:link w:val="Heading3Char"/>
    <w:uiPriority w:val="9"/>
    <w:unhideWhenUsed/>
    <w:qFormat/>
    <w:rsid w:val="005A231E"/>
    <w:pPr>
      <w:keepNext/>
      <w:keepLines/>
      <w:spacing w:line="271" w:lineRule="auto"/>
      <w:outlineLvl w:val="2"/>
    </w:pPr>
    <w:rPr>
      <w:rFonts w:eastAsia="MS Gothic"/>
      <w:color w:val="31849B" w:themeColor="accent5" w:themeShade="BF"/>
      <w:sz w:val="22"/>
    </w:rPr>
  </w:style>
  <w:style w:type="paragraph" w:styleId="Heading4">
    <w:name w:val="heading 4"/>
    <w:basedOn w:val="Normal"/>
    <w:next w:val="Normal"/>
    <w:link w:val="Heading4Char"/>
    <w:uiPriority w:val="9"/>
    <w:unhideWhenUsed/>
    <w:qFormat/>
    <w:rsid w:val="00033A2E"/>
    <w:pPr>
      <w:keepNext/>
      <w:keepLines/>
      <w:outlineLvl w:val="3"/>
    </w:pPr>
    <w:rPr>
      <w:rFonts w:eastAsia="MS Gothic"/>
      <w:i/>
      <w:iCs/>
      <w:color w:val="005B9B"/>
      <w:sz w:val="22"/>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uiPriority w:val="99"/>
    <w:rsid w:val="00F77677"/>
    <w:pPr>
      <w:tabs>
        <w:tab w:val="center" w:pos="4513"/>
        <w:tab w:val="right" w:pos="9026"/>
      </w:tabs>
    </w:pPr>
  </w:style>
  <w:style w:type="character" w:customStyle="1" w:styleId="HeaderChar">
    <w:name w:val="Header Char"/>
    <w:basedOn w:val="DefaultParagraphFont"/>
    <w:link w:val="Header"/>
    <w:uiPriority w:val="99"/>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4F348A"/>
    <w:pPr>
      <w:spacing w:before="0" w:after="120" w:line="320" w:lineRule="auto"/>
    </w:pPr>
    <w:rPr>
      <w:rFonts w:cs="Times New Roman (Body CS)"/>
      <w:sz w:val="26"/>
    </w:rPr>
  </w:style>
  <w:style w:type="character" w:customStyle="1" w:styleId="Heading1Char">
    <w:name w:val="Heading 1 Char"/>
    <w:basedOn w:val="DefaultParagraphFont"/>
    <w:link w:val="Heading1"/>
    <w:uiPriority w:val="9"/>
    <w:rsid w:val="005A74C1"/>
    <w:rPr>
      <w:rFonts w:ascii="Arial" w:eastAsia="MS Gothic" w:hAnsi="Arial" w:cstheme="majorBidi"/>
      <w:color w:val="17365D" w:themeColor="text2" w:themeShade="BF"/>
      <w:sz w:val="40"/>
      <w:szCs w:val="36"/>
      <w:lang w:val="en-US"/>
    </w:rPr>
  </w:style>
  <w:style w:type="character" w:customStyle="1" w:styleId="Heading2Char">
    <w:name w:val="Heading 2 Char"/>
    <w:basedOn w:val="DefaultParagraphFont"/>
    <w:link w:val="Heading2"/>
    <w:uiPriority w:val="9"/>
    <w:rsid w:val="005A231E"/>
    <w:rPr>
      <w:rFonts w:ascii="Arial" w:eastAsia="MS Gothic" w:hAnsi="Arial"/>
      <w:b/>
      <w:bCs/>
      <w:color w:val="31849B" w:themeColor="accent5" w:themeShade="BF"/>
      <w:szCs w:val="26"/>
      <w:lang w:val="en-US"/>
    </w:rPr>
  </w:style>
  <w:style w:type="character" w:customStyle="1" w:styleId="Heading3Char">
    <w:name w:val="Heading 3 Char"/>
    <w:basedOn w:val="DefaultParagraphFont"/>
    <w:link w:val="Heading3"/>
    <w:uiPriority w:val="9"/>
    <w:rsid w:val="005A231E"/>
    <w:rPr>
      <w:rFonts w:ascii="Arial" w:eastAsia="MS Gothic" w:hAnsi="Arial"/>
      <w:color w:val="31849B" w:themeColor="accent5" w:themeShade="BF"/>
      <w:sz w:val="22"/>
      <w:lang w:val="en-US"/>
    </w:rPr>
  </w:style>
  <w:style w:type="character" w:customStyle="1" w:styleId="Heading4Char">
    <w:name w:val="Heading 4 Char"/>
    <w:basedOn w:val="DefaultParagraphFont"/>
    <w:link w:val="Heading4"/>
    <w:uiPriority w:val="9"/>
    <w:rsid w:val="00033A2E"/>
    <w:rPr>
      <w:rFonts w:ascii="Arial" w:eastAsia="MS Gothic" w:hAnsi="Arial"/>
      <w:i/>
      <w:iCs/>
      <w:color w:val="005B9B"/>
      <w:sz w:val="22"/>
      <w:lang w:val="en-US"/>
    </w:rPr>
  </w:style>
  <w:style w:type="paragraph" w:styleId="ListBullet">
    <w:name w:val="List Bullet"/>
    <w:basedOn w:val="Normal"/>
    <w:uiPriority w:val="99"/>
    <w:unhideWhenUsed/>
    <w:qFormat/>
    <w:rsid w:val="00CF02EC"/>
    <w:pPr>
      <w:numPr>
        <w:numId w:val="2"/>
      </w:numPr>
      <w:spacing w:after="120" w:line="271" w:lineRule="auto"/>
      <w:ind w:left="357" w:hanging="357"/>
    </w:pPr>
    <w:rPr>
      <w:szCs w:val="21"/>
    </w:rPr>
  </w:style>
  <w:style w:type="paragraph" w:styleId="ListNumber">
    <w:name w:val="List Number"/>
    <w:basedOn w:val="Normal"/>
    <w:uiPriority w:val="99"/>
    <w:unhideWhenUsed/>
    <w:qFormat/>
    <w:rsid w:val="00033A2E"/>
    <w:pPr>
      <w:numPr>
        <w:numId w:val="4"/>
      </w:numPr>
      <w:spacing w:after="120"/>
    </w:pPr>
  </w:style>
  <w:style w:type="paragraph" w:styleId="ListNumber2">
    <w:name w:val="List Number 2"/>
    <w:basedOn w:val="Normal"/>
    <w:uiPriority w:val="99"/>
    <w:unhideWhenUsed/>
    <w:qFormat/>
    <w:rsid w:val="00033A2E"/>
    <w:pPr>
      <w:numPr>
        <w:numId w:val="6"/>
      </w:numPr>
      <w:contextualSpacing/>
    </w:pPr>
  </w:style>
  <w:style w:type="paragraph" w:customStyle="1" w:styleId="TableTextNormal">
    <w:name w:val="Table Text Normal"/>
    <w:basedOn w:val="Normal"/>
    <w:qFormat/>
    <w:rsid w:val="00AC018E"/>
    <w:pPr>
      <w:spacing w:after="80" w:line="240" w:lineRule="exact"/>
    </w:pPr>
    <w:rPr>
      <w:rFonts w:eastAsia="Times New Roman" w:cs="Arial"/>
      <w:color w:val="FFFFFF" w:themeColor="background1"/>
      <w:sz w:val="20"/>
      <w:szCs w:val="20"/>
      <w:lang w:val="en-AU"/>
    </w:rPr>
  </w:style>
  <w:style w:type="table" w:customStyle="1" w:styleId="ClinicalStyle">
    <w:name w:val="Clinical Style"/>
    <w:basedOn w:val="TableNormal"/>
    <w:uiPriority w:val="99"/>
    <w:rsid w:val="00AC018E"/>
    <w:rPr>
      <w:rFonts w:ascii="Arial" w:eastAsia="Times New Roman" w:hAnsi="Arial" w:cs="Times New Roman"/>
      <w:sz w:val="20"/>
      <w:szCs w:val="20"/>
    </w:rPr>
    <w:tblPr>
      <w:tblStyleRowBandSize w:val="1"/>
      <w:tblBorders>
        <w:top w:val="single" w:sz="2" w:space="0" w:color="D9D9D9" w:themeColor="background1" w:themeShade="D9"/>
        <w:bottom w:val="single" w:sz="2" w:space="0" w:color="D9D9D9" w:themeColor="background1" w:themeShade="D9"/>
      </w:tblBorders>
    </w:tblPr>
    <w:tblStylePr w:type="band2Horz">
      <w:tblPr/>
      <w:tcPr>
        <w:shd w:val="clear" w:color="auto" w:fill="F2F2F2" w:themeFill="background1" w:themeFillShade="F2"/>
      </w:tcPr>
    </w:tblStylePr>
  </w:style>
  <w:style w:type="paragraph" w:customStyle="1" w:styleId="TableText">
    <w:name w:val="Table Text"/>
    <w:basedOn w:val="Normal"/>
    <w:qFormat/>
    <w:rsid w:val="00AC018E"/>
    <w:pPr>
      <w:spacing w:after="120" w:line="240" w:lineRule="auto"/>
      <w:jc w:val="center"/>
    </w:pPr>
    <w:rPr>
      <w:rFonts w:eastAsia="Times New Roman" w:cs="Times New Roman"/>
      <w:color w:val="595958"/>
      <w:sz w:val="22"/>
      <w:szCs w:val="20"/>
      <w:lang w:val="en-AU"/>
    </w:rPr>
  </w:style>
  <w:style w:type="character" w:styleId="Hyperlink">
    <w:name w:val="Hyperlink"/>
    <w:basedOn w:val="DefaultParagraphFont"/>
    <w:unhideWhenUsed/>
    <w:rsid w:val="00AC018E"/>
    <w:rPr>
      <w:color w:val="0000FF" w:themeColor="hyperlink"/>
      <w:u w:val="single"/>
    </w:rPr>
  </w:style>
  <w:style w:type="character" w:styleId="FollowedHyperlink">
    <w:name w:val="FollowedHyperlink"/>
    <w:basedOn w:val="DefaultParagraphFont"/>
    <w:semiHidden/>
    <w:unhideWhenUsed/>
    <w:rsid w:val="00AC01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2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A6736-0879-4414-AAB8-257DDE1B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Private health insurance: Making private health insurance simpler for everyone</vt:lpstr>
    </vt:vector>
  </TitlesOfParts>
  <Company>Dept Health And Ageing</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Making private health insurance simpler for everyone</dc:title>
  <dc:subject>Private health insurance</dc:subject>
  <dc:creator>Department of Health</dc:creator>
  <cp:keywords>Private health insurance; reforms;</cp:keywords>
  <dc:description>The Australian Government has introduced reforms that will make private health insurance simpler and will help people choose the cover that best suits their needs.</dc:description>
  <cp:lastModifiedBy>Chan, Sharon</cp:lastModifiedBy>
  <cp:revision>2</cp:revision>
  <cp:lastPrinted>2019-02-15T01:21:00Z</cp:lastPrinted>
  <dcterms:created xsi:type="dcterms:W3CDTF">2019-10-17T05:23:00Z</dcterms:created>
  <dcterms:modified xsi:type="dcterms:W3CDTF">2019-10-17T05:23:00Z</dcterms:modified>
  <cp:category>Private health insurance reforms</cp:category>
</cp:coreProperties>
</file>