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8C" w:rsidRPr="00C31422" w:rsidRDefault="00C02A8C" w:rsidP="00C31422">
      <w:pPr>
        <w:pStyle w:val="Title"/>
      </w:pPr>
      <w:r w:rsidRPr="00C31422">
        <w:t>Streamlined Co</w:t>
      </w:r>
      <w:r w:rsidR="00CA5E69" w:rsidRPr="00C31422">
        <w:t>nsumer Assessment for Aged Care</w:t>
      </w:r>
    </w:p>
    <w:p w:rsidR="00C02A8C" w:rsidRPr="00C31422" w:rsidRDefault="00C02A8C" w:rsidP="00C31422">
      <w:pPr>
        <w:pStyle w:val="Title"/>
        <w:pBdr>
          <w:bottom w:val="single" w:sz="4" w:space="1" w:color="BFBFBF" w:themeColor="background1" w:themeShade="BF"/>
        </w:pBdr>
      </w:pPr>
      <w:r w:rsidRPr="00C31422">
        <w:t xml:space="preserve">Summary report – </w:t>
      </w:r>
      <w:r w:rsidRPr="00C31422">
        <w:rPr>
          <w:rStyle w:val="SubtitleChar"/>
        </w:rPr>
        <w:t>Key insights from consultation</w:t>
      </w:r>
    </w:p>
    <w:p w:rsidR="00F3603B" w:rsidRPr="00C31422" w:rsidRDefault="00F3603B" w:rsidP="00C31422">
      <w:pPr>
        <w:pStyle w:val="Heading1"/>
      </w:pPr>
      <w:bookmarkStart w:id="0" w:name="_Toc4069077"/>
      <w:bookmarkStart w:id="1" w:name="_Toc4069054"/>
      <w:r w:rsidRPr="00C31422">
        <w:t>Overview</w:t>
      </w:r>
      <w:bookmarkEnd w:id="1"/>
    </w:p>
    <w:p w:rsidR="00F3603B" w:rsidRPr="00564BFA" w:rsidRDefault="00F3603B" w:rsidP="00F3603B">
      <w:pPr>
        <w:spacing w:before="120" w:after="120"/>
        <w:rPr>
          <w:rFonts w:cs="Calibri"/>
        </w:rPr>
      </w:pPr>
      <w:r w:rsidRPr="00564BFA">
        <w:rPr>
          <w:rFonts w:cs="Calibri"/>
        </w:rPr>
        <w:t xml:space="preserve">A </w:t>
      </w:r>
      <w:hyperlink r:id="rId8" w:history="1">
        <w:r w:rsidRPr="006C2E46">
          <w:rPr>
            <w:rStyle w:val="Hyperlink"/>
            <w:rFonts w:cs="Calibri"/>
            <w:color w:val="0000FF"/>
          </w:rPr>
          <w:t>public discussion paper</w:t>
        </w:r>
      </w:hyperlink>
      <w:r w:rsidRPr="00564BFA">
        <w:rPr>
          <w:rFonts w:cs="Calibri"/>
        </w:rPr>
        <w:t xml:space="preserve"> on Streamlined Consumer Assessment for Aged Care was available for consultation from 10 December 2018 t</w:t>
      </w:r>
      <w:r w:rsidR="00C31422">
        <w:rPr>
          <w:rFonts w:cs="Calibri"/>
        </w:rPr>
        <w:t>o 11 February 2019.</w:t>
      </w:r>
    </w:p>
    <w:p w:rsidR="00F3603B" w:rsidRPr="00564BFA" w:rsidRDefault="00F3603B" w:rsidP="00F3603B">
      <w:pPr>
        <w:spacing w:before="120" w:after="120"/>
        <w:rPr>
          <w:rFonts w:cs="Calibri"/>
          <w:lang w:eastAsia="en-US"/>
        </w:rPr>
      </w:pPr>
      <w:r w:rsidRPr="00564BFA">
        <w:rPr>
          <w:rFonts w:cs="Calibri"/>
          <w:lang w:eastAsia="en-US"/>
        </w:rPr>
        <w:t>22</w:t>
      </w:r>
      <w:r>
        <w:rPr>
          <w:rFonts w:cs="Calibri"/>
          <w:lang w:eastAsia="en-US"/>
        </w:rPr>
        <w:t>3</w:t>
      </w:r>
      <w:r w:rsidRPr="00564BFA">
        <w:rPr>
          <w:rFonts w:cs="Calibri"/>
          <w:lang w:eastAsia="en-US"/>
        </w:rPr>
        <w:t xml:space="preserve"> submissions were received from a range of stakeholders, including providers, consumers, carers, assessors, local and state governments, professional associations, advocacy groups and peak</w:t>
      </w:r>
      <w:r w:rsidR="001D02D7">
        <w:rPr>
          <w:rFonts w:cs="Calibri"/>
          <w:lang w:eastAsia="en-US"/>
        </w:rPr>
        <w:t> </w:t>
      </w:r>
      <w:r w:rsidRPr="00564BFA">
        <w:rPr>
          <w:rFonts w:cs="Calibri"/>
          <w:lang w:eastAsia="en-US"/>
        </w:rPr>
        <w:t xml:space="preserve">bodies (see </w:t>
      </w:r>
      <w:hyperlink w:anchor="_Attachment_A" w:history="1">
        <w:r w:rsidRPr="00C31422">
          <w:rPr>
            <w:rStyle w:val="Hyperlink"/>
            <w:rFonts w:cs="Calibri"/>
            <w:color w:val="0000FF"/>
          </w:rPr>
          <w:t>Attachment A</w:t>
        </w:r>
      </w:hyperlink>
      <w:r w:rsidR="00C31422">
        <w:rPr>
          <w:rFonts w:cs="Calibri"/>
          <w:lang w:eastAsia="en-US"/>
        </w:rPr>
        <w:t>).</w:t>
      </w:r>
    </w:p>
    <w:p w:rsidR="00F3603B" w:rsidRDefault="00F3603B" w:rsidP="00F3603B">
      <w:pPr>
        <w:spacing w:before="120" w:after="120"/>
        <w:rPr>
          <w:rFonts w:cs="Calibri"/>
        </w:rPr>
      </w:pPr>
      <w:r w:rsidRPr="00564BFA">
        <w:rPr>
          <w:rFonts w:cs="Calibri"/>
          <w:lang w:eastAsia="en-US"/>
        </w:rPr>
        <w:t xml:space="preserve">This report provides a summary of the key issues and </w:t>
      </w:r>
      <w:r w:rsidR="00C31422">
        <w:rPr>
          <w:rFonts w:cs="Calibri"/>
          <w:lang w:eastAsia="en-US"/>
        </w:rPr>
        <w:t>feedback from the consultation.</w:t>
      </w:r>
    </w:p>
    <w:p w:rsidR="00F3603B" w:rsidRDefault="00F3603B" w:rsidP="00C31422">
      <w:pPr>
        <w:pStyle w:val="Heading1"/>
      </w:pPr>
      <w:bookmarkStart w:id="2" w:name="_Toc4069056"/>
      <w:r w:rsidRPr="002174CB">
        <w:t>Desi</w:t>
      </w:r>
      <w:r w:rsidRPr="000A45B7">
        <w:t>gn principles</w:t>
      </w:r>
      <w:bookmarkEnd w:id="2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Most stakeholders supported the design principles proposed in the discussion paper.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A</w:t>
      </w:r>
      <w:r w:rsidR="00C31422">
        <w:t>dditional principles proposed: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AB1AF2">
        <w:rPr>
          <w:i/>
        </w:rPr>
        <w:t>Informed consumer choice, control and direction</w:t>
      </w:r>
      <w:r>
        <w:rPr>
          <w:i/>
        </w:rPr>
        <w:t>.</w:t>
      </w:r>
      <w:r>
        <w:t xml:space="preserve"> The assessment process is conducted in partnership with consumers, providing information and support to inform consumer choice.</w:t>
      </w:r>
      <w:r w:rsidR="00C31422" w:rsidRPr="004E0A21">
        <w:rPr>
          <w:i/>
        </w:rPr>
        <w:t xml:space="preserve"> </w:t>
      </w:r>
      <w:r w:rsidRPr="004E0A21">
        <w:rPr>
          <w:i/>
        </w:rPr>
        <w:t xml:space="preserve">Timeliness and </w:t>
      </w:r>
      <w:r>
        <w:rPr>
          <w:i/>
        </w:rPr>
        <w:t>r</w:t>
      </w:r>
      <w:r w:rsidRPr="004E0A21">
        <w:rPr>
          <w:i/>
        </w:rPr>
        <w:t>esponsiveness</w:t>
      </w:r>
      <w:r>
        <w:rPr>
          <w:i/>
        </w:rPr>
        <w:t>.</w:t>
      </w:r>
      <w:r w:rsidRPr="004E0A21">
        <w:rPr>
          <w:i/>
        </w:rPr>
        <w:t xml:space="preserve"> </w:t>
      </w:r>
      <w:r w:rsidRPr="00130DD5">
        <w:t>Timely</w:t>
      </w:r>
      <w:r w:rsidRPr="004E0A21">
        <w:t xml:space="preserve"> and responsive assessment</w:t>
      </w:r>
      <w:r>
        <w:t xml:space="preserve"> supports consumers to </w:t>
      </w:r>
      <w:r w:rsidRPr="004E0A21">
        <w:t>receive the right type and level of services.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3A445B">
        <w:rPr>
          <w:i/>
        </w:rPr>
        <w:t xml:space="preserve">Local engagement and networks. </w:t>
      </w:r>
      <w:r w:rsidRPr="00124D52">
        <w:t>Local</w:t>
      </w:r>
      <w:r>
        <w:t xml:space="preserve"> networks, communication and information sharing facilitate </w:t>
      </w:r>
      <w:r w:rsidRPr="003A445B">
        <w:t>effective referral pathways</w:t>
      </w:r>
      <w:r>
        <w:t>.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0E7EB1">
        <w:rPr>
          <w:i/>
        </w:rPr>
        <w:t>Access</w:t>
      </w:r>
      <w:r w:rsidRPr="00A12FCB">
        <w:t xml:space="preserve">. </w:t>
      </w:r>
      <w:r>
        <w:t xml:space="preserve">Access to assessment recognises equity, </w:t>
      </w:r>
      <w:r w:rsidRPr="00A12FCB">
        <w:t>cultural safety and appropriateness</w:t>
      </w:r>
      <w:r>
        <w:t xml:space="preserve">, assessment of carer needs and </w:t>
      </w:r>
      <w:r w:rsidRPr="003A359F">
        <w:t>disabil</w:t>
      </w:r>
      <w:r w:rsidR="00C31422">
        <w:t>ity.</w:t>
      </w:r>
    </w:p>
    <w:p w:rsidR="00F3603B" w:rsidRPr="00224FD9" w:rsidRDefault="00F3603B" w:rsidP="00C31422">
      <w:pPr>
        <w:pStyle w:val="Heading1"/>
      </w:pPr>
      <w:bookmarkStart w:id="3" w:name="_Toc4069058"/>
      <w:r w:rsidRPr="00224FD9">
        <w:t>Intake and triage</w:t>
      </w:r>
      <w:bookmarkEnd w:id="3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Most s</w:t>
      </w:r>
      <w:r w:rsidRPr="005D3B6F">
        <w:t>takeholder</w:t>
      </w:r>
      <w:r>
        <w:t xml:space="preserve">s </w:t>
      </w:r>
      <w:r w:rsidRPr="005D3B6F">
        <w:t xml:space="preserve">supported </w:t>
      </w:r>
      <w:r>
        <w:t xml:space="preserve">a continued role for </w:t>
      </w:r>
      <w:r w:rsidRPr="005D3B6F">
        <w:t xml:space="preserve">the </w:t>
      </w:r>
      <w:r>
        <w:t xml:space="preserve">My Aged Care </w:t>
      </w:r>
      <w:r w:rsidRPr="005D3B6F">
        <w:t>Contact Centre</w:t>
      </w:r>
      <w:r>
        <w:t xml:space="preserve"> with </w:t>
      </w:r>
      <w:r w:rsidRPr="005D3B6F">
        <w:t>p</w:t>
      </w:r>
      <w:r>
        <w:t xml:space="preserve">rovision of information, </w:t>
      </w:r>
      <w:r w:rsidRPr="005D3B6F">
        <w:t>registration and determin</w:t>
      </w:r>
      <w:r>
        <w:t xml:space="preserve">ing </w:t>
      </w:r>
      <w:r w:rsidR="00C31422">
        <w:t>eligibility.</w:t>
      </w:r>
    </w:p>
    <w:p w:rsidR="00F3603B" w:rsidRPr="008A4DC5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</w:t>
      </w:r>
      <w:r w:rsidRPr="008A4DC5">
        <w:t xml:space="preserve"> stakeholders </w:t>
      </w:r>
      <w:r>
        <w:t xml:space="preserve">supported moving detailed </w:t>
      </w:r>
      <w:r w:rsidRPr="005D3B6F">
        <w:t>screening questions about a person’s function</w:t>
      </w:r>
      <w:r w:rsidRPr="008A4DC5">
        <w:t xml:space="preserve"> from the Contact Centre to the triage point of an assessment workforce.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Most stakeholders indicated that a highly skilled triage workforce was necessary </w:t>
      </w:r>
      <w:r w:rsidRPr="00055C39">
        <w:t>to undertake functional screening</w:t>
      </w:r>
      <w:r w:rsidR="00067AA3">
        <w:t xml:space="preserve"> to </w:t>
      </w:r>
      <w:r>
        <w:t>assign a suitable assessor</w:t>
      </w:r>
      <w:r w:rsidR="00067AA3" w:rsidRPr="00067AA3">
        <w:t xml:space="preserve"> </w:t>
      </w:r>
      <w:r w:rsidR="00067AA3">
        <w:t xml:space="preserve">and </w:t>
      </w:r>
      <w:r w:rsidR="00067AA3" w:rsidRPr="00055C39">
        <w:t>priority</w:t>
      </w:r>
      <w:r w:rsidR="00C31422">
        <w:t>.</w:t>
      </w:r>
    </w:p>
    <w:p w:rsidR="00F3603B" w:rsidRPr="00055C39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055C39">
        <w:t xml:space="preserve">Many stakeholders highlighted </w:t>
      </w:r>
      <w:r>
        <w:t xml:space="preserve">the need for </w:t>
      </w:r>
      <w:r w:rsidRPr="00055C39">
        <w:t>a standardised triage process to support n</w:t>
      </w:r>
      <w:r w:rsidR="00C31422">
        <w:t>ationally consistent practice.</w:t>
      </w:r>
    </w:p>
    <w:p w:rsidR="00F3603B" w:rsidRDefault="00F3603B" w:rsidP="00C31422">
      <w:pPr>
        <w:pStyle w:val="Heading1"/>
      </w:pPr>
      <w:bookmarkStart w:id="4" w:name="_Toc4069059"/>
      <w:r w:rsidRPr="00224FD9">
        <w:t>Health professional referrals</w:t>
      </w:r>
      <w:bookmarkEnd w:id="4"/>
    </w:p>
    <w:p w:rsidR="00F3603B" w:rsidRDefault="00F3603B" w:rsidP="009953DE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 s</w:t>
      </w:r>
      <w:r w:rsidRPr="00807AA6">
        <w:t>takeholders support</w:t>
      </w:r>
      <w:r>
        <w:t xml:space="preserve">ed direct referrals </w:t>
      </w:r>
      <w:r w:rsidRPr="00807AA6">
        <w:t xml:space="preserve">for aged care assessment from </w:t>
      </w:r>
      <w:r>
        <w:t>G</w:t>
      </w:r>
      <w:r w:rsidR="00BF3970">
        <w:t xml:space="preserve">eneral </w:t>
      </w:r>
      <w:r>
        <w:t>P</w:t>
      </w:r>
      <w:r w:rsidR="00BF3970">
        <w:t>ractitioner (GP)</w:t>
      </w:r>
      <w:r>
        <w:t xml:space="preserve"> </w:t>
      </w:r>
      <w:r w:rsidRPr="00807AA6">
        <w:t xml:space="preserve">clinical software. </w:t>
      </w:r>
      <w:r w:rsidR="001D02D7">
        <w:t>In </w:t>
      </w:r>
      <w:r w:rsidR="00EF73A2">
        <w:t>addition, m</w:t>
      </w:r>
      <w:r>
        <w:t xml:space="preserve">any stakeholders requested an electronic </w:t>
      </w:r>
      <w:r w:rsidRPr="00DB2882">
        <w:t xml:space="preserve">feedback mechanism to </w:t>
      </w:r>
      <w:r>
        <w:t xml:space="preserve">referring </w:t>
      </w:r>
      <w:r w:rsidRPr="00DB2882">
        <w:t>GP</w:t>
      </w:r>
      <w:r>
        <w:t xml:space="preserve">s and </w:t>
      </w:r>
      <w:r w:rsidRPr="00DB2882">
        <w:t>health professional</w:t>
      </w:r>
      <w:r w:rsidR="00C31422">
        <w:t>s on the progress of clients.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 stakeholders suggested f</w:t>
      </w:r>
      <w:r w:rsidRPr="00DB2882">
        <w:t>ormal partnerships with Primary Health Netwo</w:t>
      </w:r>
      <w:r>
        <w:t xml:space="preserve">rks </w:t>
      </w:r>
      <w:r w:rsidR="00BF3970">
        <w:t>(PHN</w:t>
      </w:r>
      <w:r w:rsidR="002717D0">
        <w:t>s</w:t>
      </w:r>
      <w:r w:rsidR="00BF3970">
        <w:t xml:space="preserve">) </w:t>
      </w:r>
      <w:r>
        <w:t xml:space="preserve">and other </w:t>
      </w:r>
      <w:r w:rsidRPr="00DB2882">
        <w:t xml:space="preserve">health </w:t>
      </w:r>
      <w:r>
        <w:t>and community services could enhance collaboration and referrals.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Some stakeholders suggested </w:t>
      </w:r>
      <w:r w:rsidRPr="00234BDF">
        <w:t xml:space="preserve">My Aged Care </w:t>
      </w:r>
      <w:r>
        <w:t xml:space="preserve">should </w:t>
      </w:r>
      <w:r w:rsidRPr="00234BDF">
        <w:t>be interoper</w:t>
      </w:r>
      <w:r w:rsidR="00C31422">
        <w:t>able with the My Health Record.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541BE4">
        <w:t xml:space="preserve">Some stakeholders </w:t>
      </w:r>
      <w:r>
        <w:t xml:space="preserve">suggested there should be capacity for </w:t>
      </w:r>
      <w:r w:rsidRPr="00541BE4">
        <w:t xml:space="preserve">GPs and health professionals to refer patients directly for time-limited </w:t>
      </w:r>
      <w:r>
        <w:t xml:space="preserve">Commonwealth Home Support Programme (CHSP) </w:t>
      </w:r>
      <w:r w:rsidRPr="00541BE4">
        <w:t>services</w:t>
      </w:r>
      <w:r>
        <w:t>.</w:t>
      </w:r>
    </w:p>
    <w:p w:rsidR="00F3603B" w:rsidRDefault="00F3603B" w:rsidP="00C31422">
      <w:pPr>
        <w:pStyle w:val="Heading1"/>
      </w:pPr>
      <w:bookmarkStart w:id="5" w:name="_Toc4069060"/>
      <w:r w:rsidRPr="00224FD9">
        <w:lastRenderedPageBreak/>
        <w:t>Expedited access to a s</w:t>
      </w:r>
      <w:r>
        <w:t>ingle time-limited CHSP service</w:t>
      </w:r>
      <w:bookmarkEnd w:id="5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Most s</w:t>
      </w:r>
      <w:r w:rsidRPr="00627069">
        <w:t>takeholder</w:t>
      </w:r>
      <w:r>
        <w:t>s</w:t>
      </w:r>
      <w:r w:rsidRPr="00627069">
        <w:t xml:space="preserve"> </w:t>
      </w:r>
      <w:r>
        <w:t>supported a pathway for expedited access to a single time-limited CHSP</w:t>
      </w:r>
      <w:r w:rsidR="006362F8">
        <w:t> </w:t>
      </w:r>
      <w:r>
        <w:t>service for clients requiring basic assistance</w:t>
      </w:r>
      <w:r w:rsidR="006362F8">
        <w:t xml:space="preserve"> e.g. community transport</w:t>
      </w:r>
      <w:r>
        <w:t>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 stakeholders identified the risk that direct referral for service may not clearly identify a client’s underlying needs or reablement opportunities. Stakeholders suggested risk mitigations:</w:t>
      </w:r>
    </w:p>
    <w:p w:rsidR="00F3603B" w:rsidRDefault="00F3603B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>Appropriately qualified and skilled triage staff in the assessment workforce should manage eligibility and appropriate access through a simplified phone assessment.</w:t>
      </w:r>
    </w:p>
    <w:p w:rsidR="00F3603B" w:rsidRDefault="00F3603B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>Follow-up procedures towards the end of the time-limited service period should confirm the end date for services and check on the client’s circumstances.</w:t>
      </w:r>
    </w:p>
    <w:p w:rsidR="00067AA3" w:rsidRDefault="00F3603B" w:rsidP="00F43DD9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Many stakeholders suggested that ‘direct to service’ pathways </w:t>
      </w:r>
      <w:r w:rsidR="00F625D2">
        <w:t xml:space="preserve">should also consider </w:t>
      </w:r>
      <w:r>
        <w:t>urgent</w:t>
      </w:r>
      <w:r w:rsidR="001D02D7">
        <w:t> </w:t>
      </w:r>
      <w:r>
        <w:t xml:space="preserve">CHSP services, </w:t>
      </w:r>
      <w:r w:rsidR="00067AA3">
        <w:t xml:space="preserve">services upon discharge from hospital and </w:t>
      </w:r>
      <w:r w:rsidR="00F625D2">
        <w:t xml:space="preserve">access to </w:t>
      </w:r>
      <w:r w:rsidR="00067AA3">
        <w:t xml:space="preserve">time-limited allied health and nursing services </w:t>
      </w:r>
      <w:r w:rsidR="00F625D2">
        <w:t>(</w:t>
      </w:r>
      <w:r w:rsidR="00067AA3">
        <w:t>on referral from a GP</w:t>
      </w:r>
      <w:r w:rsidR="00F625D2">
        <w:t>)</w:t>
      </w:r>
      <w:r w:rsidR="00067AA3">
        <w:t>.</w:t>
      </w:r>
    </w:p>
    <w:p w:rsidR="00F3603B" w:rsidRDefault="00F3603B" w:rsidP="00C31422">
      <w:pPr>
        <w:pStyle w:val="Heading1"/>
      </w:pPr>
      <w:bookmarkStart w:id="6" w:name="_Toc4069061"/>
      <w:r w:rsidRPr="00224FD9">
        <w:t>Support plan reviews</w:t>
      </w:r>
      <w:bookmarkEnd w:id="6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 stakeholders indicated that a</w:t>
      </w:r>
      <w:r w:rsidRPr="004A67D8">
        <w:t xml:space="preserve"> streamlined </w:t>
      </w:r>
      <w:r>
        <w:t xml:space="preserve">assessment </w:t>
      </w:r>
      <w:r w:rsidRPr="004A67D8">
        <w:t>model</w:t>
      </w:r>
      <w:r>
        <w:t xml:space="preserve"> has the potential to improve the process for support plan reviews by reducing double handling and wait times for clients.  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Many stakeholders emphasised that ongoing information, guidance and training could ensure requests are appropriate and supported by reasons for the review.  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Other suggestions included:</w:t>
      </w:r>
    </w:p>
    <w:p w:rsidR="00F3603B" w:rsidRDefault="00932A60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Assigning dedicated staff to m</w:t>
      </w:r>
      <w:r w:rsidR="00F3603B">
        <w:t>anag</w:t>
      </w:r>
      <w:r>
        <w:t xml:space="preserve">e </w:t>
      </w:r>
      <w:r w:rsidR="00F3603B">
        <w:t>support plan reviews.</w:t>
      </w:r>
    </w:p>
    <w:p w:rsidR="00F3603B" w:rsidRDefault="00932A60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Scheduling </w:t>
      </w:r>
      <w:r w:rsidR="00F3603B">
        <w:t>review date</w:t>
      </w:r>
      <w:r w:rsidR="00384B3F">
        <w:t>s</w:t>
      </w:r>
      <w:r w:rsidR="00F3603B">
        <w:t xml:space="preserve"> as part of the </w:t>
      </w:r>
      <w:r w:rsidR="00F3603B" w:rsidRPr="0065138D">
        <w:t>initial assessment</w:t>
      </w:r>
      <w:r w:rsidR="00F3603B">
        <w:t>.</w:t>
      </w:r>
    </w:p>
    <w:p w:rsidR="00F3603B" w:rsidRDefault="00384B3F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D</w:t>
      </w:r>
      <w:r w:rsidR="00932A60">
        <w:t>edicated funding for support plan reviews</w:t>
      </w:r>
      <w:r w:rsidR="00F3603B">
        <w:t xml:space="preserve">.  </w:t>
      </w:r>
    </w:p>
    <w:p w:rsidR="00F3603B" w:rsidRDefault="00F3603B" w:rsidP="00C31422">
      <w:pPr>
        <w:pStyle w:val="Heading1"/>
      </w:pPr>
      <w:bookmarkStart w:id="7" w:name="_Toc4069063"/>
      <w:r>
        <w:t>Assessment workforce q</w:t>
      </w:r>
      <w:r w:rsidRPr="00224FD9">
        <w:t>ualifications</w:t>
      </w:r>
      <w:bookmarkEnd w:id="7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There were two main stakeholder views on qualifications for a national assessment workforce.  </w:t>
      </w:r>
    </w:p>
    <w:p w:rsidR="00F3603B" w:rsidRDefault="00F3603B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 xml:space="preserve">Many stakeholders </w:t>
      </w:r>
      <w:r w:rsidR="00D45647">
        <w:t xml:space="preserve">supported </w:t>
      </w:r>
      <w:r w:rsidRPr="00DE5FE4">
        <w:t>maintain</w:t>
      </w:r>
      <w:r w:rsidR="00D45647">
        <w:t>ing</w:t>
      </w:r>
      <w:r w:rsidRPr="00DE5FE4">
        <w:t xml:space="preserve"> the current qualification arrangements for home support</w:t>
      </w:r>
      <w:r>
        <w:t xml:space="preserve"> </w:t>
      </w:r>
      <w:r w:rsidRPr="00DE5FE4">
        <w:t>and comprehensive assessors</w:t>
      </w:r>
      <w:r w:rsidR="00D45647">
        <w:t xml:space="preserve">, noting they are </w:t>
      </w:r>
      <w:r>
        <w:t xml:space="preserve">‘fit-for-purpose’. Stakeholders suggested that </w:t>
      </w:r>
      <w:r w:rsidRPr="00143859">
        <w:t xml:space="preserve">assessment providers </w:t>
      </w:r>
      <w:r>
        <w:t xml:space="preserve">should be required to </w:t>
      </w:r>
      <w:r w:rsidRPr="00143859">
        <w:t xml:space="preserve">maintain </w:t>
      </w:r>
      <w:r>
        <w:t xml:space="preserve">an </w:t>
      </w:r>
      <w:r w:rsidRPr="00143859">
        <w:t xml:space="preserve">appropriate </w:t>
      </w:r>
      <w:r>
        <w:t>number</w:t>
      </w:r>
      <w:r w:rsidRPr="00143859">
        <w:t xml:space="preserve"> of clinical health professionals</w:t>
      </w:r>
      <w:r>
        <w:t>.</w:t>
      </w:r>
    </w:p>
    <w:p w:rsidR="00F3603B" w:rsidRDefault="00F3603B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 xml:space="preserve">Alternatively, many stakeholders </w:t>
      </w:r>
      <w:r w:rsidR="00D45647">
        <w:t xml:space="preserve">suggested </w:t>
      </w:r>
      <w:r>
        <w:t xml:space="preserve">the whole workforce </w:t>
      </w:r>
      <w:r w:rsidR="00ED29D7">
        <w:t xml:space="preserve">be </w:t>
      </w:r>
      <w:r>
        <w:t>clinical</w:t>
      </w:r>
      <w:r w:rsidR="00ED29D7">
        <w:t>ly trained</w:t>
      </w:r>
      <w:r>
        <w:t xml:space="preserve">, in accordance with the current Aged Care Assessment Team (ACAT) workforce, </w:t>
      </w:r>
      <w:r w:rsidR="00D45647">
        <w:t xml:space="preserve">to </w:t>
      </w:r>
      <w:r>
        <w:t>enabl</w:t>
      </w:r>
      <w:r w:rsidR="00D45647">
        <w:t xml:space="preserve">e </w:t>
      </w:r>
      <w:r>
        <w:t xml:space="preserve">a </w:t>
      </w:r>
      <w:r w:rsidRPr="00DE5FE4">
        <w:t>single assessment process.</w:t>
      </w:r>
      <w:r>
        <w:t xml:space="preserve"> Under this approach, some s</w:t>
      </w:r>
      <w:r w:rsidRPr="00DE5FE4">
        <w:t>takeholders su</w:t>
      </w:r>
      <w:r>
        <w:t xml:space="preserve">ggested </w:t>
      </w:r>
      <w:r w:rsidRPr="00DE5FE4">
        <w:t>transition</w:t>
      </w:r>
      <w:r>
        <w:t xml:space="preserve"> support and upskilling of existing home support assessors.</w:t>
      </w:r>
    </w:p>
    <w:p w:rsidR="00F3603B" w:rsidRPr="003874B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Some stakeholders indicated minimum qualifications for home support assessors should be established </w:t>
      </w:r>
      <w:r w:rsidR="00EF73A2">
        <w:t xml:space="preserve">e.g. </w:t>
      </w:r>
      <w:r>
        <w:t>vocational education and training (VET) qualification</w:t>
      </w:r>
      <w:r w:rsidR="00EF73A2">
        <w:t xml:space="preserve">s at </w:t>
      </w:r>
      <w:r>
        <w:t>Certificate III, IV or diploma level in aged and community care.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Some stakeholders raised the need for greater involvement of </w:t>
      </w:r>
      <w:r w:rsidRPr="00484B03">
        <w:t xml:space="preserve">Aboriginal Health Workers and Aboriginal </w:t>
      </w:r>
      <w:r>
        <w:t xml:space="preserve">and Torres Strait Islander </w:t>
      </w:r>
      <w:r w:rsidRPr="00484B03">
        <w:t>Health Practitioners</w:t>
      </w:r>
      <w:r>
        <w:t xml:space="preserve"> in the assessment workforce</w:t>
      </w:r>
      <w:r w:rsidRPr="00484B03">
        <w:t xml:space="preserve">. </w:t>
      </w:r>
    </w:p>
    <w:p w:rsidR="00F3603B" w:rsidRDefault="00F2440A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Stakeholders</w:t>
      </w:r>
      <w:r w:rsidR="00F3603B">
        <w:t xml:space="preserve"> general</w:t>
      </w:r>
      <w:r>
        <w:t>ly</w:t>
      </w:r>
      <w:r w:rsidR="00F3603B">
        <w:t xml:space="preserve"> support</w:t>
      </w:r>
      <w:r>
        <w:t>ed</w:t>
      </w:r>
      <w:r w:rsidR="00F3603B">
        <w:t xml:space="preserve"> maintaining the </w:t>
      </w:r>
      <w:r>
        <w:t xml:space="preserve">Delegate </w:t>
      </w:r>
      <w:r w:rsidR="00F3603B">
        <w:t xml:space="preserve">role to review assessment recommendations and approve care types under the </w:t>
      </w:r>
      <w:r w:rsidR="00F3603B" w:rsidRPr="000B7137">
        <w:rPr>
          <w:i/>
        </w:rPr>
        <w:t>Aged Care Act 1997</w:t>
      </w:r>
      <w:r w:rsidR="00F3603B">
        <w:rPr>
          <w:i/>
        </w:rPr>
        <w:t xml:space="preserve"> </w:t>
      </w:r>
      <w:r w:rsidR="00C31422">
        <w:t>(the Act).</w:t>
      </w:r>
    </w:p>
    <w:p w:rsidR="00F3603B" w:rsidRDefault="00F3603B" w:rsidP="00C31422">
      <w:pPr>
        <w:pStyle w:val="Heading1"/>
      </w:pPr>
      <w:bookmarkStart w:id="8" w:name="_Toc4069064"/>
      <w:r>
        <w:t>Competencies</w:t>
      </w:r>
      <w:bookmarkEnd w:id="8"/>
    </w:p>
    <w:p w:rsidR="00F3603B" w:rsidRDefault="00F3603B" w:rsidP="00F3603B">
      <w:pPr>
        <w:pStyle w:val="ListParagraph"/>
        <w:numPr>
          <w:ilvl w:val="0"/>
          <w:numId w:val="9"/>
        </w:numPr>
        <w:ind w:left="284" w:hanging="284"/>
        <w:contextualSpacing w:val="0"/>
      </w:pPr>
      <w:r>
        <w:t xml:space="preserve">Many stakeholders </w:t>
      </w:r>
      <w:r w:rsidR="00EF73A2">
        <w:t xml:space="preserve">identified </w:t>
      </w:r>
      <w:r>
        <w:t>the following competencies for a national assessment workforce: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lastRenderedPageBreak/>
        <w:t>Understanding of aged care health issues and health terminology.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Skills in undertaking assessment including a conversational interview style, observational</w:t>
      </w:r>
      <w:r w:rsidR="00A77D6A">
        <w:t xml:space="preserve"> </w:t>
      </w:r>
      <w:r>
        <w:t>techniques and ability to support problem</w:t>
      </w:r>
      <w:r w:rsidR="00EF73A2">
        <w:t xml:space="preserve"> </w:t>
      </w:r>
      <w:r>
        <w:t>solving.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Empathy working directly with senior Australians.</w:t>
      </w:r>
    </w:p>
    <w:p w:rsidR="00F3603B" w:rsidRDefault="00F3603B" w:rsidP="00D45647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Knowledge of aged care types and service offerings.</w:t>
      </w:r>
    </w:p>
    <w:p w:rsidR="00F3603B" w:rsidRDefault="00F3603B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Ability to escalate issues and seek clinical input where necessary.</w:t>
      </w:r>
    </w:p>
    <w:p w:rsidR="00F3603B" w:rsidRPr="007924F4" w:rsidRDefault="00F3603B" w:rsidP="00C31422">
      <w:pPr>
        <w:pStyle w:val="Heading1"/>
      </w:pPr>
      <w:bookmarkStart w:id="9" w:name="_Toc4069065"/>
      <w:r w:rsidRPr="007924F4">
        <w:t>Clinical and multidisciplinary approaches</w:t>
      </w:r>
      <w:bookmarkEnd w:id="9"/>
    </w:p>
    <w:p w:rsidR="00F3603B" w:rsidRDefault="00F3603B" w:rsidP="00F3603B">
      <w:pPr>
        <w:pStyle w:val="ListParagraph"/>
        <w:numPr>
          <w:ilvl w:val="0"/>
          <w:numId w:val="9"/>
        </w:numPr>
        <w:ind w:left="284" w:hanging="284"/>
        <w:contextualSpacing w:val="0"/>
      </w:pPr>
      <w:r>
        <w:t xml:space="preserve">Many stakeholders </w:t>
      </w:r>
      <w:r w:rsidR="00EF73A2">
        <w:t xml:space="preserve">noted </w:t>
      </w:r>
      <w:r>
        <w:t xml:space="preserve">that clinical expertise and/or multidisciplinary team-based approaches are </w:t>
      </w:r>
      <w:r w:rsidR="00EF73A2">
        <w:t xml:space="preserve">required </w:t>
      </w:r>
      <w:r>
        <w:t>to support assessment where clients have: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Complex or chronic health conditions, including palliative conditions.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Severe functional or cognitive disability, including dementia.</w:t>
      </w:r>
    </w:p>
    <w:p w:rsidR="00F3603B" w:rsidRDefault="00F3603B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Special needs requiring culturally appropriate care.</w:t>
      </w:r>
    </w:p>
    <w:p w:rsidR="00F3603B" w:rsidRDefault="00C31422" w:rsidP="00D45647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Mental health conditions.</w:t>
      </w:r>
    </w:p>
    <w:p w:rsidR="00F3603B" w:rsidRDefault="00F3603B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ab/>
        <w:t>Restorative care needs.</w:t>
      </w:r>
    </w:p>
    <w:p w:rsidR="00F3603B" w:rsidRDefault="00F3603B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Risk factors for elder abuse, social isolation, psychosocial issues o</w:t>
      </w:r>
      <w:r w:rsidR="00C31422">
        <w:t>r complex family relationships.</w:t>
      </w:r>
    </w:p>
    <w:p w:rsidR="00F3603B" w:rsidRDefault="00F3603B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Clients in a hospital or residential care setting.</w:t>
      </w:r>
    </w:p>
    <w:p w:rsidR="00F3603B" w:rsidRPr="00947B42" w:rsidRDefault="00F3603B" w:rsidP="00C31422">
      <w:pPr>
        <w:pStyle w:val="Heading1"/>
      </w:pPr>
      <w:bookmarkStart w:id="10" w:name="_Toc4069066"/>
      <w:r w:rsidRPr="00947B42">
        <w:t>Design features for an integrated workforce</w:t>
      </w:r>
      <w:bookmarkEnd w:id="10"/>
    </w:p>
    <w:p w:rsidR="00F3603B" w:rsidRPr="009953DE" w:rsidRDefault="00EF73A2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9953DE">
        <w:t>A</w:t>
      </w:r>
      <w:r w:rsidR="00F3603B" w:rsidRPr="009953DE">
        <w:t>ll stakeholders indicated a new workforce will benefit from extensive knowledge of health and other service systems e.g. disability</w:t>
      </w:r>
      <w:r w:rsidR="00C31422">
        <w:t xml:space="preserve"> and carer support.</w:t>
      </w:r>
    </w:p>
    <w:p w:rsidR="00A77D6A" w:rsidRPr="0071624C" w:rsidRDefault="00F3603B" w:rsidP="00F43DD9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9953DE">
        <w:t xml:space="preserve">Many stakeholders </w:t>
      </w:r>
      <w:r w:rsidR="00A77D6A">
        <w:t xml:space="preserve">noted the </w:t>
      </w:r>
      <w:r w:rsidR="00D45647">
        <w:t xml:space="preserve">role of </w:t>
      </w:r>
      <w:r w:rsidRPr="009953DE">
        <w:t xml:space="preserve">clinical governance </w:t>
      </w:r>
      <w:r w:rsidR="00D45647">
        <w:t xml:space="preserve">in </w:t>
      </w:r>
      <w:r w:rsidR="00A77D6A">
        <w:t>operat</w:t>
      </w:r>
      <w:r w:rsidR="00D45647">
        <w:t>ing</w:t>
      </w:r>
      <w:r w:rsidR="00A77D6A">
        <w:t xml:space="preserve"> </w:t>
      </w:r>
      <w:r w:rsidRPr="00947B42">
        <w:t>an integrated workforce across the full continuum of aged care needs</w:t>
      </w:r>
      <w:r w:rsidRPr="009953DE">
        <w:t>.</w:t>
      </w:r>
    </w:p>
    <w:p w:rsidR="00F3603B" w:rsidRPr="009953DE" w:rsidRDefault="00F3603B" w:rsidP="009953DE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9953DE">
        <w:t>Various stakeholders also suggested the following design features:</w:t>
      </w:r>
    </w:p>
    <w:p w:rsidR="00F3603B" w:rsidRPr="009953DE" w:rsidRDefault="00496C5D" w:rsidP="00F2440A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The </w:t>
      </w:r>
      <w:r w:rsidR="00F3603B" w:rsidRPr="009953DE">
        <w:t xml:space="preserve">workforce </w:t>
      </w:r>
      <w:r>
        <w:t xml:space="preserve">should </w:t>
      </w:r>
      <w:r w:rsidR="00F3603B" w:rsidRPr="009953DE">
        <w:t xml:space="preserve">include assessors from diverse backgrounds to deliver culturally appropriate assessments </w:t>
      </w:r>
      <w:r w:rsidR="00A77D6A">
        <w:t xml:space="preserve">for </w:t>
      </w:r>
      <w:r w:rsidR="00F3603B" w:rsidRPr="009953DE">
        <w:t>special needs groups.</w:t>
      </w:r>
    </w:p>
    <w:p w:rsidR="00F3603B" w:rsidRPr="009953DE" w:rsidRDefault="00496C5D" w:rsidP="00F2440A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The </w:t>
      </w:r>
      <w:r w:rsidR="00F3603B" w:rsidRPr="009953DE">
        <w:t xml:space="preserve">assessment process </w:t>
      </w:r>
      <w:r>
        <w:t xml:space="preserve">should be flexible </w:t>
      </w:r>
      <w:r w:rsidR="00F3603B" w:rsidRPr="009953DE">
        <w:t>to allow team-based approaches</w:t>
      </w:r>
      <w:r>
        <w:t>.</w:t>
      </w:r>
    </w:p>
    <w:p w:rsidR="00F3603B" w:rsidRPr="009953DE" w:rsidRDefault="00496C5D" w:rsidP="00F2440A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Assessors should be able to </w:t>
      </w:r>
      <w:r w:rsidR="00F3603B" w:rsidRPr="009953DE">
        <w:t xml:space="preserve">recommend services </w:t>
      </w:r>
      <w:r>
        <w:t xml:space="preserve">from </w:t>
      </w:r>
      <w:r w:rsidR="00F3603B" w:rsidRPr="009953DE">
        <w:t>CHSP</w:t>
      </w:r>
      <w:r w:rsidR="00C31422">
        <w:t xml:space="preserve"> and care types under the Act.</w:t>
      </w:r>
    </w:p>
    <w:p w:rsidR="00F3603B" w:rsidRDefault="00F3603B" w:rsidP="00C31422">
      <w:pPr>
        <w:pStyle w:val="Heading1"/>
      </w:pPr>
      <w:bookmarkStart w:id="11" w:name="_Toc4069067"/>
      <w:r w:rsidRPr="00224FD9">
        <w:t>Training</w:t>
      </w:r>
      <w:bookmarkEnd w:id="11"/>
    </w:p>
    <w:p w:rsidR="00F3603B" w:rsidRPr="00FD0FFF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Many s</w:t>
      </w:r>
      <w:r w:rsidRPr="00FD0FFF">
        <w:t>takeholders were supportive of the existing training requirements</w:t>
      </w:r>
      <w:r>
        <w:t xml:space="preserve">, including the Statements of Attainment and </w:t>
      </w:r>
      <w:r w:rsidRPr="00FD0FFF">
        <w:t>the My Aged Care Learning Environment (MACLE).</w:t>
      </w:r>
    </w:p>
    <w:p w:rsidR="00F3603B" w:rsidRPr="00D766E9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D766E9">
        <w:t xml:space="preserve">Some stakeholders outlined that </w:t>
      </w:r>
      <w:r>
        <w:t>a competency-based system should be developed for continuing professional development to achieve greater national consistency</w:t>
      </w:r>
      <w:r w:rsidR="00C31422">
        <w:t>.</w:t>
      </w:r>
    </w:p>
    <w:p w:rsidR="00F3603B" w:rsidRPr="00A66684" w:rsidRDefault="0079170B" w:rsidP="00F43DD9">
      <w:pPr>
        <w:pStyle w:val="ListParagraph"/>
        <w:numPr>
          <w:ilvl w:val="0"/>
          <w:numId w:val="9"/>
        </w:numPr>
        <w:shd w:val="clear" w:color="auto" w:fill="FFFFFF" w:themeFill="background1"/>
        <w:spacing w:before="120"/>
        <w:ind w:left="284" w:hanging="284"/>
        <w:contextualSpacing w:val="0"/>
      </w:pPr>
      <w:r>
        <w:t>S</w:t>
      </w:r>
      <w:r w:rsidR="00F3603B">
        <w:t xml:space="preserve">takeholders </w:t>
      </w:r>
      <w:r w:rsidR="00F3603B" w:rsidRPr="00FD0FFF">
        <w:t xml:space="preserve">identified </w:t>
      </w:r>
      <w:r w:rsidR="00F3603B">
        <w:t xml:space="preserve">the following training areas to </w:t>
      </w:r>
      <w:r w:rsidR="00F3603B" w:rsidRPr="00FD0FFF">
        <w:t>build</w:t>
      </w:r>
      <w:r w:rsidR="00F3603B" w:rsidRPr="00A66684">
        <w:t xml:space="preserve"> workforce</w:t>
      </w:r>
      <w:r w:rsidR="00F3603B">
        <w:t xml:space="preserve"> capability</w:t>
      </w:r>
      <w:r>
        <w:t>:</w:t>
      </w:r>
    </w:p>
    <w:p w:rsidR="00F3603B" w:rsidRPr="00A66684" w:rsidRDefault="0079170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C</w:t>
      </w:r>
      <w:r w:rsidR="00F3603B" w:rsidRPr="00A66684">
        <w:t>ompetency</w:t>
      </w:r>
      <w:r w:rsidR="00F3603B">
        <w:t xml:space="preserve">-based </w:t>
      </w:r>
      <w:r w:rsidR="00F3603B" w:rsidRPr="00A66684">
        <w:t>training on working with special needs groups</w:t>
      </w:r>
      <w:r w:rsidR="00F3603B">
        <w:t>.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Application of m</w:t>
      </w:r>
      <w:r w:rsidRPr="00FD0FFF">
        <w:t>ultidisciplinary team-based approaches</w:t>
      </w:r>
      <w:r>
        <w:t>.</w:t>
      </w:r>
    </w:p>
    <w:p w:rsidR="00F3603B" w:rsidRPr="00FD0FFF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Mental health (r</w:t>
      </w:r>
      <w:r w:rsidRPr="00FD0FFF">
        <w:t>ecognising signs of depression and dementia</w:t>
      </w:r>
      <w:r>
        <w:t>).</w:t>
      </w:r>
    </w:p>
    <w:p w:rsidR="00F3603B" w:rsidRPr="00FD0FFF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FD0FFF">
        <w:t>Use of technology for virtual assessment and application of aids and equipment.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FD0FFF">
        <w:t>Some stakeholders</w:t>
      </w:r>
      <w:r>
        <w:t xml:space="preserve"> </w:t>
      </w:r>
      <w:r w:rsidRPr="00FD0FFF">
        <w:t>raised the benefits of re</w:t>
      </w:r>
      <w:r w:rsidR="00C31422">
        <w:t>gional communities of practice.</w:t>
      </w:r>
    </w:p>
    <w:p w:rsidR="00F3603B" w:rsidRPr="004D6A78" w:rsidRDefault="00F3603B" w:rsidP="00C31422">
      <w:pPr>
        <w:pStyle w:val="Heading1"/>
      </w:pPr>
      <w:bookmarkStart w:id="12" w:name="_Toc4069068"/>
      <w:r>
        <w:lastRenderedPageBreak/>
        <w:t>Quality and value for money</w:t>
      </w:r>
      <w:bookmarkEnd w:id="12"/>
    </w:p>
    <w:p w:rsidR="00F3603B" w:rsidRDefault="00F3603B" w:rsidP="009953DE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There was broad support for updating </w:t>
      </w:r>
      <w:r w:rsidRPr="00FD0FFF">
        <w:t xml:space="preserve">the </w:t>
      </w:r>
      <w:r>
        <w:t xml:space="preserve">Aged Care Assessment Quality Framework </w:t>
      </w:r>
      <w:r w:rsidRPr="00DD7505">
        <w:t xml:space="preserve">to match the new </w:t>
      </w:r>
      <w:r>
        <w:t xml:space="preserve">assessment </w:t>
      </w:r>
      <w:r w:rsidRPr="00DD7505">
        <w:t>model.</w:t>
      </w:r>
      <w:r w:rsidR="00734C50">
        <w:t xml:space="preserve"> </w:t>
      </w:r>
      <w:r w:rsidRPr="005337FB">
        <w:t xml:space="preserve">Many stakeholders suggested </w:t>
      </w:r>
      <w:r w:rsidR="00496C5D">
        <w:t xml:space="preserve">a </w:t>
      </w:r>
      <w:r w:rsidRPr="005337FB">
        <w:t xml:space="preserve">regular external audit </w:t>
      </w:r>
      <w:r w:rsidR="00C31422">
        <w:t>process.</w:t>
      </w:r>
    </w:p>
    <w:p w:rsidR="00F3603B" w:rsidRPr="005337F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5337FB">
        <w:t xml:space="preserve">Some suggested that assessment providers should be </w:t>
      </w:r>
      <w:r w:rsidR="0079170B">
        <w:t xml:space="preserve">subject to </w:t>
      </w:r>
      <w:r w:rsidRPr="005337FB">
        <w:t xml:space="preserve">the </w:t>
      </w:r>
      <w:r w:rsidR="006362F8">
        <w:t xml:space="preserve">same quality measures as approved providers including oversight by the </w:t>
      </w:r>
      <w:r w:rsidRPr="005337FB">
        <w:t>Aged Care Quality and Safety Commission</w:t>
      </w:r>
      <w:r w:rsidR="00DF2E30">
        <w:t xml:space="preserve">, </w:t>
      </w:r>
      <w:r>
        <w:t xml:space="preserve">compliance against </w:t>
      </w:r>
      <w:r w:rsidRPr="005337FB">
        <w:t>the Aged Care Quality Standards</w:t>
      </w:r>
      <w:r w:rsidR="006362F8">
        <w:t xml:space="preserve"> and</w:t>
      </w:r>
      <w:r w:rsidR="00F2440A">
        <w:t xml:space="preserve"> </w:t>
      </w:r>
      <w:r w:rsidR="006362F8">
        <w:t>transparent complaints management.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5337FB">
        <w:t xml:space="preserve">Many stakeholders </w:t>
      </w:r>
      <w:r w:rsidR="00DF2E30">
        <w:t xml:space="preserve">supported </w:t>
      </w:r>
      <w:r w:rsidRPr="005337FB">
        <w:t xml:space="preserve">protocols for assessment providers </w:t>
      </w:r>
      <w:r w:rsidR="00496C5D">
        <w:t xml:space="preserve">relating to assessor </w:t>
      </w:r>
      <w:r w:rsidRPr="005337FB">
        <w:t>qualification</w:t>
      </w:r>
      <w:r w:rsidR="00496C5D">
        <w:t>s</w:t>
      </w:r>
      <w:r w:rsidRPr="005337FB">
        <w:t>, clinical governance</w:t>
      </w:r>
      <w:r w:rsidR="006362F8">
        <w:t xml:space="preserve"> and </w:t>
      </w:r>
      <w:r w:rsidR="00496C5D">
        <w:t xml:space="preserve">capability for </w:t>
      </w:r>
      <w:r w:rsidRPr="005337FB">
        <w:t>working with special needs groups.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Some stakeholders sought strengthened conflict of interest management measures to </w:t>
      </w:r>
      <w:r w:rsidR="00DF2E30">
        <w:t xml:space="preserve">ensure </w:t>
      </w:r>
      <w:r>
        <w:t>aged care assessment is inde</w:t>
      </w:r>
      <w:r w:rsidR="00C31422">
        <w:t>pendent from service provision.</w:t>
      </w:r>
    </w:p>
    <w:p w:rsidR="00F3603B" w:rsidRDefault="00F3603B" w:rsidP="00C31422">
      <w:pPr>
        <w:pStyle w:val="Heading1"/>
      </w:pPr>
      <w:bookmarkStart w:id="13" w:name="_Toc4069069"/>
      <w:r>
        <w:t>Efficiency and value for money</w:t>
      </w:r>
      <w:bookmarkEnd w:id="13"/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Most </w:t>
      </w:r>
      <w:r w:rsidR="00EC4191">
        <w:t xml:space="preserve">considered that </w:t>
      </w:r>
      <w:r>
        <w:t>an a</w:t>
      </w:r>
      <w:r w:rsidRPr="00084740">
        <w:t>ppropriately qualified and experienced workforce</w:t>
      </w:r>
      <w:r>
        <w:t xml:space="preserve"> was the main </w:t>
      </w:r>
      <w:r w:rsidR="00EC4191">
        <w:t xml:space="preserve">driver of </w:t>
      </w:r>
      <w:r w:rsidR="00C31422">
        <w:t>efficiency and value for money.</w:t>
      </w:r>
    </w:p>
    <w:p w:rsidR="00F3603B" w:rsidRPr="00A802F7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 xml:space="preserve">There were </w:t>
      </w:r>
      <w:r w:rsidRPr="00A802F7">
        <w:t xml:space="preserve">different </w:t>
      </w:r>
      <w:r>
        <w:t xml:space="preserve">positions </w:t>
      </w:r>
      <w:r w:rsidRPr="00A802F7">
        <w:t>amongst stakeholders</w:t>
      </w:r>
      <w:r>
        <w:t xml:space="preserve"> on</w:t>
      </w:r>
      <w:r w:rsidRPr="00A802F7">
        <w:t xml:space="preserve"> contestability </w:t>
      </w:r>
      <w:r>
        <w:t>for assessment services.</w:t>
      </w:r>
    </w:p>
    <w:p w:rsidR="00F3603B" w:rsidRDefault="00F3603B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 xml:space="preserve">Some stakeholders believe </w:t>
      </w:r>
      <w:r w:rsidRPr="00A802F7">
        <w:t>a competitive model</w:t>
      </w:r>
      <w:r>
        <w:t xml:space="preserve"> is unsuitable for </w:t>
      </w:r>
      <w:r w:rsidRPr="00A802F7">
        <w:t>assessment function</w:t>
      </w:r>
      <w:r>
        <w:t xml:space="preserve">s </w:t>
      </w:r>
      <w:r w:rsidR="00A577AD">
        <w:t>that</w:t>
      </w:r>
      <w:r w:rsidR="006362F8">
        <w:t xml:space="preserve"> focus on </w:t>
      </w:r>
      <w:r>
        <w:t>quality</w:t>
      </w:r>
      <w:r w:rsidR="006362F8">
        <w:t xml:space="preserve">, </w:t>
      </w:r>
      <w:r>
        <w:t>consistency</w:t>
      </w:r>
      <w:r w:rsidR="006362F8">
        <w:t xml:space="preserve"> and </w:t>
      </w:r>
      <w:r>
        <w:t>equity of access.</w:t>
      </w:r>
    </w:p>
    <w:p w:rsidR="00F3603B" w:rsidRDefault="001E1B04" w:rsidP="00F3603B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>
        <w:t>Others</w:t>
      </w:r>
      <w:r w:rsidR="00F3603B">
        <w:t xml:space="preserve"> indicated that competition for </w:t>
      </w:r>
      <w:r w:rsidR="00F3603B" w:rsidRPr="00A802F7">
        <w:t xml:space="preserve">assessment </w:t>
      </w:r>
      <w:r w:rsidR="00F3603B">
        <w:t>services would provide the best value for money and drive performance, efficient us</w:t>
      </w:r>
      <w:r w:rsidR="00C31422">
        <w:t>e of resources and innovation.</w:t>
      </w:r>
    </w:p>
    <w:p w:rsidR="00F3603B" w:rsidRPr="00F43DD9" w:rsidRDefault="001E1B04" w:rsidP="00F43DD9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947B42">
        <w:t>M</w:t>
      </w:r>
      <w:r w:rsidR="00F3603B" w:rsidRPr="00947B42">
        <w:t xml:space="preserve">any stakeholders </w:t>
      </w:r>
      <w:r w:rsidRPr="009953DE">
        <w:t xml:space="preserve">highlighted the importance of </w:t>
      </w:r>
      <w:r w:rsidR="00F3603B" w:rsidRPr="009953DE">
        <w:t xml:space="preserve">economies of scale </w:t>
      </w:r>
      <w:r w:rsidR="003942D8">
        <w:t xml:space="preserve">in terms of </w:t>
      </w:r>
      <w:r w:rsidR="006362F8">
        <w:t xml:space="preserve">market share and </w:t>
      </w:r>
      <w:r w:rsidR="003942D8">
        <w:t xml:space="preserve">assessment volumes </w:t>
      </w:r>
      <w:bookmarkStart w:id="14" w:name="_Toc4069070"/>
      <w:r w:rsidR="00C31422">
        <w:t>to achieve value for money.</w:t>
      </w:r>
    </w:p>
    <w:p w:rsidR="00F3603B" w:rsidRDefault="00F3603B" w:rsidP="00C31422">
      <w:pPr>
        <w:pStyle w:val="Heading1"/>
      </w:pPr>
      <w:r w:rsidRPr="00626965">
        <w:t>Assessment in a hospital setting</w:t>
      </w:r>
      <w:bookmarkEnd w:id="14"/>
    </w:p>
    <w:p w:rsidR="00F3603B" w:rsidRPr="007752D9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7752D9">
        <w:t xml:space="preserve">Many stakeholders indicated that current arrangements enable timely assessment </w:t>
      </w:r>
      <w:r>
        <w:t xml:space="preserve">in a hospital setting </w:t>
      </w:r>
      <w:r w:rsidRPr="007752D9">
        <w:t xml:space="preserve">and </w:t>
      </w:r>
      <w:r>
        <w:t xml:space="preserve">coordinated access to </w:t>
      </w:r>
      <w:r w:rsidR="00C31422">
        <w:t>health and aged care services.</w:t>
      </w:r>
    </w:p>
    <w:p w:rsidR="00F3603B" w:rsidRPr="008061D5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8061D5">
        <w:t xml:space="preserve">For people being discharged home, most stakeholders agreed it is best practice for hospital assessments to </w:t>
      </w:r>
      <w:r w:rsidR="006362F8">
        <w:t>arrange</w:t>
      </w:r>
      <w:r w:rsidRPr="008061D5">
        <w:t xml:space="preserve"> interim services (along with subacute services). A later assessment at the client’s home should consider improvements made and need for ongoing home-based services.</w:t>
      </w:r>
    </w:p>
    <w:p w:rsidR="00F3603B" w:rsidRPr="008061D5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Many stakeholders identified the need for smooth pathways from hospital to transition care, as</w:t>
      </w:r>
      <w:r w:rsidR="00A577AD">
        <w:t> </w:t>
      </w:r>
      <w:r>
        <w:t>well as careful consideration of approval</w:t>
      </w:r>
      <w:r w:rsidR="00D45647">
        <w:t>s</w:t>
      </w:r>
      <w:r>
        <w:t xml:space="preserve"> for </w:t>
      </w:r>
      <w:r w:rsidRPr="008061D5">
        <w:t>residential care and residential respite.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There were different views on</w:t>
      </w:r>
      <w:r w:rsidR="00FC6531">
        <w:t xml:space="preserve"> the</w:t>
      </w:r>
      <w:r>
        <w:t xml:space="preserve"> future workforce </w:t>
      </w:r>
      <w:r w:rsidR="00FC6531">
        <w:t xml:space="preserve">to conduct </w:t>
      </w:r>
      <w:r>
        <w:t>assessment in a hospital setting.</w:t>
      </w:r>
    </w:p>
    <w:p w:rsidR="00F3603B" w:rsidRDefault="00F3603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 xml:space="preserve">Some stakeholders supported retaining state and territory government assessors through alternate workforce models e.g. existing hospital clinical teams </w:t>
      </w:r>
      <w:r w:rsidR="00C31422">
        <w:t>and transition care clinicians.</w:t>
      </w:r>
    </w:p>
    <w:p w:rsidR="00F3603B" w:rsidRDefault="006362F8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Other</w:t>
      </w:r>
      <w:r w:rsidR="00F3603B">
        <w:t xml:space="preserve"> stakeholders indicated that a national workforce, separate from state and territory health systems, should </w:t>
      </w:r>
      <w:r>
        <w:t xml:space="preserve">deliver </w:t>
      </w:r>
      <w:r w:rsidR="00F3603B">
        <w:t>aged care assessment in community and hospital settings.</w:t>
      </w:r>
    </w:p>
    <w:p w:rsidR="00F3603B" w:rsidRPr="00E62F55" w:rsidRDefault="00A577AD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Stakeholders raised o</w:t>
      </w:r>
      <w:r w:rsidR="00FC6531">
        <w:t xml:space="preserve">ther </w:t>
      </w:r>
      <w:r w:rsidR="00F3603B">
        <w:t>issue</w:t>
      </w:r>
      <w:r w:rsidR="004D0258">
        <w:t>s</w:t>
      </w:r>
      <w:r w:rsidR="009953DE">
        <w:t xml:space="preserve"> in relation to assessment in a hospital setting</w:t>
      </w:r>
      <w:r w:rsidR="00FC6531">
        <w:t>:</w:t>
      </w:r>
    </w:p>
    <w:p w:rsidR="00D45647" w:rsidRPr="00F43DD9" w:rsidRDefault="00D45647" w:rsidP="00D45647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F43DD9">
        <w:t xml:space="preserve">Assessors require high-level </w:t>
      </w:r>
      <w:r w:rsidRPr="009953DE">
        <w:t xml:space="preserve">skills and experience </w:t>
      </w:r>
      <w:r w:rsidRPr="00D45647">
        <w:t xml:space="preserve">to liaise with </w:t>
      </w:r>
      <w:r w:rsidRPr="009953DE">
        <w:t>specialists and allied health teams regarding patients with complex needs.</w:t>
      </w:r>
    </w:p>
    <w:p w:rsidR="009953DE" w:rsidRPr="00F43DD9" w:rsidRDefault="00863E1C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9953DE">
        <w:t>Assessor</w:t>
      </w:r>
      <w:r w:rsidR="008B60A2" w:rsidRPr="00F43DD9">
        <w:t xml:space="preserve">s </w:t>
      </w:r>
      <w:r w:rsidR="009953DE" w:rsidRPr="00F43DD9">
        <w:t>require access to hospitals and client medical records.</w:t>
      </w:r>
    </w:p>
    <w:p w:rsidR="00863E1C" w:rsidRPr="009953DE" w:rsidRDefault="009953DE" w:rsidP="009953DE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 w:rsidRPr="00F43DD9">
        <w:t>I</w:t>
      </w:r>
      <w:r w:rsidR="00863E1C" w:rsidRPr="009953DE">
        <w:t>nterface with the health system</w:t>
      </w:r>
      <w:r w:rsidRPr="00F43DD9">
        <w:t xml:space="preserve"> must support </w:t>
      </w:r>
      <w:r w:rsidR="00863E1C" w:rsidRPr="009953DE">
        <w:t>timely discharge, patient flows through hospital and linkages to state-funded health and community services.</w:t>
      </w:r>
    </w:p>
    <w:p w:rsidR="00F3603B" w:rsidRDefault="00F3603B" w:rsidP="00C31422">
      <w:pPr>
        <w:pStyle w:val="Heading1"/>
      </w:pPr>
      <w:bookmarkStart w:id="15" w:name="_Toc4069071"/>
      <w:r>
        <w:lastRenderedPageBreak/>
        <w:t>Assessment in remote Australia</w:t>
      </w:r>
      <w:bookmarkEnd w:id="15"/>
    </w:p>
    <w:p w:rsidR="00F3603B" w:rsidRPr="006450B8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 w:rsidRPr="006450B8">
        <w:t>There was broad agreement from stakeholders that a streamlined assessment model needs to be flexible to accommodate timely and high quality aged care assessments in remote areas.</w:t>
      </w:r>
    </w:p>
    <w:p w:rsidR="00051469" w:rsidRDefault="00051469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</w:pPr>
      <w:r>
        <w:t>Common views included:</w:t>
      </w:r>
    </w:p>
    <w:p w:rsidR="00051469" w:rsidRPr="006450B8" w:rsidRDefault="00051469" w:rsidP="00F43DD9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</w:pPr>
      <w:r w:rsidRPr="006450B8">
        <w:t>Face-to-face</w:t>
      </w:r>
      <w:r w:rsidR="00F3603B" w:rsidRPr="006450B8">
        <w:t xml:space="preserve"> assessment should remain the preferred mode.</w:t>
      </w:r>
    </w:p>
    <w:p w:rsidR="00051469" w:rsidRPr="00947B42" w:rsidRDefault="00051469" w:rsidP="00F43DD9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  <w:rPr>
          <w:bCs/>
        </w:rPr>
      </w:pPr>
      <w:r w:rsidRPr="00947B42">
        <w:rPr>
          <w:bCs/>
        </w:rPr>
        <w:t>Quality</w:t>
      </w:r>
      <w:r w:rsidR="00F3603B" w:rsidRPr="009953DE">
        <w:rPr>
          <w:bCs/>
        </w:rPr>
        <w:t xml:space="preserve"> assessment in remote areas requires collaboration with locally based workers, service providers and health professionals </w:t>
      </w:r>
      <w:r>
        <w:rPr>
          <w:bCs/>
        </w:rPr>
        <w:t xml:space="preserve">who </w:t>
      </w:r>
      <w:r w:rsidR="00F3603B" w:rsidRPr="00947B42">
        <w:rPr>
          <w:bCs/>
        </w:rPr>
        <w:t>have established relationships.</w:t>
      </w:r>
    </w:p>
    <w:p w:rsidR="00051469" w:rsidRPr="009953DE" w:rsidRDefault="00051469" w:rsidP="00F43DD9">
      <w:pPr>
        <w:pStyle w:val="ListParagraph"/>
        <w:numPr>
          <w:ilvl w:val="1"/>
          <w:numId w:val="9"/>
        </w:numPr>
        <w:spacing w:before="120" w:after="120"/>
        <w:ind w:left="709" w:hanging="425"/>
        <w:contextualSpacing w:val="0"/>
        <w:rPr>
          <w:bCs/>
        </w:rPr>
      </w:pPr>
      <w:r w:rsidRPr="009953DE">
        <w:rPr>
          <w:bCs/>
        </w:rPr>
        <w:t>The funding model needs to address the higher fixed costs of remote assessment.</w:t>
      </w:r>
    </w:p>
    <w:p w:rsidR="00F3603B" w:rsidRDefault="00F3603B" w:rsidP="00F3603B">
      <w:pPr>
        <w:pStyle w:val="ListParagraph"/>
        <w:numPr>
          <w:ilvl w:val="0"/>
          <w:numId w:val="9"/>
        </w:numPr>
        <w:spacing w:before="120" w:after="120"/>
        <w:ind w:left="284" w:hanging="284"/>
        <w:contextualSpacing w:val="0"/>
        <w:rPr>
          <w:bCs/>
        </w:rPr>
      </w:pPr>
      <w:r w:rsidRPr="00E62F55">
        <w:rPr>
          <w:bCs/>
        </w:rPr>
        <w:t xml:space="preserve">Some stakeholders indicated that all assessors in remote areas should be </w:t>
      </w:r>
      <w:r>
        <w:rPr>
          <w:bCs/>
        </w:rPr>
        <w:t>clinical health professionals</w:t>
      </w:r>
      <w:r w:rsidR="001D02D7">
        <w:rPr>
          <w:bCs/>
        </w:rPr>
        <w:t xml:space="preserve">, to ensure </w:t>
      </w:r>
      <w:r w:rsidRPr="00E62F55">
        <w:rPr>
          <w:bCs/>
        </w:rPr>
        <w:t xml:space="preserve">assessment </w:t>
      </w:r>
      <w:r w:rsidR="001D02D7">
        <w:rPr>
          <w:bCs/>
        </w:rPr>
        <w:t xml:space="preserve">is </w:t>
      </w:r>
      <w:r w:rsidR="00F66646">
        <w:rPr>
          <w:bCs/>
        </w:rPr>
        <w:t>undertaken in consideration of all aged care services</w:t>
      </w:r>
      <w:r w:rsidRPr="00E62F55">
        <w:rPr>
          <w:bCs/>
        </w:rPr>
        <w:t>.</w:t>
      </w:r>
    </w:p>
    <w:p w:rsidR="00F3603B" w:rsidRDefault="00F3603B" w:rsidP="00C31422">
      <w:pPr>
        <w:pStyle w:val="Heading1"/>
      </w:pPr>
      <w:bookmarkStart w:id="16" w:name="_Toc4069072"/>
      <w:r w:rsidRPr="00626965">
        <w:t>Wellness and reablement</w:t>
      </w:r>
      <w:bookmarkEnd w:id="16"/>
    </w:p>
    <w:p w:rsidR="00051469" w:rsidRDefault="00F3603B" w:rsidP="00F3603B">
      <w:pPr>
        <w:numPr>
          <w:ilvl w:val="0"/>
          <w:numId w:val="9"/>
        </w:numPr>
        <w:spacing w:before="120" w:after="120"/>
        <w:ind w:left="284" w:hanging="284"/>
        <w:rPr>
          <w:rFonts w:eastAsia="Times New Roman"/>
          <w:lang w:val="en-AU" w:eastAsia="en-US"/>
        </w:rPr>
      </w:pPr>
      <w:r>
        <w:rPr>
          <w:rFonts w:eastAsia="Times New Roman"/>
          <w:lang w:val="en-AU" w:eastAsia="en-US"/>
        </w:rPr>
        <w:t>Most s</w:t>
      </w:r>
      <w:r w:rsidRPr="00B05674">
        <w:rPr>
          <w:rFonts w:eastAsia="Times New Roman"/>
          <w:lang w:val="en-AU" w:eastAsia="en-US"/>
        </w:rPr>
        <w:t>takeholders supported a wellness and reablement approach to assessment practice</w:t>
      </w:r>
      <w:r w:rsidR="005931B8">
        <w:rPr>
          <w:rFonts w:eastAsia="Times New Roman"/>
          <w:lang w:val="en-AU" w:eastAsia="en-US"/>
        </w:rPr>
        <w:t>, through the following strategies:</w:t>
      </w:r>
    </w:p>
    <w:p w:rsidR="00051469" w:rsidRPr="003D7A86" w:rsidRDefault="005931B8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Embedding t</w:t>
      </w:r>
      <w:r w:rsidR="00051469" w:rsidRPr="003D7A86">
        <w:t>he</w:t>
      </w:r>
      <w:r w:rsidR="00F3603B" w:rsidRPr="003D7A86">
        <w:t xml:space="preserve"> wellness and reablement philosophy in the whole aged care system</w:t>
      </w:r>
      <w:r w:rsidR="007554AB">
        <w:t>.</w:t>
      </w:r>
    </w:p>
    <w:p w:rsidR="00F3603B" w:rsidRPr="009953DE" w:rsidRDefault="007554AB" w:rsidP="00F43DD9">
      <w:pPr>
        <w:pStyle w:val="ListParagraph"/>
        <w:numPr>
          <w:ilvl w:val="1"/>
          <w:numId w:val="9"/>
        </w:numPr>
        <w:spacing w:before="60" w:after="60"/>
        <w:ind w:left="709" w:hanging="425"/>
        <w:contextualSpacing w:val="0"/>
      </w:pPr>
      <w:r>
        <w:t>T</w:t>
      </w:r>
      <w:r w:rsidR="00F3603B" w:rsidRPr="009953DE">
        <w:t xml:space="preserve">raining </w:t>
      </w:r>
      <w:r w:rsidR="00F3603B" w:rsidRPr="00947B42">
        <w:t xml:space="preserve">on active assessment </w:t>
      </w:r>
      <w:r w:rsidR="005931B8">
        <w:t xml:space="preserve">that </w:t>
      </w:r>
      <w:r w:rsidR="00F3603B" w:rsidRPr="00947B42">
        <w:t>considers social engagement</w:t>
      </w:r>
      <w:r>
        <w:t xml:space="preserve">, </w:t>
      </w:r>
      <w:r w:rsidR="00F3603B" w:rsidRPr="00947B42">
        <w:t>mental health</w:t>
      </w:r>
      <w:r>
        <w:t xml:space="preserve"> and </w:t>
      </w:r>
      <w:r w:rsidR="00F3603B" w:rsidRPr="00947B42">
        <w:t>physical health needs</w:t>
      </w:r>
      <w:r w:rsidR="00F3603B" w:rsidRPr="009953DE">
        <w:t>.</w:t>
      </w:r>
    </w:p>
    <w:p w:rsidR="00F3603B" w:rsidRPr="00B05674" w:rsidRDefault="005931B8" w:rsidP="00F43DD9">
      <w:pPr>
        <w:numPr>
          <w:ilvl w:val="1"/>
          <w:numId w:val="9"/>
        </w:numPr>
        <w:spacing w:before="60" w:after="60"/>
        <w:ind w:left="709" w:hanging="425"/>
        <w:rPr>
          <w:rFonts w:eastAsia="Times New Roman"/>
          <w:lang w:val="en-AU" w:eastAsia="en-US"/>
        </w:rPr>
      </w:pPr>
      <w:r>
        <w:rPr>
          <w:rFonts w:eastAsia="Times New Roman"/>
          <w:lang w:val="en-AU" w:eastAsia="en-US"/>
        </w:rPr>
        <w:t>A</w:t>
      </w:r>
      <w:r w:rsidR="007554AB">
        <w:rPr>
          <w:rFonts w:eastAsia="Times New Roman"/>
          <w:lang w:val="en-AU" w:eastAsia="en-US"/>
        </w:rPr>
        <w:t>n</w:t>
      </w:r>
      <w:r>
        <w:rPr>
          <w:rFonts w:eastAsia="Times New Roman"/>
          <w:lang w:val="en-AU" w:eastAsia="en-US"/>
        </w:rPr>
        <w:t xml:space="preserve"> appropriate </w:t>
      </w:r>
      <w:r w:rsidR="00F3603B" w:rsidRPr="00B05674">
        <w:rPr>
          <w:rFonts w:eastAsia="Times New Roman"/>
          <w:lang w:val="en-AU" w:eastAsia="en-US"/>
        </w:rPr>
        <w:t>funding model and performance framework</w:t>
      </w:r>
      <w:r>
        <w:rPr>
          <w:rFonts w:eastAsia="Times New Roman"/>
          <w:lang w:val="en-AU" w:eastAsia="en-US"/>
        </w:rPr>
        <w:t xml:space="preserve">, including </w:t>
      </w:r>
      <w:r w:rsidR="00F66646" w:rsidRPr="00B05674">
        <w:rPr>
          <w:rFonts w:eastAsia="Times New Roman"/>
          <w:lang w:val="en-AU" w:eastAsia="en-US"/>
        </w:rPr>
        <w:t>consumer outcome</w:t>
      </w:r>
      <w:r w:rsidR="00F66646">
        <w:rPr>
          <w:rFonts w:eastAsia="Times New Roman"/>
          <w:lang w:val="en-AU" w:eastAsia="en-US"/>
        </w:rPr>
        <w:t xml:space="preserve"> </w:t>
      </w:r>
      <w:r w:rsidR="00C31422">
        <w:rPr>
          <w:rFonts w:eastAsia="Times New Roman"/>
          <w:lang w:val="en-AU" w:eastAsia="en-US"/>
        </w:rPr>
        <w:t>measures.</w:t>
      </w:r>
    </w:p>
    <w:p w:rsidR="00F3603B" w:rsidRPr="00B05674" w:rsidRDefault="00F3603B" w:rsidP="00F43DD9">
      <w:pPr>
        <w:numPr>
          <w:ilvl w:val="1"/>
          <w:numId w:val="9"/>
        </w:numPr>
        <w:spacing w:before="60" w:after="60"/>
        <w:ind w:left="709" w:hanging="425"/>
        <w:rPr>
          <w:rFonts w:eastAsia="Times New Roman"/>
          <w:lang w:val="en-AU" w:eastAsia="en-US"/>
        </w:rPr>
      </w:pPr>
      <w:r>
        <w:rPr>
          <w:rFonts w:eastAsia="Times New Roman"/>
          <w:lang w:val="en-AU" w:eastAsia="en-US"/>
        </w:rPr>
        <w:t xml:space="preserve">My </w:t>
      </w:r>
      <w:r w:rsidRPr="00B05674">
        <w:rPr>
          <w:rFonts w:eastAsia="Times New Roman"/>
          <w:lang w:val="en-AU" w:eastAsia="en-US"/>
        </w:rPr>
        <w:t xml:space="preserve">Aged Care </w:t>
      </w:r>
      <w:r>
        <w:rPr>
          <w:rFonts w:eastAsia="Times New Roman"/>
          <w:lang w:val="en-AU" w:eastAsia="en-US"/>
        </w:rPr>
        <w:t xml:space="preserve">system </w:t>
      </w:r>
      <w:r w:rsidR="00F66646">
        <w:rPr>
          <w:rFonts w:eastAsia="Times New Roman"/>
          <w:lang w:val="en-AU" w:eastAsia="en-US"/>
        </w:rPr>
        <w:t xml:space="preserve">changes </w:t>
      </w:r>
      <w:r w:rsidR="007554AB">
        <w:rPr>
          <w:rFonts w:eastAsia="Times New Roman"/>
          <w:lang w:val="en-AU" w:eastAsia="en-US"/>
        </w:rPr>
        <w:t xml:space="preserve">to </w:t>
      </w:r>
      <w:r w:rsidRPr="00B05674">
        <w:rPr>
          <w:rFonts w:eastAsia="Times New Roman"/>
          <w:lang w:val="en-AU" w:eastAsia="en-US"/>
        </w:rPr>
        <w:t xml:space="preserve">allow a period of reablement </w:t>
      </w:r>
      <w:r>
        <w:rPr>
          <w:rFonts w:eastAsia="Times New Roman"/>
          <w:lang w:val="en-AU" w:eastAsia="en-US"/>
        </w:rPr>
        <w:t>at any time</w:t>
      </w:r>
      <w:r w:rsidR="007554AB">
        <w:rPr>
          <w:rFonts w:eastAsia="Times New Roman"/>
          <w:lang w:val="en-AU" w:eastAsia="en-US"/>
        </w:rPr>
        <w:t xml:space="preserve">, </w:t>
      </w:r>
      <w:r>
        <w:rPr>
          <w:rFonts w:eastAsia="Times New Roman"/>
          <w:lang w:val="en-AU" w:eastAsia="en-US"/>
        </w:rPr>
        <w:t xml:space="preserve">including </w:t>
      </w:r>
      <w:r w:rsidR="007554AB">
        <w:rPr>
          <w:rFonts w:eastAsia="Times New Roman"/>
          <w:lang w:val="en-AU" w:eastAsia="en-US"/>
        </w:rPr>
        <w:t xml:space="preserve">at </w:t>
      </w:r>
      <w:r w:rsidRPr="00B05674">
        <w:rPr>
          <w:rFonts w:eastAsia="Times New Roman"/>
          <w:lang w:val="en-AU" w:eastAsia="en-US"/>
        </w:rPr>
        <w:t>assessment</w:t>
      </w:r>
      <w:r>
        <w:rPr>
          <w:rFonts w:eastAsia="Times New Roman"/>
          <w:lang w:val="en-AU" w:eastAsia="en-US"/>
        </w:rPr>
        <w:t xml:space="preserve"> and</w:t>
      </w:r>
      <w:r w:rsidR="00C31422">
        <w:rPr>
          <w:rFonts w:eastAsia="Times New Roman"/>
          <w:lang w:val="en-AU" w:eastAsia="en-US"/>
        </w:rPr>
        <w:t xml:space="preserve"> support plan review.</w:t>
      </w:r>
    </w:p>
    <w:p w:rsidR="00F3603B" w:rsidRDefault="00F3603B" w:rsidP="00F43DD9">
      <w:pPr>
        <w:numPr>
          <w:ilvl w:val="1"/>
          <w:numId w:val="9"/>
        </w:numPr>
        <w:spacing w:before="60" w:after="60"/>
        <w:ind w:left="709" w:hanging="425"/>
        <w:rPr>
          <w:rFonts w:eastAsia="Times New Roman"/>
          <w:lang w:val="en-AU" w:eastAsia="en-US"/>
        </w:rPr>
      </w:pPr>
      <w:r>
        <w:rPr>
          <w:rFonts w:eastAsia="Times New Roman"/>
          <w:lang w:val="en-AU" w:eastAsia="en-US"/>
        </w:rPr>
        <w:t xml:space="preserve">Greater </w:t>
      </w:r>
      <w:r w:rsidRPr="00B05674">
        <w:rPr>
          <w:rFonts w:eastAsia="Times New Roman"/>
          <w:lang w:val="en-AU" w:eastAsia="en-US"/>
        </w:rPr>
        <w:t xml:space="preserve">co-ordination </w:t>
      </w:r>
      <w:r>
        <w:rPr>
          <w:rFonts w:eastAsia="Times New Roman"/>
          <w:lang w:val="en-AU" w:eastAsia="en-US"/>
        </w:rPr>
        <w:t xml:space="preserve">with </w:t>
      </w:r>
      <w:r w:rsidRPr="00B05674">
        <w:rPr>
          <w:rFonts w:eastAsia="Times New Roman"/>
          <w:lang w:val="en-AU" w:eastAsia="en-US"/>
        </w:rPr>
        <w:t>GPs</w:t>
      </w:r>
      <w:r>
        <w:rPr>
          <w:rFonts w:eastAsia="Times New Roman"/>
          <w:lang w:val="en-AU" w:eastAsia="en-US"/>
        </w:rPr>
        <w:t xml:space="preserve"> and </w:t>
      </w:r>
      <w:r w:rsidRPr="00B05674">
        <w:rPr>
          <w:rFonts w:eastAsia="Times New Roman"/>
          <w:lang w:val="en-AU" w:eastAsia="en-US"/>
        </w:rPr>
        <w:t xml:space="preserve">allied health professionals </w:t>
      </w:r>
      <w:r w:rsidR="007554AB">
        <w:rPr>
          <w:rFonts w:eastAsia="Times New Roman"/>
          <w:lang w:val="en-AU" w:eastAsia="en-US"/>
        </w:rPr>
        <w:t xml:space="preserve">to </w:t>
      </w:r>
      <w:r w:rsidRPr="00B05674">
        <w:rPr>
          <w:rFonts w:eastAsia="Times New Roman"/>
          <w:lang w:val="en-AU" w:eastAsia="en-US"/>
        </w:rPr>
        <w:t xml:space="preserve">support short-term </w:t>
      </w:r>
      <w:r>
        <w:rPr>
          <w:rFonts w:eastAsia="Times New Roman"/>
          <w:lang w:val="en-AU" w:eastAsia="en-US"/>
        </w:rPr>
        <w:t>reablement and restorative care</w:t>
      </w:r>
      <w:r w:rsidR="00C31422">
        <w:rPr>
          <w:rFonts w:eastAsia="Times New Roman"/>
          <w:lang w:val="en-AU" w:eastAsia="en-US"/>
        </w:rPr>
        <w:t>.</w:t>
      </w:r>
    </w:p>
    <w:p w:rsidR="00F3603B" w:rsidRPr="00EA2D80" w:rsidRDefault="00F3603B" w:rsidP="00F43DD9">
      <w:pPr>
        <w:numPr>
          <w:ilvl w:val="1"/>
          <w:numId w:val="9"/>
        </w:numPr>
        <w:spacing w:before="60" w:after="60"/>
        <w:ind w:left="709" w:hanging="425"/>
        <w:rPr>
          <w:rFonts w:eastAsia="Times New Roman"/>
          <w:lang w:val="en-AU" w:eastAsia="en-US"/>
        </w:rPr>
      </w:pPr>
      <w:r w:rsidRPr="00EA2D80">
        <w:rPr>
          <w:rFonts w:eastAsia="Times New Roman"/>
          <w:lang w:val="en-AU" w:eastAsia="en-US"/>
        </w:rPr>
        <w:t>Greater assessor knowledge and use of assistive technologies, aids and equipment to support self-managem</w:t>
      </w:r>
      <w:r w:rsidR="00C31422">
        <w:rPr>
          <w:rFonts w:eastAsia="Times New Roman"/>
          <w:lang w:val="en-AU" w:eastAsia="en-US"/>
        </w:rPr>
        <w:t>ent and consumer independence.</w:t>
      </w:r>
    </w:p>
    <w:p w:rsidR="00F3603B" w:rsidRDefault="00F3603B" w:rsidP="00C31422">
      <w:pPr>
        <w:pStyle w:val="Heading1"/>
      </w:pPr>
      <w:bookmarkStart w:id="17" w:name="_Toc4069073"/>
      <w:r w:rsidRPr="00626965">
        <w:t>Linking support</w:t>
      </w:r>
      <w:bookmarkEnd w:id="17"/>
    </w:p>
    <w:p w:rsidR="00F66646" w:rsidRDefault="00F66646" w:rsidP="00F666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 w:val="0"/>
      </w:pPr>
      <w:r w:rsidRPr="00F27094">
        <w:t xml:space="preserve">Most stakeholders </w:t>
      </w:r>
      <w:r>
        <w:t xml:space="preserve">indicated it was appropriate and necessary </w:t>
      </w:r>
      <w:r w:rsidRPr="00F27094">
        <w:t>for the national assessment workforce</w:t>
      </w:r>
      <w:r>
        <w:t xml:space="preserve"> </w:t>
      </w:r>
      <w:r w:rsidRPr="00F27094">
        <w:t>to support vulnerable clients</w:t>
      </w:r>
      <w:r w:rsidR="00B92CF6">
        <w:t xml:space="preserve"> through a short-term linking role</w:t>
      </w:r>
      <w:r w:rsidR="00C31422">
        <w:t>.</w:t>
      </w:r>
    </w:p>
    <w:p w:rsidR="00F3603B" w:rsidRDefault="00F3603B" w:rsidP="00F360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 w:val="0"/>
      </w:pPr>
      <w:r w:rsidRPr="00780D6D">
        <w:t xml:space="preserve">Many </w:t>
      </w:r>
      <w:r>
        <w:t xml:space="preserve">emphasised that effective linking support </w:t>
      </w:r>
      <w:r w:rsidR="007554AB">
        <w:t xml:space="preserve">would </w:t>
      </w:r>
      <w:r>
        <w:t>require partnerships with local service providers</w:t>
      </w:r>
      <w:r w:rsidR="007554AB">
        <w:t xml:space="preserve"> and </w:t>
      </w:r>
      <w:r>
        <w:t xml:space="preserve">protocols </w:t>
      </w:r>
      <w:r w:rsidR="007554AB">
        <w:t xml:space="preserve">for working </w:t>
      </w:r>
      <w:r>
        <w:t>with advocacy services and a</w:t>
      </w:r>
      <w:r w:rsidRPr="0043089C">
        <w:t xml:space="preserve">ged </w:t>
      </w:r>
      <w:r>
        <w:t>c</w:t>
      </w:r>
      <w:r w:rsidRPr="0043089C">
        <w:t xml:space="preserve">are </w:t>
      </w:r>
      <w:r>
        <w:t>s</w:t>
      </w:r>
      <w:r w:rsidRPr="0043089C">
        <w:t xml:space="preserve">ystem </w:t>
      </w:r>
      <w:r>
        <w:t>n</w:t>
      </w:r>
      <w:r w:rsidRPr="0043089C">
        <w:t>avigators.</w:t>
      </w:r>
    </w:p>
    <w:p w:rsidR="00F3603B" w:rsidRDefault="00B92CF6" w:rsidP="00F360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 w:val="0"/>
      </w:pPr>
      <w:r>
        <w:t>The following suggestions were ma</w:t>
      </w:r>
      <w:r w:rsidR="00C31422">
        <w:t>de to support linking services:</w:t>
      </w:r>
    </w:p>
    <w:p w:rsidR="00F3603B" w:rsidRDefault="00F66646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Enabling s</w:t>
      </w:r>
      <w:r w:rsidR="00F3603B">
        <w:t xml:space="preserve">elf-referral for </w:t>
      </w:r>
      <w:r w:rsidR="00F3603B" w:rsidRPr="00EA2D80">
        <w:t xml:space="preserve">all assessors (i.e. </w:t>
      </w:r>
      <w:r w:rsidR="00C31422">
        <w:t>bypassing the Contact Centre).</w:t>
      </w:r>
    </w:p>
    <w:p w:rsidR="00F3603B" w:rsidRDefault="00B92CF6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I</w:t>
      </w:r>
      <w:r w:rsidR="00F3603B" w:rsidRPr="0009285A">
        <w:t>mprove</w:t>
      </w:r>
      <w:r>
        <w:t>d</w:t>
      </w:r>
      <w:r w:rsidR="00F3603B" w:rsidRPr="0009285A">
        <w:t xml:space="preserve"> </w:t>
      </w:r>
      <w:r w:rsidR="00F3603B">
        <w:t xml:space="preserve">identification of </w:t>
      </w:r>
      <w:r w:rsidR="00F3603B" w:rsidRPr="0009285A">
        <w:t>vulnerable clients</w:t>
      </w:r>
      <w:r>
        <w:t xml:space="preserve"> through the triage process</w:t>
      </w:r>
      <w:r w:rsidR="00F3603B">
        <w:t>.</w:t>
      </w:r>
    </w:p>
    <w:p w:rsidR="00F3603B" w:rsidRDefault="00734C50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 xml:space="preserve">The use of </w:t>
      </w:r>
      <w:r w:rsidR="00F3603B">
        <w:t>dedicated l</w:t>
      </w:r>
      <w:r w:rsidR="00C31422">
        <w:t>inking expertise within teams.</w:t>
      </w:r>
    </w:p>
    <w:p w:rsidR="00F3603B" w:rsidRDefault="00734C50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C</w:t>
      </w:r>
      <w:r w:rsidR="00F3603B">
        <w:t>ompulsory training and ongoing professional development.</w:t>
      </w:r>
    </w:p>
    <w:p w:rsidR="00F3603B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 xml:space="preserve">Improvements to </w:t>
      </w:r>
      <w:r w:rsidR="00734C50">
        <w:t xml:space="preserve">the </w:t>
      </w:r>
      <w:r>
        <w:t>My Aged Care system</w:t>
      </w:r>
      <w:r w:rsidRPr="00A96487">
        <w:t xml:space="preserve"> </w:t>
      </w:r>
      <w:r w:rsidR="00734C50">
        <w:t xml:space="preserve">to </w:t>
      </w:r>
      <w:r w:rsidRPr="00A96487">
        <w:t>collect</w:t>
      </w:r>
      <w:r w:rsidR="00734C50">
        <w:t xml:space="preserve"> data </w:t>
      </w:r>
      <w:r>
        <w:t xml:space="preserve">on </w:t>
      </w:r>
      <w:r w:rsidRPr="00A96487">
        <w:t>vulnerable groups</w:t>
      </w:r>
      <w:r w:rsidR="00734C50">
        <w:t xml:space="preserve"> and </w:t>
      </w:r>
      <w:r>
        <w:t xml:space="preserve">allow linking support at any time including </w:t>
      </w:r>
      <w:r w:rsidRPr="00105AB6">
        <w:t>assessment</w:t>
      </w:r>
      <w:r>
        <w:t xml:space="preserve"> and </w:t>
      </w:r>
      <w:r w:rsidR="00C31422">
        <w:t>support plan review.</w:t>
      </w:r>
    </w:p>
    <w:p w:rsidR="00F3603B" w:rsidRPr="00C11765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Consideration of block funding for linking support, with appropriate performance measures</w:t>
      </w:r>
      <w:r w:rsidR="00C31422">
        <w:t>.</w:t>
      </w:r>
    </w:p>
    <w:p w:rsidR="00F3603B" w:rsidRDefault="00F3603B" w:rsidP="00C314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 w:val="0"/>
      </w:pPr>
      <w:r>
        <w:t xml:space="preserve">Many stakeholders noted there is a growing workload associated with supporting vulnerable clients who are waiting for home care packages. Some stakeholders </w:t>
      </w:r>
      <w:r w:rsidR="007554AB">
        <w:t xml:space="preserve">suggested that </w:t>
      </w:r>
      <w:r>
        <w:t xml:space="preserve">medium to long-term case management </w:t>
      </w:r>
      <w:r w:rsidR="007554AB">
        <w:t xml:space="preserve">be considered </w:t>
      </w:r>
      <w:r>
        <w:t xml:space="preserve">as a service type for providers in rural and remote </w:t>
      </w:r>
      <w:r>
        <w:lastRenderedPageBreak/>
        <w:t xml:space="preserve">areas and </w:t>
      </w:r>
      <w:r w:rsidR="007554AB">
        <w:t xml:space="preserve">for </w:t>
      </w:r>
      <w:r w:rsidR="00734C50">
        <w:t xml:space="preserve">those </w:t>
      </w:r>
      <w:r w:rsidRPr="00C11765">
        <w:t>who specialise in provision of services to vulnerable</w:t>
      </w:r>
      <w:r>
        <w:t xml:space="preserve"> clients</w:t>
      </w:r>
      <w:r w:rsidRPr="00C11765">
        <w:t>.</w:t>
      </w:r>
      <w:bookmarkStart w:id="18" w:name="_Toc4069075"/>
      <w:r w:rsidR="00C31422">
        <w:t xml:space="preserve"> </w:t>
      </w:r>
      <w:r>
        <w:t>Key benefits</w:t>
      </w:r>
      <w:r w:rsidR="00734C50">
        <w:t xml:space="preserve"> and </w:t>
      </w:r>
      <w:r>
        <w:t>risks</w:t>
      </w:r>
      <w:bookmarkEnd w:id="18"/>
    </w:p>
    <w:p w:rsidR="00F3603B" w:rsidRDefault="00734C50" w:rsidP="00F360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 w:val="0"/>
      </w:pPr>
      <w:r>
        <w:t xml:space="preserve">Most stakeholders identified the </w:t>
      </w:r>
      <w:r w:rsidR="00F3603B">
        <w:t>key benefit of a streamlined model as s</w:t>
      </w:r>
      <w:r w:rsidR="00F3603B" w:rsidRPr="000D076D">
        <w:t>implif</w:t>
      </w:r>
      <w:r w:rsidR="00B92CF6">
        <w:t xml:space="preserve">ying </w:t>
      </w:r>
      <w:r w:rsidR="00F3603B" w:rsidRPr="000D076D">
        <w:t>the client’s aged care journey</w:t>
      </w:r>
      <w:r w:rsidR="00B92CF6">
        <w:t xml:space="preserve"> through </w:t>
      </w:r>
      <w:r w:rsidR="00F3603B" w:rsidRPr="000D076D">
        <w:t>less confusion</w:t>
      </w:r>
      <w:r w:rsidR="00F3603B">
        <w:t xml:space="preserve">, delays and </w:t>
      </w:r>
      <w:r w:rsidR="00F3603B" w:rsidRPr="000D076D">
        <w:t>duplication</w:t>
      </w:r>
      <w:r w:rsidR="00F3603B">
        <w:t>.</w:t>
      </w:r>
      <w:r w:rsidR="00F3603B" w:rsidRPr="00B021B4">
        <w:t xml:space="preserve"> </w:t>
      </w:r>
      <w:r w:rsidR="00F3603B">
        <w:t>Stakeholders</w:t>
      </w:r>
      <w:r>
        <w:t> </w:t>
      </w:r>
      <w:r w:rsidR="00F3603B">
        <w:t>identified other key benefits including:</w:t>
      </w:r>
    </w:p>
    <w:p w:rsidR="00F3603B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Expedited access to time-limited single CHSP service.</w:t>
      </w:r>
    </w:p>
    <w:p w:rsidR="00F3603B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Stronger emphasis on well</w:t>
      </w:r>
      <w:r w:rsidR="00C31422">
        <w:t>ness and reablement approaches.</w:t>
      </w:r>
    </w:p>
    <w:p w:rsidR="00F3603B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A more efficient and consistent assessment experience.</w:t>
      </w:r>
    </w:p>
    <w:p w:rsidR="00F3603B" w:rsidRDefault="00F3603B" w:rsidP="00F43DD9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Greater transparency of assessment performance and unmet demand.</w:t>
      </w:r>
    </w:p>
    <w:p w:rsidR="00F3603B" w:rsidRPr="00AA3AC7" w:rsidRDefault="00F3603B" w:rsidP="00F3603B">
      <w:pPr>
        <w:pStyle w:val="ListParagraph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284" w:hanging="284"/>
        <w:contextualSpacing w:val="0"/>
      </w:pPr>
      <w:r>
        <w:t xml:space="preserve">The </w:t>
      </w:r>
      <w:r w:rsidRPr="00AA3AC7">
        <w:t xml:space="preserve">key risk of a streamlined model </w:t>
      </w:r>
      <w:r>
        <w:t>f</w:t>
      </w:r>
      <w:r w:rsidR="00734C50">
        <w:t>o</w:t>
      </w:r>
      <w:r>
        <w:t xml:space="preserve">r most stakeholders was </w:t>
      </w:r>
      <w:r w:rsidRPr="00AA3AC7">
        <w:t xml:space="preserve">de-skilling </w:t>
      </w:r>
      <w:r>
        <w:t>the assessment</w:t>
      </w:r>
      <w:r w:rsidR="00B92CF6">
        <w:t xml:space="preserve"> </w:t>
      </w:r>
      <w:r w:rsidRPr="00AA3AC7">
        <w:t xml:space="preserve">workforce through loss of clinical expertise and knowledge. </w:t>
      </w:r>
      <w:r w:rsidR="00734C50">
        <w:t>Other risks identified included: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 xml:space="preserve">Backlog of </w:t>
      </w:r>
      <w:r w:rsidRPr="00AA3AC7">
        <w:t>assessment during transition, impacting access and continuity of care</w:t>
      </w:r>
      <w:r>
        <w:t>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AA3AC7">
        <w:t xml:space="preserve">Breaking </w:t>
      </w:r>
      <w:r>
        <w:t xml:space="preserve">existing </w:t>
      </w:r>
      <w:r w:rsidRPr="00AA3AC7">
        <w:t>relationships between assessors, providers and health services</w:t>
      </w:r>
      <w:r>
        <w:t>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AA3AC7">
        <w:t>Lack of sector readiness and training for system changes</w:t>
      </w:r>
      <w:r>
        <w:t>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AA3AC7">
        <w:t>Conflicts of interest within assessment organisations</w:t>
      </w:r>
      <w:r>
        <w:t>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 xml:space="preserve">Unintended consequences of </w:t>
      </w:r>
      <w:r w:rsidRPr="00AA3AC7">
        <w:t>funding model and performance framework</w:t>
      </w:r>
      <w:r>
        <w:t>.</w:t>
      </w:r>
    </w:p>
    <w:p w:rsidR="00F3603B" w:rsidRPr="009953DE" w:rsidRDefault="00734C50" w:rsidP="00F43DD9">
      <w:pPr>
        <w:pStyle w:val="ListParagraph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284" w:hanging="284"/>
        <w:contextualSpacing w:val="0"/>
      </w:pPr>
      <w:r w:rsidRPr="009953DE">
        <w:t>T</w:t>
      </w:r>
      <w:r w:rsidR="00F3603B" w:rsidRPr="009953DE">
        <w:t>he following mitigation strategies</w:t>
      </w:r>
      <w:r w:rsidRPr="009953DE">
        <w:t xml:space="preserve"> were suggested: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AA3AC7">
        <w:t>Qualification requirements for assessors</w:t>
      </w:r>
      <w:r>
        <w:t>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AA3AC7">
        <w:t>Sufficient lead-time for implementation, workforce transition</w:t>
      </w:r>
      <w:r w:rsidR="00B92CF6">
        <w:t xml:space="preserve"> and </w:t>
      </w:r>
      <w:r w:rsidRPr="00AA3AC7">
        <w:t>change management</w:t>
      </w:r>
      <w:r>
        <w:t>.</w:t>
      </w:r>
    </w:p>
    <w:p w:rsidR="00F3603B" w:rsidRPr="00D4564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 w:rsidRPr="00D45647">
        <w:t xml:space="preserve">Expansion of quality assurance measures </w:t>
      </w:r>
      <w:r w:rsidR="00D45647" w:rsidRPr="00D45647">
        <w:t xml:space="preserve">including external audit processes, </w:t>
      </w:r>
      <w:r w:rsidRPr="00D45647">
        <w:t>clinical governance</w:t>
      </w:r>
      <w:r w:rsidR="00D45647" w:rsidRPr="00D45647">
        <w:t xml:space="preserve"> protocols</w:t>
      </w:r>
      <w:r w:rsidRPr="00D45647">
        <w:t>, performance reporting and c</w:t>
      </w:r>
      <w:r w:rsidR="00C31422">
        <w:t>onflict of interest management.</w:t>
      </w:r>
    </w:p>
    <w:p w:rsidR="00F3603B" w:rsidRPr="00AA3AC7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R</w:t>
      </w:r>
      <w:r w:rsidRPr="00AA3AC7">
        <w:t xml:space="preserve">etaining state and territory </w:t>
      </w:r>
      <w:r>
        <w:t xml:space="preserve">government involvement </w:t>
      </w:r>
      <w:r w:rsidRPr="00AA3AC7">
        <w:t>in</w:t>
      </w:r>
      <w:r>
        <w:t xml:space="preserve"> </w:t>
      </w:r>
      <w:r w:rsidRPr="00AA3AC7">
        <w:t xml:space="preserve">hospital </w:t>
      </w:r>
      <w:r>
        <w:t xml:space="preserve">settings </w:t>
      </w:r>
      <w:r w:rsidRPr="00AA3AC7">
        <w:t>and remote areas</w:t>
      </w:r>
      <w:r>
        <w:t>.</w:t>
      </w:r>
    </w:p>
    <w:p w:rsidR="00F3603B" w:rsidRPr="00AA3AC7" w:rsidRDefault="00B92CF6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 xml:space="preserve">An appropriate </w:t>
      </w:r>
      <w:r w:rsidR="00F3603B">
        <w:t>f</w:t>
      </w:r>
      <w:r w:rsidR="00F3603B" w:rsidRPr="00AA3AC7">
        <w:t>unding model and performance framework</w:t>
      </w:r>
      <w:r w:rsidR="00F3603B">
        <w:t>.</w:t>
      </w:r>
    </w:p>
    <w:p w:rsidR="00F3603B" w:rsidRDefault="00F3603B" w:rsidP="00F43DD9">
      <w:pPr>
        <w:pStyle w:val="ListParagraph"/>
        <w:numPr>
          <w:ilvl w:val="1"/>
          <w:numId w:val="13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before="60" w:after="60"/>
        <w:ind w:left="709" w:hanging="425"/>
        <w:contextualSpacing w:val="0"/>
      </w:pPr>
      <w:r>
        <w:t>F</w:t>
      </w:r>
      <w:r w:rsidRPr="00AA3AC7">
        <w:t>urther consultation with the sector on the model</w:t>
      </w:r>
      <w:r>
        <w:t>.</w:t>
      </w:r>
    </w:p>
    <w:p w:rsidR="00F3603B" w:rsidRDefault="00F3603B" w:rsidP="00C31422">
      <w:pPr>
        <w:pStyle w:val="Heading1"/>
      </w:pPr>
      <w:bookmarkStart w:id="19" w:name="_Toc4069076"/>
      <w:r w:rsidRPr="00564BFA">
        <w:t>Implementation and transition issues</w:t>
      </w:r>
      <w:bookmarkEnd w:id="19"/>
    </w:p>
    <w:p w:rsidR="00F3603B" w:rsidRPr="003B6E9B" w:rsidRDefault="00947B42" w:rsidP="00F3603B">
      <w:pPr>
        <w:spacing w:before="60" w:after="60"/>
        <w:rPr>
          <w:rFonts w:cs="Calibri"/>
        </w:rPr>
      </w:pPr>
      <w:r>
        <w:rPr>
          <w:rFonts w:cs="Calibri"/>
        </w:rPr>
        <w:t xml:space="preserve">Additional </w:t>
      </w:r>
      <w:r w:rsidR="00F3603B" w:rsidRPr="003B6E9B">
        <w:rPr>
          <w:rFonts w:cs="Calibri"/>
        </w:rPr>
        <w:t>implementation and transition considerations</w:t>
      </w:r>
      <w:r w:rsidR="00F3603B">
        <w:rPr>
          <w:rFonts w:cs="Calibri"/>
        </w:rPr>
        <w:t xml:space="preserve"> for a streamlined consumer assessment model</w:t>
      </w:r>
      <w:r>
        <w:rPr>
          <w:rFonts w:cs="Calibri"/>
        </w:rPr>
        <w:t xml:space="preserve"> included</w:t>
      </w:r>
      <w:r w:rsidR="00F3603B" w:rsidRPr="003B6E9B">
        <w:rPr>
          <w:rFonts w:cs="Calibri"/>
        </w:rPr>
        <w:t>:</w:t>
      </w:r>
    </w:p>
    <w:p w:rsidR="00F3603B" w:rsidRPr="003B6E9B" w:rsidRDefault="00F3603B" w:rsidP="00F3603B">
      <w:pPr>
        <w:numPr>
          <w:ilvl w:val="0"/>
          <w:numId w:val="11"/>
        </w:numPr>
        <w:spacing w:before="60" w:after="60"/>
        <w:ind w:left="284" w:hanging="284"/>
        <w:rPr>
          <w:rFonts w:eastAsia="Times New Roman" w:cs="Calibri"/>
          <w:lang w:val="en-AU" w:eastAsia="en-US"/>
        </w:rPr>
      </w:pPr>
      <w:r w:rsidRPr="003B6E9B">
        <w:rPr>
          <w:rFonts w:eastAsia="Times New Roman" w:cs="Calibri"/>
          <w:lang w:val="en-AU" w:eastAsia="en-US"/>
        </w:rPr>
        <w:t xml:space="preserve">Phased implementation to support continuity of care for clients </w:t>
      </w:r>
      <w:r>
        <w:rPr>
          <w:rFonts w:eastAsia="Times New Roman" w:cs="Calibri"/>
          <w:lang w:val="en-AU" w:eastAsia="en-US"/>
        </w:rPr>
        <w:t xml:space="preserve">during </w:t>
      </w:r>
      <w:r w:rsidRPr="003B6E9B">
        <w:rPr>
          <w:rFonts w:eastAsia="Times New Roman" w:cs="Calibri"/>
          <w:lang w:val="en-AU" w:eastAsia="en-US"/>
        </w:rPr>
        <w:t>transition.</w:t>
      </w:r>
    </w:p>
    <w:p w:rsidR="00F3603B" w:rsidRPr="003B6E9B" w:rsidRDefault="00947B42" w:rsidP="00F3603B">
      <w:pPr>
        <w:numPr>
          <w:ilvl w:val="0"/>
          <w:numId w:val="11"/>
        </w:numPr>
        <w:spacing w:before="60" w:after="60"/>
        <w:ind w:left="284" w:hanging="284"/>
        <w:rPr>
          <w:rFonts w:eastAsia="Times New Roman" w:cs="Calibri"/>
          <w:lang w:val="en-AU" w:eastAsia="en-US"/>
        </w:rPr>
      </w:pPr>
      <w:r>
        <w:rPr>
          <w:rFonts w:eastAsia="Times New Roman" w:cs="Calibri"/>
          <w:lang w:val="en-AU" w:eastAsia="en-US"/>
        </w:rPr>
        <w:t>C</w:t>
      </w:r>
      <w:r w:rsidRPr="003B6E9B">
        <w:rPr>
          <w:rFonts w:eastAsia="Times New Roman" w:cs="Calibri"/>
          <w:lang w:val="en-AU" w:eastAsia="en-US"/>
        </w:rPr>
        <w:t xml:space="preserve">ommunication, training and support for </w:t>
      </w:r>
      <w:r w:rsidR="00F3603B">
        <w:rPr>
          <w:rFonts w:eastAsia="Times New Roman" w:cs="Calibri"/>
          <w:lang w:val="en-AU" w:eastAsia="en-US"/>
        </w:rPr>
        <w:t>s</w:t>
      </w:r>
      <w:r w:rsidR="00F3603B" w:rsidRPr="003B6E9B">
        <w:rPr>
          <w:rFonts w:eastAsia="Times New Roman" w:cs="Calibri"/>
          <w:lang w:val="en-AU" w:eastAsia="en-US"/>
        </w:rPr>
        <w:t>ystem changes to My Aged Care.</w:t>
      </w:r>
    </w:p>
    <w:p w:rsidR="00F3603B" w:rsidRPr="00ED29D7" w:rsidRDefault="00F3603B" w:rsidP="00F43DD9">
      <w:pPr>
        <w:numPr>
          <w:ilvl w:val="0"/>
          <w:numId w:val="11"/>
        </w:numPr>
        <w:spacing w:before="60" w:after="60"/>
        <w:ind w:left="284" w:hanging="284"/>
        <w:rPr>
          <w:rFonts w:cs="Calibri"/>
        </w:rPr>
      </w:pPr>
      <w:r w:rsidRPr="00F43DD9">
        <w:rPr>
          <w:rFonts w:eastAsia="Times New Roman" w:cs="Calibri"/>
          <w:lang w:val="en-AU" w:eastAsia="en-US"/>
        </w:rPr>
        <w:t>Ongoing engagement wi</w:t>
      </w:r>
      <w:r w:rsidR="00C31422">
        <w:rPr>
          <w:rFonts w:eastAsia="Times New Roman" w:cs="Calibri"/>
          <w:lang w:val="en-AU" w:eastAsia="en-US"/>
        </w:rPr>
        <w:t>th health professional groups.</w:t>
      </w:r>
    </w:p>
    <w:p w:rsidR="008665C4" w:rsidRPr="00C9543F" w:rsidRDefault="00947B42" w:rsidP="00F43DD9">
      <w:pPr>
        <w:numPr>
          <w:ilvl w:val="0"/>
          <w:numId w:val="11"/>
        </w:numPr>
        <w:spacing w:before="60" w:after="60"/>
        <w:ind w:left="284" w:hanging="284"/>
      </w:pPr>
      <w:r>
        <w:rPr>
          <w:rFonts w:eastAsia="Times New Roman" w:cs="Calibri"/>
          <w:lang w:val="en-AU" w:eastAsia="en-US"/>
        </w:rPr>
        <w:t>Building on the o</w:t>
      </w:r>
      <w:r w:rsidR="00F3603B" w:rsidRPr="00947B42">
        <w:rPr>
          <w:rFonts w:eastAsia="Times New Roman" w:cs="Calibri"/>
          <w:lang w:val="en-AU" w:eastAsia="en-US"/>
        </w:rPr>
        <w:t>utcomes</w:t>
      </w:r>
      <w:r w:rsidR="00F3603B" w:rsidRPr="00C9543F">
        <w:rPr>
          <w:rFonts w:cs="Calibri"/>
        </w:rPr>
        <w:t xml:space="preserve"> from trials of reablement-focussed assessment a</w:t>
      </w:r>
      <w:r w:rsidR="00C31422">
        <w:rPr>
          <w:rFonts w:cs="Calibri"/>
        </w:rPr>
        <w:t>nd aged care system navigation.</w:t>
      </w:r>
    </w:p>
    <w:p w:rsidR="009953DE" w:rsidRPr="00A43434" w:rsidRDefault="009953DE" w:rsidP="00C31422">
      <w:pPr>
        <w:pStyle w:val="Heading1"/>
        <w:pageBreakBefore/>
      </w:pPr>
      <w:bookmarkStart w:id="20" w:name="_Toc501634253"/>
      <w:bookmarkStart w:id="21" w:name="_Attachment_A"/>
      <w:bookmarkEnd w:id="0"/>
      <w:bookmarkEnd w:id="21"/>
      <w:r w:rsidRPr="004A0AC6">
        <w:lastRenderedPageBreak/>
        <w:t>Attachment A</w:t>
      </w:r>
      <w:bookmarkStart w:id="22" w:name="_Toc501634254"/>
      <w:bookmarkEnd w:id="20"/>
      <w:r w:rsidR="00C31422">
        <w:t xml:space="preserve"> </w:t>
      </w:r>
      <w:r w:rsidR="00C31422" w:rsidRPr="00C31422">
        <w:t>–</w:t>
      </w:r>
      <w:r w:rsidR="00C31422">
        <w:t xml:space="preserve"> </w:t>
      </w:r>
      <w:r w:rsidRPr="00A43434">
        <w:t>Profile of submissions, based on stakeholder category and location</w:t>
      </w:r>
      <w:bookmarkStart w:id="23" w:name="_GoBack"/>
      <w:bookmarkEnd w:id="22"/>
      <w:bookmarkEnd w:id="23"/>
    </w:p>
    <w:p w:rsidR="009953DE" w:rsidRDefault="009953DE" w:rsidP="009953DE">
      <w:pPr>
        <w:spacing w:before="60" w:after="60"/>
        <w:rPr>
          <w:rFonts w:eastAsia="Times New Roman" w:cs="Calibri"/>
          <w:lang w:val="en-AU" w:eastAsia="en-US"/>
        </w:rPr>
      </w:pPr>
      <w:r w:rsidRPr="00A43434">
        <w:rPr>
          <w:rFonts w:eastAsia="Times New Roman" w:cs="Calibri"/>
          <w:lang w:val="en-AU" w:eastAsia="en-US"/>
        </w:rPr>
        <w:t>The Department received 223 submissions from a wide range of stakeholders across jurisdictions. A break</w:t>
      </w:r>
      <w:r w:rsidRPr="00A43434">
        <w:rPr>
          <w:rFonts w:eastAsia="Times New Roman" w:cs="Calibri"/>
          <w:lang w:val="en-AU" w:eastAsia="en-US"/>
        </w:rPr>
        <w:noBreakHyphen/>
        <w:t>down of the stakeholder categories and state/territory in which the stakeholders operat</w:t>
      </w:r>
      <w:r w:rsidR="00C31422">
        <w:rPr>
          <w:rFonts w:eastAsia="Times New Roman" w:cs="Calibri"/>
          <w:lang w:val="en-AU" w:eastAsia="en-US"/>
        </w:rPr>
        <w:t>e or reside is presented below.</w:t>
      </w:r>
    </w:p>
    <w:p w:rsidR="00C31422" w:rsidRDefault="00C31422" w:rsidP="009953DE">
      <w:pPr>
        <w:spacing w:before="60" w:after="60"/>
        <w:rPr>
          <w:rFonts w:eastAsia="Times New Roman" w:cs="Calibri"/>
          <w:lang w:val="en-AU" w:eastAsia="en-US"/>
        </w:rPr>
      </w:pPr>
      <w:r>
        <w:rPr>
          <w:noProof/>
          <w:lang w:val="en-AU" w:eastAsia="en-AU"/>
        </w:rPr>
        <w:drawing>
          <wp:inline distT="0" distB="0" distL="0" distR="0">
            <wp:extent cx="6193155" cy="5055806"/>
            <wp:effectExtent l="0" t="0" r="0" b="0"/>
            <wp:docPr id="2" name="Picture 2" descr="Two bar graphs showing the break down of the stakeholder categories and state/territory in which the stakeholders operate or reside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che\AppData\Local\Temp\3\SNAGHTML1755ee5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50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22" w:rsidRDefault="00C31422" w:rsidP="00C31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before="3000" w:after="60"/>
        <w:ind w:left="5670"/>
        <w:rPr>
          <w:rFonts w:eastAsia="Times New Roman" w:cs="Calibri"/>
          <w:lang w:val="en-AU" w:eastAsia="en-US"/>
        </w:rPr>
      </w:pPr>
      <w:r w:rsidRPr="00C31422">
        <w:rPr>
          <w:rStyle w:val="Strong"/>
          <w:lang w:val="en-AU" w:eastAsia="en-US"/>
        </w:rPr>
        <w:t>Note:</w:t>
      </w:r>
      <w:r w:rsidRPr="00C31422">
        <w:rPr>
          <w:rFonts w:eastAsia="Times New Roman" w:cs="Calibri"/>
          <w:lang w:val="en-AU" w:eastAsia="en-US"/>
        </w:rPr>
        <w:t xml:space="preserve"> Stakeholder could select more than one category and state/territory.</w:t>
      </w:r>
    </w:p>
    <w:sectPr w:rsidR="00C31422" w:rsidSect="009953DE"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134" w:right="1077" w:bottom="851" w:left="1077" w:header="284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C1" w:rsidRDefault="00BB69C1">
      <w:r>
        <w:separator/>
      </w:r>
    </w:p>
  </w:endnote>
  <w:endnote w:type="continuationSeparator" w:id="0">
    <w:p w:rsidR="00BB69C1" w:rsidRDefault="00BB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B8" w:rsidRDefault="005931B8" w:rsidP="00743B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1B8" w:rsidRDefault="005931B8" w:rsidP="007E0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B8" w:rsidRPr="007A6432" w:rsidRDefault="005931B8" w:rsidP="00743BF3">
    <w:pPr>
      <w:pStyle w:val="Footer"/>
      <w:framePr w:wrap="none" w:vAnchor="text" w:hAnchor="margin" w:xAlign="right" w:y="1"/>
      <w:rPr>
        <w:rStyle w:val="PageNumber"/>
        <w:b w:val="0"/>
        <w:sz w:val="22"/>
        <w:szCs w:val="22"/>
      </w:rPr>
    </w:pPr>
    <w:r w:rsidRPr="007A6432">
      <w:rPr>
        <w:rStyle w:val="PageNumber"/>
        <w:b w:val="0"/>
        <w:sz w:val="22"/>
        <w:szCs w:val="22"/>
      </w:rPr>
      <w:fldChar w:fldCharType="begin"/>
    </w:r>
    <w:r w:rsidRPr="007A6432">
      <w:rPr>
        <w:rStyle w:val="PageNumber"/>
        <w:b w:val="0"/>
        <w:sz w:val="22"/>
        <w:szCs w:val="22"/>
      </w:rPr>
      <w:instrText xml:space="preserve">PAGE  </w:instrText>
    </w:r>
    <w:r w:rsidRPr="007A6432">
      <w:rPr>
        <w:rStyle w:val="PageNumber"/>
        <w:b w:val="0"/>
        <w:sz w:val="22"/>
        <w:szCs w:val="22"/>
      </w:rPr>
      <w:fldChar w:fldCharType="separate"/>
    </w:r>
    <w:r w:rsidR="00C31422">
      <w:rPr>
        <w:rStyle w:val="PageNumber"/>
        <w:b w:val="0"/>
        <w:noProof/>
        <w:sz w:val="22"/>
        <w:szCs w:val="22"/>
      </w:rPr>
      <w:t>7</w:t>
    </w:r>
    <w:r w:rsidRPr="007A6432">
      <w:rPr>
        <w:rStyle w:val="PageNumber"/>
        <w:b w:val="0"/>
        <w:sz w:val="22"/>
        <w:szCs w:val="22"/>
      </w:rPr>
      <w:fldChar w:fldCharType="end"/>
    </w:r>
  </w:p>
  <w:p w:rsidR="005931B8" w:rsidRPr="00174B37" w:rsidRDefault="005931B8" w:rsidP="00174B37">
    <w:pPr>
      <w:pStyle w:val="Footer"/>
      <w:ind w:right="360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B8" w:rsidRPr="00F43DD9" w:rsidRDefault="005931B8" w:rsidP="00174B37">
    <w:pPr>
      <w:pStyle w:val="Footer"/>
      <w:tabs>
        <w:tab w:val="left" w:pos="4119"/>
      </w:tabs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C1" w:rsidRDefault="00BB69C1">
      <w:r>
        <w:separator/>
      </w:r>
    </w:p>
  </w:footnote>
  <w:footnote w:type="continuationSeparator" w:id="0">
    <w:p w:rsidR="00BB69C1" w:rsidRDefault="00BB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B8" w:rsidRDefault="005931B8" w:rsidP="006D3702">
    <w:pPr>
      <w:pStyle w:val="Header"/>
      <w:jc w:val="right"/>
      <w:rPr>
        <w:i/>
        <w:sz w:val="20"/>
        <w:szCs w:val="20"/>
      </w:rPr>
    </w:pPr>
    <w:r w:rsidRPr="00855BC4">
      <w:rPr>
        <w:i/>
        <w:sz w:val="20"/>
        <w:szCs w:val="20"/>
      </w:rPr>
      <w:t xml:space="preserve">Summary report – Key insights from </w:t>
    </w:r>
    <w:r>
      <w:rPr>
        <w:i/>
        <w:sz w:val="20"/>
        <w:szCs w:val="20"/>
      </w:rPr>
      <w:t xml:space="preserve">Streamlined Consumer Assessment for Aged Care </w:t>
    </w:r>
    <w:r w:rsidRPr="00855BC4">
      <w:rPr>
        <w:i/>
        <w:sz w:val="20"/>
        <w:szCs w:val="20"/>
      </w:rPr>
      <w:t>consultation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DC0"/>
    <w:multiLevelType w:val="hybridMultilevel"/>
    <w:tmpl w:val="533C8F26"/>
    <w:lvl w:ilvl="0" w:tplc="C5107D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1C0CCE"/>
    <w:multiLevelType w:val="hybridMultilevel"/>
    <w:tmpl w:val="EA148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B1D"/>
    <w:multiLevelType w:val="hybridMultilevel"/>
    <w:tmpl w:val="4B76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1DE"/>
    <w:multiLevelType w:val="hybridMultilevel"/>
    <w:tmpl w:val="4FE468C6"/>
    <w:lvl w:ilvl="0" w:tplc="17BC0C6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431D6"/>
    <w:multiLevelType w:val="hybridMultilevel"/>
    <w:tmpl w:val="C7685B4A"/>
    <w:lvl w:ilvl="0" w:tplc="D5B8A77C">
      <w:start w:val="22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DB7B84"/>
    <w:multiLevelType w:val="hybridMultilevel"/>
    <w:tmpl w:val="4272826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30BA"/>
    <w:multiLevelType w:val="hybridMultilevel"/>
    <w:tmpl w:val="808E3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67032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A24F6"/>
    <w:multiLevelType w:val="hybridMultilevel"/>
    <w:tmpl w:val="498A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6DA6"/>
    <w:multiLevelType w:val="hybridMultilevel"/>
    <w:tmpl w:val="8B1E7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5148"/>
    <w:multiLevelType w:val="hybridMultilevel"/>
    <w:tmpl w:val="EC5C4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0B26"/>
    <w:multiLevelType w:val="hybridMultilevel"/>
    <w:tmpl w:val="DF460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09CF"/>
    <w:multiLevelType w:val="hybridMultilevel"/>
    <w:tmpl w:val="BF2A3E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B5D57"/>
    <w:multiLevelType w:val="hybridMultilevel"/>
    <w:tmpl w:val="AA4A8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24AB5"/>
    <w:multiLevelType w:val="hybridMultilevel"/>
    <w:tmpl w:val="6F3CE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564A2"/>
    <w:multiLevelType w:val="hybridMultilevel"/>
    <w:tmpl w:val="AE5C6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52C"/>
    <w:multiLevelType w:val="hybridMultilevel"/>
    <w:tmpl w:val="785E3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EB4"/>
    <w:multiLevelType w:val="hybridMultilevel"/>
    <w:tmpl w:val="8AECE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7738"/>
    <w:multiLevelType w:val="hybridMultilevel"/>
    <w:tmpl w:val="DB86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3F4D"/>
    <w:multiLevelType w:val="hybridMultilevel"/>
    <w:tmpl w:val="7936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29BC"/>
    <w:multiLevelType w:val="hybridMultilevel"/>
    <w:tmpl w:val="A45E55A4"/>
    <w:lvl w:ilvl="0" w:tplc="F69C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6"/>
  </w:num>
  <w:num w:numId="5">
    <w:abstractNumId w:val="8"/>
  </w:num>
  <w:num w:numId="6">
    <w:abstractNumId w:val="18"/>
  </w:num>
  <w:num w:numId="7">
    <w:abstractNumId w:val="19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12"/>
  </w:num>
  <w:num w:numId="13">
    <w:abstractNumId w:val="2"/>
  </w:num>
  <w:num w:numId="14">
    <w:abstractNumId w:val="21"/>
  </w:num>
  <w:num w:numId="15">
    <w:abstractNumId w:val="1"/>
  </w:num>
  <w:num w:numId="16">
    <w:abstractNumId w:val="14"/>
  </w:num>
  <w:num w:numId="17">
    <w:abstractNumId w:val="9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10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1"/>
    <w:rsid w:val="00001BFA"/>
    <w:rsid w:val="00002A86"/>
    <w:rsid w:val="000057FA"/>
    <w:rsid w:val="00006B97"/>
    <w:rsid w:val="0001610D"/>
    <w:rsid w:val="0001656E"/>
    <w:rsid w:val="00017976"/>
    <w:rsid w:val="00017E81"/>
    <w:rsid w:val="00017F6A"/>
    <w:rsid w:val="00020E3D"/>
    <w:rsid w:val="0002155F"/>
    <w:rsid w:val="000310BD"/>
    <w:rsid w:val="00031D0F"/>
    <w:rsid w:val="00033AC8"/>
    <w:rsid w:val="00034064"/>
    <w:rsid w:val="00034186"/>
    <w:rsid w:val="00040084"/>
    <w:rsid w:val="00047F47"/>
    <w:rsid w:val="00051469"/>
    <w:rsid w:val="000515A4"/>
    <w:rsid w:val="00053AF3"/>
    <w:rsid w:val="00055C39"/>
    <w:rsid w:val="00057CCC"/>
    <w:rsid w:val="00057D67"/>
    <w:rsid w:val="00067635"/>
    <w:rsid w:val="00067AA3"/>
    <w:rsid w:val="000732FA"/>
    <w:rsid w:val="000749AC"/>
    <w:rsid w:val="00084740"/>
    <w:rsid w:val="00084E1E"/>
    <w:rsid w:val="00087374"/>
    <w:rsid w:val="00092845"/>
    <w:rsid w:val="0009285A"/>
    <w:rsid w:val="000932C0"/>
    <w:rsid w:val="000943F7"/>
    <w:rsid w:val="000951FC"/>
    <w:rsid w:val="00096291"/>
    <w:rsid w:val="000A078F"/>
    <w:rsid w:val="000A45B7"/>
    <w:rsid w:val="000A586D"/>
    <w:rsid w:val="000B229B"/>
    <w:rsid w:val="000B24CA"/>
    <w:rsid w:val="000B5751"/>
    <w:rsid w:val="000B6EDF"/>
    <w:rsid w:val="000B70BC"/>
    <w:rsid w:val="000B7137"/>
    <w:rsid w:val="000C40B9"/>
    <w:rsid w:val="000D019B"/>
    <w:rsid w:val="000D076D"/>
    <w:rsid w:val="000D0A8F"/>
    <w:rsid w:val="000D5EE0"/>
    <w:rsid w:val="000E085C"/>
    <w:rsid w:val="000E313F"/>
    <w:rsid w:val="000E6AC2"/>
    <w:rsid w:val="000E7EB1"/>
    <w:rsid w:val="000F10AE"/>
    <w:rsid w:val="000F2443"/>
    <w:rsid w:val="000F672F"/>
    <w:rsid w:val="000F67C8"/>
    <w:rsid w:val="00101337"/>
    <w:rsid w:val="00101563"/>
    <w:rsid w:val="00102583"/>
    <w:rsid w:val="001039AD"/>
    <w:rsid w:val="00103F85"/>
    <w:rsid w:val="00105AB6"/>
    <w:rsid w:val="001071CF"/>
    <w:rsid w:val="001114C2"/>
    <w:rsid w:val="00111911"/>
    <w:rsid w:val="00113E53"/>
    <w:rsid w:val="001162ED"/>
    <w:rsid w:val="001203B2"/>
    <w:rsid w:val="001210E2"/>
    <w:rsid w:val="00121ED5"/>
    <w:rsid w:val="00124D52"/>
    <w:rsid w:val="00125BCE"/>
    <w:rsid w:val="00127F2C"/>
    <w:rsid w:val="00127FA0"/>
    <w:rsid w:val="00130DD5"/>
    <w:rsid w:val="00132B60"/>
    <w:rsid w:val="00134F3E"/>
    <w:rsid w:val="00136E8C"/>
    <w:rsid w:val="00140FF7"/>
    <w:rsid w:val="00142972"/>
    <w:rsid w:val="00143859"/>
    <w:rsid w:val="00144AC1"/>
    <w:rsid w:val="00145F7C"/>
    <w:rsid w:val="001543C5"/>
    <w:rsid w:val="00156993"/>
    <w:rsid w:val="00156A86"/>
    <w:rsid w:val="00157833"/>
    <w:rsid w:val="00161F9F"/>
    <w:rsid w:val="00164338"/>
    <w:rsid w:val="00167F08"/>
    <w:rsid w:val="00170A18"/>
    <w:rsid w:val="00174B37"/>
    <w:rsid w:val="001779BE"/>
    <w:rsid w:val="00185B9E"/>
    <w:rsid w:val="001906DB"/>
    <w:rsid w:val="00191505"/>
    <w:rsid w:val="00191FD9"/>
    <w:rsid w:val="00192620"/>
    <w:rsid w:val="00196378"/>
    <w:rsid w:val="001A247C"/>
    <w:rsid w:val="001A3E2D"/>
    <w:rsid w:val="001A578E"/>
    <w:rsid w:val="001A5EE5"/>
    <w:rsid w:val="001B6367"/>
    <w:rsid w:val="001C14B0"/>
    <w:rsid w:val="001D00FB"/>
    <w:rsid w:val="001D02D7"/>
    <w:rsid w:val="001D79A3"/>
    <w:rsid w:val="001E05F9"/>
    <w:rsid w:val="001E1B04"/>
    <w:rsid w:val="001E2BE1"/>
    <w:rsid w:val="001E5099"/>
    <w:rsid w:val="001E64EE"/>
    <w:rsid w:val="001F2AE4"/>
    <w:rsid w:val="001F2ED3"/>
    <w:rsid w:val="001F5765"/>
    <w:rsid w:val="001F7DA3"/>
    <w:rsid w:val="00201AA5"/>
    <w:rsid w:val="0020278E"/>
    <w:rsid w:val="0020415E"/>
    <w:rsid w:val="00204D3F"/>
    <w:rsid w:val="0020576D"/>
    <w:rsid w:val="00206971"/>
    <w:rsid w:val="002116E0"/>
    <w:rsid w:val="0021435F"/>
    <w:rsid w:val="00214595"/>
    <w:rsid w:val="0021741C"/>
    <w:rsid w:val="002174CB"/>
    <w:rsid w:val="00224FD9"/>
    <w:rsid w:val="00226E4B"/>
    <w:rsid w:val="00234BDF"/>
    <w:rsid w:val="002415DD"/>
    <w:rsid w:val="00246CBC"/>
    <w:rsid w:val="002502F4"/>
    <w:rsid w:val="0025079C"/>
    <w:rsid w:val="00254D73"/>
    <w:rsid w:val="00256322"/>
    <w:rsid w:val="00256EB5"/>
    <w:rsid w:val="002578A8"/>
    <w:rsid w:val="00263630"/>
    <w:rsid w:val="00270A97"/>
    <w:rsid w:val="00270FB1"/>
    <w:rsid w:val="002717D0"/>
    <w:rsid w:val="00272FC1"/>
    <w:rsid w:val="00275647"/>
    <w:rsid w:val="002764CA"/>
    <w:rsid w:val="00276AD6"/>
    <w:rsid w:val="00280324"/>
    <w:rsid w:val="00281343"/>
    <w:rsid w:val="00286170"/>
    <w:rsid w:val="0028664C"/>
    <w:rsid w:val="00286ACA"/>
    <w:rsid w:val="00293588"/>
    <w:rsid w:val="002938E1"/>
    <w:rsid w:val="00295E0F"/>
    <w:rsid w:val="002A1816"/>
    <w:rsid w:val="002A181D"/>
    <w:rsid w:val="002A65F7"/>
    <w:rsid w:val="002A6E6E"/>
    <w:rsid w:val="002B15BB"/>
    <w:rsid w:val="002B1EB6"/>
    <w:rsid w:val="002B2243"/>
    <w:rsid w:val="002B24C2"/>
    <w:rsid w:val="002B3305"/>
    <w:rsid w:val="002B5B93"/>
    <w:rsid w:val="002B628A"/>
    <w:rsid w:val="002B71BD"/>
    <w:rsid w:val="002C0AC8"/>
    <w:rsid w:val="002C26AE"/>
    <w:rsid w:val="002C4033"/>
    <w:rsid w:val="002C5F52"/>
    <w:rsid w:val="002C7BAA"/>
    <w:rsid w:val="002D114E"/>
    <w:rsid w:val="002D287C"/>
    <w:rsid w:val="002D63AE"/>
    <w:rsid w:val="002E2256"/>
    <w:rsid w:val="002E2668"/>
    <w:rsid w:val="002E39EF"/>
    <w:rsid w:val="002E441B"/>
    <w:rsid w:val="002E5D31"/>
    <w:rsid w:val="002E6C92"/>
    <w:rsid w:val="002F1C11"/>
    <w:rsid w:val="002F4515"/>
    <w:rsid w:val="002F4526"/>
    <w:rsid w:val="002F73FC"/>
    <w:rsid w:val="002F7449"/>
    <w:rsid w:val="002F7691"/>
    <w:rsid w:val="00300690"/>
    <w:rsid w:val="0030156E"/>
    <w:rsid w:val="003072B4"/>
    <w:rsid w:val="00307627"/>
    <w:rsid w:val="003118AA"/>
    <w:rsid w:val="0031281E"/>
    <w:rsid w:val="00313D8C"/>
    <w:rsid w:val="00313F4B"/>
    <w:rsid w:val="00314C98"/>
    <w:rsid w:val="003200F9"/>
    <w:rsid w:val="003238F8"/>
    <w:rsid w:val="00323C19"/>
    <w:rsid w:val="00325509"/>
    <w:rsid w:val="00325573"/>
    <w:rsid w:val="00330402"/>
    <w:rsid w:val="0033398D"/>
    <w:rsid w:val="0033478F"/>
    <w:rsid w:val="0033788F"/>
    <w:rsid w:val="00337961"/>
    <w:rsid w:val="003402BB"/>
    <w:rsid w:val="00341885"/>
    <w:rsid w:val="00341956"/>
    <w:rsid w:val="00342A1D"/>
    <w:rsid w:val="00342E8A"/>
    <w:rsid w:val="00344794"/>
    <w:rsid w:val="003454F6"/>
    <w:rsid w:val="00350022"/>
    <w:rsid w:val="00350584"/>
    <w:rsid w:val="003562C4"/>
    <w:rsid w:val="00360846"/>
    <w:rsid w:val="00360F9B"/>
    <w:rsid w:val="00361F15"/>
    <w:rsid w:val="0036720C"/>
    <w:rsid w:val="00372EC4"/>
    <w:rsid w:val="003822A7"/>
    <w:rsid w:val="00384979"/>
    <w:rsid w:val="00384B3F"/>
    <w:rsid w:val="003874BB"/>
    <w:rsid w:val="00391AAD"/>
    <w:rsid w:val="00392CDA"/>
    <w:rsid w:val="003942D8"/>
    <w:rsid w:val="00395630"/>
    <w:rsid w:val="003959E7"/>
    <w:rsid w:val="003A0ED0"/>
    <w:rsid w:val="003A359F"/>
    <w:rsid w:val="003A445B"/>
    <w:rsid w:val="003A5E84"/>
    <w:rsid w:val="003A7EEB"/>
    <w:rsid w:val="003B0C7F"/>
    <w:rsid w:val="003B2E8B"/>
    <w:rsid w:val="003B6B10"/>
    <w:rsid w:val="003B6E9B"/>
    <w:rsid w:val="003C0BEE"/>
    <w:rsid w:val="003C0C6A"/>
    <w:rsid w:val="003C26DD"/>
    <w:rsid w:val="003C2CCE"/>
    <w:rsid w:val="003C38A7"/>
    <w:rsid w:val="003C484C"/>
    <w:rsid w:val="003C48F3"/>
    <w:rsid w:val="003C57B8"/>
    <w:rsid w:val="003C6FA1"/>
    <w:rsid w:val="003C7559"/>
    <w:rsid w:val="003D2653"/>
    <w:rsid w:val="003D441C"/>
    <w:rsid w:val="003D6A10"/>
    <w:rsid w:val="003D7A86"/>
    <w:rsid w:val="003E07B0"/>
    <w:rsid w:val="003E1863"/>
    <w:rsid w:val="003E3B85"/>
    <w:rsid w:val="003F2134"/>
    <w:rsid w:val="003F234E"/>
    <w:rsid w:val="003F5DB3"/>
    <w:rsid w:val="00401C02"/>
    <w:rsid w:val="00404F50"/>
    <w:rsid w:val="0040784E"/>
    <w:rsid w:val="00407B60"/>
    <w:rsid w:val="004149EB"/>
    <w:rsid w:val="0041544F"/>
    <w:rsid w:val="00415923"/>
    <w:rsid w:val="00421C82"/>
    <w:rsid w:val="00422585"/>
    <w:rsid w:val="004254E4"/>
    <w:rsid w:val="00425EA0"/>
    <w:rsid w:val="004305F3"/>
    <w:rsid w:val="0043089C"/>
    <w:rsid w:val="004317BD"/>
    <w:rsid w:val="004325EA"/>
    <w:rsid w:val="00434230"/>
    <w:rsid w:val="0044066F"/>
    <w:rsid w:val="0044466F"/>
    <w:rsid w:val="00451252"/>
    <w:rsid w:val="00451947"/>
    <w:rsid w:val="0045637A"/>
    <w:rsid w:val="00456C83"/>
    <w:rsid w:val="00461299"/>
    <w:rsid w:val="00463D97"/>
    <w:rsid w:val="004702D8"/>
    <w:rsid w:val="00472FE0"/>
    <w:rsid w:val="0047718E"/>
    <w:rsid w:val="00484A9B"/>
    <w:rsid w:val="00484B03"/>
    <w:rsid w:val="00485F4F"/>
    <w:rsid w:val="00486CB8"/>
    <w:rsid w:val="00490DB7"/>
    <w:rsid w:val="00490FB1"/>
    <w:rsid w:val="00492B0F"/>
    <w:rsid w:val="004930E2"/>
    <w:rsid w:val="004960BF"/>
    <w:rsid w:val="004963C8"/>
    <w:rsid w:val="004969D0"/>
    <w:rsid w:val="00496C5D"/>
    <w:rsid w:val="00496CEA"/>
    <w:rsid w:val="00497A68"/>
    <w:rsid w:val="004A09C8"/>
    <w:rsid w:val="004A0CE5"/>
    <w:rsid w:val="004A278E"/>
    <w:rsid w:val="004A288B"/>
    <w:rsid w:val="004A2BFD"/>
    <w:rsid w:val="004A65F4"/>
    <w:rsid w:val="004A67D8"/>
    <w:rsid w:val="004B5177"/>
    <w:rsid w:val="004B6A8A"/>
    <w:rsid w:val="004B771E"/>
    <w:rsid w:val="004C5B7C"/>
    <w:rsid w:val="004C5EF9"/>
    <w:rsid w:val="004D0258"/>
    <w:rsid w:val="004D2B97"/>
    <w:rsid w:val="004D3E41"/>
    <w:rsid w:val="004D4B55"/>
    <w:rsid w:val="004D521F"/>
    <w:rsid w:val="004D6768"/>
    <w:rsid w:val="004D6A78"/>
    <w:rsid w:val="004D79B0"/>
    <w:rsid w:val="004E0A21"/>
    <w:rsid w:val="004E3048"/>
    <w:rsid w:val="004E4079"/>
    <w:rsid w:val="004E4BBD"/>
    <w:rsid w:val="004E617A"/>
    <w:rsid w:val="004E64FF"/>
    <w:rsid w:val="004E6904"/>
    <w:rsid w:val="004F0F8E"/>
    <w:rsid w:val="004F4CA2"/>
    <w:rsid w:val="005021BC"/>
    <w:rsid w:val="005068C7"/>
    <w:rsid w:val="00506AF6"/>
    <w:rsid w:val="00506C18"/>
    <w:rsid w:val="00514CC3"/>
    <w:rsid w:val="0051639E"/>
    <w:rsid w:val="00522409"/>
    <w:rsid w:val="00524387"/>
    <w:rsid w:val="00527DF6"/>
    <w:rsid w:val="00530154"/>
    <w:rsid w:val="005337FB"/>
    <w:rsid w:val="005362A5"/>
    <w:rsid w:val="00536EA7"/>
    <w:rsid w:val="00541BE4"/>
    <w:rsid w:val="00543C1A"/>
    <w:rsid w:val="005461B4"/>
    <w:rsid w:val="0054661A"/>
    <w:rsid w:val="00551039"/>
    <w:rsid w:val="00552033"/>
    <w:rsid w:val="00552DE3"/>
    <w:rsid w:val="00556CE9"/>
    <w:rsid w:val="00562645"/>
    <w:rsid w:val="00562BAD"/>
    <w:rsid w:val="00564BFA"/>
    <w:rsid w:val="00565683"/>
    <w:rsid w:val="00565E2F"/>
    <w:rsid w:val="005678F2"/>
    <w:rsid w:val="00567A6A"/>
    <w:rsid w:val="00572716"/>
    <w:rsid w:val="00584E37"/>
    <w:rsid w:val="00586FBE"/>
    <w:rsid w:val="005923B5"/>
    <w:rsid w:val="005931B8"/>
    <w:rsid w:val="005937FF"/>
    <w:rsid w:val="005956C0"/>
    <w:rsid w:val="00596915"/>
    <w:rsid w:val="005A21C5"/>
    <w:rsid w:val="005A5664"/>
    <w:rsid w:val="005A5ED4"/>
    <w:rsid w:val="005B3077"/>
    <w:rsid w:val="005B3D0B"/>
    <w:rsid w:val="005B5FB8"/>
    <w:rsid w:val="005C09A5"/>
    <w:rsid w:val="005C1475"/>
    <w:rsid w:val="005C1953"/>
    <w:rsid w:val="005C7369"/>
    <w:rsid w:val="005D2FC8"/>
    <w:rsid w:val="005D3B6F"/>
    <w:rsid w:val="005D4A58"/>
    <w:rsid w:val="005D5F06"/>
    <w:rsid w:val="005D69E7"/>
    <w:rsid w:val="005E143F"/>
    <w:rsid w:val="005E78F9"/>
    <w:rsid w:val="005F1F74"/>
    <w:rsid w:val="005F5BF6"/>
    <w:rsid w:val="005F709E"/>
    <w:rsid w:val="0060278B"/>
    <w:rsid w:val="00613588"/>
    <w:rsid w:val="00615918"/>
    <w:rsid w:val="006169EB"/>
    <w:rsid w:val="00616B34"/>
    <w:rsid w:val="00620886"/>
    <w:rsid w:val="00626965"/>
    <w:rsid w:val="00627069"/>
    <w:rsid w:val="0062791D"/>
    <w:rsid w:val="006300E2"/>
    <w:rsid w:val="00633B7B"/>
    <w:rsid w:val="006362F8"/>
    <w:rsid w:val="006365BE"/>
    <w:rsid w:val="006450B8"/>
    <w:rsid w:val="0064634B"/>
    <w:rsid w:val="00647563"/>
    <w:rsid w:val="00647A04"/>
    <w:rsid w:val="00647EAA"/>
    <w:rsid w:val="00651248"/>
    <w:rsid w:val="0065129E"/>
    <w:rsid w:val="0065138D"/>
    <w:rsid w:val="0065154E"/>
    <w:rsid w:val="00651895"/>
    <w:rsid w:val="00651A99"/>
    <w:rsid w:val="006551B9"/>
    <w:rsid w:val="0065610B"/>
    <w:rsid w:val="00656A52"/>
    <w:rsid w:val="0066146F"/>
    <w:rsid w:val="00662B37"/>
    <w:rsid w:val="006648A0"/>
    <w:rsid w:val="006663E6"/>
    <w:rsid w:val="00667866"/>
    <w:rsid w:val="006712AE"/>
    <w:rsid w:val="006755AB"/>
    <w:rsid w:val="006760B0"/>
    <w:rsid w:val="00676263"/>
    <w:rsid w:val="0067695B"/>
    <w:rsid w:val="0067779E"/>
    <w:rsid w:val="00680D32"/>
    <w:rsid w:val="0068103B"/>
    <w:rsid w:val="0068399E"/>
    <w:rsid w:val="00683F1F"/>
    <w:rsid w:val="00690463"/>
    <w:rsid w:val="00690796"/>
    <w:rsid w:val="00691CFC"/>
    <w:rsid w:val="0069241B"/>
    <w:rsid w:val="00692D07"/>
    <w:rsid w:val="00695400"/>
    <w:rsid w:val="006962F6"/>
    <w:rsid w:val="00696B46"/>
    <w:rsid w:val="00696D5F"/>
    <w:rsid w:val="006A015E"/>
    <w:rsid w:val="006A2649"/>
    <w:rsid w:val="006A4E0A"/>
    <w:rsid w:val="006A657A"/>
    <w:rsid w:val="006B030A"/>
    <w:rsid w:val="006B2547"/>
    <w:rsid w:val="006B4E64"/>
    <w:rsid w:val="006B5066"/>
    <w:rsid w:val="006C0322"/>
    <w:rsid w:val="006C2BF4"/>
    <w:rsid w:val="006C2E46"/>
    <w:rsid w:val="006C5536"/>
    <w:rsid w:val="006D09C1"/>
    <w:rsid w:val="006D34C6"/>
    <w:rsid w:val="006D3702"/>
    <w:rsid w:val="006D46A4"/>
    <w:rsid w:val="006E1D55"/>
    <w:rsid w:val="006E640F"/>
    <w:rsid w:val="006F34C7"/>
    <w:rsid w:val="0070160F"/>
    <w:rsid w:val="00703F60"/>
    <w:rsid w:val="007117BF"/>
    <w:rsid w:val="00711975"/>
    <w:rsid w:val="00715248"/>
    <w:rsid w:val="007159F3"/>
    <w:rsid w:val="00716B07"/>
    <w:rsid w:val="00717D88"/>
    <w:rsid w:val="00720622"/>
    <w:rsid w:val="007218BF"/>
    <w:rsid w:val="0072205F"/>
    <w:rsid w:val="007270C2"/>
    <w:rsid w:val="00730AD3"/>
    <w:rsid w:val="00730BB4"/>
    <w:rsid w:val="00731DDC"/>
    <w:rsid w:val="00734C50"/>
    <w:rsid w:val="00743291"/>
    <w:rsid w:val="00743BF3"/>
    <w:rsid w:val="00744784"/>
    <w:rsid w:val="00745043"/>
    <w:rsid w:val="00750243"/>
    <w:rsid w:val="00751EAE"/>
    <w:rsid w:val="00753443"/>
    <w:rsid w:val="0075457A"/>
    <w:rsid w:val="00754ABC"/>
    <w:rsid w:val="00754C32"/>
    <w:rsid w:val="007554AB"/>
    <w:rsid w:val="00760398"/>
    <w:rsid w:val="00764546"/>
    <w:rsid w:val="00766641"/>
    <w:rsid w:val="007718D4"/>
    <w:rsid w:val="007729A9"/>
    <w:rsid w:val="0077406F"/>
    <w:rsid w:val="007752D9"/>
    <w:rsid w:val="00775A37"/>
    <w:rsid w:val="00776EE2"/>
    <w:rsid w:val="0077716D"/>
    <w:rsid w:val="00780D6D"/>
    <w:rsid w:val="007812AA"/>
    <w:rsid w:val="0078144F"/>
    <w:rsid w:val="00781A96"/>
    <w:rsid w:val="00782079"/>
    <w:rsid w:val="0078322A"/>
    <w:rsid w:val="007834B9"/>
    <w:rsid w:val="0079170B"/>
    <w:rsid w:val="007924F4"/>
    <w:rsid w:val="007935D1"/>
    <w:rsid w:val="00793EC3"/>
    <w:rsid w:val="00795EBF"/>
    <w:rsid w:val="0079748B"/>
    <w:rsid w:val="007A4681"/>
    <w:rsid w:val="007A501F"/>
    <w:rsid w:val="007A6432"/>
    <w:rsid w:val="007A7199"/>
    <w:rsid w:val="007B277A"/>
    <w:rsid w:val="007B7E08"/>
    <w:rsid w:val="007B7F83"/>
    <w:rsid w:val="007C2AE9"/>
    <w:rsid w:val="007C4561"/>
    <w:rsid w:val="007C5C01"/>
    <w:rsid w:val="007D17C3"/>
    <w:rsid w:val="007D1FBF"/>
    <w:rsid w:val="007D333C"/>
    <w:rsid w:val="007D3503"/>
    <w:rsid w:val="007D55E7"/>
    <w:rsid w:val="007E0525"/>
    <w:rsid w:val="007E0B47"/>
    <w:rsid w:val="007E1243"/>
    <w:rsid w:val="007E13A8"/>
    <w:rsid w:val="007E180D"/>
    <w:rsid w:val="007E5E14"/>
    <w:rsid w:val="007F3605"/>
    <w:rsid w:val="007F49F0"/>
    <w:rsid w:val="007F5195"/>
    <w:rsid w:val="008001DC"/>
    <w:rsid w:val="0080081A"/>
    <w:rsid w:val="00801131"/>
    <w:rsid w:val="00805FA9"/>
    <w:rsid w:val="00806390"/>
    <w:rsid w:val="008069CC"/>
    <w:rsid w:val="00806D0A"/>
    <w:rsid w:val="00807466"/>
    <w:rsid w:val="00807AA6"/>
    <w:rsid w:val="0081125E"/>
    <w:rsid w:val="008155EB"/>
    <w:rsid w:val="00820224"/>
    <w:rsid w:val="0082181F"/>
    <w:rsid w:val="00822A72"/>
    <w:rsid w:val="0082755A"/>
    <w:rsid w:val="0083202B"/>
    <w:rsid w:val="00842109"/>
    <w:rsid w:val="00842522"/>
    <w:rsid w:val="008426AA"/>
    <w:rsid w:val="008453BF"/>
    <w:rsid w:val="008453C6"/>
    <w:rsid w:val="0085140A"/>
    <w:rsid w:val="00853553"/>
    <w:rsid w:val="00855BC4"/>
    <w:rsid w:val="008569D7"/>
    <w:rsid w:val="0086243A"/>
    <w:rsid w:val="00863E1C"/>
    <w:rsid w:val="0086401C"/>
    <w:rsid w:val="008665C4"/>
    <w:rsid w:val="00867D69"/>
    <w:rsid w:val="008701C5"/>
    <w:rsid w:val="008702E9"/>
    <w:rsid w:val="00881214"/>
    <w:rsid w:val="00882708"/>
    <w:rsid w:val="00891BB9"/>
    <w:rsid w:val="00896699"/>
    <w:rsid w:val="008A104E"/>
    <w:rsid w:val="008A23FE"/>
    <w:rsid w:val="008A265B"/>
    <w:rsid w:val="008A315F"/>
    <w:rsid w:val="008A4C71"/>
    <w:rsid w:val="008A4DC5"/>
    <w:rsid w:val="008A5894"/>
    <w:rsid w:val="008A78A7"/>
    <w:rsid w:val="008B2D35"/>
    <w:rsid w:val="008B32D9"/>
    <w:rsid w:val="008B60A2"/>
    <w:rsid w:val="008B68A6"/>
    <w:rsid w:val="008C2C60"/>
    <w:rsid w:val="008C4122"/>
    <w:rsid w:val="008C5ACA"/>
    <w:rsid w:val="008C631C"/>
    <w:rsid w:val="008D04AF"/>
    <w:rsid w:val="008D09B0"/>
    <w:rsid w:val="008D2174"/>
    <w:rsid w:val="008D355F"/>
    <w:rsid w:val="008D466E"/>
    <w:rsid w:val="008D5285"/>
    <w:rsid w:val="008E0E0B"/>
    <w:rsid w:val="008E279B"/>
    <w:rsid w:val="008E325E"/>
    <w:rsid w:val="008E37F6"/>
    <w:rsid w:val="008E3A94"/>
    <w:rsid w:val="008E7D07"/>
    <w:rsid w:val="008F08C2"/>
    <w:rsid w:val="008F1DC9"/>
    <w:rsid w:val="008F2AD5"/>
    <w:rsid w:val="0090798C"/>
    <w:rsid w:val="00913D53"/>
    <w:rsid w:val="00913E44"/>
    <w:rsid w:val="00915994"/>
    <w:rsid w:val="00915EBD"/>
    <w:rsid w:val="009224DD"/>
    <w:rsid w:val="00926F1B"/>
    <w:rsid w:val="00932872"/>
    <w:rsid w:val="00932A60"/>
    <w:rsid w:val="00933953"/>
    <w:rsid w:val="00936A44"/>
    <w:rsid w:val="00941A58"/>
    <w:rsid w:val="00942A34"/>
    <w:rsid w:val="00944864"/>
    <w:rsid w:val="0094507A"/>
    <w:rsid w:val="0094627F"/>
    <w:rsid w:val="00947B42"/>
    <w:rsid w:val="00947DB3"/>
    <w:rsid w:val="0095061D"/>
    <w:rsid w:val="00954905"/>
    <w:rsid w:val="00956944"/>
    <w:rsid w:val="0096441B"/>
    <w:rsid w:val="00964754"/>
    <w:rsid w:val="00966F58"/>
    <w:rsid w:val="009746BB"/>
    <w:rsid w:val="00974F7D"/>
    <w:rsid w:val="00976A3D"/>
    <w:rsid w:val="00977363"/>
    <w:rsid w:val="00987170"/>
    <w:rsid w:val="00987F5B"/>
    <w:rsid w:val="00990E06"/>
    <w:rsid w:val="0099314B"/>
    <w:rsid w:val="009953DE"/>
    <w:rsid w:val="009968A9"/>
    <w:rsid w:val="009A0E73"/>
    <w:rsid w:val="009A1632"/>
    <w:rsid w:val="009A5304"/>
    <w:rsid w:val="009B1838"/>
    <w:rsid w:val="009B19A0"/>
    <w:rsid w:val="009B3184"/>
    <w:rsid w:val="009B36EA"/>
    <w:rsid w:val="009B75BC"/>
    <w:rsid w:val="009C0AC9"/>
    <w:rsid w:val="009C1403"/>
    <w:rsid w:val="009C18DD"/>
    <w:rsid w:val="009C3143"/>
    <w:rsid w:val="009C4A55"/>
    <w:rsid w:val="009C5973"/>
    <w:rsid w:val="009C5EC6"/>
    <w:rsid w:val="009C69F1"/>
    <w:rsid w:val="009C6A8B"/>
    <w:rsid w:val="009D7FF3"/>
    <w:rsid w:val="009E26AE"/>
    <w:rsid w:val="009F0EDB"/>
    <w:rsid w:val="009F241B"/>
    <w:rsid w:val="009F2D57"/>
    <w:rsid w:val="009F6085"/>
    <w:rsid w:val="00A00625"/>
    <w:rsid w:val="00A01ED1"/>
    <w:rsid w:val="00A02EB2"/>
    <w:rsid w:val="00A02FFC"/>
    <w:rsid w:val="00A0399A"/>
    <w:rsid w:val="00A112D2"/>
    <w:rsid w:val="00A12FCB"/>
    <w:rsid w:val="00A13CBA"/>
    <w:rsid w:val="00A1402B"/>
    <w:rsid w:val="00A154CF"/>
    <w:rsid w:val="00A15D49"/>
    <w:rsid w:val="00A204EB"/>
    <w:rsid w:val="00A21EB9"/>
    <w:rsid w:val="00A22B46"/>
    <w:rsid w:val="00A2399B"/>
    <w:rsid w:val="00A24027"/>
    <w:rsid w:val="00A24A71"/>
    <w:rsid w:val="00A30FD4"/>
    <w:rsid w:val="00A31EC1"/>
    <w:rsid w:val="00A31F61"/>
    <w:rsid w:val="00A35ACF"/>
    <w:rsid w:val="00A37773"/>
    <w:rsid w:val="00A41032"/>
    <w:rsid w:val="00A424F0"/>
    <w:rsid w:val="00A43366"/>
    <w:rsid w:val="00A43434"/>
    <w:rsid w:val="00A44669"/>
    <w:rsid w:val="00A446F9"/>
    <w:rsid w:val="00A451B0"/>
    <w:rsid w:val="00A47146"/>
    <w:rsid w:val="00A47A1B"/>
    <w:rsid w:val="00A50039"/>
    <w:rsid w:val="00A5640F"/>
    <w:rsid w:val="00A56D95"/>
    <w:rsid w:val="00A577AD"/>
    <w:rsid w:val="00A605E1"/>
    <w:rsid w:val="00A6468B"/>
    <w:rsid w:val="00A65682"/>
    <w:rsid w:val="00A66684"/>
    <w:rsid w:val="00A6686D"/>
    <w:rsid w:val="00A6734C"/>
    <w:rsid w:val="00A70998"/>
    <w:rsid w:val="00A71C8E"/>
    <w:rsid w:val="00A72E88"/>
    <w:rsid w:val="00A77D6A"/>
    <w:rsid w:val="00A802F7"/>
    <w:rsid w:val="00A83AE0"/>
    <w:rsid w:val="00A85354"/>
    <w:rsid w:val="00A8760C"/>
    <w:rsid w:val="00A9296C"/>
    <w:rsid w:val="00A963B7"/>
    <w:rsid w:val="00A96784"/>
    <w:rsid w:val="00AA3AC7"/>
    <w:rsid w:val="00AA4078"/>
    <w:rsid w:val="00AA6F78"/>
    <w:rsid w:val="00AB0848"/>
    <w:rsid w:val="00AB1AF2"/>
    <w:rsid w:val="00AB2AD5"/>
    <w:rsid w:val="00AB602D"/>
    <w:rsid w:val="00AB6CF5"/>
    <w:rsid w:val="00AB7289"/>
    <w:rsid w:val="00AB77E1"/>
    <w:rsid w:val="00AC2B7F"/>
    <w:rsid w:val="00AC3AAD"/>
    <w:rsid w:val="00AC5A25"/>
    <w:rsid w:val="00AC60A8"/>
    <w:rsid w:val="00AC766C"/>
    <w:rsid w:val="00AD0565"/>
    <w:rsid w:val="00AD11D9"/>
    <w:rsid w:val="00AD57C7"/>
    <w:rsid w:val="00AD7779"/>
    <w:rsid w:val="00AD7952"/>
    <w:rsid w:val="00AE2440"/>
    <w:rsid w:val="00AE2768"/>
    <w:rsid w:val="00AE62C3"/>
    <w:rsid w:val="00AE6B38"/>
    <w:rsid w:val="00AF2661"/>
    <w:rsid w:val="00AF3682"/>
    <w:rsid w:val="00AF4054"/>
    <w:rsid w:val="00B021B4"/>
    <w:rsid w:val="00B03010"/>
    <w:rsid w:val="00B05674"/>
    <w:rsid w:val="00B06FC7"/>
    <w:rsid w:val="00B124C7"/>
    <w:rsid w:val="00B160E1"/>
    <w:rsid w:val="00B21C66"/>
    <w:rsid w:val="00B23D43"/>
    <w:rsid w:val="00B2591E"/>
    <w:rsid w:val="00B2619F"/>
    <w:rsid w:val="00B26623"/>
    <w:rsid w:val="00B268CF"/>
    <w:rsid w:val="00B26D20"/>
    <w:rsid w:val="00B3088E"/>
    <w:rsid w:val="00B322A2"/>
    <w:rsid w:val="00B36EDE"/>
    <w:rsid w:val="00B40447"/>
    <w:rsid w:val="00B4094B"/>
    <w:rsid w:val="00B40AC6"/>
    <w:rsid w:val="00B421FF"/>
    <w:rsid w:val="00B45952"/>
    <w:rsid w:val="00B45CBF"/>
    <w:rsid w:val="00B46D06"/>
    <w:rsid w:val="00B476C8"/>
    <w:rsid w:val="00B51D87"/>
    <w:rsid w:val="00B529CC"/>
    <w:rsid w:val="00B54204"/>
    <w:rsid w:val="00B56003"/>
    <w:rsid w:val="00B5712E"/>
    <w:rsid w:val="00B607DC"/>
    <w:rsid w:val="00B612E7"/>
    <w:rsid w:val="00B61ABE"/>
    <w:rsid w:val="00B700AA"/>
    <w:rsid w:val="00B70C98"/>
    <w:rsid w:val="00B73201"/>
    <w:rsid w:val="00B73AFF"/>
    <w:rsid w:val="00B73E6C"/>
    <w:rsid w:val="00B74129"/>
    <w:rsid w:val="00B75094"/>
    <w:rsid w:val="00B75919"/>
    <w:rsid w:val="00B75FDF"/>
    <w:rsid w:val="00B815D1"/>
    <w:rsid w:val="00B82482"/>
    <w:rsid w:val="00B82F76"/>
    <w:rsid w:val="00B90139"/>
    <w:rsid w:val="00B92CF6"/>
    <w:rsid w:val="00B948EC"/>
    <w:rsid w:val="00B977C5"/>
    <w:rsid w:val="00BA0462"/>
    <w:rsid w:val="00BA36BB"/>
    <w:rsid w:val="00BA53DB"/>
    <w:rsid w:val="00BA653C"/>
    <w:rsid w:val="00BA776A"/>
    <w:rsid w:val="00BB1E35"/>
    <w:rsid w:val="00BB425C"/>
    <w:rsid w:val="00BB4F3F"/>
    <w:rsid w:val="00BB5E85"/>
    <w:rsid w:val="00BB68ED"/>
    <w:rsid w:val="00BB69C1"/>
    <w:rsid w:val="00BC4CC6"/>
    <w:rsid w:val="00BC52B2"/>
    <w:rsid w:val="00BC77F6"/>
    <w:rsid w:val="00BD4292"/>
    <w:rsid w:val="00BD59E4"/>
    <w:rsid w:val="00BE0A5B"/>
    <w:rsid w:val="00BE1870"/>
    <w:rsid w:val="00BE4709"/>
    <w:rsid w:val="00BE6C12"/>
    <w:rsid w:val="00BE72D7"/>
    <w:rsid w:val="00BF048B"/>
    <w:rsid w:val="00BF0B07"/>
    <w:rsid w:val="00BF1B48"/>
    <w:rsid w:val="00BF369A"/>
    <w:rsid w:val="00BF3970"/>
    <w:rsid w:val="00BF7255"/>
    <w:rsid w:val="00BF7812"/>
    <w:rsid w:val="00C00FF8"/>
    <w:rsid w:val="00C02A8C"/>
    <w:rsid w:val="00C0590E"/>
    <w:rsid w:val="00C10252"/>
    <w:rsid w:val="00C102E5"/>
    <w:rsid w:val="00C10998"/>
    <w:rsid w:val="00C10DC7"/>
    <w:rsid w:val="00C11765"/>
    <w:rsid w:val="00C119A9"/>
    <w:rsid w:val="00C13A74"/>
    <w:rsid w:val="00C16A7C"/>
    <w:rsid w:val="00C2570D"/>
    <w:rsid w:val="00C25C9F"/>
    <w:rsid w:val="00C26F83"/>
    <w:rsid w:val="00C31422"/>
    <w:rsid w:val="00C33C87"/>
    <w:rsid w:val="00C35001"/>
    <w:rsid w:val="00C40DAA"/>
    <w:rsid w:val="00C42DAC"/>
    <w:rsid w:val="00C47E6E"/>
    <w:rsid w:val="00C50F26"/>
    <w:rsid w:val="00C51B7E"/>
    <w:rsid w:val="00C5243F"/>
    <w:rsid w:val="00C551D1"/>
    <w:rsid w:val="00C5685B"/>
    <w:rsid w:val="00C630E1"/>
    <w:rsid w:val="00C631BC"/>
    <w:rsid w:val="00C66AD6"/>
    <w:rsid w:val="00C67C3F"/>
    <w:rsid w:val="00C70ABB"/>
    <w:rsid w:val="00C73424"/>
    <w:rsid w:val="00C73E61"/>
    <w:rsid w:val="00C75343"/>
    <w:rsid w:val="00C75DDC"/>
    <w:rsid w:val="00C842B2"/>
    <w:rsid w:val="00C84CA8"/>
    <w:rsid w:val="00C85FB6"/>
    <w:rsid w:val="00C87B8C"/>
    <w:rsid w:val="00C90E6E"/>
    <w:rsid w:val="00C9362A"/>
    <w:rsid w:val="00C9543F"/>
    <w:rsid w:val="00C96FB2"/>
    <w:rsid w:val="00CA5E69"/>
    <w:rsid w:val="00CB12C2"/>
    <w:rsid w:val="00CB259A"/>
    <w:rsid w:val="00CB6F51"/>
    <w:rsid w:val="00CB7D2E"/>
    <w:rsid w:val="00CC057E"/>
    <w:rsid w:val="00CC5959"/>
    <w:rsid w:val="00CC5E82"/>
    <w:rsid w:val="00CD0366"/>
    <w:rsid w:val="00CD060A"/>
    <w:rsid w:val="00CE1B7E"/>
    <w:rsid w:val="00CE3B85"/>
    <w:rsid w:val="00CE440F"/>
    <w:rsid w:val="00CE5ED6"/>
    <w:rsid w:val="00CF28D0"/>
    <w:rsid w:val="00CF7370"/>
    <w:rsid w:val="00CF79CC"/>
    <w:rsid w:val="00D10334"/>
    <w:rsid w:val="00D14A06"/>
    <w:rsid w:val="00D14D59"/>
    <w:rsid w:val="00D164CF"/>
    <w:rsid w:val="00D17940"/>
    <w:rsid w:val="00D2738A"/>
    <w:rsid w:val="00D301A3"/>
    <w:rsid w:val="00D322F9"/>
    <w:rsid w:val="00D33298"/>
    <w:rsid w:val="00D336D1"/>
    <w:rsid w:val="00D33C0D"/>
    <w:rsid w:val="00D41E4C"/>
    <w:rsid w:val="00D45647"/>
    <w:rsid w:val="00D4698D"/>
    <w:rsid w:val="00D4709D"/>
    <w:rsid w:val="00D4760C"/>
    <w:rsid w:val="00D50667"/>
    <w:rsid w:val="00D507E8"/>
    <w:rsid w:val="00D54C5B"/>
    <w:rsid w:val="00D57E17"/>
    <w:rsid w:val="00D60161"/>
    <w:rsid w:val="00D61761"/>
    <w:rsid w:val="00D61D25"/>
    <w:rsid w:val="00D66C9D"/>
    <w:rsid w:val="00D67EE7"/>
    <w:rsid w:val="00D70A2B"/>
    <w:rsid w:val="00D70EC6"/>
    <w:rsid w:val="00D737EB"/>
    <w:rsid w:val="00D766E9"/>
    <w:rsid w:val="00D80D70"/>
    <w:rsid w:val="00D816E7"/>
    <w:rsid w:val="00D84B6C"/>
    <w:rsid w:val="00D85D25"/>
    <w:rsid w:val="00D86FC3"/>
    <w:rsid w:val="00D8725A"/>
    <w:rsid w:val="00D93C93"/>
    <w:rsid w:val="00D979AA"/>
    <w:rsid w:val="00DA43B4"/>
    <w:rsid w:val="00DB218C"/>
    <w:rsid w:val="00DB2882"/>
    <w:rsid w:val="00DB36C3"/>
    <w:rsid w:val="00DB4029"/>
    <w:rsid w:val="00DB5ECA"/>
    <w:rsid w:val="00DB63A9"/>
    <w:rsid w:val="00DB73E5"/>
    <w:rsid w:val="00DC358C"/>
    <w:rsid w:val="00DC746A"/>
    <w:rsid w:val="00DD0023"/>
    <w:rsid w:val="00DD0F5D"/>
    <w:rsid w:val="00DD2BE6"/>
    <w:rsid w:val="00DD5312"/>
    <w:rsid w:val="00DD63D5"/>
    <w:rsid w:val="00DD7505"/>
    <w:rsid w:val="00DD7781"/>
    <w:rsid w:val="00DE4E2F"/>
    <w:rsid w:val="00DE5FE4"/>
    <w:rsid w:val="00DE6C0F"/>
    <w:rsid w:val="00DF10B9"/>
    <w:rsid w:val="00DF12B4"/>
    <w:rsid w:val="00DF2E30"/>
    <w:rsid w:val="00DF6BFF"/>
    <w:rsid w:val="00E00033"/>
    <w:rsid w:val="00E01FDE"/>
    <w:rsid w:val="00E03CD9"/>
    <w:rsid w:val="00E16235"/>
    <w:rsid w:val="00E16830"/>
    <w:rsid w:val="00E2370B"/>
    <w:rsid w:val="00E23D55"/>
    <w:rsid w:val="00E24C61"/>
    <w:rsid w:val="00E30E61"/>
    <w:rsid w:val="00E33E0F"/>
    <w:rsid w:val="00E40999"/>
    <w:rsid w:val="00E41195"/>
    <w:rsid w:val="00E4147D"/>
    <w:rsid w:val="00E43C7A"/>
    <w:rsid w:val="00E44E6D"/>
    <w:rsid w:val="00E45546"/>
    <w:rsid w:val="00E500FF"/>
    <w:rsid w:val="00E504A3"/>
    <w:rsid w:val="00E53BF0"/>
    <w:rsid w:val="00E5640A"/>
    <w:rsid w:val="00E62F55"/>
    <w:rsid w:val="00E63882"/>
    <w:rsid w:val="00E6455E"/>
    <w:rsid w:val="00E66272"/>
    <w:rsid w:val="00E67C91"/>
    <w:rsid w:val="00E71849"/>
    <w:rsid w:val="00E71B44"/>
    <w:rsid w:val="00E7228F"/>
    <w:rsid w:val="00E74184"/>
    <w:rsid w:val="00E75272"/>
    <w:rsid w:val="00E7703C"/>
    <w:rsid w:val="00E833FE"/>
    <w:rsid w:val="00E84672"/>
    <w:rsid w:val="00E86D03"/>
    <w:rsid w:val="00E9053D"/>
    <w:rsid w:val="00E91A39"/>
    <w:rsid w:val="00E91B3F"/>
    <w:rsid w:val="00E94619"/>
    <w:rsid w:val="00E950D1"/>
    <w:rsid w:val="00E9513F"/>
    <w:rsid w:val="00EA05ED"/>
    <w:rsid w:val="00EA2D80"/>
    <w:rsid w:val="00EA4700"/>
    <w:rsid w:val="00EA5D8D"/>
    <w:rsid w:val="00EB0360"/>
    <w:rsid w:val="00EB16AB"/>
    <w:rsid w:val="00EC3059"/>
    <w:rsid w:val="00EC3207"/>
    <w:rsid w:val="00EC3331"/>
    <w:rsid w:val="00EC4191"/>
    <w:rsid w:val="00ED29D7"/>
    <w:rsid w:val="00ED3DA5"/>
    <w:rsid w:val="00ED4D59"/>
    <w:rsid w:val="00ED4FEC"/>
    <w:rsid w:val="00ED5B0B"/>
    <w:rsid w:val="00ED60D6"/>
    <w:rsid w:val="00ED6596"/>
    <w:rsid w:val="00ED7017"/>
    <w:rsid w:val="00ED77EC"/>
    <w:rsid w:val="00EE30CD"/>
    <w:rsid w:val="00EE3677"/>
    <w:rsid w:val="00EE4C58"/>
    <w:rsid w:val="00EE4ED7"/>
    <w:rsid w:val="00EF2140"/>
    <w:rsid w:val="00EF73A2"/>
    <w:rsid w:val="00F026AB"/>
    <w:rsid w:val="00F0299C"/>
    <w:rsid w:val="00F05430"/>
    <w:rsid w:val="00F05924"/>
    <w:rsid w:val="00F07CCD"/>
    <w:rsid w:val="00F1197A"/>
    <w:rsid w:val="00F1282C"/>
    <w:rsid w:val="00F128EB"/>
    <w:rsid w:val="00F12E65"/>
    <w:rsid w:val="00F16309"/>
    <w:rsid w:val="00F21465"/>
    <w:rsid w:val="00F21D76"/>
    <w:rsid w:val="00F21EB9"/>
    <w:rsid w:val="00F22B39"/>
    <w:rsid w:val="00F23980"/>
    <w:rsid w:val="00F2440A"/>
    <w:rsid w:val="00F26AF8"/>
    <w:rsid w:val="00F27094"/>
    <w:rsid w:val="00F27F5A"/>
    <w:rsid w:val="00F337A1"/>
    <w:rsid w:val="00F34F2C"/>
    <w:rsid w:val="00F3603B"/>
    <w:rsid w:val="00F378D5"/>
    <w:rsid w:val="00F43DD9"/>
    <w:rsid w:val="00F463AA"/>
    <w:rsid w:val="00F46407"/>
    <w:rsid w:val="00F46AFC"/>
    <w:rsid w:val="00F47870"/>
    <w:rsid w:val="00F50501"/>
    <w:rsid w:val="00F511E8"/>
    <w:rsid w:val="00F5287A"/>
    <w:rsid w:val="00F53AC6"/>
    <w:rsid w:val="00F55AB1"/>
    <w:rsid w:val="00F55E82"/>
    <w:rsid w:val="00F61D3C"/>
    <w:rsid w:val="00F625D2"/>
    <w:rsid w:val="00F6625D"/>
    <w:rsid w:val="00F66646"/>
    <w:rsid w:val="00F66884"/>
    <w:rsid w:val="00F706C4"/>
    <w:rsid w:val="00F7074B"/>
    <w:rsid w:val="00F74B89"/>
    <w:rsid w:val="00F7517D"/>
    <w:rsid w:val="00F77EA9"/>
    <w:rsid w:val="00F80648"/>
    <w:rsid w:val="00F819E7"/>
    <w:rsid w:val="00F84889"/>
    <w:rsid w:val="00F86B7E"/>
    <w:rsid w:val="00F902A1"/>
    <w:rsid w:val="00F92BFE"/>
    <w:rsid w:val="00F93100"/>
    <w:rsid w:val="00F9530E"/>
    <w:rsid w:val="00F973A3"/>
    <w:rsid w:val="00FA3CA1"/>
    <w:rsid w:val="00FA7332"/>
    <w:rsid w:val="00FB0519"/>
    <w:rsid w:val="00FB3334"/>
    <w:rsid w:val="00FB3EA0"/>
    <w:rsid w:val="00FB709A"/>
    <w:rsid w:val="00FB7CF2"/>
    <w:rsid w:val="00FC028A"/>
    <w:rsid w:val="00FC0D5C"/>
    <w:rsid w:val="00FC4434"/>
    <w:rsid w:val="00FC6531"/>
    <w:rsid w:val="00FD0FFF"/>
    <w:rsid w:val="00FD182B"/>
    <w:rsid w:val="00FE1DC3"/>
    <w:rsid w:val="00FE3028"/>
    <w:rsid w:val="00FE31AB"/>
    <w:rsid w:val="00FE5612"/>
    <w:rsid w:val="00FF0EAB"/>
    <w:rsid w:val="00FF3001"/>
    <w:rsid w:val="00FF3C87"/>
    <w:rsid w:val="00FF453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549DF"/>
  <w15:docId w15:val="{4D092F1F-837B-4454-9728-9851A4FD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9B"/>
    <w:pPr>
      <w:spacing w:after="0" w:line="240" w:lineRule="auto"/>
    </w:pPr>
    <w:rPr>
      <w:rFonts w:ascii="Calibri" w:hAnsi="Calibri" w:cs="Times New Roman"/>
      <w:color w:val="auto"/>
      <w:sz w:val="24"/>
      <w:szCs w:val="24"/>
      <w:lang w:val="en-GB" w:eastAsia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31422"/>
    <w:pPr>
      <w:outlineLvl w:val="0"/>
    </w:pPr>
    <w:rPr>
      <w:sz w:val="26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3142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4F4"/>
    <w:pPr>
      <w:keepNext/>
      <w:keepLines/>
      <w:spacing w:before="240" w:after="120"/>
      <w:outlineLvl w:val="2"/>
    </w:pPr>
    <w:rPr>
      <w:rFonts w:eastAsiaTheme="majorEastAsia" w:cstheme="majorBidi"/>
      <w:b/>
      <w:color w:val="82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320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sid w:val="00C31422"/>
    <w:rPr>
      <w:rFonts w:ascii="Calibri" w:eastAsiaTheme="majorEastAsia" w:hAnsi="Calibri" w:cstheme="majorBidi"/>
      <w:b/>
      <w:color w:val="820000"/>
      <w:sz w:val="26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31422"/>
    <w:rPr>
      <w:rFonts w:ascii="Calibri" w:eastAsiaTheme="majorEastAsia" w:hAnsi="Calibri" w:cstheme="majorBidi"/>
      <w:b/>
      <w:color w:val="820000"/>
      <w:sz w:val="24"/>
      <w:szCs w:val="24"/>
      <w:lang w:val="en-GB" w:eastAsia="en-GB"/>
    </w:rPr>
  </w:style>
  <w:style w:type="paragraph" w:styleId="ListBullet">
    <w:name w:val="List Bullet"/>
    <w:basedOn w:val="Normal"/>
    <w:uiPriority w:val="10"/>
    <w:qFormat/>
    <w:pPr>
      <w:numPr>
        <w:numId w:val="2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7924F4"/>
    <w:rPr>
      <w:rFonts w:ascii="Calibri" w:eastAsiaTheme="majorEastAsia" w:hAnsi="Calibri" w:cstheme="majorBidi"/>
      <w:b/>
      <w:color w:val="820000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itle">
    <w:name w:val="Title"/>
    <w:basedOn w:val="Normal"/>
    <w:next w:val="Normal"/>
    <w:link w:val="TitleChar"/>
    <w:unhideWhenUsed/>
    <w:qFormat/>
    <w:rsid w:val="00C31422"/>
    <w:pPr>
      <w:jc w:val="center"/>
    </w:pPr>
    <w:rPr>
      <w:b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31422"/>
    <w:rPr>
      <w:rFonts w:ascii="Calibri" w:hAnsi="Calibri" w:cs="Times New Roman"/>
      <w:b/>
      <w:color w:val="auto"/>
      <w:sz w:val="28"/>
      <w:szCs w:val="24"/>
      <w:lang w:val="en-AU" w:eastAsia="en-GB"/>
    </w:rPr>
  </w:style>
  <w:style w:type="paragraph" w:styleId="Subtitle">
    <w:name w:val="Subtitle"/>
    <w:basedOn w:val="Heading1"/>
    <w:next w:val="Normal"/>
    <w:link w:val="SubtitleChar"/>
    <w:uiPriority w:val="11"/>
    <w:unhideWhenUsed/>
    <w:qFormat/>
    <w:rsid w:val="00C31422"/>
    <w:pPr>
      <w:numPr>
        <w:ilvl w:val="1"/>
      </w:numPr>
      <w:spacing w:after="240"/>
    </w:pPr>
    <w:rPr>
      <w:rFonts w:eastAsiaTheme="minorEastAsia"/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22"/>
    <w:rPr>
      <w:rFonts w:ascii="Calibri" w:eastAsiaTheme="minorEastAsia" w:hAnsi="Calibri" w:cstheme="majorBidi"/>
      <w:i/>
      <w:color w:val="auto"/>
      <w:sz w:val="28"/>
      <w:szCs w:val="3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1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3202B"/>
    <w:pPr>
      <w:ind w:left="720"/>
      <w:contextualSpacing/>
    </w:pPr>
    <w:rPr>
      <w:rFonts w:eastAsia="Times New Roman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D14A0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1114C2"/>
    <w:pPr>
      <w:spacing w:before="120"/>
    </w:pPr>
    <w:rPr>
      <w:rFonts w:asciiTheme="majorHAnsi" w:hAnsiTheme="majorHAnsi" w:cstheme="majorHAnsi"/>
      <w:b/>
      <w:bCs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1114C2"/>
    <w:rPr>
      <w:rFonts w:asciiTheme="minorHAnsi" w:hAnsiTheme="minorHAnsi" w:cs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14C2"/>
    <w:pPr>
      <w:ind w:left="240"/>
    </w:pPr>
    <w:rPr>
      <w:rFonts w:asciiTheme="minorHAnsi" w:hAnsiTheme="minorHAnsi" w:cstheme="minorHAnsi"/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1422"/>
    <w:rPr>
      <w:color w:val="487B97" w:themeColor="accent2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14C2"/>
    <w:pPr>
      <w:pBdr>
        <w:between w:val="double" w:sz="6" w:space="0" w:color="auto"/>
      </w:pBdr>
      <w:ind w:left="168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0525"/>
  </w:style>
  <w:style w:type="paragraph" w:styleId="BalloonText">
    <w:name w:val="Balloon Text"/>
    <w:basedOn w:val="Normal"/>
    <w:link w:val="BalloonTextChar"/>
    <w:uiPriority w:val="99"/>
    <w:semiHidden/>
    <w:unhideWhenUsed/>
    <w:rsid w:val="00CC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82"/>
    <w:rPr>
      <w:rFonts w:ascii="Tahoma" w:hAnsi="Tahoma" w:cs="Tahoma"/>
      <w:color w:val="auto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298"/>
    <w:rPr>
      <w:rFonts w:ascii="Times New Roman" w:hAnsi="Times New Roman" w:cs="Times New Roman"/>
      <w:color w:val="auto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298"/>
    <w:rPr>
      <w:rFonts w:ascii="Times New Roman" w:hAnsi="Times New Roman" w:cs="Times New Roman"/>
      <w:b/>
      <w:bCs/>
      <w:color w:val="auto"/>
      <w:sz w:val="20"/>
      <w:szCs w:val="20"/>
      <w:lang w:val="en-GB" w:eastAsia="en-GB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913E44"/>
    <w:rPr>
      <w:rFonts w:ascii="Times New Roman" w:eastAsia="Times New Roman" w:hAnsi="Times New Roman" w:cs="Times New Roman"/>
      <w:color w:val="auto"/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DA5"/>
    <w:rPr>
      <w:color w:val="487B97" w:themeColor="followedHyperlink"/>
      <w:u w:val="single"/>
    </w:rPr>
  </w:style>
  <w:style w:type="paragraph" w:customStyle="1" w:styleId="Default">
    <w:name w:val="Default"/>
    <w:rsid w:val="00D322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 w:eastAsia="en-US"/>
    </w:rPr>
  </w:style>
  <w:style w:type="paragraph" w:customStyle="1" w:styleId="BulletBeforeDash">
    <w:name w:val="BulletBeforeDash"/>
    <w:basedOn w:val="Normal"/>
    <w:rsid w:val="00D322F9"/>
    <w:pPr>
      <w:numPr>
        <w:numId w:val="14"/>
      </w:numPr>
    </w:pPr>
    <w:rPr>
      <w:rFonts w:ascii="Times New Roman" w:eastAsia="Times New Roman" w:hAnsi="Times New Roman"/>
      <w:color w:val="000000"/>
      <w:szCs w:val="20"/>
      <w:lang w:val="en-AU" w:eastAsia="en-AU"/>
    </w:rPr>
  </w:style>
  <w:style w:type="paragraph" w:customStyle="1" w:styleId="Bullet">
    <w:name w:val="Bullet"/>
    <w:basedOn w:val="BulletBeforeDash"/>
    <w:qFormat/>
    <w:rsid w:val="00D322F9"/>
    <w:pPr>
      <w:spacing w:after="12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A451B0"/>
    <w:pPr>
      <w:spacing w:after="0" w:line="240" w:lineRule="auto"/>
    </w:pPr>
    <w:rPr>
      <w:rFonts w:ascii="Calibri" w:hAnsi="Calibri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in-home-aged-care-division/streamlined-consumer-assessments-for-aged-care-se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88A84C-50ED-4DF1-BAA6-C25AC638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2442</Words>
  <Characters>13926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care at home reform: Key insights from consultation</vt:lpstr>
    </vt:vector>
  </TitlesOfParts>
  <Company>Dept Health And Ageing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care at home reform: Key insights from consultation</dc:title>
  <dc:subject>Aged Care</dc:subject>
  <dc:creator>Department of Health</dc:creator>
  <cp:keywords>Aged Care; Consulation; report; Consumer Assessment</cp:keywords>
  <cp:lastModifiedBy>Maschke, Elvia</cp:lastModifiedBy>
  <cp:revision>2</cp:revision>
  <cp:lastPrinted>2019-03-28T02:33:00Z</cp:lastPrinted>
  <dcterms:created xsi:type="dcterms:W3CDTF">2019-09-25T03:51:00Z</dcterms:created>
  <dcterms:modified xsi:type="dcterms:W3CDTF">2019-09-25T03:51:00Z</dcterms:modified>
  <cp:category>publication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</Properties>
</file>