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BF3D9" w14:textId="4DF8BC2F" w:rsidR="0046236F" w:rsidRDefault="0046236F" w:rsidP="002D6D6B">
      <w:pPr>
        <w:pStyle w:val="Title"/>
        <w:jc w:val="right"/>
        <w:rPr>
          <w:rStyle w:val="Strong"/>
          <w:rFonts w:eastAsia="Times New Roman" w:cs="Times New Roman"/>
        </w:rPr>
        <w:sectPr w:rsidR="0046236F" w:rsidSect="0090109B">
          <w:headerReference w:type="even" r:id="rId11"/>
          <w:headerReference w:type="default" r:id="rId12"/>
          <w:footerReference w:type="default" r:id="rId13"/>
          <w:headerReference w:type="first" r:id="rId14"/>
          <w:pgSz w:w="11907" w:h="16839"/>
          <w:pgMar w:top="13183" w:right="1797" w:bottom="1440" w:left="1797" w:header="720" w:footer="709" w:gutter="0"/>
          <w:pgNumType w:fmt="lowerRoman" w:start="1"/>
          <w:cols w:space="708"/>
          <w:docGrid w:linePitch="360"/>
        </w:sectPr>
      </w:pPr>
      <w:bookmarkStart w:id="0" w:name="_Toc466300928"/>
      <w:bookmarkStart w:id="1" w:name="_Toc466301060"/>
      <w:r w:rsidRPr="00046F42">
        <w:rPr>
          <w:rFonts w:eastAsia="Times New Roman"/>
          <w:noProof/>
          <w:lang w:eastAsia="en-AU"/>
        </w:rPr>
        <w:drawing>
          <wp:anchor distT="0" distB="0" distL="114300" distR="114300" simplePos="0" relativeHeight="251687936" behindDoc="1" locked="0" layoutInCell="1" allowOverlap="1" wp14:anchorId="204F02F0" wp14:editId="12306651">
            <wp:simplePos x="0" y="0"/>
            <wp:positionH relativeFrom="page">
              <wp:posOffset>0</wp:posOffset>
            </wp:positionH>
            <wp:positionV relativeFrom="page">
              <wp:posOffset>0</wp:posOffset>
            </wp:positionV>
            <wp:extent cx="7559675" cy="10691495"/>
            <wp:effectExtent l="0" t="0" r="3175" b="0"/>
            <wp:wrapNone/>
            <wp:docPr id="30" name="Picture 30" descr="Australian Government Crest and the text Medical Research Future Fund. This image also contains decorative hexagons in the colours blue and red." title="Front cover ia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FF cover dumm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0541AA">
        <w:rPr>
          <w:rStyle w:val="Strong"/>
          <w:rFonts w:eastAsia="Times New Roman" w:cs="Times New Roman"/>
          <w:caps/>
        </w:rPr>
        <w:t>Financial Assi</w:t>
      </w:r>
      <w:r w:rsidR="00EC10BE">
        <w:rPr>
          <w:rStyle w:val="Strong"/>
          <w:rFonts w:eastAsia="Times New Roman" w:cs="Times New Roman"/>
          <w:caps/>
        </w:rPr>
        <w:t>S</w:t>
      </w:r>
      <w:r w:rsidR="000541AA">
        <w:rPr>
          <w:rStyle w:val="Strong"/>
          <w:rFonts w:eastAsia="Times New Roman" w:cs="Times New Roman"/>
          <w:caps/>
        </w:rPr>
        <w:t xml:space="preserve">tance to Support the </w:t>
      </w:r>
      <w:r w:rsidR="00CB68A8" w:rsidRPr="00CB68A8">
        <w:rPr>
          <w:rFonts w:eastAsia="Times New Roman" w:cs="Times New Roman"/>
          <w:b/>
          <w:bCs/>
          <w:caps/>
          <w:lang w:val="en-US"/>
        </w:rPr>
        <w:t>Australian Medical Research and Innovation Priorities</w:t>
      </w:r>
      <w:r w:rsidR="005836DE">
        <w:rPr>
          <w:rFonts w:eastAsia="Times New Roman" w:cs="Times New Roman"/>
          <w:b/>
          <w:bCs/>
          <w:caps/>
          <w:lang w:val="en-US"/>
        </w:rPr>
        <w:t xml:space="preserve"> 2016</w:t>
      </w:r>
      <w:r w:rsidR="005836DE">
        <w:rPr>
          <w:rFonts w:eastAsia="Times New Roman" w:cs="Times New Roman"/>
          <w:b/>
          <w:bCs/>
          <w:caps/>
          <w:lang w:val="en-US"/>
        </w:rPr>
        <w:noBreakHyphen/>
      </w:r>
      <w:r w:rsidR="00CB68A8">
        <w:rPr>
          <w:rFonts w:eastAsia="Times New Roman" w:cs="Times New Roman"/>
          <w:b/>
          <w:bCs/>
          <w:caps/>
          <w:lang w:val="en-US"/>
        </w:rPr>
        <w:t>2018</w:t>
      </w:r>
    </w:p>
    <w:sdt>
      <w:sdtPr>
        <w:rPr>
          <w:rFonts w:ascii="Segoe UI" w:eastAsiaTheme="minorHAnsi" w:hAnsi="Segoe UI" w:cstheme="minorBidi"/>
          <w:color w:val="auto"/>
          <w:sz w:val="19"/>
          <w:szCs w:val="22"/>
          <w:lang w:val="en-AU"/>
        </w:rPr>
        <w:id w:val="-1977137480"/>
        <w:docPartObj>
          <w:docPartGallery w:val="Table of Contents"/>
          <w:docPartUnique/>
        </w:docPartObj>
      </w:sdtPr>
      <w:sdtEndPr>
        <w:rPr>
          <w:rFonts w:ascii="Times New Roman" w:hAnsi="Times New Roman"/>
          <w:b/>
          <w:bCs/>
          <w:noProof/>
          <w:sz w:val="22"/>
          <w:szCs w:val="20"/>
        </w:rPr>
      </w:sdtEndPr>
      <w:sdtContent>
        <w:p w14:paraId="0E86AEE4" w14:textId="77777777" w:rsidR="00352A0A" w:rsidRPr="006403A6" w:rsidRDefault="00352A0A" w:rsidP="00352A0A">
          <w:pPr>
            <w:pStyle w:val="TOCHeading"/>
            <w:rPr>
              <w:rFonts w:ascii="Arial" w:hAnsi="Arial" w:cs="Arial"/>
              <w:color w:val="1F497D" w:themeColor="text2"/>
            </w:rPr>
          </w:pPr>
          <w:r w:rsidRPr="006403A6">
            <w:rPr>
              <w:rFonts w:ascii="Arial" w:hAnsi="Arial" w:cs="Arial"/>
              <w:color w:val="1F497D" w:themeColor="text2"/>
            </w:rPr>
            <w:t>Contents</w:t>
          </w:r>
        </w:p>
        <w:p w14:paraId="0FA3A697" w14:textId="2479FB1C" w:rsidR="00511596" w:rsidRPr="00511596" w:rsidRDefault="00352A0A" w:rsidP="00511596">
          <w:pPr>
            <w:pStyle w:val="TOC1"/>
            <w:tabs>
              <w:tab w:val="clear" w:pos="8278"/>
              <w:tab w:val="right" w:pos="9639"/>
            </w:tabs>
            <w:ind w:left="426" w:right="142" w:hanging="426"/>
            <w:rPr>
              <w:rFonts w:ascii="Arial" w:eastAsiaTheme="minorEastAsia" w:hAnsi="Arial" w:cs="Arial"/>
              <w:b w:val="0"/>
              <w:noProof/>
              <w:kern w:val="0"/>
              <w:sz w:val="22"/>
              <w:szCs w:val="22"/>
            </w:rPr>
          </w:pPr>
          <w:r w:rsidRPr="00FE59D1">
            <w:rPr>
              <w:rFonts w:ascii="Arial" w:hAnsi="Arial" w:cs="Arial"/>
              <w:b w:val="0"/>
              <w:sz w:val="22"/>
              <w:szCs w:val="22"/>
              <w:lang w:val="en-US"/>
            </w:rPr>
            <w:fldChar w:fldCharType="begin"/>
          </w:r>
          <w:r w:rsidRPr="00FE59D1">
            <w:rPr>
              <w:rFonts w:ascii="Arial" w:hAnsi="Arial" w:cs="Arial"/>
              <w:b w:val="0"/>
              <w:sz w:val="22"/>
              <w:szCs w:val="22"/>
            </w:rPr>
            <w:instrText xml:space="preserve"> TOC \o "1-3" \h \z \u </w:instrText>
          </w:r>
          <w:r w:rsidRPr="00FE59D1">
            <w:rPr>
              <w:rFonts w:ascii="Arial" w:hAnsi="Arial" w:cs="Arial"/>
              <w:b w:val="0"/>
              <w:sz w:val="22"/>
              <w:szCs w:val="22"/>
              <w:lang w:val="en-US"/>
            </w:rPr>
            <w:fldChar w:fldCharType="separate"/>
          </w:r>
          <w:hyperlink w:anchor="_Toc5785656" w:history="1">
            <w:r w:rsidR="00511596" w:rsidRPr="00511596">
              <w:rPr>
                <w:rStyle w:val="Hyperlink"/>
                <w:rFonts w:ascii="Arial" w:hAnsi="Arial" w:cs="Arial"/>
                <w:b w:val="0"/>
                <w:noProof/>
                <w:sz w:val="22"/>
                <w:szCs w:val="22"/>
                <w:lang w:val="en-US"/>
              </w:rPr>
              <w:t>1</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lang w:val="en-US"/>
              </w:rPr>
              <w:t>Purpose of this report</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_Toc5785656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3</w:t>
            </w:r>
            <w:r w:rsidR="00511596" w:rsidRPr="00511596">
              <w:rPr>
                <w:rFonts w:ascii="Arial" w:hAnsi="Arial" w:cs="Arial"/>
                <w:b w:val="0"/>
                <w:noProof/>
                <w:webHidden/>
                <w:sz w:val="22"/>
                <w:szCs w:val="22"/>
              </w:rPr>
              <w:fldChar w:fldCharType="end"/>
            </w:r>
          </w:hyperlink>
        </w:p>
        <w:p w14:paraId="143A990B" w14:textId="493FE8E9" w:rsidR="00511596" w:rsidRPr="00511596" w:rsidRDefault="00965581" w:rsidP="00511596">
          <w:pPr>
            <w:pStyle w:val="TOC1"/>
            <w:tabs>
              <w:tab w:val="clear" w:pos="8278"/>
              <w:tab w:val="right" w:pos="9639"/>
            </w:tabs>
            <w:ind w:left="426" w:right="142" w:hanging="426"/>
            <w:rPr>
              <w:rFonts w:ascii="Arial" w:eastAsiaTheme="minorEastAsia" w:hAnsi="Arial" w:cs="Arial"/>
              <w:b w:val="0"/>
              <w:noProof/>
              <w:kern w:val="0"/>
              <w:sz w:val="22"/>
              <w:szCs w:val="22"/>
            </w:rPr>
          </w:pPr>
          <w:hyperlink w:anchor="_Toc5785657" w:history="1">
            <w:r w:rsidR="00511596" w:rsidRPr="00511596">
              <w:rPr>
                <w:rStyle w:val="Hyperlink"/>
                <w:rFonts w:ascii="Arial" w:hAnsi="Arial" w:cs="Arial"/>
                <w:b w:val="0"/>
                <w:noProof/>
                <w:sz w:val="22"/>
                <w:szCs w:val="22"/>
                <w:lang w:val="en-US"/>
              </w:rPr>
              <w:t>2</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lang w:val="en-US"/>
              </w:rPr>
              <w:t>Background</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_Toc5785657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4</w:t>
            </w:r>
            <w:r w:rsidR="00511596" w:rsidRPr="00511596">
              <w:rPr>
                <w:rFonts w:ascii="Arial" w:hAnsi="Arial" w:cs="Arial"/>
                <w:b w:val="0"/>
                <w:noProof/>
                <w:webHidden/>
                <w:sz w:val="22"/>
                <w:szCs w:val="22"/>
              </w:rPr>
              <w:fldChar w:fldCharType="end"/>
            </w:r>
          </w:hyperlink>
        </w:p>
        <w:p w14:paraId="270DF897" w14:textId="5A3517AB" w:rsidR="00511596" w:rsidRPr="00511596" w:rsidRDefault="00965581" w:rsidP="00511596">
          <w:pPr>
            <w:pStyle w:val="TOC2"/>
            <w:tabs>
              <w:tab w:val="clear" w:pos="8278"/>
              <w:tab w:val="right" w:pos="9639"/>
            </w:tabs>
            <w:ind w:left="993" w:right="142" w:hanging="567"/>
            <w:rPr>
              <w:rFonts w:ascii="Arial" w:eastAsiaTheme="minorEastAsia" w:hAnsi="Arial" w:cs="Arial"/>
              <w:b w:val="0"/>
              <w:noProof/>
              <w:kern w:val="0"/>
              <w:sz w:val="22"/>
              <w:szCs w:val="22"/>
            </w:rPr>
          </w:pPr>
          <w:hyperlink w:anchor="_Toc5785658" w:history="1">
            <w:r w:rsidR="00511596" w:rsidRPr="00511596">
              <w:rPr>
                <w:rStyle w:val="Hyperlink"/>
                <w:rFonts w:ascii="Arial" w:eastAsia="Calibri" w:hAnsi="Arial" w:cs="Arial"/>
                <w:b w:val="0"/>
                <w:noProof/>
                <w:sz w:val="22"/>
                <w:szCs w:val="22"/>
              </w:rPr>
              <w:t>2.1</w:t>
            </w:r>
            <w:r w:rsidR="00511596" w:rsidRPr="00511596">
              <w:rPr>
                <w:rFonts w:ascii="Arial" w:eastAsiaTheme="minorEastAsia" w:hAnsi="Arial" w:cs="Arial"/>
                <w:b w:val="0"/>
                <w:noProof/>
                <w:kern w:val="0"/>
                <w:sz w:val="22"/>
                <w:szCs w:val="22"/>
              </w:rPr>
              <w:tab/>
            </w:r>
            <w:r w:rsidR="00511596" w:rsidRPr="00511596">
              <w:rPr>
                <w:rStyle w:val="Hyperlink"/>
                <w:rFonts w:ascii="Arial" w:eastAsia="Calibri" w:hAnsi="Arial" w:cs="Arial"/>
                <w:b w:val="0"/>
                <w:noProof/>
                <w:sz w:val="22"/>
                <w:szCs w:val="22"/>
              </w:rPr>
              <w:t>The Australian Medical Research and Innovation Strategy</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_Toc5785658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4</w:t>
            </w:r>
            <w:r w:rsidR="00511596" w:rsidRPr="00511596">
              <w:rPr>
                <w:rFonts w:ascii="Arial" w:hAnsi="Arial" w:cs="Arial"/>
                <w:b w:val="0"/>
                <w:noProof/>
                <w:webHidden/>
                <w:sz w:val="22"/>
                <w:szCs w:val="22"/>
              </w:rPr>
              <w:fldChar w:fldCharType="end"/>
            </w:r>
          </w:hyperlink>
        </w:p>
        <w:p w14:paraId="5E06782B" w14:textId="5F0A992C" w:rsidR="00511596" w:rsidRPr="00511596" w:rsidRDefault="00965581" w:rsidP="00511596">
          <w:pPr>
            <w:pStyle w:val="TOC2"/>
            <w:tabs>
              <w:tab w:val="clear" w:pos="8278"/>
              <w:tab w:val="right" w:pos="9639"/>
            </w:tabs>
            <w:ind w:left="993" w:right="142" w:hanging="567"/>
            <w:rPr>
              <w:rFonts w:ascii="Arial" w:eastAsiaTheme="minorEastAsia" w:hAnsi="Arial" w:cs="Arial"/>
              <w:b w:val="0"/>
              <w:noProof/>
              <w:kern w:val="0"/>
              <w:sz w:val="22"/>
              <w:szCs w:val="22"/>
            </w:rPr>
          </w:pPr>
          <w:hyperlink w:anchor="_Toc5785659" w:history="1">
            <w:r w:rsidR="00511596" w:rsidRPr="00511596">
              <w:rPr>
                <w:rStyle w:val="Hyperlink"/>
                <w:rFonts w:ascii="Arial" w:eastAsia="Calibri" w:hAnsi="Arial" w:cs="Arial"/>
                <w:b w:val="0"/>
                <w:noProof/>
                <w:sz w:val="22"/>
                <w:szCs w:val="22"/>
              </w:rPr>
              <w:t>2.2</w:t>
            </w:r>
            <w:r w:rsidR="00511596" w:rsidRPr="00511596">
              <w:rPr>
                <w:rFonts w:ascii="Arial" w:eastAsiaTheme="minorEastAsia" w:hAnsi="Arial" w:cs="Arial"/>
                <w:b w:val="0"/>
                <w:noProof/>
                <w:kern w:val="0"/>
                <w:sz w:val="22"/>
                <w:szCs w:val="22"/>
              </w:rPr>
              <w:tab/>
            </w:r>
            <w:r w:rsidR="00511596" w:rsidRPr="00511596">
              <w:rPr>
                <w:rStyle w:val="Hyperlink"/>
                <w:rFonts w:ascii="Arial" w:eastAsia="Calibri" w:hAnsi="Arial" w:cs="Arial"/>
                <w:b w:val="0"/>
                <w:noProof/>
                <w:sz w:val="22"/>
                <w:szCs w:val="22"/>
                <w:lang w:val="en-US"/>
              </w:rPr>
              <w:t>The Australian Medical Research and Innovation Priorities</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_Toc5785659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4</w:t>
            </w:r>
            <w:r w:rsidR="00511596" w:rsidRPr="00511596">
              <w:rPr>
                <w:rFonts w:ascii="Arial" w:hAnsi="Arial" w:cs="Arial"/>
                <w:b w:val="0"/>
                <w:noProof/>
                <w:webHidden/>
                <w:sz w:val="22"/>
                <w:szCs w:val="22"/>
              </w:rPr>
              <w:fldChar w:fldCharType="end"/>
            </w:r>
          </w:hyperlink>
        </w:p>
        <w:p w14:paraId="393CF61E" w14:textId="702F3CF5" w:rsidR="00511596" w:rsidRPr="00511596" w:rsidRDefault="00965581" w:rsidP="00511596">
          <w:pPr>
            <w:pStyle w:val="TOC1"/>
            <w:tabs>
              <w:tab w:val="clear" w:pos="8278"/>
              <w:tab w:val="right" w:pos="9639"/>
            </w:tabs>
            <w:ind w:left="426" w:right="142" w:hanging="426"/>
            <w:rPr>
              <w:rFonts w:ascii="Arial" w:eastAsiaTheme="minorEastAsia" w:hAnsi="Arial" w:cs="Arial"/>
              <w:b w:val="0"/>
              <w:noProof/>
              <w:kern w:val="0"/>
              <w:sz w:val="22"/>
              <w:szCs w:val="22"/>
            </w:rPr>
          </w:pPr>
          <w:hyperlink w:anchor="_Toc5785660" w:history="1">
            <w:r w:rsidR="00511596" w:rsidRPr="00511596">
              <w:rPr>
                <w:rStyle w:val="Hyperlink"/>
                <w:rFonts w:ascii="Arial" w:hAnsi="Arial" w:cs="Arial"/>
                <w:b w:val="0"/>
                <w:noProof/>
                <w:sz w:val="22"/>
                <w:szCs w:val="22"/>
                <w:lang w:val="en-US"/>
              </w:rPr>
              <w:t>3</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lang w:val="en-US"/>
              </w:rPr>
              <w:t>Consistency of financial assistance with the 2016</w:t>
            </w:r>
            <w:r w:rsidR="00511596" w:rsidRPr="00511596">
              <w:rPr>
                <w:rStyle w:val="Hyperlink"/>
                <w:rFonts w:ascii="Arial" w:hAnsi="Arial" w:cs="Arial"/>
                <w:b w:val="0"/>
                <w:noProof/>
                <w:sz w:val="22"/>
                <w:szCs w:val="22"/>
                <w:lang w:val="en-US"/>
              </w:rPr>
              <w:noBreakHyphen/>
              <w:t>2018 Priorities</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_Toc5785660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5</w:t>
            </w:r>
            <w:r w:rsidR="00511596" w:rsidRPr="00511596">
              <w:rPr>
                <w:rFonts w:ascii="Arial" w:hAnsi="Arial" w:cs="Arial"/>
                <w:b w:val="0"/>
                <w:noProof/>
                <w:webHidden/>
                <w:sz w:val="22"/>
                <w:szCs w:val="22"/>
              </w:rPr>
              <w:fldChar w:fldCharType="end"/>
            </w:r>
          </w:hyperlink>
        </w:p>
        <w:p w14:paraId="72BAB756" w14:textId="7F76871A" w:rsidR="00511596" w:rsidRPr="00511596" w:rsidRDefault="00965581" w:rsidP="00511596">
          <w:pPr>
            <w:pStyle w:val="TOC2"/>
            <w:tabs>
              <w:tab w:val="clear" w:pos="8278"/>
              <w:tab w:val="right" w:pos="9639"/>
            </w:tabs>
            <w:ind w:left="993" w:right="142" w:hanging="567"/>
            <w:rPr>
              <w:rFonts w:ascii="Arial" w:eastAsiaTheme="minorEastAsia" w:hAnsi="Arial" w:cs="Arial"/>
              <w:b w:val="0"/>
              <w:noProof/>
              <w:kern w:val="0"/>
              <w:sz w:val="22"/>
              <w:szCs w:val="22"/>
            </w:rPr>
          </w:pPr>
          <w:hyperlink w:anchor="_Toc5785661" w:history="1">
            <w:r w:rsidR="00511596" w:rsidRPr="00511596">
              <w:rPr>
                <w:rStyle w:val="Hyperlink"/>
                <w:rFonts w:ascii="Arial" w:eastAsia="Calibri" w:hAnsi="Arial" w:cs="Arial"/>
                <w:b w:val="0"/>
                <w:noProof/>
                <w:sz w:val="22"/>
                <w:szCs w:val="22"/>
              </w:rPr>
              <w:t>3.1</w:t>
            </w:r>
            <w:r w:rsidR="00511596" w:rsidRPr="00511596">
              <w:rPr>
                <w:rFonts w:ascii="Arial" w:eastAsiaTheme="minorEastAsia" w:hAnsi="Arial" w:cs="Arial"/>
                <w:b w:val="0"/>
                <w:noProof/>
                <w:kern w:val="0"/>
                <w:sz w:val="22"/>
                <w:szCs w:val="22"/>
              </w:rPr>
              <w:tab/>
            </w:r>
            <w:r w:rsidR="00511596" w:rsidRPr="00511596">
              <w:rPr>
                <w:rStyle w:val="Hyperlink"/>
                <w:rFonts w:ascii="Arial" w:eastAsia="Calibri" w:hAnsi="Arial" w:cs="Arial"/>
                <w:b w:val="0"/>
                <w:noProof/>
                <w:sz w:val="22"/>
                <w:szCs w:val="22"/>
              </w:rPr>
              <w:t xml:space="preserve">Financial assistance provided from the </w:t>
            </w:r>
            <w:r w:rsidR="00157453">
              <w:rPr>
                <w:rStyle w:val="Hyperlink"/>
                <w:rFonts w:ascii="Arial" w:eastAsia="Calibri" w:hAnsi="Arial" w:cs="Arial"/>
                <w:b w:val="0"/>
                <w:noProof/>
                <w:sz w:val="22"/>
                <w:szCs w:val="22"/>
              </w:rPr>
              <w:t xml:space="preserve">MRFF </w:t>
            </w:r>
            <w:r w:rsidR="00511596" w:rsidRPr="00511596">
              <w:rPr>
                <w:rStyle w:val="Hyperlink"/>
                <w:rFonts w:ascii="Arial" w:eastAsia="Calibri" w:hAnsi="Arial" w:cs="Arial"/>
                <w:b w:val="0"/>
                <w:noProof/>
                <w:sz w:val="22"/>
                <w:szCs w:val="22"/>
              </w:rPr>
              <w:t>Special Account</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_Toc5785661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6</w:t>
            </w:r>
            <w:r w:rsidR="00511596" w:rsidRPr="00511596">
              <w:rPr>
                <w:rFonts w:ascii="Arial" w:hAnsi="Arial" w:cs="Arial"/>
                <w:b w:val="0"/>
                <w:noProof/>
                <w:webHidden/>
                <w:sz w:val="22"/>
                <w:szCs w:val="22"/>
              </w:rPr>
              <w:fldChar w:fldCharType="end"/>
            </w:r>
          </w:hyperlink>
        </w:p>
        <w:p w14:paraId="0018414D" w14:textId="6D0C1218" w:rsidR="00511596" w:rsidRPr="00511596" w:rsidRDefault="00965581" w:rsidP="00511596">
          <w:pPr>
            <w:pStyle w:val="TOC1"/>
            <w:tabs>
              <w:tab w:val="clear" w:pos="8278"/>
              <w:tab w:val="right" w:pos="9639"/>
            </w:tabs>
            <w:ind w:left="426" w:right="142" w:hanging="426"/>
            <w:rPr>
              <w:rFonts w:ascii="Arial" w:eastAsiaTheme="minorEastAsia" w:hAnsi="Arial" w:cs="Arial"/>
              <w:b w:val="0"/>
              <w:noProof/>
              <w:kern w:val="0"/>
              <w:sz w:val="22"/>
              <w:szCs w:val="22"/>
            </w:rPr>
          </w:pPr>
          <w:hyperlink w:anchor="_Toc5785662" w:history="1">
            <w:r w:rsidR="00511596" w:rsidRPr="00511596">
              <w:rPr>
                <w:rStyle w:val="Hyperlink"/>
                <w:rFonts w:ascii="Arial" w:hAnsi="Arial" w:cs="Arial"/>
                <w:b w:val="0"/>
                <w:noProof/>
                <w:sz w:val="22"/>
                <w:szCs w:val="22"/>
                <w:lang w:val="en-US"/>
              </w:rPr>
              <w:t>4</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lang w:val="en-US"/>
              </w:rPr>
              <w:t>Processes for determining grants of financial assistance</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_Toc5785662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8</w:t>
            </w:r>
            <w:r w:rsidR="00511596" w:rsidRPr="00511596">
              <w:rPr>
                <w:rFonts w:ascii="Arial" w:hAnsi="Arial" w:cs="Arial"/>
                <w:b w:val="0"/>
                <w:noProof/>
                <w:webHidden/>
                <w:sz w:val="22"/>
                <w:szCs w:val="22"/>
              </w:rPr>
              <w:fldChar w:fldCharType="end"/>
            </w:r>
          </w:hyperlink>
        </w:p>
        <w:p w14:paraId="3D8DDF8B" w14:textId="5B5AD730" w:rsidR="00511596" w:rsidRPr="00511596" w:rsidRDefault="00965581" w:rsidP="00511596">
          <w:pPr>
            <w:pStyle w:val="TOC2"/>
            <w:tabs>
              <w:tab w:val="clear" w:pos="8278"/>
              <w:tab w:val="right" w:pos="9639"/>
            </w:tabs>
            <w:ind w:left="993" w:right="142" w:hanging="567"/>
            <w:rPr>
              <w:rFonts w:ascii="Arial" w:eastAsiaTheme="minorEastAsia" w:hAnsi="Arial" w:cs="Arial"/>
              <w:b w:val="0"/>
              <w:noProof/>
              <w:kern w:val="0"/>
              <w:sz w:val="22"/>
              <w:szCs w:val="22"/>
            </w:rPr>
          </w:pPr>
          <w:hyperlink w:anchor="_Toc5785663" w:history="1">
            <w:r w:rsidR="00511596" w:rsidRPr="00511596">
              <w:rPr>
                <w:rStyle w:val="Hyperlink"/>
                <w:rFonts w:ascii="Arial" w:hAnsi="Arial" w:cs="Arial"/>
                <w:b w:val="0"/>
                <w:noProof/>
                <w:sz w:val="22"/>
                <w:szCs w:val="22"/>
              </w:rPr>
              <w:t>4.1</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rPr>
              <w:t>Determination of MRFF initiatives</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_Toc5785663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8</w:t>
            </w:r>
            <w:r w:rsidR="00511596" w:rsidRPr="00511596">
              <w:rPr>
                <w:rFonts w:ascii="Arial" w:hAnsi="Arial" w:cs="Arial"/>
                <w:b w:val="0"/>
                <w:noProof/>
                <w:webHidden/>
                <w:sz w:val="22"/>
                <w:szCs w:val="22"/>
              </w:rPr>
              <w:fldChar w:fldCharType="end"/>
            </w:r>
          </w:hyperlink>
        </w:p>
        <w:p w14:paraId="06C5B6A9" w14:textId="2242959D" w:rsidR="00511596" w:rsidRPr="00511596" w:rsidRDefault="00965581" w:rsidP="00511596">
          <w:pPr>
            <w:pStyle w:val="TOC2"/>
            <w:tabs>
              <w:tab w:val="clear" w:pos="8278"/>
              <w:tab w:val="right" w:pos="9639"/>
            </w:tabs>
            <w:ind w:left="993" w:right="142" w:hanging="567"/>
            <w:rPr>
              <w:rFonts w:ascii="Arial" w:eastAsiaTheme="minorEastAsia" w:hAnsi="Arial" w:cs="Arial"/>
              <w:b w:val="0"/>
              <w:noProof/>
              <w:kern w:val="0"/>
              <w:sz w:val="22"/>
              <w:szCs w:val="22"/>
            </w:rPr>
          </w:pPr>
          <w:hyperlink w:anchor="_Toc5785664" w:history="1">
            <w:r w:rsidR="00511596" w:rsidRPr="00511596">
              <w:rPr>
                <w:rStyle w:val="Hyperlink"/>
                <w:rFonts w:ascii="Arial" w:hAnsi="Arial" w:cs="Arial"/>
                <w:b w:val="0"/>
                <w:noProof/>
                <w:sz w:val="22"/>
                <w:szCs w:val="22"/>
              </w:rPr>
              <w:t>4.2</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rPr>
              <w:t>Determination of grants of financial assistance</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_Toc5785664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8</w:t>
            </w:r>
            <w:r w:rsidR="00511596" w:rsidRPr="00511596">
              <w:rPr>
                <w:rFonts w:ascii="Arial" w:hAnsi="Arial" w:cs="Arial"/>
                <w:b w:val="0"/>
                <w:noProof/>
                <w:webHidden/>
                <w:sz w:val="22"/>
                <w:szCs w:val="22"/>
              </w:rPr>
              <w:fldChar w:fldCharType="end"/>
            </w:r>
          </w:hyperlink>
        </w:p>
        <w:p w14:paraId="69FD265E" w14:textId="11F6B936" w:rsidR="00511596" w:rsidRPr="00511596" w:rsidRDefault="00965581" w:rsidP="00511596">
          <w:pPr>
            <w:pStyle w:val="TOC1"/>
            <w:tabs>
              <w:tab w:val="clear" w:pos="8278"/>
              <w:tab w:val="right" w:pos="9639"/>
            </w:tabs>
            <w:ind w:left="426" w:right="142" w:hanging="426"/>
            <w:rPr>
              <w:rFonts w:ascii="Arial" w:eastAsiaTheme="minorEastAsia" w:hAnsi="Arial" w:cs="Arial"/>
              <w:b w:val="0"/>
              <w:noProof/>
              <w:kern w:val="0"/>
              <w:sz w:val="22"/>
              <w:szCs w:val="22"/>
            </w:rPr>
          </w:pPr>
          <w:hyperlink w:anchor="_Toc5785665" w:history="1">
            <w:r w:rsidR="00511596" w:rsidRPr="00511596">
              <w:rPr>
                <w:rStyle w:val="Hyperlink"/>
                <w:rFonts w:ascii="Arial" w:hAnsi="Arial" w:cs="Arial"/>
                <w:b w:val="0"/>
                <w:noProof/>
                <w:sz w:val="22"/>
                <w:szCs w:val="22"/>
                <w:lang w:val="en-US"/>
              </w:rPr>
              <w:t>5</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lang w:val="en-US"/>
              </w:rPr>
              <w:t>Other financial assistance provided by the Commonwealth</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_Toc5785665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9</w:t>
            </w:r>
            <w:r w:rsidR="00511596" w:rsidRPr="00511596">
              <w:rPr>
                <w:rFonts w:ascii="Arial" w:hAnsi="Arial" w:cs="Arial"/>
                <w:b w:val="0"/>
                <w:noProof/>
                <w:webHidden/>
                <w:sz w:val="22"/>
                <w:szCs w:val="22"/>
              </w:rPr>
              <w:fldChar w:fldCharType="end"/>
            </w:r>
          </w:hyperlink>
        </w:p>
        <w:p w14:paraId="2FB5CE19" w14:textId="52BE4B5A" w:rsidR="00511596" w:rsidRPr="00511596" w:rsidRDefault="00965581" w:rsidP="00511596">
          <w:pPr>
            <w:pStyle w:val="TOC1"/>
            <w:tabs>
              <w:tab w:val="clear" w:pos="8278"/>
              <w:tab w:val="left" w:pos="2183"/>
              <w:tab w:val="right" w:pos="9639"/>
            </w:tabs>
            <w:ind w:right="142"/>
            <w:rPr>
              <w:rFonts w:ascii="Arial" w:eastAsiaTheme="minorEastAsia" w:hAnsi="Arial" w:cs="Arial"/>
              <w:b w:val="0"/>
              <w:noProof/>
              <w:kern w:val="0"/>
              <w:sz w:val="22"/>
              <w:szCs w:val="22"/>
            </w:rPr>
          </w:pPr>
          <w:hyperlink w:anchor="_Toc5785666" w:history="1">
            <w:r w:rsidR="00511596" w:rsidRPr="00511596">
              <w:rPr>
                <w:rStyle w:val="Hyperlink"/>
                <w:rFonts w:ascii="Arial" w:hAnsi="Arial" w:cs="Arial"/>
                <w:b w:val="0"/>
                <w:noProof/>
                <w:sz w:val="22"/>
                <w:szCs w:val="22"/>
              </w:rPr>
              <w:t>Appendix A</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lang w:val="en-US"/>
              </w:rPr>
              <w:t>Australian Medical Research and Innovation Priorities</w:t>
            </w:r>
            <w:r w:rsidR="00511596" w:rsidRPr="00511596">
              <w:rPr>
                <w:rStyle w:val="Hyperlink"/>
                <w:rFonts w:ascii="Arial" w:hAnsi="Arial" w:cs="Arial"/>
                <w:b w:val="0"/>
                <w:noProof/>
                <w:sz w:val="22"/>
                <w:szCs w:val="22"/>
              </w:rPr>
              <w:t xml:space="preserve"> 2016</w:t>
            </w:r>
            <w:r w:rsidR="00511596" w:rsidRPr="00511596">
              <w:rPr>
                <w:rStyle w:val="Hyperlink"/>
                <w:rFonts w:ascii="Arial" w:hAnsi="Arial" w:cs="Arial"/>
                <w:b w:val="0"/>
                <w:noProof/>
                <w:sz w:val="22"/>
                <w:szCs w:val="22"/>
              </w:rPr>
              <w:noBreakHyphen/>
              <w:t>2018</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_Toc5785666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10</w:t>
            </w:r>
            <w:r w:rsidR="00511596" w:rsidRPr="00511596">
              <w:rPr>
                <w:rFonts w:ascii="Arial" w:hAnsi="Arial" w:cs="Arial"/>
                <w:b w:val="0"/>
                <w:noProof/>
                <w:webHidden/>
                <w:sz w:val="22"/>
                <w:szCs w:val="22"/>
              </w:rPr>
              <w:fldChar w:fldCharType="end"/>
            </w:r>
          </w:hyperlink>
        </w:p>
        <w:p w14:paraId="6CB068C6" w14:textId="476F2CBC" w:rsidR="00511596" w:rsidRPr="00511596" w:rsidRDefault="00965581" w:rsidP="00511596">
          <w:pPr>
            <w:pStyle w:val="TOC1"/>
            <w:tabs>
              <w:tab w:val="clear" w:pos="8278"/>
              <w:tab w:val="left" w:pos="2183"/>
              <w:tab w:val="right" w:pos="9639"/>
            </w:tabs>
            <w:ind w:right="142"/>
            <w:rPr>
              <w:rFonts w:ascii="Arial" w:eastAsiaTheme="minorEastAsia" w:hAnsi="Arial" w:cs="Arial"/>
              <w:b w:val="0"/>
              <w:noProof/>
              <w:kern w:val="0"/>
              <w:sz w:val="22"/>
              <w:szCs w:val="22"/>
            </w:rPr>
          </w:pPr>
          <w:hyperlink w:anchor="_Toc5785667" w:history="1">
            <w:r w:rsidR="00511596" w:rsidRPr="00511596">
              <w:rPr>
                <w:rStyle w:val="Hyperlink"/>
                <w:rFonts w:ascii="Arial" w:hAnsi="Arial" w:cs="Arial"/>
                <w:b w:val="0"/>
                <w:noProof/>
                <w:sz w:val="22"/>
                <w:szCs w:val="22"/>
              </w:rPr>
              <w:t>Appendix B</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rPr>
              <w:t>Initiatives under the 2016</w:t>
            </w:r>
            <w:r w:rsidR="00511596" w:rsidRPr="00511596">
              <w:rPr>
                <w:rStyle w:val="Hyperlink"/>
                <w:rFonts w:ascii="Arial" w:hAnsi="Arial" w:cs="Arial"/>
                <w:b w:val="0"/>
                <w:noProof/>
                <w:sz w:val="22"/>
                <w:szCs w:val="22"/>
              </w:rPr>
              <w:noBreakHyphen/>
              <w:t>2018 Priorities</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_Toc5785667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12</w:t>
            </w:r>
            <w:r w:rsidR="00511596" w:rsidRPr="00511596">
              <w:rPr>
                <w:rFonts w:ascii="Arial" w:hAnsi="Arial" w:cs="Arial"/>
                <w:b w:val="0"/>
                <w:noProof/>
                <w:webHidden/>
                <w:sz w:val="22"/>
                <w:szCs w:val="22"/>
              </w:rPr>
              <w:fldChar w:fldCharType="end"/>
            </w:r>
          </w:hyperlink>
        </w:p>
        <w:p w14:paraId="46B07003" w14:textId="0B5864C6" w:rsidR="00511596" w:rsidRPr="00511596" w:rsidRDefault="00965581" w:rsidP="00511596">
          <w:pPr>
            <w:pStyle w:val="TOC1"/>
            <w:tabs>
              <w:tab w:val="clear" w:pos="8278"/>
              <w:tab w:val="left" w:pos="2183"/>
              <w:tab w:val="right" w:pos="9639"/>
            </w:tabs>
            <w:ind w:right="142"/>
            <w:rPr>
              <w:rFonts w:ascii="Arial" w:eastAsiaTheme="minorEastAsia" w:hAnsi="Arial" w:cs="Arial"/>
              <w:b w:val="0"/>
              <w:noProof/>
              <w:kern w:val="0"/>
              <w:sz w:val="22"/>
              <w:szCs w:val="22"/>
            </w:rPr>
          </w:pPr>
          <w:hyperlink w:anchor="_Toc5785668" w:history="1">
            <w:r w:rsidR="00511596" w:rsidRPr="00511596">
              <w:rPr>
                <w:rStyle w:val="Hyperlink"/>
                <w:rFonts w:ascii="Arial" w:hAnsi="Arial" w:cs="Arial"/>
                <w:b w:val="0"/>
                <w:noProof/>
                <w:sz w:val="22"/>
                <w:szCs w:val="22"/>
              </w:rPr>
              <w:t>Appendix C</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rPr>
              <w:t>MRFF Grants Awarded from November 2016 to November 2018, by project</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_Toc5785668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14</w:t>
            </w:r>
            <w:r w:rsidR="00511596" w:rsidRPr="00511596">
              <w:rPr>
                <w:rFonts w:ascii="Arial" w:hAnsi="Arial" w:cs="Arial"/>
                <w:b w:val="0"/>
                <w:noProof/>
                <w:webHidden/>
                <w:sz w:val="22"/>
                <w:szCs w:val="22"/>
              </w:rPr>
              <w:fldChar w:fldCharType="end"/>
            </w:r>
          </w:hyperlink>
        </w:p>
        <w:p w14:paraId="79C5F522" w14:textId="0945B4EC" w:rsidR="00511596" w:rsidRDefault="00965581" w:rsidP="00511596">
          <w:pPr>
            <w:pStyle w:val="TOC1"/>
            <w:tabs>
              <w:tab w:val="clear" w:pos="8278"/>
              <w:tab w:val="left" w:pos="2183"/>
              <w:tab w:val="right" w:pos="9639"/>
            </w:tabs>
            <w:ind w:right="142"/>
            <w:rPr>
              <w:rFonts w:asciiTheme="minorHAnsi" w:eastAsiaTheme="minorEastAsia" w:hAnsiTheme="minorHAnsi" w:cstheme="minorBidi"/>
              <w:b w:val="0"/>
              <w:noProof/>
              <w:kern w:val="0"/>
              <w:sz w:val="22"/>
              <w:szCs w:val="22"/>
            </w:rPr>
          </w:pPr>
          <w:hyperlink w:anchor="_Toc5785669" w:history="1">
            <w:r w:rsidR="00511596" w:rsidRPr="00511596">
              <w:rPr>
                <w:rStyle w:val="Hyperlink"/>
                <w:rFonts w:ascii="Arial" w:hAnsi="Arial" w:cs="Arial"/>
                <w:b w:val="0"/>
                <w:noProof/>
                <w:sz w:val="22"/>
                <w:szCs w:val="22"/>
              </w:rPr>
              <w:t>Appendix D</w:t>
            </w:r>
            <w:r w:rsidR="00511596" w:rsidRPr="00511596">
              <w:rPr>
                <w:rFonts w:ascii="Arial" w:eastAsiaTheme="minorEastAsia" w:hAnsi="Arial" w:cs="Arial"/>
                <w:b w:val="0"/>
                <w:noProof/>
                <w:kern w:val="0"/>
                <w:sz w:val="22"/>
                <w:szCs w:val="22"/>
              </w:rPr>
              <w:tab/>
            </w:r>
            <w:r w:rsidR="00511596" w:rsidRPr="00511596">
              <w:rPr>
                <w:rStyle w:val="Hyperlink"/>
                <w:rFonts w:ascii="Arial" w:hAnsi="Arial" w:cs="Arial"/>
                <w:b w:val="0"/>
                <w:noProof/>
                <w:sz w:val="22"/>
                <w:szCs w:val="22"/>
              </w:rPr>
              <w:t>MRFF Grants Awarded from November 2016 to November 2018, by initiative</w:t>
            </w:r>
            <w:r w:rsidR="00511596" w:rsidRPr="00511596">
              <w:rPr>
                <w:rFonts w:ascii="Arial" w:hAnsi="Arial" w:cs="Arial"/>
                <w:b w:val="0"/>
                <w:noProof/>
                <w:webHidden/>
                <w:sz w:val="22"/>
                <w:szCs w:val="22"/>
              </w:rPr>
              <w:tab/>
            </w:r>
            <w:r w:rsidR="00511596" w:rsidRPr="00511596">
              <w:rPr>
                <w:rFonts w:ascii="Arial" w:hAnsi="Arial" w:cs="Arial"/>
                <w:b w:val="0"/>
                <w:noProof/>
                <w:webHidden/>
                <w:sz w:val="22"/>
                <w:szCs w:val="22"/>
              </w:rPr>
              <w:fldChar w:fldCharType="begin"/>
            </w:r>
            <w:r w:rsidR="00511596" w:rsidRPr="00511596">
              <w:rPr>
                <w:rFonts w:ascii="Arial" w:hAnsi="Arial" w:cs="Arial"/>
                <w:b w:val="0"/>
                <w:noProof/>
                <w:webHidden/>
                <w:sz w:val="22"/>
                <w:szCs w:val="22"/>
              </w:rPr>
              <w:instrText xml:space="preserve"> PAGEREF _Toc5785669 \h </w:instrText>
            </w:r>
            <w:r w:rsidR="00511596" w:rsidRPr="00511596">
              <w:rPr>
                <w:rFonts w:ascii="Arial" w:hAnsi="Arial" w:cs="Arial"/>
                <w:b w:val="0"/>
                <w:noProof/>
                <w:webHidden/>
                <w:sz w:val="22"/>
                <w:szCs w:val="22"/>
              </w:rPr>
            </w:r>
            <w:r w:rsidR="00511596" w:rsidRPr="00511596">
              <w:rPr>
                <w:rFonts w:ascii="Arial" w:hAnsi="Arial" w:cs="Arial"/>
                <w:b w:val="0"/>
                <w:noProof/>
                <w:webHidden/>
                <w:sz w:val="22"/>
                <w:szCs w:val="22"/>
              </w:rPr>
              <w:fldChar w:fldCharType="separate"/>
            </w:r>
            <w:r w:rsidR="00533860">
              <w:rPr>
                <w:rFonts w:ascii="Arial" w:hAnsi="Arial" w:cs="Arial"/>
                <w:b w:val="0"/>
                <w:noProof/>
                <w:webHidden/>
                <w:sz w:val="22"/>
                <w:szCs w:val="22"/>
              </w:rPr>
              <w:t>22</w:t>
            </w:r>
            <w:r w:rsidR="00511596" w:rsidRPr="00511596">
              <w:rPr>
                <w:rFonts w:ascii="Arial" w:hAnsi="Arial" w:cs="Arial"/>
                <w:b w:val="0"/>
                <w:noProof/>
                <w:webHidden/>
                <w:sz w:val="22"/>
                <w:szCs w:val="22"/>
              </w:rPr>
              <w:fldChar w:fldCharType="end"/>
            </w:r>
          </w:hyperlink>
        </w:p>
        <w:p w14:paraId="0D7B5AB4" w14:textId="5F85A6EA" w:rsidR="00352A0A" w:rsidRDefault="00352A0A" w:rsidP="00511596">
          <w:pPr>
            <w:tabs>
              <w:tab w:val="right" w:pos="9639"/>
            </w:tabs>
            <w:ind w:left="567" w:right="142" w:hanging="567"/>
          </w:pPr>
          <w:r w:rsidRPr="00FE59D1">
            <w:rPr>
              <w:rFonts w:ascii="Arial" w:hAnsi="Arial" w:cs="Arial"/>
              <w:bCs/>
              <w:noProof/>
              <w:szCs w:val="22"/>
            </w:rPr>
            <w:fldChar w:fldCharType="end"/>
          </w:r>
        </w:p>
      </w:sdtContent>
    </w:sdt>
    <w:p w14:paraId="505362C3" w14:textId="77777777" w:rsidR="00352A0A" w:rsidRDefault="00352A0A" w:rsidP="00352A0A">
      <w:pPr>
        <w:rPr>
          <w:rFonts w:eastAsia="Calibri"/>
        </w:rPr>
      </w:pPr>
    </w:p>
    <w:p w14:paraId="2A00B599" w14:textId="77777777" w:rsidR="00352A0A" w:rsidRPr="002B383D" w:rsidRDefault="00352A0A" w:rsidP="00024322">
      <w:pPr>
        <w:pStyle w:val="Heading1"/>
        <w:keepNext/>
        <w:pageBreakBefore/>
        <w:numPr>
          <w:ilvl w:val="0"/>
          <w:numId w:val="5"/>
        </w:numPr>
        <w:spacing w:before="0" w:after="240" w:line="560" w:lineRule="exact"/>
        <w:ind w:left="357" w:hanging="357"/>
        <w:contextualSpacing w:val="0"/>
        <w:rPr>
          <w:rFonts w:ascii="Arial" w:hAnsi="Arial" w:cs="Arial"/>
          <w:lang w:val="en-US"/>
        </w:rPr>
      </w:pPr>
      <w:bookmarkStart w:id="2" w:name="_Toc5785656"/>
      <w:r w:rsidRPr="002B383D">
        <w:rPr>
          <w:rFonts w:ascii="Arial" w:hAnsi="Arial" w:cs="Arial"/>
          <w:lang w:val="en-US"/>
        </w:rPr>
        <w:lastRenderedPageBreak/>
        <w:t>Purpose of this report</w:t>
      </w:r>
      <w:bookmarkEnd w:id="2"/>
    </w:p>
    <w:p w14:paraId="7843717D" w14:textId="5DCBF2F3" w:rsidR="002D2AD5" w:rsidRDefault="00352A0A" w:rsidP="00734187">
      <w:pPr>
        <w:spacing w:before="240" w:after="240" w:line="240" w:lineRule="auto"/>
        <w:rPr>
          <w:rFonts w:ascii="Arial" w:hAnsi="Arial" w:cs="Arial"/>
          <w:szCs w:val="22"/>
          <w:lang w:val="en-US"/>
        </w:rPr>
      </w:pPr>
      <w:r w:rsidRPr="000541AA">
        <w:rPr>
          <w:rFonts w:ascii="Arial" w:hAnsi="Arial" w:cs="Arial"/>
          <w:szCs w:val="22"/>
          <w:lang w:val="en-US"/>
        </w:rPr>
        <w:t xml:space="preserve">The </w:t>
      </w:r>
      <w:r w:rsidRPr="000541AA">
        <w:rPr>
          <w:rFonts w:ascii="Arial" w:hAnsi="Arial" w:cs="Arial"/>
          <w:i/>
          <w:szCs w:val="22"/>
          <w:lang w:val="en-US"/>
        </w:rPr>
        <w:t>Medical Research Future Fund Act 2015</w:t>
      </w:r>
      <w:r w:rsidRPr="000541AA">
        <w:rPr>
          <w:rFonts w:ascii="Arial" w:hAnsi="Arial" w:cs="Arial"/>
          <w:szCs w:val="22"/>
          <w:lang w:val="en-US"/>
        </w:rPr>
        <w:t xml:space="preserve"> (the </w:t>
      </w:r>
      <w:r w:rsidR="00AF0435">
        <w:rPr>
          <w:rFonts w:ascii="Arial" w:hAnsi="Arial" w:cs="Arial"/>
          <w:szCs w:val="22"/>
          <w:lang w:val="en-US"/>
        </w:rPr>
        <w:t xml:space="preserve">MRFF </w:t>
      </w:r>
      <w:r w:rsidRPr="000541AA">
        <w:rPr>
          <w:rFonts w:ascii="Arial" w:hAnsi="Arial" w:cs="Arial"/>
          <w:szCs w:val="22"/>
          <w:lang w:val="en-US"/>
        </w:rPr>
        <w:t>Act) requires the Minister</w:t>
      </w:r>
      <w:r w:rsidR="00691616">
        <w:rPr>
          <w:rFonts w:ascii="Arial" w:hAnsi="Arial" w:cs="Arial"/>
          <w:szCs w:val="22"/>
          <w:lang w:val="en-US"/>
        </w:rPr>
        <w:t xml:space="preserve"> </w:t>
      </w:r>
      <w:r w:rsidR="00691616">
        <w:rPr>
          <w:rFonts w:ascii="Arial" w:hAnsi="Arial" w:cs="Arial"/>
          <w:szCs w:val="22"/>
        </w:rPr>
        <w:t>for Health</w:t>
      </w:r>
      <w:r w:rsidRPr="000541AA">
        <w:rPr>
          <w:rFonts w:ascii="Arial" w:hAnsi="Arial" w:cs="Arial"/>
          <w:szCs w:val="22"/>
          <w:lang w:val="en-US"/>
        </w:rPr>
        <w:t xml:space="preserve"> to report to Parliament on the financial assistance provided for medical research and medical innovation </w:t>
      </w:r>
      <w:r w:rsidR="00AF0435" w:rsidRPr="00AF0435">
        <w:rPr>
          <w:rFonts w:ascii="Arial" w:hAnsi="Arial" w:cs="Arial"/>
          <w:szCs w:val="22"/>
          <w:lang w:val="en-US"/>
        </w:rPr>
        <w:t xml:space="preserve">from the Medical Research Future Fund Special Account (the </w:t>
      </w:r>
      <w:r w:rsidR="006161EE">
        <w:rPr>
          <w:rFonts w:ascii="Arial" w:hAnsi="Arial" w:cs="Arial"/>
          <w:szCs w:val="22"/>
          <w:lang w:val="en-US"/>
        </w:rPr>
        <w:t xml:space="preserve">MRFF </w:t>
      </w:r>
      <w:r w:rsidR="00AF0435" w:rsidRPr="00AF0435">
        <w:rPr>
          <w:rFonts w:ascii="Arial" w:hAnsi="Arial" w:cs="Arial"/>
          <w:szCs w:val="22"/>
          <w:lang w:val="en-US"/>
        </w:rPr>
        <w:t>Special Account) during the period the most recent Australian Medical Res</w:t>
      </w:r>
      <w:r w:rsidR="000137CC">
        <w:rPr>
          <w:rFonts w:ascii="Arial" w:hAnsi="Arial" w:cs="Arial"/>
          <w:szCs w:val="22"/>
          <w:lang w:val="en-US"/>
        </w:rPr>
        <w:t>earch and Innovation Priorities</w:t>
      </w:r>
      <w:r w:rsidR="002C0E3B">
        <w:rPr>
          <w:rFonts w:ascii="Arial" w:hAnsi="Arial" w:cs="Arial"/>
          <w:szCs w:val="22"/>
          <w:lang w:val="en-US"/>
        </w:rPr>
        <w:t xml:space="preserve"> were in force</w:t>
      </w:r>
      <w:r w:rsidR="00AF0435" w:rsidRPr="00AF0435">
        <w:rPr>
          <w:rFonts w:ascii="Arial" w:hAnsi="Arial" w:cs="Arial"/>
          <w:szCs w:val="22"/>
          <w:lang w:val="en-US"/>
        </w:rPr>
        <w:t>.</w:t>
      </w:r>
    </w:p>
    <w:p w14:paraId="4E65D07B" w14:textId="5D88BC04" w:rsidR="00352A0A" w:rsidRPr="000541AA" w:rsidRDefault="00AF0435" w:rsidP="00734187">
      <w:pPr>
        <w:spacing w:before="240" w:after="240" w:line="240" w:lineRule="auto"/>
        <w:rPr>
          <w:rFonts w:ascii="Arial" w:hAnsi="Arial" w:cs="Arial"/>
          <w:szCs w:val="22"/>
          <w:lang w:val="en-US"/>
        </w:rPr>
      </w:pPr>
      <w:r>
        <w:rPr>
          <w:rFonts w:ascii="Arial" w:hAnsi="Arial" w:cs="Arial"/>
          <w:szCs w:val="22"/>
          <w:lang w:val="en-US"/>
        </w:rPr>
        <w:t>Accordingly, t</w:t>
      </w:r>
      <w:r w:rsidR="00352A0A" w:rsidRPr="000541AA">
        <w:rPr>
          <w:rFonts w:ascii="Arial" w:hAnsi="Arial" w:cs="Arial"/>
          <w:szCs w:val="22"/>
          <w:lang w:val="en-US"/>
        </w:rPr>
        <w:t xml:space="preserve">his report presents the financial assistance provided from the </w:t>
      </w:r>
      <w:r w:rsidR="00C31574">
        <w:rPr>
          <w:rFonts w:ascii="Arial" w:hAnsi="Arial" w:cs="Arial"/>
          <w:szCs w:val="22"/>
          <w:lang w:val="en-US"/>
        </w:rPr>
        <w:t xml:space="preserve">MRFF </w:t>
      </w:r>
      <w:r w:rsidR="00352A0A" w:rsidRPr="000541AA">
        <w:rPr>
          <w:rFonts w:ascii="Arial" w:hAnsi="Arial" w:cs="Arial"/>
          <w:szCs w:val="22"/>
          <w:lang w:val="en-US"/>
        </w:rPr>
        <w:t xml:space="preserve">Special </w:t>
      </w:r>
      <w:r w:rsidR="00C31574">
        <w:rPr>
          <w:rFonts w:ascii="Arial" w:hAnsi="Arial" w:cs="Arial"/>
          <w:szCs w:val="22"/>
          <w:lang w:val="en-US"/>
        </w:rPr>
        <w:t>A</w:t>
      </w:r>
      <w:r w:rsidR="00352A0A" w:rsidRPr="000541AA">
        <w:rPr>
          <w:rFonts w:ascii="Arial" w:hAnsi="Arial" w:cs="Arial"/>
          <w:szCs w:val="22"/>
          <w:lang w:val="en-US"/>
        </w:rPr>
        <w:t xml:space="preserve">ccount </w:t>
      </w:r>
      <w:r w:rsidR="00C31574">
        <w:rPr>
          <w:rFonts w:ascii="Arial" w:hAnsi="Arial" w:cs="Arial"/>
          <w:szCs w:val="22"/>
          <w:lang w:val="en-US"/>
        </w:rPr>
        <w:t xml:space="preserve">during the period that the </w:t>
      </w:r>
      <w:r w:rsidR="00C31574" w:rsidRPr="000137CC">
        <w:rPr>
          <w:rFonts w:ascii="Arial" w:hAnsi="Arial" w:cs="Arial"/>
          <w:i/>
          <w:szCs w:val="22"/>
          <w:lang w:val="en-US"/>
        </w:rPr>
        <w:t>Australian Medical Research and Innovation Priorities 2016-2018</w:t>
      </w:r>
      <w:r w:rsidR="00691616">
        <w:rPr>
          <w:rFonts w:ascii="Arial" w:hAnsi="Arial" w:cs="Arial"/>
          <w:i/>
          <w:szCs w:val="22"/>
          <w:lang w:val="en-US"/>
        </w:rPr>
        <w:t xml:space="preserve"> </w:t>
      </w:r>
      <w:r w:rsidR="00691616" w:rsidRPr="00691616">
        <w:rPr>
          <w:rFonts w:ascii="Arial" w:hAnsi="Arial" w:cs="Arial"/>
          <w:szCs w:val="22"/>
          <w:lang w:val="en-US"/>
        </w:rPr>
        <w:t>(</w:t>
      </w:r>
      <w:r w:rsidR="00691616">
        <w:rPr>
          <w:rFonts w:ascii="Arial" w:hAnsi="Arial" w:cs="Arial"/>
          <w:szCs w:val="22"/>
          <w:lang w:val="en-US"/>
        </w:rPr>
        <w:t xml:space="preserve">2016-2018 </w:t>
      </w:r>
      <w:r w:rsidR="00691616" w:rsidRPr="00691616">
        <w:rPr>
          <w:rFonts w:ascii="Arial" w:hAnsi="Arial" w:cs="Arial"/>
          <w:szCs w:val="22"/>
          <w:lang w:val="en-US"/>
        </w:rPr>
        <w:t>Priorities)</w:t>
      </w:r>
      <w:r w:rsidR="00C31574" w:rsidRPr="00691616">
        <w:rPr>
          <w:rFonts w:ascii="Arial" w:hAnsi="Arial" w:cs="Arial"/>
          <w:szCs w:val="22"/>
          <w:lang w:val="en-US"/>
        </w:rPr>
        <w:t xml:space="preserve"> </w:t>
      </w:r>
      <w:r w:rsidR="00C31574">
        <w:rPr>
          <w:rFonts w:ascii="Arial" w:hAnsi="Arial" w:cs="Arial"/>
          <w:szCs w:val="22"/>
          <w:lang w:val="en-US"/>
        </w:rPr>
        <w:t xml:space="preserve">were active, specifically </w:t>
      </w:r>
      <w:r w:rsidRPr="00AF0435">
        <w:rPr>
          <w:rFonts w:ascii="Arial" w:hAnsi="Arial" w:cs="Arial"/>
          <w:szCs w:val="22"/>
          <w:lang w:val="en-US"/>
        </w:rPr>
        <w:t>from November 2016 until November 2018.</w:t>
      </w:r>
    </w:p>
    <w:p w14:paraId="32FBD321" w14:textId="77777777" w:rsidR="00352A0A" w:rsidRPr="000541AA" w:rsidRDefault="00352A0A" w:rsidP="000137CC">
      <w:pPr>
        <w:spacing w:before="240" w:line="240" w:lineRule="auto"/>
        <w:rPr>
          <w:rFonts w:ascii="Arial" w:hAnsi="Arial" w:cs="Arial"/>
          <w:szCs w:val="22"/>
          <w:lang w:val="en-US"/>
        </w:rPr>
      </w:pPr>
      <w:r w:rsidRPr="000541AA">
        <w:rPr>
          <w:rFonts w:ascii="Arial" w:hAnsi="Arial" w:cs="Arial"/>
          <w:szCs w:val="22"/>
          <w:lang w:val="en-US"/>
        </w:rPr>
        <w:t>As required under the</w:t>
      </w:r>
      <w:r w:rsidR="00AF0435">
        <w:rPr>
          <w:rFonts w:ascii="Arial" w:hAnsi="Arial" w:cs="Arial"/>
          <w:szCs w:val="22"/>
          <w:lang w:val="en-US"/>
        </w:rPr>
        <w:t xml:space="preserve"> MRFF</w:t>
      </w:r>
      <w:r w:rsidRPr="000541AA">
        <w:rPr>
          <w:rFonts w:ascii="Arial" w:hAnsi="Arial" w:cs="Arial"/>
          <w:szCs w:val="22"/>
          <w:lang w:val="en-US"/>
        </w:rPr>
        <w:t xml:space="preserve"> Act, this report presents:</w:t>
      </w:r>
    </w:p>
    <w:p w14:paraId="01DF67AB" w14:textId="351F6D46" w:rsidR="00352A0A" w:rsidRPr="000541AA" w:rsidRDefault="00352A0A" w:rsidP="00860FE3">
      <w:pPr>
        <w:pStyle w:val="Bullet"/>
        <w:spacing w:before="120" w:line="240" w:lineRule="auto"/>
        <w:ind w:left="567" w:hanging="283"/>
        <w:rPr>
          <w:rFonts w:ascii="Arial" w:hAnsi="Arial" w:cs="Arial"/>
          <w:sz w:val="22"/>
          <w:szCs w:val="22"/>
          <w:lang w:val="en-US"/>
        </w:rPr>
      </w:pPr>
      <w:r w:rsidRPr="000541AA">
        <w:rPr>
          <w:rFonts w:ascii="Arial" w:hAnsi="Arial" w:cs="Arial"/>
          <w:sz w:val="22"/>
          <w:szCs w:val="22"/>
          <w:lang w:val="en-US"/>
        </w:rPr>
        <w:t xml:space="preserve">a description of how the financial assistance provided was consistent with the </w:t>
      </w:r>
      <w:r w:rsidR="00965581">
        <w:rPr>
          <w:rFonts w:ascii="Arial" w:hAnsi="Arial" w:cs="Arial"/>
          <w:sz w:val="22"/>
          <w:szCs w:val="22"/>
          <w:lang w:val="en-US"/>
        </w:rPr>
        <w:t>2016</w:t>
      </w:r>
      <w:r w:rsidR="00965581">
        <w:rPr>
          <w:rFonts w:ascii="Arial" w:hAnsi="Arial" w:cs="Arial"/>
          <w:sz w:val="22"/>
          <w:szCs w:val="22"/>
          <w:lang w:val="en-US"/>
        </w:rPr>
        <w:noBreakHyphen/>
      </w:r>
      <w:r w:rsidR="00691616">
        <w:rPr>
          <w:rFonts w:ascii="Arial" w:hAnsi="Arial" w:cs="Arial"/>
          <w:sz w:val="22"/>
          <w:szCs w:val="22"/>
          <w:lang w:val="en-US"/>
        </w:rPr>
        <w:t xml:space="preserve">2018 </w:t>
      </w:r>
      <w:r w:rsidRPr="000541AA">
        <w:rPr>
          <w:rFonts w:ascii="Arial" w:hAnsi="Arial" w:cs="Arial"/>
          <w:sz w:val="22"/>
          <w:szCs w:val="22"/>
          <w:lang w:val="en-US"/>
        </w:rPr>
        <w:t>Priorities</w:t>
      </w:r>
      <w:r w:rsidR="00C31574">
        <w:rPr>
          <w:rFonts w:ascii="Arial" w:hAnsi="Arial" w:cs="Arial"/>
          <w:sz w:val="22"/>
          <w:szCs w:val="22"/>
          <w:lang w:val="en-US"/>
        </w:rPr>
        <w:t>;</w:t>
      </w:r>
    </w:p>
    <w:p w14:paraId="7298B3F4" w14:textId="77777777" w:rsidR="00352A0A" w:rsidRPr="000541AA" w:rsidRDefault="00352A0A" w:rsidP="00860FE3">
      <w:pPr>
        <w:pStyle w:val="Bullet"/>
        <w:spacing w:before="120" w:line="240" w:lineRule="auto"/>
        <w:ind w:left="567" w:hanging="283"/>
        <w:rPr>
          <w:rFonts w:ascii="Arial" w:hAnsi="Arial" w:cs="Arial"/>
          <w:sz w:val="22"/>
          <w:szCs w:val="22"/>
          <w:lang w:val="en-US"/>
        </w:rPr>
      </w:pPr>
      <w:r w:rsidRPr="000541AA">
        <w:rPr>
          <w:rFonts w:ascii="Arial" w:hAnsi="Arial" w:cs="Arial"/>
          <w:sz w:val="22"/>
          <w:szCs w:val="22"/>
          <w:lang w:val="en-US"/>
        </w:rPr>
        <w:t>a description of the processes for determining the grants of financial assistance</w:t>
      </w:r>
      <w:r w:rsidR="00C31574">
        <w:rPr>
          <w:rFonts w:ascii="Arial" w:hAnsi="Arial" w:cs="Arial"/>
          <w:sz w:val="22"/>
          <w:szCs w:val="22"/>
          <w:lang w:val="en-US"/>
        </w:rPr>
        <w:t>; and</w:t>
      </w:r>
    </w:p>
    <w:p w14:paraId="673C979E" w14:textId="77777777" w:rsidR="00352A0A" w:rsidRPr="000541AA" w:rsidRDefault="00352A0A" w:rsidP="00860FE3">
      <w:pPr>
        <w:pStyle w:val="Bullet"/>
        <w:spacing w:before="120" w:line="240" w:lineRule="auto"/>
        <w:ind w:left="567" w:hanging="283"/>
        <w:rPr>
          <w:rFonts w:ascii="Arial" w:hAnsi="Arial" w:cs="Arial"/>
          <w:sz w:val="22"/>
          <w:szCs w:val="22"/>
          <w:lang w:val="en-US"/>
        </w:rPr>
      </w:pPr>
      <w:r w:rsidRPr="000541AA">
        <w:rPr>
          <w:rFonts w:ascii="Arial" w:hAnsi="Arial" w:cs="Arial"/>
          <w:sz w:val="22"/>
          <w:szCs w:val="22"/>
          <w:lang w:val="en-US"/>
        </w:rPr>
        <w:t>information about any other financial assistance provided by the Commonwealth for medical research and medical innovation.</w:t>
      </w:r>
    </w:p>
    <w:p w14:paraId="1A91829C" w14:textId="77777777" w:rsidR="00352A0A" w:rsidRPr="00144D57" w:rsidRDefault="00352A0A" w:rsidP="00352A0A">
      <w:pPr>
        <w:rPr>
          <w:lang w:eastAsia="en-AU"/>
        </w:rPr>
      </w:pPr>
    </w:p>
    <w:p w14:paraId="5B4C57F6" w14:textId="77777777" w:rsidR="00CB68A8" w:rsidRDefault="00CB68A8" w:rsidP="00024322">
      <w:pPr>
        <w:pStyle w:val="Heading1"/>
        <w:keepNext/>
        <w:pageBreakBefore/>
        <w:numPr>
          <w:ilvl w:val="0"/>
          <w:numId w:val="5"/>
        </w:numPr>
        <w:spacing w:before="0" w:after="240" w:line="560" w:lineRule="exact"/>
        <w:ind w:left="357" w:hanging="357"/>
        <w:contextualSpacing w:val="0"/>
        <w:rPr>
          <w:rFonts w:ascii="Arial" w:hAnsi="Arial" w:cs="Arial"/>
          <w:lang w:val="en-US"/>
        </w:rPr>
      </w:pPr>
      <w:bookmarkStart w:id="3" w:name="_Toc5785657"/>
      <w:r>
        <w:rPr>
          <w:rFonts w:ascii="Arial" w:hAnsi="Arial" w:cs="Arial"/>
          <w:lang w:val="en-US"/>
        </w:rPr>
        <w:lastRenderedPageBreak/>
        <w:t>Background</w:t>
      </w:r>
      <w:bookmarkEnd w:id="3"/>
    </w:p>
    <w:p w14:paraId="1AD7688A" w14:textId="77777777" w:rsidR="00AF0435" w:rsidRPr="000541AA" w:rsidRDefault="00AF0435" w:rsidP="00734187">
      <w:pPr>
        <w:spacing w:before="240" w:after="240" w:line="240" w:lineRule="auto"/>
        <w:rPr>
          <w:rFonts w:ascii="Arial" w:hAnsi="Arial" w:cs="Arial"/>
          <w:szCs w:val="22"/>
          <w:lang w:val="en-US"/>
        </w:rPr>
      </w:pPr>
      <w:r>
        <w:rPr>
          <w:rFonts w:ascii="Arial" w:hAnsi="Arial" w:cs="Arial"/>
          <w:szCs w:val="22"/>
          <w:lang w:val="en-US"/>
        </w:rPr>
        <w:t xml:space="preserve">The MRFF Act </w:t>
      </w:r>
      <w:r w:rsidRPr="000541AA">
        <w:rPr>
          <w:rFonts w:ascii="Arial" w:hAnsi="Arial" w:cs="Arial"/>
          <w:szCs w:val="22"/>
          <w:lang w:val="en-US"/>
        </w:rPr>
        <w:t>establishes the</w:t>
      </w:r>
      <w:r w:rsidR="00C31574">
        <w:rPr>
          <w:rFonts w:ascii="Arial" w:hAnsi="Arial" w:cs="Arial"/>
          <w:szCs w:val="22"/>
          <w:lang w:val="en-US"/>
        </w:rPr>
        <w:t xml:space="preserve"> independent</w:t>
      </w:r>
      <w:r w:rsidRPr="000541AA">
        <w:rPr>
          <w:rFonts w:ascii="Arial" w:hAnsi="Arial" w:cs="Arial"/>
          <w:szCs w:val="22"/>
          <w:lang w:val="en-US"/>
        </w:rPr>
        <w:t xml:space="preserve"> Australian Medical Research Advisory Board (AMRAB) to determine the:</w:t>
      </w:r>
    </w:p>
    <w:p w14:paraId="54D22663" w14:textId="77777777" w:rsidR="00AF0435" w:rsidRPr="000541AA" w:rsidRDefault="00AF0435" w:rsidP="00860FE3">
      <w:pPr>
        <w:pStyle w:val="Bullet"/>
        <w:spacing w:before="120" w:line="240" w:lineRule="auto"/>
        <w:ind w:left="567" w:hanging="283"/>
        <w:rPr>
          <w:rFonts w:ascii="Arial" w:hAnsi="Arial" w:cs="Arial"/>
          <w:sz w:val="22"/>
          <w:szCs w:val="22"/>
          <w:lang w:val="en-US"/>
        </w:rPr>
      </w:pPr>
      <w:r w:rsidRPr="000541AA">
        <w:rPr>
          <w:rFonts w:ascii="Arial" w:hAnsi="Arial" w:cs="Arial"/>
          <w:sz w:val="22"/>
          <w:szCs w:val="22"/>
          <w:lang w:val="en-US"/>
        </w:rPr>
        <w:t>Australian Medical Research and Innovation Strategy (the Strategy) every five years</w:t>
      </w:r>
      <w:r w:rsidR="00B37E06">
        <w:rPr>
          <w:rFonts w:ascii="Arial" w:hAnsi="Arial" w:cs="Arial"/>
          <w:sz w:val="22"/>
          <w:szCs w:val="22"/>
          <w:lang w:val="en-US"/>
        </w:rPr>
        <w:t>.</w:t>
      </w:r>
    </w:p>
    <w:p w14:paraId="1D177CE8" w14:textId="77777777" w:rsidR="00AF0435" w:rsidRPr="000541AA" w:rsidRDefault="00AF0435" w:rsidP="00860FE3">
      <w:pPr>
        <w:pStyle w:val="Bullet"/>
        <w:spacing w:before="120" w:line="240" w:lineRule="auto"/>
        <w:ind w:left="567" w:hanging="283"/>
        <w:rPr>
          <w:rFonts w:ascii="Arial" w:hAnsi="Arial" w:cs="Arial"/>
          <w:sz w:val="22"/>
          <w:szCs w:val="22"/>
          <w:lang w:val="en-US"/>
        </w:rPr>
      </w:pPr>
      <w:r w:rsidRPr="000541AA">
        <w:rPr>
          <w:rFonts w:ascii="Arial" w:hAnsi="Arial" w:cs="Arial"/>
          <w:sz w:val="22"/>
          <w:szCs w:val="22"/>
          <w:lang w:val="en-US"/>
        </w:rPr>
        <w:t xml:space="preserve">Australian Medical Research and Innovation Priorities (the Priorities) every two years. </w:t>
      </w:r>
    </w:p>
    <w:p w14:paraId="291F9B10" w14:textId="2F161128" w:rsidR="00BF0B9C" w:rsidRPr="000541AA" w:rsidRDefault="00AF0435" w:rsidP="00734187">
      <w:pPr>
        <w:spacing w:before="240" w:after="240" w:line="240" w:lineRule="auto"/>
        <w:rPr>
          <w:rFonts w:ascii="Arial" w:hAnsi="Arial" w:cs="Arial"/>
          <w:szCs w:val="22"/>
          <w:lang w:val="en-US"/>
        </w:rPr>
      </w:pPr>
      <w:r w:rsidRPr="000541AA">
        <w:rPr>
          <w:rFonts w:ascii="Arial" w:hAnsi="Arial" w:cs="Arial"/>
          <w:szCs w:val="22"/>
          <w:lang w:val="en-US"/>
        </w:rPr>
        <w:t xml:space="preserve">The </w:t>
      </w:r>
      <w:r w:rsidR="002C0E3B">
        <w:rPr>
          <w:rFonts w:ascii="Arial" w:hAnsi="Arial" w:cs="Arial"/>
          <w:szCs w:val="22"/>
          <w:lang w:val="en-US"/>
        </w:rPr>
        <w:t xml:space="preserve">MRFF </w:t>
      </w:r>
      <w:r w:rsidRPr="000541AA">
        <w:rPr>
          <w:rFonts w:ascii="Arial" w:hAnsi="Arial" w:cs="Arial"/>
          <w:szCs w:val="22"/>
          <w:lang w:val="en-US"/>
        </w:rPr>
        <w:t>Act requ</w:t>
      </w:r>
      <w:r w:rsidR="002C0E3B">
        <w:rPr>
          <w:rFonts w:ascii="Arial" w:hAnsi="Arial" w:cs="Arial"/>
          <w:szCs w:val="22"/>
          <w:lang w:val="en-US"/>
        </w:rPr>
        <w:t>ires the Minister to take the Priorities into account when</w:t>
      </w:r>
      <w:r w:rsidRPr="000541AA">
        <w:rPr>
          <w:rFonts w:ascii="Arial" w:hAnsi="Arial" w:cs="Arial"/>
          <w:szCs w:val="22"/>
          <w:lang w:val="en-US"/>
        </w:rPr>
        <w:t xml:space="preserve"> making decisions in relation to the financial assistance provided from the </w:t>
      </w:r>
      <w:r w:rsidR="00C31574">
        <w:rPr>
          <w:rFonts w:ascii="Arial" w:hAnsi="Arial" w:cs="Arial"/>
          <w:szCs w:val="22"/>
          <w:lang w:val="en-US"/>
        </w:rPr>
        <w:t xml:space="preserve">MRFF </w:t>
      </w:r>
      <w:r w:rsidRPr="000541AA">
        <w:rPr>
          <w:rFonts w:ascii="Arial" w:hAnsi="Arial" w:cs="Arial"/>
          <w:szCs w:val="22"/>
          <w:lang w:val="en-US"/>
        </w:rPr>
        <w:t>Special Account.</w:t>
      </w:r>
    </w:p>
    <w:p w14:paraId="3C8C72EE" w14:textId="77777777" w:rsidR="00734187" w:rsidRPr="008E4DE7" w:rsidRDefault="00734187" w:rsidP="00734187">
      <w:pPr>
        <w:pStyle w:val="Heading2"/>
        <w:keepLines w:val="0"/>
        <w:numPr>
          <w:ilvl w:val="1"/>
          <w:numId w:val="5"/>
        </w:numPr>
        <w:spacing w:before="480" w:after="180" w:line="380" w:lineRule="exact"/>
        <w:rPr>
          <w:rFonts w:eastAsia="Calibri"/>
          <w:b w:val="0"/>
        </w:rPr>
      </w:pPr>
      <w:bookmarkStart w:id="4" w:name="_Toc5785658"/>
      <w:r w:rsidRPr="008E4DE7">
        <w:rPr>
          <w:rFonts w:eastAsia="Calibri"/>
          <w:b w:val="0"/>
        </w:rPr>
        <w:t>The Australian Medical Research and Innovation Strategy</w:t>
      </w:r>
      <w:bookmarkEnd w:id="4"/>
    </w:p>
    <w:p w14:paraId="7321DE30" w14:textId="77777777" w:rsidR="00734187" w:rsidRPr="000541AA" w:rsidRDefault="00734187" w:rsidP="00860FE3">
      <w:pPr>
        <w:spacing w:before="240" w:after="240" w:line="240" w:lineRule="auto"/>
        <w:rPr>
          <w:rFonts w:ascii="Arial" w:hAnsi="Arial" w:cs="Arial"/>
          <w:szCs w:val="22"/>
        </w:rPr>
      </w:pPr>
      <w:r w:rsidRPr="00860FE3">
        <w:rPr>
          <w:rFonts w:ascii="Arial" w:hAnsi="Arial" w:cs="Arial"/>
          <w:szCs w:val="22"/>
          <w:lang w:val="en-US"/>
        </w:rPr>
        <w:t>AMRAB developed the Strategy in 2016</w:t>
      </w:r>
      <w:r w:rsidR="00BF0B9C" w:rsidRPr="00860FE3">
        <w:rPr>
          <w:rFonts w:ascii="Arial" w:hAnsi="Arial" w:cs="Arial"/>
          <w:szCs w:val="22"/>
          <w:lang w:val="en-US"/>
        </w:rPr>
        <w:t xml:space="preserve"> following extensive public consultation</w:t>
      </w:r>
      <w:r w:rsidRPr="00860FE3">
        <w:rPr>
          <w:rFonts w:ascii="Arial" w:hAnsi="Arial" w:cs="Arial"/>
          <w:szCs w:val="22"/>
          <w:lang w:val="en-US"/>
        </w:rPr>
        <w:t>. The Strategy will be in place for five years as required under the</w:t>
      </w:r>
      <w:r w:rsidR="00BF0B9C" w:rsidRPr="00860FE3">
        <w:rPr>
          <w:rFonts w:ascii="Arial" w:hAnsi="Arial" w:cs="Arial"/>
          <w:szCs w:val="22"/>
          <w:lang w:val="en-US"/>
        </w:rPr>
        <w:t xml:space="preserve"> MRFF</w:t>
      </w:r>
      <w:r w:rsidRPr="00860FE3">
        <w:rPr>
          <w:rFonts w:ascii="Arial" w:hAnsi="Arial" w:cs="Arial"/>
          <w:szCs w:val="22"/>
          <w:lang w:val="en-US"/>
        </w:rPr>
        <w:t xml:space="preserve"> Act. The intent of the Strategy is:</w:t>
      </w:r>
    </w:p>
    <w:p w14:paraId="7555CD72" w14:textId="77777777" w:rsidR="00734187" w:rsidRPr="000541AA" w:rsidRDefault="00734187" w:rsidP="00860FE3">
      <w:pPr>
        <w:ind w:left="567" w:right="1559"/>
        <w:rPr>
          <w:rFonts w:ascii="Arial" w:hAnsi="Arial" w:cs="Arial"/>
          <w:szCs w:val="22"/>
          <w:lang w:eastAsia="en-AU"/>
        </w:rPr>
      </w:pPr>
      <w:r w:rsidRPr="000541AA">
        <w:rPr>
          <w:rFonts w:ascii="Arial" w:hAnsi="Arial" w:cs="Arial"/>
          <w:szCs w:val="22"/>
          <w:lang w:eastAsia="en-AU"/>
        </w:rPr>
        <w:t>“</w:t>
      </w:r>
      <w:r w:rsidRPr="001D3EAF">
        <w:rPr>
          <w:rFonts w:ascii="Arial" w:hAnsi="Arial" w:cs="Arial"/>
          <w:i/>
          <w:szCs w:val="22"/>
          <w:lang w:eastAsia="en-AU"/>
        </w:rPr>
        <w:t>Through strategic investment, to transform health and medical research and innovation to improve lives, build the economy and contribute to health system sustainability</w:t>
      </w:r>
      <w:r w:rsidRPr="000541AA">
        <w:rPr>
          <w:rFonts w:ascii="Arial" w:hAnsi="Arial" w:cs="Arial"/>
          <w:szCs w:val="22"/>
          <w:lang w:eastAsia="en-AU"/>
        </w:rPr>
        <w:t>.”</w:t>
      </w:r>
      <w:r w:rsidRPr="000541AA">
        <w:rPr>
          <w:rStyle w:val="FootnoteReference"/>
          <w:rFonts w:ascii="Arial" w:hAnsi="Arial" w:cs="Arial"/>
          <w:szCs w:val="22"/>
          <w:lang w:eastAsia="en-AU"/>
        </w:rPr>
        <w:footnoteReference w:id="1"/>
      </w:r>
    </w:p>
    <w:p w14:paraId="77B791E9" w14:textId="77777777" w:rsidR="00734187" w:rsidRPr="00860FE3" w:rsidRDefault="00734187" w:rsidP="00860FE3">
      <w:pPr>
        <w:spacing w:before="240" w:after="240" w:line="240" w:lineRule="auto"/>
        <w:rPr>
          <w:rFonts w:ascii="Arial" w:hAnsi="Arial" w:cs="Arial"/>
          <w:szCs w:val="22"/>
          <w:lang w:val="en-US"/>
        </w:rPr>
      </w:pPr>
      <w:r w:rsidRPr="00860FE3">
        <w:rPr>
          <w:rFonts w:ascii="Arial" w:hAnsi="Arial" w:cs="Arial"/>
          <w:szCs w:val="22"/>
          <w:lang w:val="en-US"/>
        </w:rPr>
        <w:t xml:space="preserve">The </w:t>
      </w:r>
      <w:r w:rsidR="0094170C">
        <w:rPr>
          <w:rFonts w:ascii="Arial" w:hAnsi="Arial" w:cs="Arial"/>
          <w:szCs w:val="22"/>
          <w:lang w:val="en-US"/>
        </w:rPr>
        <w:t xml:space="preserve">2016-2021 </w:t>
      </w:r>
      <w:r w:rsidRPr="00860FE3">
        <w:rPr>
          <w:rFonts w:ascii="Arial" w:hAnsi="Arial" w:cs="Arial"/>
          <w:szCs w:val="22"/>
          <w:lang w:val="en-US"/>
        </w:rPr>
        <w:t>Strategy identifies six strategic platforms that serve as a framework for the two-yearly identification of the Priorities:</w:t>
      </w:r>
    </w:p>
    <w:p w14:paraId="58658F74" w14:textId="77777777" w:rsidR="00734187" w:rsidRPr="000541AA" w:rsidRDefault="00734187" w:rsidP="00B37E06">
      <w:pPr>
        <w:pStyle w:val="Bullet"/>
        <w:numPr>
          <w:ilvl w:val="0"/>
          <w:numId w:val="18"/>
        </w:numPr>
        <w:ind w:left="567" w:hanging="283"/>
        <w:rPr>
          <w:rFonts w:ascii="Arial" w:hAnsi="Arial" w:cs="Arial"/>
          <w:sz w:val="22"/>
          <w:szCs w:val="22"/>
        </w:rPr>
      </w:pPr>
      <w:r w:rsidRPr="000541AA">
        <w:rPr>
          <w:rFonts w:ascii="Arial" w:hAnsi="Arial" w:cs="Arial"/>
          <w:sz w:val="22"/>
          <w:szCs w:val="22"/>
        </w:rPr>
        <w:t>Strategic and international horizons</w:t>
      </w:r>
      <w:r w:rsidR="00C31574">
        <w:rPr>
          <w:rFonts w:ascii="Arial" w:hAnsi="Arial" w:cs="Arial"/>
          <w:sz w:val="22"/>
          <w:szCs w:val="22"/>
        </w:rPr>
        <w:t>;</w:t>
      </w:r>
    </w:p>
    <w:p w14:paraId="4B3D4010" w14:textId="77777777" w:rsidR="00734187" w:rsidRPr="000541AA" w:rsidRDefault="00734187" w:rsidP="00B37E06">
      <w:pPr>
        <w:pStyle w:val="Bullet"/>
        <w:numPr>
          <w:ilvl w:val="0"/>
          <w:numId w:val="18"/>
        </w:numPr>
        <w:ind w:left="567" w:hanging="283"/>
        <w:rPr>
          <w:rFonts w:ascii="Arial" w:hAnsi="Arial" w:cs="Arial"/>
          <w:sz w:val="22"/>
          <w:szCs w:val="22"/>
        </w:rPr>
      </w:pPr>
      <w:r w:rsidRPr="000541AA">
        <w:rPr>
          <w:rFonts w:ascii="Arial" w:hAnsi="Arial" w:cs="Arial"/>
          <w:sz w:val="22"/>
          <w:szCs w:val="22"/>
        </w:rPr>
        <w:t>Data and infrastructure</w:t>
      </w:r>
      <w:r w:rsidR="00C31574">
        <w:rPr>
          <w:rFonts w:ascii="Arial" w:hAnsi="Arial" w:cs="Arial"/>
          <w:sz w:val="22"/>
          <w:szCs w:val="22"/>
        </w:rPr>
        <w:t>;</w:t>
      </w:r>
    </w:p>
    <w:p w14:paraId="07CF875F" w14:textId="77777777" w:rsidR="00734187" w:rsidRPr="000541AA" w:rsidRDefault="00734187" w:rsidP="00B37E06">
      <w:pPr>
        <w:pStyle w:val="Bullet"/>
        <w:numPr>
          <w:ilvl w:val="0"/>
          <w:numId w:val="18"/>
        </w:numPr>
        <w:ind w:left="567" w:hanging="283"/>
        <w:rPr>
          <w:rFonts w:ascii="Arial" w:hAnsi="Arial" w:cs="Arial"/>
          <w:sz w:val="22"/>
          <w:szCs w:val="22"/>
        </w:rPr>
      </w:pPr>
      <w:r w:rsidRPr="000541AA">
        <w:rPr>
          <w:rFonts w:ascii="Arial" w:hAnsi="Arial" w:cs="Arial"/>
          <w:sz w:val="22"/>
          <w:szCs w:val="22"/>
        </w:rPr>
        <w:t>Health services and systems</w:t>
      </w:r>
      <w:r w:rsidR="00C31574">
        <w:rPr>
          <w:rFonts w:ascii="Arial" w:hAnsi="Arial" w:cs="Arial"/>
          <w:sz w:val="22"/>
          <w:szCs w:val="22"/>
        </w:rPr>
        <w:t>;</w:t>
      </w:r>
    </w:p>
    <w:p w14:paraId="3F890E05" w14:textId="77777777" w:rsidR="00734187" w:rsidRPr="000541AA" w:rsidRDefault="00734187" w:rsidP="00B37E06">
      <w:pPr>
        <w:pStyle w:val="Bullet"/>
        <w:numPr>
          <w:ilvl w:val="0"/>
          <w:numId w:val="18"/>
        </w:numPr>
        <w:ind w:left="567" w:hanging="283"/>
        <w:rPr>
          <w:rFonts w:ascii="Arial" w:hAnsi="Arial" w:cs="Arial"/>
          <w:sz w:val="22"/>
          <w:szCs w:val="22"/>
        </w:rPr>
      </w:pPr>
      <w:r w:rsidRPr="000541AA">
        <w:rPr>
          <w:rFonts w:ascii="Arial" w:hAnsi="Arial" w:cs="Arial"/>
          <w:sz w:val="22"/>
          <w:szCs w:val="22"/>
        </w:rPr>
        <w:t>Capacity and collaboration</w:t>
      </w:r>
      <w:r w:rsidR="00C31574">
        <w:rPr>
          <w:rFonts w:ascii="Arial" w:hAnsi="Arial" w:cs="Arial"/>
          <w:sz w:val="22"/>
          <w:szCs w:val="22"/>
        </w:rPr>
        <w:t>;</w:t>
      </w:r>
    </w:p>
    <w:p w14:paraId="07EBACBD" w14:textId="77777777" w:rsidR="00734187" w:rsidRPr="000541AA" w:rsidRDefault="00734187" w:rsidP="00B37E06">
      <w:pPr>
        <w:pStyle w:val="Bullet"/>
        <w:numPr>
          <w:ilvl w:val="0"/>
          <w:numId w:val="18"/>
        </w:numPr>
        <w:ind w:left="567" w:hanging="283"/>
        <w:rPr>
          <w:rFonts w:ascii="Arial" w:hAnsi="Arial" w:cs="Arial"/>
          <w:sz w:val="22"/>
          <w:szCs w:val="22"/>
        </w:rPr>
      </w:pPr>
      <w:r w:rsidRPr="000541AA">
        <w:rPr>
          <w:rFonts w:ascii="Arial" w:hAnsi="Arial" w:cs="Arial"/>
          <w:sz w:val="22"/>
          <w:szCs w:val="22"/>
        </w:rPr>
        <w:t>Trials and translation</w:t>
      </w:r>
      <w:r w:rsidR="00C31574">
        <w:rPr>
          <w:rFonts w:ascii="Arial" w:hAnsi="Arial" w:cs="Arial"/>
          <w:sz w:val="22"/>
          <w:szCs w:val="22"/>
        </w:rPr>
        <w:t>; and</w:t>
      </w:r>
    </w:p>
    <w:p w14:paraId="774E76BE" w14:textId="77777777" w:rsidR="00734187" w:rsidRDefault="00734187" w:rsidP="00B37E06">
      <w:pPr>
        <w:pStyle w:val="Bullet"/>
        <w:numPr>
          <w:ilvl w:val="0"/>
          <w:numId w:val="18"/>
        </w:numPr>
        <w:ind w:left="567" w:hanging="283"/>
        <w:rPr>
          <w:rFonts w:ascii="Arial" w:hAnsi="Arial" w:cs="Arial"/>
          <w:sz w:val="22"/>
          <w:szCs w:val="22"/>
        </w:rPr>
      </w:pPr>
      <w:r w:rsidRPr="000541AA">
        <w:rPr>
          <w:rFonts w:ascii="Arial" w:hAnsi="Arial" w:cs="Arial"/>
          <w:sz w:val="22"/>
          <w:szCs w:val="22"/>
        </w:rPr>
        <w:t>Commercialisation.</w:t>
      </w:r>
    </w:p>
    <w:p w14:paraId="182E5E0C" w14:textId="77777777" w:rsidR="00DF7F39" w:rsidRPr="00DF7F39" w:rsidRDefault="00615072" w:rsidP="00DF7F39">
      <w:pPr>
        <w:pStyle w:val="Heading2"/>
        <w:keepLines w:val="0"/>
        <w:numPr>
          <w:ilvl w:val="1"/>
          <w:numId w:val="5"/>
        </w:numPr>
        <w:spacing w:before="480" w:after="180" w:line="380" w:lineRule="exact"/>
        <w:rPr>
          <w:rFonts w:eastAsia="Calibri"/>
          <w:b w:val="0"/>
        </w:rPr>
      </w:pPr>
      <w:bookmarkStart w:id="5" w:name="_Toc5785659"/>
      <w:r>
        <w:rPr>
          <w:rFonts w:eastAsia="Calibri"/>
          <w:b w:val="0"/>
          <w:lang w:val="en-US"/>
        </w:rPr>
        <w:t xml:space="preserve">The </w:t>
      </w:r>
      <w:r w:rsidR="00DF7F39" w:rsidRPr="00DF7F39">
        <w:rPr>
          <w:rFonts w:eastAsia="Calibri"/>
          <w:b w:val="0"/>
          <w:lang w:val="en-US"/>
        </w:rPr>
        <w:t>Australian Medical Research and Innovation Priorities</w:t>
      </w:r>
      <w:bookmarkEnd w:id="5"/>
    </w:p>
    <w:p w14:paraId="45DAB220" w14:textId="48838223" w:rsidR="008411AE" w:rsidRDefault="008411AE" w:rsidP="00734187">
      <w:pPr>
        <w:pStyle w:val="Bullet"/>
        <w:numPr>
          <w:ilvl w:val="0"/>
          <w:numId w:val="0"/>
        </w:numPr>
        <w:rPr>
          <w:rFonts w:ascii="Arial" w:hAnsi="Arial" w:cs="Arial"/>
          <w:sz w:val="22"/>
          <w:szCs w:val="22"/>
        </w:rPr>
      </w:pPr>
      <w:r w:rsidRPr="008411AE">
        <w:rPr>
          <w:rFonts w:ascii="Arial" w:hAnsi="Arial" w:cs="Arial"/>
          <w:sz w:val="22"/>
          <w:szCs w:val="22"/>
        </w:rPr>
        <w:t>As required by the</w:t>
      </w:r>
      <w:r w:rsidR="00727426">
        <w:rPr>
          <w:rFonts w:ascii="Arial" w:hAnsi="Arial" w:cs="Arial"/>
          <w:sz w:val="22"/>
          <w:szCs w:val="22"/>
        </w:rPr>
        <w:t xml:space="preserve"> MRFF</w:t>
      </w:r>
      <w:r w:rsidRPr="008411AE">
        <w:rPr>
          <w:rFonts w:ascii="Arial" w:hAnsi="Arial" w:cs="Arial"/>
          <w:sz w:val="22"/>
          <w:szCs w:val="22"/>
        </w:rPr>
        <w:t xml:space="preserve"> Act, AMRAB is responsible for establishing the Priorities to support the MRFF, with each set of Priorities being in force for</w:t>
      </w:r>
      <w:r w:rsidR="00C31574">
        <w:rPr>
          <w:rFonts w:ascii="Arial" w:hAnsi="Arial" w:cs="Arial"/>
          <w:sz w:val="22"/>
          <w:szCs w:val="22"/>
        </w:rPr>
        <w:t xml:space="preserve"> a</w:t>
      </w:r>
      <w:r w:rsidRPr="008411AE">
        <w:rPr>
          <w:rFonts w:ascii="Arial" w:hAnsi="Arial" w:cs="Arial"/>
          <w:sz w:val="22"/>
          <w:szCs w:val="22"/>
        </w:rPr>
        <w:t xml:space="preserve"> two</w:t>
      </w:r>
      <w:r w:rsidR="004948C7">
        <w:rPr>
          <w:rFonts w:ascii="Arial" w:hAnsi="Arial" w:cs="Arial"/>
          <w:sz w:val="22"/>
          <w:szCs w:val="22"/>
        </w:rPr>
        <w:t>-</w:t>
      </w:r>
      <w:r w:rsidRPr="008411AE">
        <w:rPr>
          <w:rFonts w:ascii="Arial" w:hAnsi="Arial" w:cs="Arial"/>
          <w:sz w:val="22"/>
          <w:szCs w:val="22"/>
        </w:rPr>
        <w:t>year</w:t>
      </w:r>
      <w:r w:rsidR="00C31574">
        <w:rPr>
          <w:rFonts w:ascii="Arial" w:hAnsi="Arial" w:cs="Arial"/>
          <w:sz w:val="22"/>
          <w:szCs w:val="22"/>
        </w:rPr>
        <w:t xml:space="preserve"> period</w:t>
      </w:r>
      <w:r w:rsidRPr="008411AE">
        <w:rPr>
          <w:rFonts w:ascii="Arial" w:hAnsi="Arial" w:cs="Arial"/>
          <w:sz w:val="22"/>
          <w:szCs w:val="22"/>
        </w:rPr>
        <w:t xml:space="preserve">. </w:t>
      </w:r>
    </w:p>
    <w:p w14:paraId="71F03F34" w14:textId="77777777" w:rsidR="008411AE" w:rsidRDefault="008411AE" w:rsidP="00734187">
      <w:pPr>
        <w:pStyle w:val="Bullet"/>
        <w:numPr>
          <w:ilvl w:val="0"/>
          <w:numId w:val="0"/>
        </w:numPr>
        <w:rPr>
          <w:rFonts w:ascii="Arial" w:hAnsi="Arial" w:cs="Arial"/>
          <w:sz w:val="22"/>
          <w:szCs w:val="22"/>
        </w:rPr>
      </w:pPr>
      <w:r w:rsidRPr="008411AE">
        <w:rPr>
          <w:rFonts w:ascii="Arial" w:hAnsi="Arial" w:cs="Arial"/>
          <w:sz w:val="22"/>
          <w:szCs w:val="22"/>
        </w:rPr>
        <w:t xml:space="preserve">The Priorities must be consistent, and align with the vision and strategic platforms that are outlined in the Strategy that is currently in force. </w:t>
      </w:r>
      <w:r w:rsidR="00C31574">
        <w:rPr>
          <w:rFonts w:ascii="Arial" w:hAnsi="Arial" w:cs="Arial"/>
          <w:sz w:val="22"/>
          <w:szCs w:val="22"/>
        </w:rPr>
        <w:t xml:space="preserve">Both the MRFF Strategy and Priorities are </w:t>
      </w:r>
      <w:r w:rsidRPr="008411AE">
        <w:rPr>
          <w:rFonts w:ascii="Arial" w:hAnsi="Arial" w:cs="Arial"/>
          <w:sz w:val="22"/>
          <w:szCs w:val="22"/>
        </w:rPr>
        <w:t>informed by national consultation</w:t>
      </w:r>
      <w:r w:rsidR="00C31574">
        <w:rPr>
          <w:rFonts w:ascii="Arial" w:hAnsi="Arial" w:cs="Arial"/>
          <w:sz w:val="22"/>
          <w:szCs w:val="22"/>
        </w:rPr>
        <w:t xml:space="preserve"> as required under the MRFF Act</w:t>
      </w:r>
      <w:r w:rsidRPr="008411AE">
        <w:rPr>
          <w:rFonts w:ascii="Arial" w:hAnsi="Arial" w:cs="Arial"/>
          <w:sz w:val="22"/>
          <w:szCs w:val="22"/>
        </w:rPr>
        <w:t>.</w:t>
      </w:r>
    </w:p>
    <w:p w14:paraId="28B595F8" w14:textId="77777777" w:rsidR="00352A0A" w:rsidRPr="002B383D" w:rsidRDefault="00352A0A" w:rsidP="00024322">
      <w:pPr>
        <w:pStyle w:val="Heading1"/>
        <w:keepNext/>
        <w:pageBreakBefore/>
        <w:numPr>
          <w:ilvl w:val="0"/>
          <w:numId w:val="5"/>
        </w:numPr>
        <w:spacing w:before="0" w:after="240" w:line="560" w:lineRule="exact"/>
        <w:ind w:left="357" w:hanging="357"/>
        <w:contextualSpacing w:val="0"/>
        <w:rPr>
          <w:rFonts w:ascii="Arial" w:hAnsi="Arial" w:cs="Arial"/>
          <w:lang w:val="en-US"/>
        </w:rPr>
      </w:pPr>
      <w:bookmarkStart w:id="6" w:name="_Toc5785660"/>
      <w:r w:rsidRPr="002B383D">
        <w:rPr>
          <w:rFonts w:ascii="Arial" w:hAnsi="Arial" w:cs="Arial"/>
          <w:lang w:val="en-US"/>
        </w:rPr>
        <w:lastRenderedPageBreak/>
        <w:t>Consistency of financial assistance with the 2016</w:t>
      </w:r>
      <w:r w:rsidR="0022289C">
        <w:rPr>
          <w:rFonts w:ascii="Arial" w:hAnsi="Arial" w:cs="Arial"/>
          <w:lang w:val="en-US"/>
        </w:rPr>
        <w:noBreakHyphen/>
      </w:r>
      <w:r w:rsidRPr="002B383D">
        <w:rPr>
          <w:rFonts w:ascii="Arial" w:hAnsi="Arial" w:cs="Arial"/>
          <w:lang w:val="en-US"/>
        </w:rPr>
        <w:t>2018 Priorities</w:t>
      </w:r>
      <w:bookmarkEnd w:id="6"/>
    </w:p>
    <w:p w14:paraId="59470A1B" w14:textId="02E1FF75" w:rsidR="00642082" w:rsidRPr="007A17B3" w:rsidRDefault="007A17B3" w:rsidP="007A17B3">
      <w:pPr>
        <w:spacing w:before="120" w:after="120" w:line="240" w:lineRule="auto"/>
        <w:rPr>
          <w:rFonts w:ascii="Arial" w:hAnsi="Arial" w:cs="Arial"/>
          <w:szCs w:val="22"/>
          <w:lang w:eastAsia="en-AU"/>
        </w:rPr>
      </w:pPr>
      <w:r w:rsidRPr="007A17B3">
        <w:rPr>
          <w:rFonts w:ascii="Arial" w:hAnsi="Arial" w:cs="Arial"/>
          <w:szCs w:val="22"/>
          <w:lang w:eastAsia="en-AU"/>
        </w:rPr>
        <w:t>MRFF initiatives are determined by Government taking into consideration the</w:t>
      </w:r>
      <w:r w:rsidR="00402D81">
        <w:rPr>
          <w:rFonts w:ascii="Arial" w:hAnsi="Arial" w:cs="Arial"/>
          <w:szCs w:val="22"/>
          <w:lang w:eastAsia="en-AU"/>
        </w:rPr>
        <w:t xml:space="preserve"> current</w:t>
      </w:r>
      <w:r w:rsidRPr="007A17B3">
        <w:rPr>
          <w:rFonts w:ascii="Arial" w:hAnsi="Arial" w:cs="Arial"/>
          <w:szCs w:val="22"/>
          <w:lang w:eastAsia="en-AU"/>
        </w:rPr>
        <w:t xml:space="preserve"> MRFF Priorities</w:t>
      </w:r>
      <w:r w:rsidR="00402D81">
        <w:rPr>
          <w:rFonts w:ascii="Arial" w:hAnsi="Arial" w:cs="Arial"/>
          <w:szCs w:val="22"/>
          <w:lang w:eastAsia="en-AU"/>
        </w:rPr>
        <w:t xml:space="preserve"> at the time of commitment</w:t>
      </w:r>
      <w:r w:rsidRPr="007A17B3">
        <w:rPr>
          <w:rFonts w:ascii="Arial" w:hAnsi="Arial" w:cs="Arial"/>
          <w:szCs w:val="22"/>
          <w:lang w:eastAsia="en-AU"/>
        </w:rPr>
        <w:t>.</w:t>
      </w:r>
      <w:r w:rsidR="00001D7E">
        <w:rPr>
          <w:rFonts w:ascii="Arial" w:hAnsi="Arial" w:cs="Arial"/>
          <w:szCs w:val="22"/>
          <w:lang w:eastAsia="en-AU"/>
        </w:rPr>
        <w:t xml:space="preserve"> Refer to </w:t>
      </w:r>
      <w:r w:rsidR="000137CC" w:rsidRPr="000137CC">
        <w:rPr>
          <w:rFonts w:ascii="Arial" w:eastAsia="Times New Roman" w:hAnsi="Arial" w:cs="Arial"/>
          <w:sz w:val="19"/>
          <w:szCs w:val="22"/>
          <w:u w:val="single"/>
          <w:lang w:eastAsia="en-AU"/>
        </w:rPr>
        <w:fldChar w:fldCharType="begin"/>
      </w:r>
      <w:r w:rsidR="000137CC" w:rsidRPr="000137CC">
        <w:rPr>
          <w:rFonts w:ascii="Arial" w:hAnsi="Arial" w:cs="Arial"/>
          <w:szCs w:val="22"/>
          <w:u w:val="single"/>
        </w:rPr>
        <w:instrText xml:space="preserve"> REF _Ref3891225 \n \h </w:instrText>
      </w:r>
      <w:r w:rsidR="000137CC">
        <w:rPr>
          <w:rFonts w:ascii="Arial" w:eastAsia="Times New Roman" w:hAnsi="Arial" w:cs="Arial"/>
          <w:sz w:val="19"/>
          <w:szCs w:val="22"/>
          <w:u w:val="single"/>
          <w:lang w:eastAsia="en-AU"/>
        </w:rPr>
        <w:instrText xml:space="preserve"> \* MERGEFORMAT </w:instrText>
      </w:r>
      <w:r w:rsidR="000137CC" w:rsidRPr="000137CC">
        <w:rPr>
          <w:rFonts w:ascii="Arial" w:eastAsia="Times New Roman" w:hAnsi="Arial" w:cs="Arial"/>
          <w:sz w:val="19"/>
          <w:szCs w:val="22"/>
          <w:u w:val="single"/>
          <w:lang w:eastAsia="en-AU"/>
        </w:rPr>
      </w:r>
      <w:r w:rsidR="000137CC" w:rsidRPr="000137CC">
        <w:rPr>
          <w:rFonts w:ascii="Arial" w:eastAsia="Times New Roman" w:hAnsi="Arial" w:cs="Arial"/>
          <w:sz w:val="19"/>
          <w:szCs w:val="22"/>
          <w:u w:val="single"/>
          <w:lang w:eastAsia="en-AU"/>
        </w:rPr>
        <w:fldChar w:fldCharType="separate"/>
      </w:r>
      <w:r w:rsidR="00533860">
        <w:rPr>
          <w:rFonts w:ascii="Arial" w:hAnsi="Arial" w:cs="Arial"/>
          <w:szCs w:val="22"/>
          <w:u w:val="single"/>
        </w:rPr>
        <w:t>Appendix A</w:t>
      </w:r>
      <w:r w:rsidR="000137CC" w:rsidRPr="000137CC">
        <w:rPr>
          <w:rFonts w:ascii="Arial" w:eastAsia="Times New Roman" w:hAnsi="Arial" w:cs="Arial"/>
          <w:sz w:val="19"/>
          <w:szCs w:val="22"/>
          <w:u w:val="single"/>
          <w:lang w:eastAsia="en-AU"/>
        </w:rPr>
        <w:fldChar w:fldCharType="end"/>
      </w:r>
      <w:r w:rsidR="000137CC">
        <w:rPr>
          <w:rFonts w:ascii="Arial" w:eastAsia="Times New Roman" w:hAnsi="Arial" w:cs="Arial"/>
          <w:sz w:val="19"/>
          <w:szCs w:val="22"/>
          <w:lang w:eastAsia="en-AU"/>
        </w:rPr>
        <w:t xml:space="preserve"> </w:t>
      </w:r>
      <w:r w:rsidR="00001D7E">
        <w:rPr>
          <w:rFonts w:ascii="Arial" w:hAnsi="Arial" w:cs="Arial"/>
          <w:szCs w:val="22"/>
          <w:lang w:eastAsia="en-AU"/>
        </w:rPr>
        <w:t xml:space="preserve">for the </w:t>
      </w:r>
      <w:r w:rsidR="00691616">
        <w:rPr>
          <w:rFonts w:ascii="Arial" w:hAnsi="Arial" w:cs="Arial"/>
          <w:szCs w:val="22"/>
          <w:lang w:eastAsia="en-AU"/>
        </w:rPr>
        <w:t xml:space="preserve">2016-2018 </w:t>
      </w:r>
      <w:r w:rsidR="00001D7E">
        <w:rPr>
          <w:rFonts w:ascii="Arial" w:hAnsi="Arial" w:cs="Arial"/>
          <w:szCs w:val="22"/>
          <w:lang w:eastAsia="en-AU"/>
        </w:rPr>
        <w:t>Priorities.</w:t>
      </w:r>
      <w:r w:rsidRPr="007A17B3">
        <w:rPr>
          <w:rFonts w:ascii="Arial" w:hAnsi="Arial" w:cs="Arial"/>
          <w:szCs w:val="22"/>
          <w:lang w:eastAsia="en-AU"/>
        </w:rPr>
        <w:t xml:space="preserve"> </w:t>
      </w:r>
    </w:p>
    <w:p w14:paraId="155BA4CC" w14:textId="4C70CF40" w:rsidR="003A7A3E" w:rsidRDefault="00642082" w:rsidP="007A17B3">
      <w:pPr>
        <w:spacing w:before="120" w:after="120" w:line="240" w:lineRule="auto"/>
        <w:rPr>
          <w:rFonts w:ascii="Arial" w:hAnsi="Arial" w:cs="Arial"/>
          <w:szCs w:val="22"/>
          <w:lang w:eastAsia="en-AU"/>
        </w:rPr>
      </w:pPr>
      <w:r w:rsidRPr="0063622E">
        <w:rPr>
          <w:rFonts w:ascii="Arial" w:hAnsi="Arial" w:cs="Arial"/>
          <w:szCs w:val="22"/>
          <w:lang w:eastAsia="en-AU"/>
        </w:rPr>
        <w:fldChar w:fldCharType="begin"/>
      </w:r>
      <w:r w:rsidRPr="0063622E">
        <w:rPr>
          <w:rFonts w:ascii="Arial" w:hAnsi="Arial" w:cs="Arial"/>
          <w:szCs w:val="22"/>
          <w:lang w:eastAsia="en-AU"/>
        </w:rPr>
        <w:instrText xml:space="preserve"> REF _Ref4144908 \h </w:instrText>
      </w:r>
      <w:r w:rsidR="0063622E" w:rsidRPr="0063622E">
        <w:rPr>
          <w:rFonts w:ascii="Arial" w:hAnsi="Arial" w:cs="Arial"/>
          <w:szCs w:val="22"/>
          <w:lang w:eastAsia="en-AU"/>
        </w:rPr>
        <w:instrText xml:space="preserve"> \* MERGEFORMAT </w:instrText>
      </w:r>
      <w:r w:rsidRPr="0063622E">
        <w:rPr>
          <w:rFonts w:ascii="Arial" w:hAnsi="Arial" w:cs="Arial"/>
          <w:szCs w:val="22"/>
          <w:lang w:eastAsia="en-AU"/>
        </w:rPr>
      </w:r>
      <w:r w:rsidRPr="0063622E">
        <w:rPr>
          <w:rFonts w:ascii="Arial" w:hAnsi="Arial" w:cs="Arial"/>
          <w:szCs w:val="22"/>
          <w:lang w:eastAsia="en-AU"/>
        </w:rPr>
        <w:fldChar w:fldCharType="separate"/>
      </w:r>
      <w:r w:rsidR="00533860" w:rsidRPr="00533860">
        <w:rPr>
          <w:rFonts w:ascii="Arial" w:hAnsi="Arial" w:cs="Arial"/>
        </w:rPr>
        <w:t>Table 1</w:t>
      </w:r>
      <w:r w:rsidRPr="0063622E">
        <w:rPr>
          <w:rFonts w:ascii="Arial" w:hAnsi="Arial" w:cs="Arial"/>
          <w:szCs w:val="22"/>
          <w:lang w:eastAsia="en-AU"/>
        </w:rPr>
        <w:fldChar w:fldCharType="end"/>
      </w:r>
      <w:r w:rsidR="0063622E">
        <w:rPr>
          <w:rFonts w:ascii="Arial" w:hAnsi="Arial" w:cs="Arial"/>
          <w:szCs w:val="22"/>
          <w:lang w:eastAsia="en-AU"/>
        </w:rPr>
        <w:t xml:space="preserve"> </w:t>
      </w:r>
      <w:r w:rsidR="002F760E">
        <w:rPr>
          <w:rFonts w:ascii="Arial" w:hAnsi="Arial" w:cs="Arial"/>
          <w:szCs w:val="22"/>
          <w:lang w:eastAsia="en-AU"/>
        </w:rPr>
        <w:t xml:space="preserve">presents how </w:t>
      </w:r>
      <w:r w:rsidR="007A17B3" w:rsidRPr="0063622E">
        <w:rPr>
          <w:rFonts w:ascii="Arial" w:hAnsi="Arial" w:cs="Arial"/>
          <w:szCs w:val="22"/>
          <w:lang w:eastAsia="en-AU"/>
        </w:rPr>
        <w:t xml:space="preserve">MRFF initiatives </w:t>
      </w:r>
      <w:r w:rsidR="002255FE">
        <w:rPr>
          <w:rFonts w:ascii="Arial" w:hAnsi="Arial" w:cs="Arial"/>
          <w:szCs w:val="22"/>
          <w:lang w:eastAsia="en-AU"/>
        </w:rPr>
        <w:t xml:space="preserve">(as at November 2018) </w:t>
      </w:r>
      <w:r w:rsidR="00402D81">
        <w:rPr>
          <w:rFonts w:ascii="Arial" w:hAnsi="Arial" w:cs="Arial"/>
          <w:szCs w:val="22"/>
          <w:lang w:eastAsia="en-AU"/>
        </w:rPr>
        <w:t>relate</w:t>
      </w:r>
      <w:r w:rsidR="007A17B3" w:rsidRPr="0063622E">
        <w:rPr>
          <w:rFonts w:ascii="Arial" w:hAnsi="Arial" w:cs="Arial"/>
          <w:szCs w:val="22"/>
          <w:lang w:eastAsia="en-AU"/>
        </w:rPr>
        <w:t xml:space="preserve"> to the MRFF </w:t>
      </w:r>
      <w:bookmarkStart w:id="7" w:name="_GoBack"/>
      <w:r w:rsidR="007A17B3" w:rsidRPr="0063622E">
        <w:rPr>
          <w:rFonts w:ascii="Arial" w:hAnsi="Arial" w:cs="Arial"/>
          <w:szCs w:val="22"/>
          <w:lang w:eastAsia="en-AU"/>
        </w:rPr>
        <w:t xml:space="preserve">strategic </w:t>
      </w:r>
      <w:bookmarkEnd w:id="7"/>
      <w:r w:rsidR="007A17B3" w:rsidRPr="0063622E">
        <w:rPr>
          <w:rFonts w:ascii="Arial" w:hAnsi="Arial" w:cs="Arial"/>
          <w:szCs w:val="22"/>
          <w:lang w:eastAsia="en-AU"/>
        </w:rPr>
        <w:t>platforms and 2016</w:t>
      </w:r>
      <w:r w:rsidR="002F760E">
        <w:rPr>
          <w:rFonts w:ascii="Arial" w:hAnsi="Arial" w:cs="Arial"/>
          <w:szCs w:val="22"/>
          <w:lang w:eastAsia="en-AU"/>
        </w:rPr>
        <w:noBreakHyphen/>
      </w:r>
      <w:r w:rsidR="006C567D">
        <w:rPr>
          <w:rFonts w:ascii="Arial" w:hAnsi="Arial" w:cs="Arial"/>
          <w:szCs w:val="22"/>
          <w:lang w:eastAsia="en-AU"/>
        </w:rPr>
        <w:t>20</w:t>
      </w:r>
      <w:r w:rsidR="007A17B3" w:rsidRPr="007A17B3">
        <w:rPr>
          <w:rFonts w:ascii="Arial" w:hAnsi="Arial" w:cs="Arial"/>
          <w:szCs w:val="22"/>
          <w:lang w:eastAsia="en-AU"/>
        </w:rPr>
        <w:t>18 Priorities.</w:t>
      </w:r>
      <w:r w:rsidR="0063622E">
        <w:rPr>
          <w:rFonts w:ascii="Arial" w:hAnsi="Arial" w:cs="Arial"/>
          <w:szCs w:val="22"/>
          <w:lang w:eastAsia="en-AU"/>
        </w:rPr>
        <w:t xml:space="preserve"> </w:t>
      </w:r>
    </w:p>
    <w:p w14:paraId="77CDEAAA" w14:textId="3DAC945B" w:rsidR="00263021" w:rsidRPr="00860FE3" w:rsidRDefault="006F1C15" w:rsidP="00860FE3">
      <w:pPr>
        <w:pStyle w:val="Caption"/>
        <w:rPr>
          <w:color w:val="1F497D" w:themeColor="text2"/>
        </w:rPr>
      </w:pPr>
      <w:bookmarkStart w:id="8" w:name="_Ref4144908"/>
      <w:r w:rsidRPr="00860FE3">
        <w:rPr>
          <w:color w:val="1F497D" w:themeColor="text2"/>
        </w:rPr>
        <w:t xml:space="preserve">Table </w:t>
      </w:r>
      <w:r w:rsidRPr="00860FE3">
        <w:rPr>
          <w:color w:val="1F497D" w:themeColor="text2"/>
        </w:rPr>
        <w:fldChar w:fldCharType="begin"/>
      </w:r>
      <w:r w:rsidRPr="00860FE3">
        <w:rPr>
          <w:color w:val="1F497D" w:themeColor="text2"/>
        </w:rPr>
        <w:instrText xml:space="preserve"> SEQ Table \* ARABIC </w:instrText>
      </w:r>
      <w:r w:rsidRPr="00860FE3">
        <w:rPr>
          <w:color w:val="1F497D" w:themeColor="text2"/>
        </w:rPr>
        <w:fldChar w:fldCharType="separate"/>
      </w:r>
      <w:r w:rsidR="00533860">
        <w:rPr>
          <w:noProof/>
          <w:color w:val="1F497D" w:themeColor="text2"/>
        </w:rPr>
        <w:t>1</w:t>
      </w:r>
      <w:r w:rsidRPr="00860FE3">
        <w:rPr>
          <w:color w:val="1F497D" w:themeColor="text2"/>
        </w:rPr>
        <w:fldChar w:fldCharType="end"/>
      </w:r>
      <w:bookmarkEnd w:id="8"/>
      <w:r w:rsidRPr="00860FE3">
        <w:rPr>
          <w:color w:val="1F497D" w:themeColor="text2"/>
        </w:rPr>
        <w:t xml:space="preserve"> | Mapping of </w:t>
      </w:r>
      <w:r w:rsidR="002F760E">
        <w:rPr>
          <w:color w:val="1F497D" w:themeColor="text2"/>
        </w:rPr>
        <w:t>MRFF</w:t>
      </w:r>
      <w:r w:rsidRPr="00860FE3">
        <w:rPr>
          <w:color w:val="1F497D" w:themeColor="text2"/>
        </w:rPr>
        <w:t xml:space="preserve"> initiatives to the current MRFF Strategy and</w:t>
      </w:r>
      <w:r w:rsidR="002F760E">
        <w:rPr>
          <w:color w:val="1F497D" w:themeColor="text2"/>
        </w:rPr>
        <w:t xml:space="preserve"> 2016</w:t>
      </w:r>
      <w:r w:rsidR="002F760E">
        <w:rPr>
          <w:color w:val="1F497D" w:themeColor="text2"/>
        </w:rPr>
        <w:noBreakHyphen/>
        <w:t>2018</w:t>
      </w:r>
      <w:r w:rsidRPr="00860FE3">
        <w:rPr>
          <w:color w:val="1F497D" w:themeColor="text2"/>
        </w:rPr>
        <w:t xml:space="preserve"> Priorities</w:t>
      </w:r>
    </w:p>
    <w:tbl>
      <w:tblPr>
        <w:tblStyle w:val="TableGrid"/>
        <w:tblW w:w="9747" w:type="dxa"/>
        <w:tblInd w:w="-113" w:type="dxa"/>
        <w:tblLayout w:type="fixed"/>
        <w:tblLook w:val="04A0" w:firstRow="1" w:lastRow="0" w:firstColumn="1" w:lastColumn="0" w:noHBand="0" w:noVBand="1"/>
        <w:tblCaption w:val="Table 2: Mapping of program commitments to date to the current MRFF Strategy and Priorities"/>
        <w:tblDescription w:val="The table outlines the Strategic Platform on the left column, the current Priorities that below to that platform in the middle column, and the MRFF initiatives that below to those priorities in the right column."/>
      </w:tblPr>
      <w:tblGrid>
        <w:gridCol w:w="2235"/>
        <w:gridCol w:w="2409"/>
        <w:gridCol w:w="5103"/>
      </w:tblGrid>
      <w:tr w:rsidR="003A7A3E" w:rsidRPr="00440E99" w14:paraId="137AF013" w14:textId="77777777" w:rsidTr="00965581">
        <w:trPr>
          <w:tblHeader/>
        </w:trPr>
        <w:tc>
          <w:tcPr>
            <w:tcW w:w="2235" w:type="dxa"/>
            <w:shd w:val="clear" w:color="auto" w:fill="17365D" w:themeFill="text2" w:themeFillShade="BF"/>
            <w:vAlign w:val="center"/>
          </w:tcPr>
          <w:p w14:paraId="31B083AE" w14:textId="77777777" w:rsidR="003A7A3E" w:rsidRPr="00440E99" w:rsidRDefault="003A7A3E" w:rsidP="0080535D">
            <w:pPr>
              <w:spacing w:before="40" w:after="40"/>
              <w:rPr>
                <w:rFonts w:ascii="Arial" w:hAnsi="Arial" w:cs="Arial"/>
                <w:b/>
                <w:color w:val="FFFFFF" w:themeColor="background1"/>
                <w:sz w:val="20"/>
              </w:rPr>
            </w:pPr>
            <w:r w:rsidRPr="00440E99">
              <w:rPr>
                <w:rFonts w:ascii="Arial" w:hAnsi="Arial" w:cs="Arial"/>
                <w:b/>
                <w:color w:val="FFFFFF" w:themeColor="background1"/>
                <w:sz w:val="20"/>
              </w:rPr>
              <w:t>Strategic Platforms</w:t>
            </w:r>
          </w:p>
        </w:tc>
        <w:tc>
          <w:tcPr>
            <w:tcW w:w="2409" w:type="dxa"/>
            <w:shd w:val="clear" w:color="auto" w:fill="17365D" w:themeFill="text2" w:themeFillShade="BF"/>
            <w:vAlign w:val="center"/>
          </w:tcPr>
          <w:p w14:paraId="5BB870DE" w14:textId="77777777" w:rsidR="003A7A3E" w:rsidRPr="00440E99" w:rsidRDefault="003A7A3E" w:rsidP="0080535D">
            <w:pPr>
              <w:spacing w:before="40" w:after="40"/>
              <w:rPr>
                <w:rFonts w:ascii="Arial" w:hAnsi="Arial" w:cs="Arial"/>
                <w:b/>
                <w:color w:val="FFFFFF" w:themeColor="background1"/>
                <w:sz w:val="20"/>
              </w:rPr>
            </w:pPr>
            <w:r w:rsidRPr="00440E99">
              <w:rPr>
                <w:rFonts w:ascii="Arial" w:hAnsi="Arial" w:cs="Arial"/>
                <w:b/>
                <w:color w:val="FFFFFF" w:themeColor="background1"/>
                <w:sz w:val="20"/>
              </w:rPr>
              <w:t>2016-2018 Priorities</w:t>
            </w:r>
          </w:p>
        </w:tc>
        <w:tc>
          <w:tcPr>
            <w:tcW w:w="5103" w:type="dxa"/>
            <w:shd w:val="clear" w:color="auto" w:fill="17365D" w:themeFill="text2" w:themeFillShade="BF"/>
            <w:vAlign w:val="center"/>
          </w:tcPr>
          <w:p w14:paraId="4DCED980" w14:textId="77777777" w:rsidR="003A7A3E" w:rsidRPr="00440E99" w:rsidRDefault="003A7A3E" w:rsidP="0080535D">
            <w:pPr>
              <w:spacing w:before="40" w:after="40"/>
              <w:rPr>
                <w:rFonts w:ascii="Arial" w:hAnsi="Arial" w:cs="Arial"/>
                <w:b/>
                <w:color w:val="FFFFFF" w:themeColor="background1"/>
                <w:sz w:val="20"/>
              </w:rPr>
            </w:pPr>
            <w:r w:rsidRPr="003B14BB">
              <w:rPr>
                <w:rFonts w:ascii="Arial" w:hAnsi="Arial" w:cs="Arial"/>
                <w:b/>
                <w:color w:val="FFFFFF" w:themeColor="background1"/>
                <w:sz w:val="20"/>
              </w:rPr>
              <w:t>MRFF INITIATIVES*</w:t>
            </w:r>
          </w:p>
        </w:tc>
      </w:tr>
      <w:tr w:rsidR="003A7A3E" w:rsidRPr="00FC7992" w14:paraId="6E2635D8" w14:textId="77777777" w:rsidTr="00965581">
        <w:tc>
          <w:tcPr>
            <w:tcW w:w="2235" w:type="dxa"/>
            <w:vMerge w:val="restart"/>
            <w:vAlign w:val="center"/>
          </w:tcPr>
          <w:p w14:paraId="6E58C3F1" w14:textId="77777777" w:rsidR="003A7A3E" w:rsidRPr="00440E99" w:rsidRDefault="003A7A3E" w:rsidP="0080535D">
            <w:pPr>
              <w:spacing w:before="40" w:after="40"/>
              <w:rPr>
                <w:rFonts w:ascii="Arial" w:hAnsi="Arial" w:cs="Arial"/>
                <w:sz w:val="20"/>
              </w:rPr>
            </w:pPr>
            <w:r w:rsidRPr="00440E99">
              <w:rPr>
                <w:rFonts w:ascii="Arial" w:hAnsi="Arial" w:cs="Arial"/>
                <w:sz w:val="20"/>
              </w:rPr>
              <w:t>Strategic and international horizons</w:t>
            </w:r>
          </w:p>
        </w:tc>
        <w:tc>
          <w:tcPr>
            <w:tcW w:w="2409" w:type="dxa"/>
            <w:vAlign w:val="center"/>
          </w:tcPr>
          <w:p w14:paraId="5E61F9D9" w14:textId="77777777" w:rsidR="003A7A3E" w:rsidRPr="00FC7992" w:rsidRDefault="003A7A3E" w:rsidP="0080535D">
            <w:pPr>
              <w:spacing w:before="40" w:after="40"/>
              <w:rPr>
                <w:rFonts w:ascii="Arial" w:hAnsi="Arial" w:cs="Arial"/>
                <w:sz w:val="20"/>
              </w:rPr>
            </w:pPr>
            <w:r w:rsidRPr="00FC7992">
              <w:rPr>
                <w:rFonts w:ascii="Arial" w:hAnsi="Arial" w:cs="Arial"/>
                <w:sz w:val="20"/>
              </w:rPr>
              <w:t>Antimicrobial resistance</w:t>
            </w:r>
          </w:p>
        </w:tc>
        <w:tc>
          <w:tcPr>
            <w:tcW w:w="5103" w:type="dxa"/>
            <w:vAlign w:val="center"/>
          </w:tcPr>
          <w:p w14:paraId="6FBAD910" w14:textId="77777777" w:rsidR="003A7A3E" w:rsidRPr="004850D3" w:rsidRDefault="003A7A3E" w:rsidP="00402D81">
            <w:pPr>
              <w:spacing w:before="40" w:after="40"/>
              <w:rPr>
                <w:rFonts w:ascii="Arial" w:hAnsi="Arial" w:cs="Arial"/>
                <w:b/>
                <w:sz w:val="16"/>
              </w:rPr>
            </w:pPr>
            <w:r w:rsidRPr="004850D3">
              <w:rPr>
                <w:rFonts w:ascii="Arial" w:hAnsi="Arial" w:cs="Arial"/>
                <w:b/>
                <w:sz w:val="16"/>
              </w:rPr>
              <w:t>Tackling Antimicrobial Resistance</w:t>
            </w:r>
          </w:p>
        </w:tc>
      </w:tr>
      <w:tr w:rsidR="003A7A3E" w:rsidRPr="00FC7992" w14:paraId="5D4E16F3" w14:textId="77777777" w:rsidTr="00965581">
        <w:tc>
          <w:tcPr>
            <w:tcW w:w="2235" w:type="dxa"/>
            <w:vMerge/>
            <w:vAlign w:val="center"/>
          </w:tcPr>
          <w:p w14:paraId="4AEC8333" w14:textId="77777777" w:rsidR="003A7A3E" w:rsidRPr="00440E99" w:rsidRDefault="003A7A3E" w:rsidP="0080535D">
            <w:pPr>
              <w:spacing w:before="40" w:after="40"/>
              <w:rPr>
                <w:rFonts w:ascii="Arial" w:hAnsi="Arial" w:cs="Arial"/>
                <w:sz w:val="20"/>
              </w:rPr>
            </w:pPr>
          </w:p>
        </w:tc>
        <w:tc>
          <w:tcPr>
            <w:tcW w:w="2409" w:type="dxa"/>
            <w:vAlign w:val="center"/>
          </w:tcPr>
          <w:p w14:paraId="6E720C5F" w14:textId="77777777" w:rsidR="003A7A3E" w:rsidRPr="00FC7992" w:rsidRDefault="003A7A3E" w:rsidP="0080535D">
            <w:pPr>
              <w:spacing w:before="40" w:after="40"/>
              <w:rPr>
                <w:rFonts w:ascii="Arial" w:hAnsi="Arial" w:cs="Arial"/>
                <w:sz w:val="20"/>
              </w:rPr>
            </w:pPr>
            <w:r w:rsidRPr="00FC7992">
              <w:rPr>
                <w:rFonts w:ascii="Arial" w:hAnsi="Arial" w:cs="Arial"/>
                <w:sz w:val="20"/>
              </w:rPr>
              <w:t>International collaborative research</w:t>
            </w:r>
          </w:p>
        </w:tc>
        <w:tc>
          <w:tcPr>
            <w:tcW w:w="5103" w:type="dxa"/>
            <w:vAlign w:val="center"/>
          </w:tcPr>
          <w:p w14:paraId="28519857" w14:textId="77777777" w:rsidR="003A7A3E" w:rsidRPr="004850D3" w:rsidRDefault="003A7A3E" w:rsidP="0080535D">
            <w:pPr>
              <w:spacing w:before="40" w:after="40"/>
              <w:rPr>
                <w:rFonts w:ascii="Arial" w:hAnsi="Arial" w:cs="Arial"/>
                <w:b/>
                <w:sz w:val="16"/>
              </w:rPr>
            </w:pPr>
            <w:r w:rsidRPr="004850D3">
              <w:rPr>
                <w:rFonts w:ascii="Arial" w:hAnsi="Arial" w:cs="Arial"/>
                <w:b/>
                <w:sz w:val="16"/>
              </w:rPr>
              <w:t>International Clinical Trial Collaboration</w:t>
            </w:r>
            <w:r w:rsidR="002F760E">
              <w:rPr>
                <w:rFonts w:ascii="Arial" w:hAnsi="Arial" w:cs="Arial"/>
                <w:b/>
                <w:sz w:val="16"/>
              </w:rPr>
              <w:t>s</w:t>
            </w:r>
          </w:p>
        </w:tc>
      </w:tr>
      <w:tr w:rsidR="003A7A3E" w:rsidRPr="00FC7992" w14:paraId="3C576728" w14:textId="77777777" w:rsidTr="00965581">
        <w:tc>
          <w:tcPr>
            <w:tcW w:w="2235" w:type="dxa"/>
            <w:vMerge/>
            <w:vAlign w:val="center"/>
          </w:tcPr>
          <w:p w14:paraId="17D33DD9" w14:textId="77777777" w:rsidR="003A7A3E" w:rsidRPr="00440E99" w:rsidRDefault="003A7A3E" w:rsidP="0080535D">
            <w:pPr>
              <w:spacing w:before="40" w:after="40"/>
              <w:rPr>
                <w:rFonts w:ascii="Arial" w:hAnsi="Arial" w:cs="Arial"/>
                <w:sz w:val="20"/>
              </w:rPr>
            </w:pPr>
          </w:p>
        </w:tc>
        <w:tc>
          <w:tcPr>
            <w:tcW w:w="2409" w:type="dxa"/>
            <w:vAlign w:val="center"/>
          </w:tcPr>
          <w:p w14:paraId="1DF871F2" w14:textId="77777777" w:rsidR="003A7A3E" w:rsidRPr="00FC7992" w:rsidRDefault="003A7A3E" w:rsidP="0080535D">
            <w:pPr>
              <w:spacing w:before="40" w:after="40"/>
              <w:rPr>
                <w:rFonts w:ascii="Arial" w:hAnsi="Arial" w:cs="Arial"/>
                <w:sz w:val="20"/>
              </w:rPr>
            </w:pPr>
            <w:r w:rsidRPr="00FC7992">
              <w:rPr>
                <w:rFonts w:ascii="Arial" w:hAnsi="Arial" w:cs="Arial"/>
                <w:sz w:val="20"/>
              </w:rPr>
              <w:t>Disruptive technology</w:t>
            </w:r>
          </w:p>
        </w:tc>
        <w:tc>
          <w:tcPr>
            <w:tcW w:w="5103" w:type="dxa"/>
            <w:vAlign w:val="center"/>
          </w:tcPr>
          <w:p w14:paraId="5F3808A9" w14:textId="77777777" w:rsidR="003A7A3E" w:rsidRPr="004850D3" w:rsidRDefault="00073090" w:rsidP="0080535D">
            <w:pPr>
              <w:spacing w:before="40" w:after="40"/>
              <w:rPr>
                <w:rFonts w:ascii="Arial" w:hAnsi="Arial" w:cs="Arial"/>
                <w:b/>
                <w:sz w:val="16"/>
              </w:rPr>
            </w:pPr>
            <w:r>
              <w:rPr>
                <w:rFonts w:ascii="Arial" w:hAnsi="Arial" w:cs="Arial"/>
                <w:b/>
                <w:sz w:val="16"/>
              </w:rPr>
              <w:t xml:space="preserve">Frontier </w:t>
            </w:r>
            <w:r w:rsidR="003A7A3E" w:rsidRPr="004850D3">
              <w:rPr>
                <w:rFonts w:ascii="Arial" w:hAnsi="Arial" w:cs="Arial"/>
                <w:b/>
                <w:sz w:val="16"/>
              </w:rPr>
              <w:t>Health and Medical Research</w:t>
            </w:r>
          </w:p>
          <w:p w14:paraId="03B11AA2" w14:textId="77777777" w:rsidR="003A7A3E" w:rsidRPr="004850D3" w:rsidRDefault="003A7A3E" w:rsidP="0080535D">
            <w:pPr>
              <w:spacing w:before="40" w:after="40"/>
              <w:rPr>
                <w:rFonts w:ascii="Arial" w:hAnsi="Arial" w:cs="Arial"/>
                <w:b/>
                <w:sz w:val="16"/>
              </w:rPr>
            </w:pPr>
            <w:r w:rsidRPr="004850D3">
              <w:rPr>
                <w:rFonts w:ascii="Arial" w:hAnsi="Arial" w:cs="Arial"/>
                <w:b/>
                <w:sz w:val="16"/>
              </w:rPr>
              <w:t>Genomics Health Futures Mission</w:t>
            </w:r>
          </w:p>
        </w:tc>
      </w:tr>
      <w:tr w:rsidR="003A7A3E" w:rsidRPr="00FC7992" w14:paraId="5B6F8D46" w14:textId="77777777" w:rsidTr="00965581">
        <w:tc>
          <w:tcPr>
            <w:tcW w:w="2235" w:type="dxa"/>
            <w:vMerge w:val="restart"/>
            <w:vAlign w:val="center"/>
          </w:tcPr>
          <w:p w14:paraId="001D4D1D" w14:textId="77777777" w:rsidR="003A7A3E" w:rsidRPr="00440E99" w:rsidRDefault="003A7A3E" w:rsidP="0080535D">
            <w:pPr>
              <w:spacing w:before="40" w:after="40"/>
              <w:rPr>
                <w:rFonts w:ascii="Arial" w:hAnsi="Arial" w:cs="Arial"/>
                <w:sz w:val="20"/>
              </w:rPr>
            </w:pPr>
            <w:r w:rsidRPr="00440E99">
              <w:rPr>
                <w:rFonts w:ascii="Arial" w:hAnsi="Arial" w:cs="Arial"/>
                <w:sz w:val="20"/>
              </w:rPr>
              <w:t>Data and infrastructure</w:t>
            </w:r>
          </w:p>
        </w:tc>
        <w:tc>
          <w:tcPr>
            <w:tcW w:w="2409" w:type="dxa"/>
            <w:vAlign w:val="center"/>
          </w:tcPr>
          <w:p w14:paraId="7F24145E" w14:textId="77777777" w:rsidR="003A7A3E" w:rsidRPr="00FC7992" w:rsidRDefault="003A7A3E" w:rsidP="0080535D">
            <w:pPr>
              <w:spacing w:before="40" w:after="40"/>
              <w:rPr>
                <w:rFonts w:ascii="Arial" w:hAnsi="Arial" w:cs="Arial"/>
                <w:sz w:val="20"/>
              </w:rPr>
            </w:pPr>
            <w:r w:rsidRPr="00FC7992">
              <w:rPr>
                <w:rFonts w:ascii="Arial" w:hAnsi="Arial" w:cs="Arial"/>
                <w:sz w:val="20"/>
              </w:rPr>
              <w:t>Clinical quality registries</w:t>
            </w:r>
          </w:p>
        </w:tc>
        <w:tc>
          <w:tcPr>
            <w:tcW w:w="5103" w:type="dxa"/>
            <w:vAlign w:val="center"/>
          </w:tcPr>
          <w:p w14:paraId="262E5B41" w14:textId="77777777" w:rsidR="003A7A3E" w:rsidRPr="00440E99" w:rsidRDefault="00402D81" w:rsidP="00402D81">
            <w:pPr>
              <w:spacing w:before="40" w:after="40"/>
              <w:rPr>
                <w:rFonts w:ascii="Arial" w:hAnsi="Arial" w:cs="Arial"/>
                <w:i/>
                <w:sz w:val="16"/>
              </w:rPr>
            </w:pPr>
            <w:r>
              <w:rPr>
                <w:rFonts w:ascii="Arial" w:hAnsi="Arial" w:cs="Arial"/>
                <w:i/>
                <w:sz w:val="16"/>
              </w:rPr>
              <w:t>Refer to</w:t>
            </w:r>
            <w:r w:rsidR="003A7A3E" w:rsidRPr="00440E99">
              <w:rPr>
                <w:rFonts w:ascii="Arial" w:hAnsi="Arial" w:cs="Arial"/>
                <w:i/>
                <w:sz w:val="16"/>
              </w:rPr>
              <w:t xml:space="preserve"> </w:t>
            </w:r>
            <w:r w:rsidRPr="00C57D05">
              <w:rPr>
                <w:rFonts w:ascii="Arial" w:hAnsi="Arial" w:cs="Arial"/>
                <w:b/>
                <w:sz w:val="16"/>
              </w:rPr>
              <w:t>Lifting Clinical Trial and Registry Capacity</w:t>
            </w:r>
            <w:r w:rsidR="00001D7E" w:rsidRPr="000137CC">
              <w:rPr>
                <w:rFonts w:ascii="Arial" w:hAnsi="Arial" w:cs="Arial"/>
                <w:sz w:val="16"/>
              </w:rPr>
              <w:t>^</w:t>
            </w:r>
            <w:r w:rsidRPr="00EE5E3D">
              <w:rPr>
                <w:rFonts w:ascii="Arial" w:hAnsi="Arial" w:cs="Arial"/>
                <w:sz w:val="16"/>
              </w:rPr>
              <w:t xml:space="preserve"> </w:t>
            </w:r>
            <w:r w:rsidRPr="00402D81">
              <w:rPr>
                <w:rFonts w:ascii="Arial" w:hAnsi="Arial" w:cs="Arial"/>
                <w:sz w:val="16"/>
              </w:rPr>
              <w:t xml:space="preserve">- </w:t>
            </w:r>
            <w:r w:rsidRPr="00C57D05">
              <w:rPr>
                <w:rFonts w:ascii="Arial" w:hAnsi="Arial" w:cs="Arial"/>
                <w:sz w:val="16"/>
              </w:rPr>
              <w:t>Clinical Trial Networks Capacity</w:t>
            </w:r>
          </w:p>
        </w:tc>
      </w:tr>
      <w:tr w:rsidR="003A7A3E" w:rsidRPr="00FC7992" w14:paraId="67D9336B" w14:textId="77777777" w:rsidTr="00965581">
        <w:tc>
          <w:tcPr>
            <w:tcW w:w="2235" w:type="dxa"/>
            <w:vMerge/>
            <w:vAlign w:val="center"/>
          </w:tcPr>
          <w:p w14:paraId="618BAD44" w14:textId="77777777" w:rsidR="003A7A3E" w:rsidRPr="00440E99" w:rsidRDefault="003A7A3E" w:rsidP="0080535D">
            <w:pPr>
              <w:spacing w:before="40" w:after="40"/>
              <w:ind w:left="360"/>
              <w:rPr>
                <w:rFonts w:ascii="Arial" w:hAnsi="Arial" w:cs="Arial"/>
                <w:sz w:val="20"/>
              </w:rPr>
            </w:pPr>
          </w:p>
        </w:tc>
        <w:tc>
          <w:tcPr>
            <w:tcW w:w="2409" w:type="dxa"/>
            <w:shd w:val="clear" w:color="auto" w:fill="FFFFFF" w:themeFill="background1"/>
            <w:vAlign w:val="center"/>
          </w:tcPr>
          <w:p w14:paraId="4682E6B0" w14:textId="77777777" w:rsidR="003A7A3E" w:rsidRPr="00FC7992" w:rsidRDefault="003A7A3E" w:rsidP="0080535D">
            <w:pPr>
              <w:spacing w:before="40" w:after="40"/>
              <w:rPr>
                <w:rFonts w:ascii="Arial" w:hAnsi="Arial" w:cs="Arial"/>
                <w:sz w:val="20"/>
              </w:rPr>
            </w:pPr>
            <w:r w:rsidRPr="00FC7992">
              <w:rPr>
                <w:rFonts w:ascii="Arial" w:hAnsi="Arial" w:cs="Arial"/>
                <w:sz w:val="20"/>
              </w:rPr>
              <w:t>National data management study</w:t>
            </w:r>
          </w:p>
        </w:tc>
        <w:tc>
          <w:tcPr>
            <w:tcW w:w="5103" w:type="dxa"/>
            <w:vAlign w:val="center"/>
          </w:tcPr>
          <w:p w14:paraId="26D8D7BD" w14:textId="77777777" w:rsidR="003A7A3E" w:rsidRPr="00440E99" w:rsidRDefault="003A7A3E" w:rsidP="00402D81">
            <w:pPr>
              <w:spacing w:before="40" w:after="40"/>
              <w:rPr>
                <w:rFonts w:ascii="Arial" w:hAnsi="Arial" w:cs="Arial"/>
                <w:i/>
                <w:sz w:val="16"/>
              </w:rPr>
            </w:pPr>
            <w:r w:rsidRPr="00440E99">
              <w:rPr>
                <w:rFonts w:ascii="Arial" w:hAnsi="Arial" w:cs="Arial"/>
                <w:i/>
                <w:sz w:val="16"/>
              </w:rPr>
              <w:t xml:space="preserve">Associated work </w:t>
            </w:r>
            <w:r w:rsidR="00402D81">
              <w:rPr>
                <w:rFonts w:ascii="Arial" w:hAnsi="Arial" w:cs="Arial"/>
                <w:i/>
                <w:sz w:val="16"/>
              </w:rPr>
              <w:t>occurred</w:t>
            </w:r>
            <w:r w:rsidRPr="00440E99">
              <w:rPr>
                <w:rFonts w:ascii="Arial" w:hAnsi="Arial" w:cs="Arial"/>
                <w:i/>
                <w:sz w:val="16"/>
              </w:rPr>
              <w:t xml:space="preserve"> </w:t>
            </w:r>
            <w:r w:rsidR="00402D81">
              <w:rPr>
                <w:rFonts w:ascii="Arial" w:hAnsi="Arial" w:cs="Arial"/>
                <w:i/>
                <w:sz w:val="16"/>
              </w:rPr>
              <w:t>in the context of developing</w:t>
            </w:r>
            <w:r w:rsidR="00402D81" w:rsidRPr="00440E99">
              <w:rPr>
                <w:rFonts w:ascii="Arial" w:hAnsi="Arial" w:cs="Arial"/>
                <w:i/>
                <w:sz w:val="16"/>
              </w:rPr>
              <w:t xml:space="preserve"> </w:t>
            </w:r>
            <w:r w:rsidRPr="00440E99">
              <w:rPr>
                <w:rFonts w:ascii="Arial" w:hAnsi="Arial" w:cs="Arial"/>
                <w:i/>
                <w:sz w:val="16"/>
              </w:rPr>
              <w:t>the data and analytics stream of the Genomics Health Futures Mission</w:t>
            </w:r>
          </w:p>
        </w:tc>
      </w:tr>
      <w:tr w:rsidR="003A7A3E" w:rsidRPr="00FC7992" w14:paraId="141AB74F" w14:textId="77777777" w:rsidTr="00965581">
        <w:tc>
          <w:tcPr>
            <w:tcW w:w="2235" w:type="dxa"/>
            <w:vMerge/>
            <w:vAlign w:val="center"/>
          </w:tcPr>
          <w:p w14:paraId="12966DD6" w14:textId="77777777" w:rsidR="003A7A3E" w:rsidRPr="00440E99" w:rsidRDefault="003A7A3E" w:rsidP="0080535D">
            <w:pPr>
              <w:spacing w:before="40" w:after="40"/>
              <w:ind w:left="360"/>
              <w:rPr>
                <w:rFonts w:ascii="Arial" w:hAnsi="Arial" w:cs="Arial"/>
                <w:sz w:val="20"/>
              </w:rPr>
            </w:pPr>
          </w:p>
        </w:tc>
        <w:tc>
          <w:tcPr>
            <w:tcW w:w="2409" w:type="dxa"/>
            <w:vAlign w:val="center"/>
          </w:tcPr>
          <w:p w14:paraId="300055AD" w14:textId="77777777" w:rsidR="003A7A3E" w:rsidRPr="00FC7992" w:rsidRDefault="003A7A3E" w:rsidP="0080535D">
            <w:pPr>
              <w:spacing w:before="40" w:after="40"/>
              <w:rPr>
                <w:rFonts w:ascii="Arial" w:hAnsi="Arial" w:cs="Arial"/>
                <w:sz w:val="20"/>
              </w:rPr>
            </w:pPr>
            <w:r w:rsidRPr="00FC7992">
              <w:rPr>
                <w:rFonts w:ascii="Arial" w:hAnsi="Arial" w:cs="Arial"/>
                <w:sz w:val="20"/>
              </w:rPr>
              <w:t>MRFF infrastructure and evaluation</w:t>
            </w:r>
          </w:p>
        </w:tc>
        <w:tc>
          <w:tcPr>
            <w:tcW w:w="5103" w:type="dxa"/>
            <w:vAlign w:val="center"/>
          </w:tcPr>
          <w:p w14:paraId="17E3AAC3" w14:textId="77777777" w:rsidR="003A7A3E" w:rsidRPr="00440E99" w:rsidRDefault="003A7A3E" w:rsidP="0080535D">
            <w:pPr>
              <w:spacing w:before="40" w:after="40"/>
              <w:rPr>
                <w:rFonts w:ascii="Arial" w:hAnsi="Arial" w:cs="Arial"/>
                <w:i/>
                <w:sz w:val="16"/>
              </w:rPr>
            </w:pPr>
            <w:r w:rsidRPr="00440E99">
              <w:rPr>
                <w:rFonts w:ascii="Arial" w:hAnsi="Arial" w:cs="Arial"/>
                <w:i/>
                <w:sz w:val="16"/>
              </w:rPr>
              <w:t>Address</w:t>
            </w:r>
            <w:r>
              <w:rPr>
                <w:rFonts w:ascii="Arial" w:hAnsi="Arial" w:cs="Arial"/>
                <w:i/>
                <w:sz w:val="16"/>
              </w:rPr>
              <w:t>ed</w:t>
            </w:r>
            <w:r w:rsidRPr="00440E99">
              <w:rPr>
                <w:rFonts w:ascii="Arial" w:hAnsi="Arial" w:cs="Arial"/>
                <w:i/>
                <w:sz w:val="16"/>
              </w:rPr>
              <w:t xml:space="preserve"> outside of the MRFF with the Government’s commitment of $20 million over four years to support </w:t>
            </w:r>
            <w:r>
              <w:rPr>
                <w:rFonts w:ascii="Arial" w:hAnsi="Arial" w:cs="Arial"/>
                <w:i/>
                <w:sz w:val="16"/>
              </w:rPr>
              <w:t>AMRAB activities and program</w:t>
            </w:r>
            <w:r w:rsidRPr="00440E99">
              <w:rPr>
                <w:rFonts w:ascii="Arial" w:hAnsi="Arial" w:cs="Arial"/>
                <w:i/>
                <w:sz w:val="16"/>
              </w:rPr>
              <w:t xml:space="preserve"> oversight.</w:t>
            </w:r>
          </w:p>
        </w:tc>
      </w:tr>
      <w:tr w:rsidR="003A7A3E" w:rsidRPr="00FC7992" w14:paraId="6C442A1B" w14:textId="77777777" w:rsidTr="00965581">
        <w:tc>
          <w:tcPr>
            <w:tcW w:w="2235" w:type="dxa"/>
            <w:vMerge/>
            <w:vAlign w:val="center"/>
          </w:tcPr>
          <w:p w14:paraId="5FF71B94" w14:textId="77777777" w:rsidR="003A7A3E" w:rsidRPr="00440E99" w:rsidRDefault="003A7A3E" w:rsidP="0080535D">
            <w:pPr>
              <w:spacing w:before="40" w:after="40"/>
              <w:ind w:left="360"/>
              <w:rPr>
                <w:rFonts w:ascii="Arial" w:hAnsi="Arial" w:cs="Arial"/>
                <w:sz w:val="20"/>
              </w:rPr>
            </w:pPr>
          </w:p>
        </w:tc>
        <w:tc>
          <w:tcPr>
            <w:tcW w:w="2409" w:type="dxa"/>
            <w:shd w:val="clear" w:color="auto" w:fill="FFFFFF" w:themeFill="background1"/>
            <w:vAlign w:val="center"/>
          </w:tcPr>
          <w:p w14:paraId="25E9DA5A" w14:textId="77777777" w:rsidR="003A7A3E" w:rsidRPr="00FC7992" w:rsidRDefault="003A7A3E" w:rsidP="0080535D">
            <w:pPr>
              <w:spacing w:before="40" w:after="40"/>
              <w:rPr>
                <w:rFonts w:ascii="Arial" w:hAnsi="Arial" w:cs="Arial"/>
                <w:sz w:val="20"/>
              </w:rPr>
            </w:pPr>
            <w:r w:rsidRPr="00FC7992">
              <w:rPr>
                <w:rFonts w:ascii="Arial" w:hAnsi="Arial" w:cs="Arial"/>
                <w:sz w:val="20"/>
              </w:rPr>
              <w:t>Communicable disease control</w:t>
            </w:r>
          </w:p>
        </w:tc>
        <w:tc>
          <w:tcPr>
            <w:tcW w:w="5103" w:type="dxa"/>
            <w:vAlign w:val="center"/>
          </w:tcPr>
          <w:p w14:paraId="176A8384" w14:textId="77777777" w:rsidR="003A7A3E" w:rsidRPr="004850D3" w:rsidRDefault="00C26D36" w:rsidP="0080535D">
            <w:pPr>
              <w:spacing w:before="40" w:after="40"/>
              <w:rPr>
                <w:rFonts w:ascii="Arial" w:hAnsi="Arial" w:cs="Arial"/>
                <w:b/>
                <w:sz w:val="16"/>
              </w:rPr>
            </w:pPr>
            <w:r>
              <w:rPr>
                <w:rFonts w:ascii="Arial" w:hAnsi="Arial" w:cs="Arial"/>
                <w:b/>
                <w:sz w:val="16"/>
              </w:rPr>
              <w:t>National</w:t>
            </w:r>
            <w:r w:rsidR="003A7A3E" w:rsidRPr="004850D3">
              <w:rPr>
                <w:rFonts w:ascii="Arial" w:hAnsi="Arial" w:cs="Arial"/>
                <w:b/>
                <w:sz w:val="16"/>
              </w:rPr>
              <w:t xml:space="preserve"> Security Against Pandemic Risk</w:t>
            </w:r>
          </w:p>
        </w:tc>
      </w:tr>
      <w:tr w:rsidR="003A7A3E" w:rsidRPr="00FC7992" w14:paraId="472848E3" w14:textId="77777777" w:rsidTr="00965581">
        <w:tc>
          <w:tcPr>
            <w:tcW w:w="2235" w:type="dxa"/>
            <w:vMerge w:val="restart"/>
            <w:vAlign w:val="center"/>
          </w:tcPr>
          <w:p w14:paraId="0E102EC5" w14:textId="77777777" w:rsidR="003A7A3E" w:rsidRPr="00440E99" w:rsidRDefault="003A7A3E" w:rsidP="0080535D">
            <w:pPr>
              <w:spacing w:before="40" w:after="40"/>
              <w:rPr>
                <w:rFonts w:ascii="Arial" w:hAnsi="Arial" w:cs="Arial"/>
                <w:sz w:val="20"/>
              </w:rPr>
            </w:pPr>
            <w:r w:rsidRPr="00440E99">
              <w:rPr>
                <w:rFonts w:ascii="Arial" w:hAnsi="Arial" w:cs="Arial"/>
                <w:sz w:val="20"/>
              </w:rPr>
              <w:t>Health services and systems</w:t>
            </w:r>
          </w:p>
        </w:tc>
        <w:tc>
          <w:tcPr>
            <w:tcW w:w="2409" w:type="dxa"/>
            <w:shd w:val="clear" w:color="auto" w:fill="FFFFFF" w:themeFill="background1"/>
            <w:vAlign w:val="center"/>
          </w:tcPr>
          <w:p w14:paraId="1DDEF0D8" w14:textId="77777777" w:rsidR="003A7A3E" w:rsidRPr="00FC7992" w:rsidRDefault="003A7A3E" w:rsidP="0080535D">
            <w:pPr>
              <w:spacing w:before="40" w:after="40"/>
              <w:rPr>
                <w:rFonts w:ascii="Arial" w:hAnsi="Arial" w:cs="Arial"/>
                <w:sz w:val="20"/>
              </w:rPr>
            </w:pPr>
            <w:r w:rsidRPr="00FC7992">
              <w:rPr>
                <w:rFonts w:ascii="Arial" w:hAnsi="Arial" w:cs="Arial"/>
                <w:sz w:val="20"/>
              </w:rPr>
              <w:t>National Institute of Research</w:t>
            </w:r>
          </w:p>
        </w:tc>
        <w:tc>
          <w:tcPr>
            <w:tcW w:w="5103" w:type="dxa"/>
            <w:vAlign w:val="center"/>
          </w:tcPr>
          <w:p w14:paraId="0CCA4791" w14:textId="77777777" w:rsidR="003A7A3E" w:rsidRPr="00440E99" w:rsidRDefault="003A7A3E" w:rsidP="0080535D">
            <w:pPr>
              <w:spacing w:before="40" w:after="40"/>
              <w:rPr>
                <w:rFonts w:ascii="Arial" w:hAnsi="Arial" w:cs="Arial"/>
                <w:sz w:val="16"/>
              </w:rPr>
            </w:pPr>
            <w:r w:rsidRPr="003B14BB">
              <w:rPr>
                <w:rFonts w:ascii="Arial" w:hAnsi="Arial" w:cs="Arial"/>
                <w:sz w:val="16"/>
              </w:rPr>
              <w:t>-</w:t>
            </w:r>
          </w:p>
        </w:tc>
      </w:tr>
      <w:tr w:rsidR="003A7A3E" w:rsidRPr="00FC7992" w14:paraId="0CC53DB2" w14:textId="77777777" w:rsidTr="00965581">
        <w:tc>
          <w:tcPr>
            <w:tcW w:w="2235" w:type="dxa"/>
            <w:vMerge/>
            <w:vAlign w:val="center"/>
          </w:tcPr>
          <w:p w14:paraId="6F8103AE"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43771489" w14:textId="77777777" w:rsidR="003A7A3E" w:rsidRPr="00FC7992" w:rsidRDefault="003A7A3E" w:rsidP="0080535D">
            <w:pPr>
              <w:spacing w:before="40" w:after="40"/>
              <w:rPr>
                <w:rFonts w:ascii="Arial" w:hAnsi="Arial" w:cs="Arial"/>
                <w:sz w:val="20"/>
              </w:rPr>
            </w:pPr>
            <w:r w:rsidRPr="00FC7992">
              <w:rPr>
                <w:rFonts w:ascii="Arial" w:hAnsi="Arial" w:cs="Arial"/>
                <w:sz w:val="20"/>
              </w:rPr>
              <w:t>Building evidence in primary care</w:t>
            </w:r>
          </w:p>
        </w:tc>
        <w:tc>
          <w:tcPr>
            <w:tcW w:w="5103" w:type="dxa"/>
            <w:vAlign w:val="center"/>
          </w:tcPr>
          <w:p w14:paraId="4A5B9C04" w14:textId="77777777" w:rsidR="003A7A3E" w:rsidRPr="004850D3" w:rsidRDefault="003A7A3E" w:rsidP="0080535D">
            <w:pPr>
              <w:spacing w:before="40" w:after="40"/>
              <w:rPr>
                <w:rFonts w:ascii="Arial" w:hAnsi="Arial" w:cs="Arial"/>
                <w:b/>
                <w:sz w:val="16"/>
              </w:rPr>
            </w:pPr>
            <w:r w:rsidRPr="004850D3">
              <w:rPr>
                <w:rFonts w:ascii="Arial" w:hAnsi="Arial" w:cs="Arial"/>
                <w:b/>
                <w:sz w:val="16"/>
              </w:rPr>
              <w:t>Keeping Australians out of Hospital</w:t>
            </w:r>
          </w:p>
          <w:p w14:paraId="377D33E6" w14:textId="07681491" w:rsidR="003A7A3E" w:rsidRPr="004850D3" w:rsidRDefault="002C0E3B" w:rsidP="0080535D">
            <w:pPr>
              <w:spacing w:before="40" w:after="40"/>
              <w:rPr>
                <w:rFonts w:ascii="Arial" w:hAnsi="Arial" w:cs="Arial"/>
                <w:b/>
                <w:sz w:val="16"/>
              </w:rPr>
            </w:pPr>
            <w:r>
              <w:rPr>
                <w:rFonts w:ascii="Arial" w:hAnsi="Arial" w:cs="Arial"/>
                <w:b/>
                <w:sz w:val="16"/>
              </w:rPr>
              <w:t>Maternal Health and the F</w:t>
            </w:r>
            <w:r w:rsidR="003A7A3E" w:rsidRPr="004850D3">
              <w:rPr>
                <w:rFonts w:ascii="Arial" w:hAnsi="Arial" w:cs="Arial"/>
                <w:b/>
                <w:sz w:val="16"/>
              </w:rPr>
              <w:t>irst 2,000 Days</w:t>
            </w:r>
          </w:p>
          <w:p w14:paraId="593CCE5A" w14:textId="77777777" w:rsidR="003A7A3E" w:rsidRPr="004850D3" w:rsidRDefault="003A7A3E" w:rsidP="0080535D">
            <w:pPr>
              <w:spacing w:before="40" w:after="40"/>
              <w:rPr>
                <w:rFonts w:ascii="Arial" w:hAnsi="Arial" w:cs="Arial"/>
                <w:b/>
                <w:sz w:val="16"/>
              </w:rPr>
            </w:pPr>
            <w:r w:rsidRPr="004850D3">
              <w:rPr>
                <w:rFonts w:ascii="Arial" w:hAnsi="Arial" w:cs="Arial"/>
                <w:b/>
                <w:sz w:val="16"/>
              </w:rPr>
              <w:t>Targeted Health System and Community Organisation Research</w:t>
            </w:r>
          </w:p>
        </w:tc>
      </w:tr>
      <w:tr w:rsidR="003A7A3E" w:rsidRPr="00FC7992" w14:paraId="7DB9711E" w14:textId="77777777" w:rsidTr="00965581">
        <w:tc>
          <w:tcPr>
            <w:tcW w:w="2235" w:type="dxa"/>
            <w:vMerge/>
            <w:vAlign w:val="center"/>
          </w:tcPr>
          <w:p w14:paraId="05DC97D4"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7AB96266" w14:textId="77777777" w:rsidR="003A7A3E" w:rsidRPr="00FC7992" w:rsidRDefault="003A7A3E" w:rsidP="0080535D">
            <w:pPr>
              <w:spacing w:before="40" w:after="40"/>
              <w:rPr>
                <w:rFonts w:ascii="Arial" w:hAnsi="Arial" w:cs="Arial"/>
                <w:sz w:val="20"/>
              </w:rPr>
            </w:pPr>
            <w:r w:rsidRPr="00FC7992">
              <w:rPr>
                <w:rFonts w:ascii="Arial" w:hAnsi="Arial" w:cs="Arial"/>
                <w:sz w:val="20"/>
              </w:rPr>
              <w:t>Behavioural economics application</w:t>
            </w:r>
          </w:p>
        </w:tc>
        <w:tc>
          <w:tcPr>
            <w:tcW w:w="5103" w:type="dxa"/>
            <w:vAlign w:val="center"/>
          </w:tcPr>
          <w:p w14:paraId="3500E0B6" w14:textId="77777777" w:rsidR="003A7A3E" w:rsidRPr="004850D3" w:rsidRDefault="003A7A3E" w:rsidP="0080535D">
            <w:pPr>
              <w:spacing w:before="40" w:after="40"/>
              <w:rPr>
                <w:rFonts w:ascii="Arial" w:hAnsi="Arial" w:cs="Arial"/>
                <w:b/>
                <w:sz w:val="16"/>
              </w:rPr>
            </w:pPr>
            <w:r w:rsidRPr="004850D3">
              <w:rPr>
                <w:rFonts w:ascii="Arial" w:hAnsi="Arial" w:cs="Arial"/>
                <w:b/>
                <w:sz w:val="16"/>
              </w:rPr>
              <w:t>Boosting Preventive Health Research</w:t>
            </w:r>
          </w:p>
        </w:tc>
      </w:tr>
      <w:tr w:rsidR="003A7A3E" w:rsidRPr="00FC7992" w14:paraId="37FAC5CF" w14:textId="77777777" w:rsidTr="00965581">
        <w:tc>
          <w:tcPr>
            <w:tcW w:w="2235" w:type="dxa"/>
            <w:vMerge/>
            <w:vAlign w:val="center"/>
          </w:tcPr>
          <w:p w14:paraId="4E358548"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7646FEE2" w14:textId="77777777" w:rsidR="003A7A3E" w:rsidRPr="00FC7992" w:rsidRDefault="003A7A3E" w:rsidP="0080535D">
            <w:pPr>
              <w:spacing w:before="40" w:after="40"/>
              <w:rPr>
                <w:rFonts w:ascii="Arial" w:hAnsi="Arial" w:cs="Arial"/>
                <w:sz w:val="20"/>
              </w:rPr>
            </w:pPr>
            <w:r w:rsidRPr="00FC7992">
              <w:rPr>
                <w:rFonts w:ascii="Arial" w:hAnsi="Arial" w:cs="Arial"/>
                <w:sz w:val="20"/>
              </w:rPr>
              <w:t>Drug effectiveness and repurposing</w:t>
            </w:r>
          </w:p>
        </w:tc>
        <w:tc>
          <w:tcPr>
            <w:tcW w:w="5103" w:type="dxa"/>
            <w:vAlign w:val="center"/>
          </w:tcPr>
          <w:p w14:paraId="1CAD1B3D" w14:textId="77777777" w:rsidR="003A7A3E" w:rsidRPr="00440E99" w:rsidRDefault="003A7A3E" w:rsidP="00402D81">
            <w:pPr>
              <w:spacing w:before="40" w:after="40"/>
              <w:rPr>
                <w:rFonts w:ascii="Arial" w:hAnsi="Arial" w:cs="Arial"/>
                <w:i/>
                <w:sz w:val="16"/>
              </w:rPr>
            </w:pPr>
            <w:r>
              <w:rPr>
                <w:rFonts w:ascii="Arial" w:hAnsi="Arial" w:cs="Arial"/>
                <w:i/>
                <w:sz w:val="16"/>
              </w:rPr>
              <w:t>C</w:t>
            </w:r>
            <w:r w:rsidRPr="00440E99">
              <w:rPr>
                <w:rFonts w:ascii="Arial" w:hAnsi="Arial" w:cs="Arial"/>
                <w:i/>
                <w:sz w:val="16"/>
              </w:rPr>
              <w:t>aptured</w:t>
            </w:r>
            <w:r>
              <w:rPr>
                <w:rFonts w:ascii="Arial" w:hAnsi="Arial" w:cs="Arial"/>
                <w:i/>
                <w:sz w:val="16"/>
              </w:rPr>
              <w:t xml:space="preserve"> in part</w:t>
            </w:r>
            <w:r w:rsidRPr="00440E99">
              <w:rPr>
                <w:rFonts w:ascii="Arial" w:hAnsi="Arial" w:cs="Arial"/>
                <w:i/>
                <w:sz w:val="16"/>
              </w:rPr>
              <w:t xml:space="preserve"> under the intent of the Australian Brain Cancer Mission</w:t>
            </w:r>
            <w:r w:rsidR="00402D81">
              <w:rPr>
                <w:rFonts w:ascii="Arial" w:hAnsi="Arial" w:cs="Arial"/>
                <w:i/>
                <w:sz w:val="16"/>
              </w:rPr>
              <w:t xml:space="preserve">, </w:t>
            </w:r>
            <w:r w:rsidRPr="00440E99">
              <w:rPr>
                <w:rFonts w:ascii="Arial" w:hAnsi="Arial" w:cs="Arial"/>
                <w:i/>
                <w:sz w:val="16"/>
              </w:rPr>
              <w:t>Genomics Health Futures Mission</w:t>
            </w:r>
            <w:r w:rsidR="00001D7E">
              <w:rPr>
                <w:rFonts w:ascii="Arial" w:hAnsi="Arial" w:cs="Arial"/>
                <w:i/>
                <w:sz w:val="16"/>
              </w:rPr>
              <w:t xml:space="preserve"> and </w:t>
            </w:r>
            <w:r w:rsidR="00001D7E" w:rsidRPr="00C57D05">
              <w:rPr>
                <w:rFonts w:ascii="Arial" w:hAnsi="Arial" w:cs="Arial"/>
                <w:i/>
                <w:sz w:val="16"/>
              </w:rPr>
              <w:t>Lifting Clinical Trial and Registry Capacity</w:t>
            </w:r>
            <w:r w:rsidRPr="00440E99">
              <w:rPr>
                <w:rFonts w:ascii="Arial" w:hAnsi="Arial" w:cs="Arial"/>
                <w:i/>
                <w:sz w:val="16"/>
              </w:rPr>
              <w:t>.</w:t>
            </w:r>
          </w:p>
        </w:tc>
      </w:tr>
      <w:tr w:rsidR="003A7A3E" w:rsidRPr="00FC7992" w14:paraId="603FE846" w14:textId="77777777" w:rsidTr="00965581">
        <w:tc>
          <w:tcPr>
            <w:tcW w:w="2235" w:type="dxa"/>
            <w:vMerge w:val="restart"/>
            <w:vAlign w:val="center"/>
          </w:tcPr>
          <w:p w14:paraId="2A835717" w14:textId="77777777" w:rsidR="003A7A3E" w:rsidRPr="00440E99" w:rsidRDefault="003A7A3E" w:rsidP="0080535D">
            <w:pPr>
              <w:spacing w:before="40" w:after="40"/>
              <w:rPr>
                <w:rFonts w:ascii="Arial" w:hAnsi="Arial" w:cs="Arial"/>
                <w:sz w:val="20"/>
              </w:rPr>
            </w:pPr>
            <w:r w:rsidRPr="00440E99">
              <w:rPr>
                <w:rFonts w:ascii="Arial" w:hAnsi="Arial" w:cs="Arial"/>
                <w:sz w:val="20"/>
              </w:rPr>
              <w:t>Capacity and collaboration</w:t>
            </w:r>
          </w:p>
        </w:tc>
        <w:tc>
          <w:tcPr>
            <w:tcW w:w="2409" w:type="dxa"/>
            <w:shd w:val="clear" w:color="auto" w:fill="FFFFFF" w:themeFill="background1"/>
            <w:vAlign w:val="center"/>
          </w:tcPr>
          <w:p w14:paraId="0BB0CC60" w14:textId="77777777" w:rsidR="003A7A3E" w:rsidRPr="00FC7992" w:rsidRDefault="003A7A3E" w:rsidP="0080535D">
            <w:pPr>
              <w:spacing w:before="40" w:after="40"/>
              <w:rPr>
                <w:rFonts w:ascii="Arial" w:hAnsi="Arial" w:cs="Arial"/>
                <w:sz w:val="20"/>
              </w:rPr>
            </w:pPr>
            <w:r w:rsidRPr="00FC7992">
              <w:rPr>
                <w:rFonts w:ascii="Arial" w:hAnsi="Arial" w:cs="Arial"/>
                <w:sz w:val="20"/>
              </w:rPr>
              <w:t>National infrastructure sharing scheme</w:t>
            </w:r>
          </w:p>
        </w:tc>
        <w:tc>
          <w:tcPr>
            <w:tcW w:w="5103" w:type="dxa"/>
            <w:vAlign w:val="center"/>
          </w:tcPr>
          <w:p w14:paraId="189D2923" w14:textId="77777777" w:rsidR="003A7A3E" w:rsidRPr="00440E99" w:rsidRDefault="003A7A3E" w:rsidP="0080535D">
            <w:pPr>
              <w:spacing w:before="40" w:after="40"/>
              <w:rPr>
                <w:rFonts w:ascii="Arial" w:hAnsi="Arial" w:cs="Arial"/>
                <w:i/>
                <w:sz w:val="16"/>
              </w:rPr>
            </w:pPr>
            <w:r w:rsidRPr="00440E99">
              <w:rPr>
                <w:rFonts w:ascii="Arial" w:hAnsi="Arial" w:cs="Arial"/>
                <w:i/>
                <w:sz w:val="16"/>
              </w:rPr>
              <w:t>Potential reference to Government announcements around the National Research Infrastructure Roadmap</w:t>
            </w:r>
            <w:r w:rsidR="00402D81">
              <w:rPr>
                <w:rFonts w:ascii="Arial" w:hAnsi="Arial" w:cs="Arial"/>
                <w:i/>
                <w:sz w:val="16"/>
              </w:rPr>
              <w:t xml:space="preserve"> </w:t>
            </w:r>
            <w:r w:rsidR="00402D81" w:rsidRPr="00402D81">
              <w:rPr>
                <w:rFonts w:ascii="Arial" w:hAnsi="Arial" w:cs="Arial"/>
                <w:i/>
                <w:sz w:val="16"/>
              </w:rPr>
              <w:t xml:space="preserve">and </w:t>
            </w:r>
            <w:r w:rsidR="00402D81" w:rsidRPr="000137CC">
              <w:rPr>
                <w:rFonts w:ascii="Arial" w:hAnsi="Arial" w:cs="Arial"/>
                <w:i/>
                <w:sz w:val="16"/>
              </w:rPr>
              <w:t>Lifting Clinical Trial and Registry Capacity</w:t>
            </w:r>
            <w:r w:rsidR="00402D81">
              <w:rPr>
                <w:rFonts w:ascii="Arial" w:hAnsi="Arial" w:cs="Arial"/>
                <w:i/>
                <w:sz w:val="16"/>
              </w:rPr>
              <w:t>.</w:t>
            </w:r>
          </w:p>
        </w:tc>
      </w:tr>
      <w:tr w:rsidR="003A7A3E" w:rsidRPr="00FC7992" w14:paraId="61E784D5" w14:textId="77777777" w:rsidTr="00965581">
        <w:tc>
          <w:tcPr>
            <w:tcW w:w="2235" w:type="dxa"/>
            <w:vMerge/>
            <w:vAlign w:val="center"/>
          </w:tcPr>
          <w:p w14:paraId="0EBEA6FD"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4318FE6B" w14:textId="77777777" w:rsidR="003A7A3E" w:rsidRPr="00FC7992" w:rsidRDefault="003A7A3E" w:rsidP="0080535D">
            <w:pPr>
              <w:spacing w:before="40" w:after="40"/>
              <w:rPr>
                <w:rFonts w:ascii="Arial" w:hAnsi="Arial" w:cs="Arial"/>
                <w:sz w:val="20"/>
              </w:rPr>
            </w:pPr>
            <w:r w:rsidRPr="00FC7992">
              <w:rPr>
                <w:rFonts w:ascii="Arial" w:hAnsi="Arial" w:cs="Arial"/>
                <w:sz w:val="20"/>
              </w:rPr>
              <w:t>Industry exchange fellowships</w:t>
            </w:r>
          </w:p>
        </w:tc>
        <w:tc>
          <w:tcPr>
            <w:tcW w:w="5103" w:type="dxa"/>
            <w:vAlign w:val="center"/>
          </w:tcPr>
          <w:p w14:paraId="30E525CA" w14:textId="77777777" w:rsidR="003A7A3E" w:rsidRPr="004850D3" w:rsidRDefault="003A7A3E" w:rsidP="0080535D">
            <w:pPr>
              <w:spacing w:before="40" w:after="40"/>
              <w:rPr>
                <w:rFonts w:ascii="Arial" w:hAnsi="Arial" w:cs="Arial"/>
                <w:b/>
                <w:sz w:val="16"/>
              </w:rPr>
            </w:pPr>
            <w:r w:rsidRPr="004850D3">
              <w:rPr>
                <w:rFonts w:ascii="Arial" w:hAnsi="Arial" w:cs="Arial"/>
                <w:b/>
                <w:sz w:val="16"/>
              </w:rPr>
              <w:t>Industry Researcher Exchange and Training</w:t>
            </w:r>
          </w:p>
        </w:tc>
      </w:tr>
      <w:tr w:rsidR="003A7A3E" w:rsidRPr="00FC7992" w14:paraId="45881C25" w14:textId="77777777" w:rsidTr="00965581">
        <w:tc>
          <w:tcPr>
            <w:tcW w:w="2235" w:type="dxa"/>
            <w:vMerge/>
            <w:vAlign w:val="center"/>
          </w:tcPr>
          <w:p w14:paraId="09DFC00A"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67D6FF3F" w14:textId="77777777" w:rsidR="003A7A3E" w:rsidRPr="00FC7992" w:rsidRDefault="003A7A3E" w:rsidP="0080535D">
            <w:pPr>
              <w:spacing w:before="40" w:after="40"/>
              <w:rPr>
                <w:rFonts w:ascii="Arial" w:hAnsi="Arial" w:cs="Arial"/>
                <w:sz w:val="20"/>
              </w:rPr>
            </w:pPr>
            <w:r w:rsidRPr="00FC7992">
              <w:rPr>
                <w:rFonts w:ascii="Arial" w:hAnsi="Arial" w:cs="Arial"/>
                <w:sz w:val="20"/>
              </w:rPr>
              <w:t>Clinical researcher fellowships</w:t>
            </w:r>
          </w:p>
        </w:tc>
        <w:tc>
          <w:tcPr>
            <w:tcW w:w="5103" w:type="dxa"/>
            <w:vAlign w:val="center"/>
          </w:tcPr>
          <w:p w14:paraId="3E0AF5E5" w14:textId="77777777" w:rsidR="003A7A3E" w:rsidRPr="004850D3" w:rsidRDefault="003A7A3E" w:rsidP="0080535D">
            <w:pPr>
              <w:spacing w:before="40" w:after="40"/>
              <w:rPr>
                <w:rFonts w:ascii="Arial" w:hAnsi="Arial" w:cs="Arial"/>
                <w:b/>
                <w:sz w:val="16"/>
              </w:rPr>
            </w:pPr>
            <w:r w:rsidRPr="004850D3">
              <w:rPr>
                <w:rFonts w:ascii="Arial" w:hAnsi="Arial" w:cs="Arial"/>
                <w:b/>
                <w:sz w:val="16"/>
              </w:rPr>
              <w:t>Next Generation Clinical Researchers</w:t>
            </w:r>
          </w:p>
        </w:tc>
      </w:tr>
      <w:tr w:rsidR="003A7A3E" w:rsidRPr="00FC7992" w14:paraId="76051F00" w14:textId="77777777" w:rsidTr="00965581">
        <w:tc>
          <w:tcPr>
            <w:tcW w:w="2235" w:type="dxa"/>
            <w:vMerge w:val="restart"/>
            <w:vAlign w:val="center"/>
          </w:tcPr>
          <w:p w14:paraId="11AC9C00" w14:textId="77777777" w:rsidR="003A7A3E" w:rsidRPr="00440E99" w:rsidRDefault="003A7A3E" w:rsidP="0080535D">
            <w:pPr>
              <w:spacing w:before="40" w:after="40"/>
              <w:rPr>
                <w:rFonts w:ascii="Arial" w:hAnsi="Arial" w:cs="Arial"/>
                <w:sz w:val="20"/>
              </w:rPr>
            </w:pPr>
            <w:r w:rsidRPr="00440E99">
              <w:rPr>
                <w:rFonts w:ascii="Arial" w:hAnsi="Arial" w:cs="Arial"/>
                <w:sz w:val="20"/>
              </w:rPr>
              <w:t>Trials and translation</w:t>
            </w:r>
          </w:p>
        </w:tc>
        <w:tc>
          <w:tcPr>
            <w:tcW w:w="2409" w:type="dxa"/>
            <w:vAlign w:val="center"/>
          </w:tcPr>
          <w:p w14:paraId="25E95656" w14:textId="77777777" w:rsidR="003A7A3E" w:rsidRPr="00FC7992" w:rsidRDefault="003A7A3E" w:rsidP="0080535D">
            <w:pPr>
              <w:spacing w:before="40" w:after="40"/>
              <w:rPr>
                <w:rFonts w:ascii="Arial" w:hAnsi="Arial" w:cs="Arial"/>
                <w:sz w:val="20"/>
              </w:rPr>
            </w:pPr>
            <w:r w:rsidRPr="00FC7992">
              <w:rPr>
                <w:rFonts w:ascii="Arial" w:hAnsi="Arial" w:cs="Arial"/>
                <w:sz w:val="20"/>
              </w:rPr>
              <w:t>Clinical trial network</w:t>
            </w:r>
          </w:p>
        </w:tc>
        <w:tc>
          <w:tcPr>
            <w:tcW w:w="5103" w:type="dxa"/>
            <w:vAlign w:val="center"/>
          </w:tcPr>
          <w:p w14:paraId="03A1ECC6" w14:textId="77777777" w:rsidR="003A7A3E" w:rsidRPr="004850D3" w:rsidRDefault="00402D81" w:rsidP="0080535D">
            <w:pPr>
              <w:spacing w:before="40" w:after="40"/>
              <w:rPr>
                <w:rFonts w:ascii="Arial" w:hAnsi="Arial" w:cs="Arial"/>
                <w:b/>
                <w:sz w:val="16"/>
              </w:rPr>
            </w:pPr>
            <w:r w:rsidRPr="000137CC">
              <w:rPr>
                <w:rFonts w:ascii="Arial" w:hAnsi="Arial" w:cs="Arial"/>
                <w:b/>
                <w:sz w:val="16"/>
              </w:rPr>
              <w:t>Lifting Clinical Trial and Registry Capacity</w:t>
            </w:r>
            <w:r w:rsidRPr="00EE5E3D">
              <w:rPr>
                <w:rFonts w:ascii="Arial" w:hAnsi="Arial" w:cs="Arial"/>
                <w:sz w:val="16"/>
              </w:rPr>
              <w:t xml:space="preserve"> </w:t>
            </w:r>
            <w:r w:rsidRPr="00402D81">
              <w:rPr>
                <w:rFonts w:ascii="Arial" w:hAnsi="Arial" w:cs="Arial"/>
                <w:sz w:val="16"/>
              </w:rPr>
              <w:t xml:space="preserve">- </w:t>
            </w:r>
            <w:r w:rsidR="003A7A3E" w:rsidRPr="000137CC">
              <w:rPr>
                <w:rFonts w:ascii="Arial" w:hAnsi="Arial" w:cs="Arial"/>
                <w:sz w:val="16"/>
              </w:rPr>
              <w:t>Clinical Trial Networks Capacity</w:t>
            </w:r>
          </w:p>
        </w:tc>
      </w:tr>
      <w:tr w:rsidR="003A7A3E" w:rsidRPr="00FC7992" w14:paraId="22261778" w14:textId="77777777" w:rsidTr="00965581">
        <w:tc>
          <w:tcPr>
            <w:tcW w:w="2235" w:type="dxa"/>
            <w:vMerge/>
            <w:vAlign w:val="center"/>
          </w:tcPr>
          <w:p w14:paraId="3D83303F"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6CDEB46E" w14:textId="77777777" w:rsidR="003A7A3E" w:rsidRPr="00FC7992" w:rsidRDefault="003A7A3E" w:rsidP="0080535D">
            <w:pPr>
              <w:spacing w:before="40" w:after="40"/>
              <w:rPr>
                <w:rFonts w:ascii="Arial" w:hAnsi="Arial" w:cs="Arial"/>
                <w:sz w:val="20"/>
              </w:rPr>
            </w:pPr>
            <w:r w:rsidRPr="00FC7992">
              <w:rPr>
                <w:rFonts w:ascii="Arial" w:hAnsi="Arial" w:cs="Arial"/>
                <w:sz w:val="20"/>
              </w:rPr>
              <w:t>Public good demonstration</w:t>
            </w:r>
            <w:r>
              <w:rPr>
                <w:rFonts w:ascii="Arial" w:hAnsi="Arial" w:cs="Arial"/>
                <w:sz w:val="20"/>
              </w:rPr>
              <w:t xml:space="preserve"> trials</w:t>
            </w:r>
          </w:p>
        </w:tc>
        <w:tc>
          <w:tcPr>
            <w:tcW w:w="5103" w:type="dxa"/>
            <w:vAlign w:val="center"/>
          </w:tcPr>
          <w:p w14:paraId="36BCCE1B" w14:textId="77777777" w:rsidR="003A7A3E" w:rsidRPr="004850D3" w:rsidRDefault="003A7A3E" w:rsidP="0080535D">
            <w:pPr>
              <w:spacing w:before="40" w:after="40"/>
              <w:rPr>
                <w:rFonts w:ascii="Arial" w:hAnsi="Arial" w:cs="Arial"/>
                <w:b/>
                <w:sz w:val="16"/>
              </w:rPr>
            </w:pPr>
            <w:r w:rsidRPr="000137CC">
              <w:rPr>
                <w:rFonts w:ascii="Arial" w:hAnsi="Arial" w:cs="Arial"/>
                <w:b/>
                <w:sz w:val="16"/>
              </w:rPr>
              <w:t>Lifting Clinical Trial and Registry Capacity</w:t>
            </w:r>
            <w:r w:rsidRPr="00EE5E3D">
              <w:rPr>
                <w:rFonts w:ascii="Arial" w:hAnsi="Arial" w:cs="Arial"/>
                <w:sz w:val="16"/>
              </w:rPr>
              <w:t xml:space="preserve"> </w:t>
            </w:r>
            <w:r w:rsidR="00402D81">
              <w:rPr>
                <w:rFonts w:ascii="Arial" w:hAnsi="Arial" w:cs="Arial"/>
                <w:sz w:val="16"/>
              </w:rPr>
              <w:t xml:space="preserve">- </w:t>
            </w:r>
            <w:r w:rsidRPr="00EE5E3D">
              <w:rPr>
                <w:rFonts w:ascii="Arial" w:hAnsi="Arial" w:cs="Arial"/>
                <w:sz w:val="16"/>
              </w:rPr>
              <w:t xml:space="preserve">Rare Cancers, Rare Disease and Unmet </w:t>
            </w:r>
            <w:r>
              <w:rPr>
                <w:rFonts w:ascii="Arial" w:hAnsi="Arial" w:cs="Arial"/>
                <w:sz w:val="16"/>
              </w:rPr>
              <w:t>N</w:t>
            </w:r>
            <w:r w:rsidRPr="00EE5E3D">
              <w:rPr>
                <w:rFonts w:ascii="Arial" w:hAnsi="Arial" w:cs="Arial"/>
                <w:sz w:val="16"/>
              </w:rPr>
              <w:t>eed</w:t>
            </w:r>
          </w:p>
          <w:p w14:paraId="043BBC40" w14:textId="77777777" w:rsidR="003A7A3E" w:rsidRPr="004850D3" w:rsidRDefault="003A7A3E" w:rsidP="0080535D">
            <w:pPr>
              <w:spacing w:before="40" w:after="40"/>
              <w:rPr>
                <w:rFonts w:ascii="Arial" w:hAnsi="Arial" w:cs="Arial"/>
                <w:b/>
                <w:sz w:val="16"/>
              </w:rPr>
            </w:pPr>
            <w:r w:rsidRPr="004850D3">
              <w:rPr>
                <w:rFonts w:ascii="Arial" w:hAnsi="Arial" w:cs="Arial"/>
                <w:b/>
                <w:sz w:val="16"/>
              </w:rPr>
              <w:t>Accelerated Research</w:t>
            </w:r>
            <w:r w:rsidR="002F760E">
              <w:rPr>
                <w:rFonts w:ascii="Arial" w:hAnsi="Arial" w:cs="Arial"/>
                <w:b/>
                <w:sz w:val="16"/>
              </w:rPr>
              <w:t xml:space="preserve"> </w:t>
            </w:r>
          </w:p>
          <w:p w14:paraId="02B19FF2" w14:textId="77777777" w:rsidR="003A7A3E" w:rsidRPr="004850D3" w:rsidRDefault="003A7A3E" w:rsidP="0080535D">
            <w:pPr>
              <w:spacing w:before="40" w:after="40"/>
              <w:rPr>
                <w:rFonts w:ascii="Arial" w:hAnsi="Arial" w:cs="Arial"/>
                <w:b/>
                <w:sz w:val="16"/>
              </w:rPr>
            </w:pPr>
            <w:r w:rsidRPr="004850D3">
              <w:rPr>
                <w:rFonts w:ascii="Arial" w:hAnsi="Arial" w:cs="Arial"/>
                <w:b/>
                <w:sz w:val="16"/>
              </w:rPr>
              <w:t>Australian Brain Cancer Mission</w:t>
            </w:r>
          </w:p>
          <w:p w14:paraId="7351BF55" w14:textId="77777777" w:rsidR="003A7A3E" w:rsidRPr="004850D3" w:rsidRDefault="003A7A3E" w:rsidP="0080535D">
            <w:pPr>
              <w:spacing w:before="40" w:after="40"/>
              <w:rPr>
                <w:rFonts w:ascii="Arial" w:hAnsi="Arial" w:cs="Arial"/>
                <w:b/>
                <w:sz w:val="16"/>
              </w:rPr>
            </w:pPr>
            <w:r w:rsidRPr="004850D3">
              <w:rPr>
                <w:rFonts w:ascii="Arial" w:hAnsi="Arial" w:cs="Arial"/>
                <w:b/>
                <w:sz w:val="16"/>
              </w:rPr>
              <w:t>Million Minds Mental Health Research Mission</w:t>
            </w:r>
          </w:p>
        </w:tc>
      </w:tr>
      <w:tr w:rsidR="003A7A3E" w:rsidRPr="00FC7992" w14:paraId="5B0CB1DC" w14:textId="77777777" w:rsidTr="00965581">
        <w:tc>
          <w:tcPr>
            <w:tcW w:w="2235" w:type="dxa"/>
            <w:vMerge/>
            <w:vAlign w:val="center"/>
          </w:tcPr>
          <w:p w14:paraId="2A5F1D41"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1DF2051B" w14:textId="77777777" w:rsidR="003A7A3E" w:rsidRPr="00FC7992" w:rsidRDefault="003A7A3E" w:rsidP="0080535D">
            <w:pPr>
              <w:spacing w:before="40" w:after="40"/>
              <w:rPr>
                <w:rFonts w:ascii="Arial" w:hAnsi="Arial" w:cs="Arial"/>
                <w:sz w:val="20"/>
              </w:rPr>
            </w:pPr>
            <w:r w:rsidRPr="00FC7992">
              <w:rPr>
                <w:rFonts w:ascii="Arial" w:hAnsi="Arial" w:cs="Arial"/>
                <w:sz w:val="20"/>
              </w:rPr>
              <w:t>Targeted translation topics</w:t>
            </w:r>
          </w:p>
        </w:tc>
        <w:tc>
          <w:tcPr>
            <w:tcW w:w="5103" w:type="dxa"/>
            <w:vAlign w:val="center"/>
          </w:tcPr>
          <w:p w14:paraId="68BAA304" w14:textId="77777777" w:rsidR="003A7A3E" w:rsidRPr="004850D3" w:rsidRDefault="003A7A3E" w:rsidP="0080535D">
            <w:pPr>
              <w:spacing w:before="40" w:after="40"/>
              <w:rPr>
                <w:rFonts w:ascii="Arial" w:hAnsi="Arial" w:cs="Arial"/>
                <w:b/>
                <w:sz w:val="16"/>
              </w:rPr>
            </w:pPr>
            <w:r w:rsidRPr="004850D3">
              <w:rPr>
                <w:rFonts w:ascii="Arial" w:hAnsi="Arial" w:cs="Arial"/>
                <w:b/>
                <w:sz w:val="16"/>
              </w:rPr>
              <w:t>Rapid Applied Research Translation</w:t>
            </w:r>
          </w:p>
        </w:tc>
      </w:tr>
      <w:tr w:rsidR="003A7A3E" w:rsidRPr="00FC7992" w14:paraId="4F7715FD" w14:textId="77777777" w:rsidTr="00965581">
        <w:tc>
          <w:tcPr>
            <w:tcW w:w="2235" w:type="dxa"/>
            <w:vMerge w:val="restart"/>
            <w:vAlign w:val="center"/>
          </w:tcPr>
          <w:p w14:paraId="111023DC" w14:textId="77777777" w:rsidR="003A7A3E" w:rsidRPr="00440E99" w:rsidRDefault="003A7A3E" w:rsidP="0080535D">
            <w:pPr>
              <w:spacing w:before="40" w:after="40"/>
              <w:rPr>
                <w:rFonts w:ascii="Arial" w:hAnsi="Arial" w:cs="Arial"/>
                <w:sz w:val="20"/>
              </w:rPr>
            </w:pPr>
            <w:r w:rsidRPr="00440E99">
              <w:rPr>
                <w:rFonts w:ascii="Arial" w:hAnsi="Arial" w:cs="Arial"/>
                <w:sz w:val="20"/>
              </w:rPr>
              <w:t>Commercialisation</w:t>
            </w:r>
          </w:p>
        </w:tc>
        <w:tc>
          <w:tcPr>
            <w:tcW w:w="2409" w:type="dxa"/>
            <w:vAlign w:val="center"/>
          </w:tcPr>
          <w:p w14:paraId="333C67B8" w14:textId="77777777" w:rsidR="003A7A3E" w:rsidRPr="00FC7992" w:rsidRDefault="003A7A3E" w:rsidP="0080535D">
            <w:pPr>
              <w:spacing w:before="40" w:after="40"/>
              <w:rPr>
                <w:rFonts w:ascii="Arial" w:hAnsi="Arial" w:cs="Arial"/>
                <w:sz w:val="20"/>
              </w:rPr>
            </w:pPr>
            <w:r w:rsidRPr="00FC7992">
              <w:rPr>
                <w:rFonts w:ascii="Arial" w:hAnsi="Arial" w:cs="Arial"/>
                <w:sz w:val="20"/>
              </w:rPr>
              <w:t>Research incubator hubs</w:t>
            </w:r>
          </w:p>
        </w:tc>
        <w:tc>
          <w:tcPr>
            <w:tcW w:w="5103" w:type="dxa"/>
            <w:vAlign w:val="center"/>
          </w:tcPr>
          <w:p w14:paraId="2F63CB8C" w14:textId="77777777" w:rsidR="003A7A3E" w:rsidRPr="004850D3" w:rsidRDefault="003A7A3E" w:rsidP="0080535D">
            <w:pPr>
              <w:spacing w:before="40" w:after="40"/>
              <w:rPr>
                <w:rFonts w:ascii="Arial" w:hAnsi="Arial" w:cs="Arial"/>
                <w:b/>
                <w:sz w:val="16"/>
              </w:rPr>
            </w:pPr>
            <w:r w:rsidRPr="004850D3">
              <w:rPr>
                <w:rFonts w:ascii="Arial" w:hAnsi="Arial" w:cs="Arial"/>
                <w:b/>
                <w:sz w:val="16"/>
              </w:rPr>
              <w:t>Biomedical Translation Bridge</w:t>
            </w:r>
          </w:p>
          <w:p w14:paraId="22847B33" w14:textId="77777777" w:rsidR="003A7A3E" w:rsidRPr="004850D3" w:rsidRDefault="003A7A3E" w:rsidP="0080535D">
            <w:pPr>
              <w:spacing w:before="40" w:after="40"/>
              <w:rPr>
                <w:rFonts w:ascii="Arial" w:hAnsi="Arial" w:cs="Arial"/>
                <w:b/>
                <w:sz w:val="16"/>
              </w:rPr>
            </w:pPr>
            <w:r w:rsidRPr="004850D3">
              <w:rPr>
                <w:rFonts w:ascii="Arial" w:hAnsi="Arial" w:cs="Arial"/>
                <w:b/>
                <w:sz w:val="16"/>
              </w:rPr>
              <w:t>Targeted Translation Research Accelerator</w:t>
            </w:r>
          </w:p>
        </w:tc>
      </w:tr>
      <w:tr w:rsidR="003A7A3E" w:rsidRPr="00FC7992" w14:paraId="0A9AAF52" w14:textId="77777777" w:rsidTr="00965581">
        <w:tc>
          <w:tcPr>
            <w:tcW w:w="2235" w:type="dxa"/>
            <w:vMerge/>
            <w:vAlign w:val="center"/>
          </w:tcPr>
          <w:p w14:paraId="2693692C" w14:textId="77777777" w:rsidR="003A7A3E" w:rsidRPr="00440E99" w:rsidRDefault="003A7A3E" w:rsidP="003A7A3E">
            <w:pPr>
              <w:pStyle w:val="ListParagraph"/>
              <w:numPr>
                <w:ilvl w:val="0"/>
                <w:numId w:val="29"/>
              </w:numPr>
              <w:spacing w:before="40" w:after="40" w:line="240" w:lineRule="auto"/>
              <w:contextualSpacing w:val="0"/>
              <w:rPr>
                <w:rFonts w:cs="Arial"/>
                <w:sz w:val="20"/>
                <w:szCs w:val="20"/>
              </w:rPr>
            </w:pPr>
          </w:p>
        </w:tc>
        <w:tc>
          <w:tcPr>
            <w:tcW w:w="2409" w:type="dxa"/>
            <w:vAlign w:val="center"/>
          </w:tcPr>
          <w:p w14:paraId="003683CC" w14:textId="77777777" w:rsidR="003A7A3E" w:rsidRPr="00FC7992" w:rsidRDefault="003A7A3E" w:rsidP="0080535D">
            <w:pPr>
              <w:spacing w:before="40" w:after="40"/>
              <w:rPr>
                <w:rFonts w:ascii="Arial" w:hAnsi="Arial" w:cs="Arial"/>
                <w:sz w:val="20"/>
              </w:rPr>
            </w:pPr>
            <w:r w:rsidRPr="00FC7992">
              <w:rPr>
                <w:rFonts w:ascii="Arial" w:hAnsi="Arial" w:cs="Arial"/>
                <w:sz w:val="20"/>
              </w:rPr>
              <w:t>Biomedical translation</w:t>
            </w:r>
          </w:p>
        </w:tc>
        <w:tc>
          <w:tcPr>
            <w:tcW w:w="5103" w:type="dxa"/>
            <w:vAlign w:val="center"/>
          </w:tcPr>
          <w:p w14:paraId="466ACF2C" w14:textId="77777777" w:rsidR="003A7A3E" w:rsidRPr="004850D3" w:rsidRDefault="003A7A3E" w:rsidP="0080535D">
            <w:pPr>
              <w:spacing w:before="40" w:after="40"/>
              <w:rPr>
                <w:rFonts w:ascii="Arial" w:hAnsi="Arial" w:cs="Arial"/>
                <w:b/>
                <w:sz w:val="16"/>
              </w:rPr>
            </w:pPr>
            <w:r w:rsidRPr="004850D3">
              <w:rPr>
                <w:rFonts w:ascii="Arial" w:hAnsi="Arial" w:cs="Arial"/>
                <w:b/>
                <w:sz w:val="16"/>
              </w:rPr>
              <w:t>BioMedTech Horizons</w:t>
            </w:r>
          </w:p>
        </w:tc>
      </w:tr>
    </w:tbl>
    <w:p w14:paraId="6B44809A" w14:textId="77777777" w:rsidR="003A7A3E" w:rsidRDefault="00FC5814" w:rsidP="00860FE3">
      <w:pPr>
        <w:spacing w:before="120" w:after="120" w:line="240" w:lineRule="auto"/>
        <w:rPr>
          <w:rFonts w:ascii="Arial" w:hAnsi="Arial" w:cs="Arial"/>
          <w:sz w:val="16"/>
          <w:szCs w:val="16"/>
          <w:lang w:eastAsia="en-AU"/>
        </w:rPr>
      </w:pPr>
      <w:r w:rsidRPr="00860FE3">
        <w:rPr>
          <w:rFonts w:ascii="Arial" w:hAnsi="Arial" w:cs="Arial"/>
          <w:sz w:val="16"/>
          <w:szCs w:val="16"/>
          <w:lang w:eastAsia="en-AU"/>
        </w:rPr>
        <w:t>*NOTE:  ‘MRFF Initiatives’ have been organised by primary priority alignment, appreciating that some initiatives address a number of priorities and where relevant this has been notated. Some priorities have been overtaken by policies, programs and agendas outside of the MRFF.</w:t>
      </w:r>
    </w:p>
    <w:p w14:paraId="3E068D68" w14:textId="1D07A660" w:rsidR="00001D7E" w:rsidRPr="00860FE3" w:rsidRDefault="00001D7E" w:rsidP="00860FE3">
      <w:pPr>
        <w:spacing w:before="120" w:after="120" w:line="240" w:lineRule="auto"/>
        <w:rPr>
          <w:rFonts w:ascii="Arial" w:hAnsi="Arial" w:cs="Arial"/>
          <w:sz w:val="16"/>
          <w:szCs w:val="16"/>
          <w:lang w:eastAsia="en-AU"/>
        </w:rPr>
      </w:pPr>
      <w:r>
        <w:rPr>
          <w:rFonts w:ascii="Arial" w:hAnsi="Arial" w:cs="Arial"/>
          <w:sz w:val="16"/>
          <w:szCs w:val="16"/>
          <w:lang w:eastAsia="en-AU"/>
        </w:rPr>
        <w:t>^ Between the years 2016-17 and 2017-18 the Government transition the name of the Lifting Clinical Trial and Registry capacity initiative to the Clinical Trial Activity: Rare Cancers, Rare Disease</w:t>
      </w:r>
      <w:r w:rsidR="00E843EE">
        <w:rPr>
          <w:rFonts w:ascii="Arial" w:hAnsi="Arial" w:cs="Arial"/>
          <w:sz w:val="16"/>
          <w:szCs w:val="16"/>
          <w:lang w:eastAsia="en-AU"/>
        </w:rPr>
        <w:t>s</w:t>
      </w:r>
      <w:r>
        <w:rPr>
          <w:rFonts w:ascii="Arial" w:hAnsi="Arial" w:cs="Arial"/>
          <w:sz w:val="16"/>
          <w:szCs w:val="16"/>
          <w:lang w:eastAsia="en-AU"/>
        </w:rPr>
        <w:t xml:space="preserve"> and Unmet Need initiative. </w:t>
      </w:r>
    </w:p>
    <w:p w14:paraId="1C6B9331" w14:textId="1E06BAD1" w:rsidR="00352A0A" w:rsidRPr="008E4DE7" w:rsidRDefault="00352A0A" w:rsidP="00352A0A">
      <w:pPr>
        <w:pStyle w:val="Heading2"/>
        <w:keepLines w:val="0"/>
        <w:numPr>
          <w:ilvl w:val="1"/>
          <w:numId w:val="5"/>
        </w:numPr>
        <w:spacing w:before="480" w:after="180" w:line="380" w:lineRule="exact"/>
        <w:ind w:left="578" w:hanging="578"/>
        <w:rPr>
          <w:rFonts w:eastAsia="Calibri"/>
          <w:b w:val="0"/>
        </w:rPr>
      </w:pPr>
      <w:bookmarkStart w:id="9" w:name="_Toc5785661"/>
      <w:r w:rsidRPr="008E4DE7">
        <w:rPr>
          <w:rFonts w:eastAsia="Calibri"/>
          <w:b w:val="0"/>
        </w:rPr>
        <w:t xml:space="preserve">Financial assistance provided from the </w:t>
      </w:r>
      <w:r w:rsidR="00157453">
        <w:rPr>
          <w:rFonts w:eastAsia="Calibri"/>
          <w:b w:val="0"/>
        </w:rPr>
        <w:t xml:space="preserve">MRFF </w:t>
      </w:r>
      <w:r w:rsidRPr="008E4DE7">
        <w:rPr>
          <w:rFonts w:eastAsia="Calibri"/>
          <w:b w:val="0"/>
        </w:rPr>
        <w:t>Special Account</w:t>
      </w:r>
      <w:bookmarkEnd w:id="9"/>
    </w:p>
    <w:p w14:paraId="65FA926B" w14:textId="6C92D446" w:rsidR="00352A0A" w:rsidRPr="00860FE3" w:rsidRDefault="00E37386" w:rsidP="00860FE3">
      <w:pPr>
        <w:spacing w:before="120" w:after="120" w:line="240" w:lineRule="auto"/>
        <w:rPr>
          <w:rFonts w:ascii="Arial" w:hAnsi="Arial" w:cs="Arial"/>
          <w:szCs w:val="22"/>
          <w:lang w:eastAsia="en-AU"/>
        </w:rPr>
      </w:pPr>
      <w:r w:rsidRPr="000137CC">
        <w:rPr>
          <w:rFonts w:ascii="Arial" w:hAnsi="Arial" w:cs="Arial"/>
          <w:szCs w:val="22"/>
          <w:u w:val="single"/>
          <w:lang w:eastAsia="en-AU"/>
        </w:rPr>
        <w:fldChar w:fldCharType="begin"/>
      </w:r>
      <w:r w:rsidRPr="000137CC">
        <w:rPr>
          <w:rFonts w:ascii="Arial" w:hAnsi="Arial" w:cs="Arial"/>
          <w:szCs w:val="22"/>
          <w:u w:val="single"/>
          <w:lang w:eastAsia="en-AU"/>
        </w:rPr>
        <w:instrText xml:space="preserve"> REF _Ref3891294 \n \h </w:instrText>
      </w:r>
      <w:r w:rsidR="00C26D36" w:rsidRPr="000137CC">
        <w:rPr>
          <w:rFonts w:ascii="Arial" w:hAnsi="Arial" w:cs="Arial"/>
          <w:szCs w:val="22"/>
          <w:u w:val="single"/>
          <w:lang w:eastAsia="en-AU"/>
        </w:rPr>
        <w:instrText xml:space="preserve"> \* MERGEFORMAT </w:instrText>
      </w:r>
      <w:r w:rsidRPr="000137CC">
        <w:rPr>
          <w:rFonts w:ascii="Arial" w:hAnsi="Arial" w:cs="Arial"/>
          <w:szCs w:val="22"/>
          <w:u w:val="single"/>
          <w:lang w:eastAsia="en-AU"/>
        </w:rPr>
      </w:r>
      <w:r w:rsidRPr="000137CC">
        <w:rPr>
          <w:rFonts w:ascii="Arial" w:hAnsi="Arial" w:cs="Arial"/>
          <w:szCs w:val="22"/>
          <w:u w:val="single"/>
          <w:lang w:eastAsia="en-AU"/>
        </w:rPr>
        <w:fldChar w:fldCharType="separate"/>
      </w:r>
      <w:r w:rsidR="00533860">
        <w:rPr>
          <w:rFonts w:ascii="Arial" w:hAnsi="Arial" w:cs="Arial"/>
          <w:szCs w:val="22"/>
          <w:u w:val="single"/>
          <w:lang w:eastAsia="en-AU"/>
        </w:rPr>
        <w:t>Appendix B</w:t>
      </w:r>
      <w:r w:rsidRPr="000137CC">
        <w:rPr>
          <w:rFonts w:ascii="Arial" w:hAnsi="Arial" w:cs="Arial"/>
          <w:szCs w:val="22"/>
          <w:u w:val="single"/>
          <w:lang w:eastAsia="en-AU"/>
        </w:rPr>
        <w:fldChar w:fldCharType="end"/>
      </w:r>
      <w:r>
        <w:rPr>
          <w:rFonts w:ascii="Arial" w:hAnsi="Arial" w:cs="Arial"/>
          <w:szCs w:val="22"/>
          <w:lang w:eastAsia="en-AU"/>
        </w:rPr>
        <w:t xml:space="preserve"> </w:t>
      </w:r>
      <w:r w:rsidR="00352A0A" w:rsidRPr="000541AA">
        <w:rPr>
          <w:rFonts w:ascii="Arial" w:hAnsi="Arial" w:cs="Arial"/>
          <w:szCs w:val="22"/>
          <w:lang w:eastAsia="en-AU"/>
        </w:rPr>
        <w:t xml:space="preserve">presents a description of each of these </w:t>
      </w:r>
      <w:r w:rsidR="004932A9">
        <w:rPr>
          <w:rFonts w:ascii="Arial" w:hAnsi="Arial" w:cs="Arial"/>
          <w:szCs w:val="22"/>
          <w:lang w:eastAsia="en-AU"/>
        </w:rPr>
        <w:t>i</w:t>
      </w:r>
      <w:r w:rsidR="00352A0A" w:rsidRPr="000541AA">
        <w:rPr>
          <w:rFonts w:ascii="Arial" w:hAnsi="Arial" w:cs="Arial"/>
          <w:szCs w:val="22"/>
          <w:lang w:eastAsia="en-AU"/>
        </w:rPr>
        <w:t xml:space="preserve">nitiatives. </w:t>
      </w:r>
    </w:p>
    <w:p w14:paraId="58D007FC" w14:textId="6DF08EAA" w:rsidR="00BF3466" w:rsidRPr="000541AA" w:rsidRDefault="00352A0A" w:rsidP="00860FE3">
      <w:pPr>
        <w:spacing w:before="120" w:after="120" w:line="240" w:lineRule="auto"/>
        <w:rPr>
          <w:rFonts w:ascii="Arial" w:hAnsi="Arial" w:cs="Arial"/>
          <w:lang w:eastAsia="en-AU"/>
        </w:rPr>
      </w:pPr>
      <w:r w:rsidRPr="00860FE3">
        <w:rPr>
          <w:rFonts w:ascii="Arial" w:hAnsi="Arial" w:cs="Arial"/>
          <w:szCs w:val="22"/>
          <w:lang w:eastAsia="en-AU"/>
        </w:rPr>
        <w:fldChar w:fldCharType="begin"/>
      </w:r>
      <w:r w:rsidRPr="00860FE3">
        <w:rPr>
          <w:rFonts w:ascii="Arial" w:hAnsi="Arial" w:cs="Arial"/>
          <w:szCs w:val="22"/>
          <w:lang w:eastAsia="en-AU"/>
        </w:rPr>
        <w:instrText xml:space="preserve"> REF _Ref536028077 \h </w:instrText>
      </w:r>
      <w:r w:rsidR="000541AA" w:rsidRPr="00860FE3">
        <w:rPr>
          <w:rFonts w:ascii="Arial" w:hAnsi="Arial" w:cs="Arial"/>
          <w:szCs w:val="22"/>
          <w:lang w:eastAsia="en-AU"/>
        </w:rPr>
        <w:instrText xml:space="preserve"> \* MERGEFORMAT </w:instrText>
      </w:r>
      <w:r w:rsidRPr="00860FE3">
        <w:rPr>
          <w:rFonts w:ascii="Arial" w:hAnsi="Arial" w:cs="Arial"/>
          <w:szCs w:val="22"/>
          <w:lang w:eastAsia="en-AU"/>
        </w:rPr>
      </w:r>
      <w:r w:rsidRPr="00860FE3">
        <w:rPr>
          <w:rFonts w:ascii="Arial" w:hAnsi="Arial" w:cs="Arial"/>
          <w:szCs w:val="22"/>
          <w:lang w:eastAsia="en-AU"/>
        </w:rPr>
        <w:fldChar w:fldCharType="separate"/>
      </w:r>
      <w:r w:rsidR="00533860" w:rsidRPr="00533860">
        <w:rPr>
          <w:rFonts w:ascii="Arial" w:hAnsi="Arial" w:cs="Arial"/>
          <w:szCs w:val="22"/>
          <w:lang w:eastAsia="en-AU"/>
        </w:rPr>
        <w:t>Table 2</w:t>
      </w:r>
      <w:r w:rsidRPr="00860FE3">
        <w:rPr>
          <w:rFonts w:ascii="Arial" w:hAnsi="Arial" w:cs="Arial"/>
          <w:szCs w:val="22"/>
          <w:lang w:eastAsia="en-AU"/>
        </w:rPr>
        <w:fldChar w:fldCharType="end"/>
      </w:r>
      <w:r w:rsidRPr="00860FE3">
        <w:rPr>
          <w:rFonts w:ascii="Arial" w:hAnsi="Arial" w:cs="Arial"/>
          <w:szCs w:val="22"/>
          <w:lang w:eastAsia="en-AU"/>
        </w:rPr>
        <w:t xml:space="preserve"> presents the funding </w:t>
      </w:r>
      <w:r w:rsidR="00C26D36" w:rsidRPr="00860FE3">
        <w:rPr>
          <w:rFonts w:ascii="Arial" w:hAnsi="Arial" w:cs="Arial"/>
          <w:szCs w:val="22"/>
          <w:lang w:eastAsia="en-AU"/>
        </w:rPr>
        <w:t>profiles</w:t>
      </w:r>
      <w:r w:rsidR="000F541A">
        <w:rPr>
          <w:rFonts w:ascii="Arial" w:hAnsi="Arial" w:cs="Arial"/>
          <w:szCs w:val="22"/>
          <w:lang w:eastAsia="en-AU"/>
        </w:rPr>
        <w:t xml:space="preserve"> of</w:t>
      </w:r>
      <w:r w:rsidR="00C26D36" w:rsidRPr="00860FE3">
        <w:rPr>
          <w:rFonts w:ascii="Arial" w:hAnsi="Arial" w:cs="Arial"/>
          <w:szCs w:val="22"/>
          <w:lang w:eastAsia="en-AU"/>
        </w:rPr>
        <w:t xml:space="preserve"> </w:t>
      </w:r>
      <w:r w:rsidR="000F541A" w:rsidRPr="007121F3">
        <w:rPr>
          <w:rFonts w:ascii="Arial" w:hAnsi="Arial" w:cs="Arial"/>
          <w:szCs w:val="22"/>
          <w:lang w:eastAsia="en-AU"/>
        </w:rPr>
        <w:t>the</w:t>
      </w:r>
      <w:r w:rsidR="004932A9">
        <w:rPr>
          <w:rFonts w:ascii="Arial" w:hAnsi="Arial" w:cs="Arial"/>
          <w:szCs w:val="22"/>
          <w:lang w:eastAsia="en-AU"/>
        </w:rPr>
        <w:t xml:space="preserve"> MRFF</w:t>
      </w:r>
      <w:r w:rsidR="000F541A" w:rsidRPr="007121F3">
        <w:rPr>
          <w:rFonts w:ascii="Arial" w:hAnsi="Arial" w:cs="Arial"/>
          <w:szCs w:val="22"/>
          <w:lang w:eastAsia="en-AU"/>
        </w:rPr>
        <w:t xml:space="preserve"> </w:t>
      </w:r>
      <w:r w:rsidR="000F541A">
        <w:rPr>
          <w:rFonts w:ascii="Arial" w:hAnsi="Arial" w:cs="Arial"/>
          <w:szCs w:val="22"/>
          <w:lang w:eastAsia="en-AU"/>
        </w:rPr>
        <w:t>i</w:t>
      </w:r>
      <w:r w:rsidR="000F541A" w:rsidRPr="007121F3">
        <w:rPr>
          <w:rFonts w:ascii="Arial" w:hAnsi="Arial" w:cs="Arial"/>
          <w:szCs w:val="22"/>
          <w:lang w:eastAsia="en-AU"/>
        </w:rPr>
        <w:t>nitiatives</w:t>
      </w:r>
      <w:r w:rsidR="00467409">
        <w:rPr>
          <w:rFonts w:ascii="Arial" w:hAnsi="Arial" w:cs="Arial"/>
          <w:szCs w:val="22"/>
          <w:lang w:eastAsia="en-AU"/>
        </w:rPr>
        <w:t xml:space="preserve"> as at November 2018</w:t>
      </w:r>
      <w:r w:rsidRPr="00860FE3">
        <w:rPr>
          <w:rFonts w:ascii="Arial" w:hAnsi="Arial" w:cs="Arial"/>
          <w:szCs w:val="22"/>
          <w:lang w:eastAsia="en-AU"/>
        </w:rPr>
        <w:t xml:space="preserve">. </w:t>
      </w:r>
    </w:p>
    <w:p w14:paraId="3FCF24B7" w14:textId="4246EE83" w:rsidR="00352A0A" w:rsidRPr="000541AA" w:rsidRDefault="00352A0A" w:rsidP="00352A0A">
      <w:pPr>
        <w:pStyle w:val="Caption"/>
        <w:rPr>
          <w:color w:val="1F497D" w:themeColor="text2"/>
        </w:rPr>
      </w:pPr>
      <w:bookmarkStart w:id="10" w:name="_Ref536028077"/>
      <w:r w:rsidRPr="000541AA">
        <w:rPr>
          <w:color w:val="1F497D" w:themeColor="text2"/>
        </w:rPr>
        <w:t xml:space="preserve">Table </w:t>
      </w:r>
      <w:r w:rsidRPr="000541AA">
        <w:rPr>
          <w:color w:val="1F497D" w:themeColor="text2"/>
        </w:rPr>
        <w:fldChar w:fldCharType="begin"/>
      </w:r>
      <w:r w:rsidRPr="000541AA">
        <w:rPr>
          <w:color w:val="1F497D" w:themeColor="text2"/>
        </w:rPr>
        <w:instrText xml:space="preserve"> SEQ Table \* ARABIC </w:instrText>
      </w:r>
      <w:r w:rsidRPr="000541AA">
        <w:rPr>
          <w:color w:val="1F497D" w:themeColor="text2"/>
        </w:rPr>
        <w:fldChar w:fldCharType="separate"/>
      </w:r>
      <w:r w:rsidR="00533860">
        <w:rPr>
          <w:noProof/>
          <w:color w:val="1F497D" w:themeColor="text2"/>
        </w:rPr>
        <w:t>2</w:t>
      </w:r>
      <w:r w:rsidRPr="000541AA">
        <w:rPr>
          <w:color w:val="1F497D" w:themeColor="text2"/>
        </w:rPr>
        <w:fldChar w:fldCharType="end"/>
      </w:r>
      <w:bookmarkEnd w:id="10"/>
      <w:r w:rsidRPr="000541AA">
        <w:rPr>
          <w:color w:val="1F497D" w:themeColor="text2"/>
        </w:rPr>
        <w:t xml:space="preserve"> | </w:t>
      </w:r>
      <w:r w:rsidR="000806F7">
        <w:rPr>
          <w:color w:val="1F497D" w:themeColor="text2"/>
        </w:rPr>
        <w:t>F</w:t>
      </w:r>
      <w:r w:rsidR="00C30D1B">
        <w:rPr>
          <w:color w:val="1F497D" w:themeColor="text2"/>
        </w:rPr>
        <w:t>un</w:t>
      </w:r>
      <w:r w:rsidR="0034503A">
        <w:rPr>
          <w:color w:val="1F497D" w:themeColor="text2"/>
        </w:rPr>
        <w:t>ding for</w:t>
      </w:r>
      <w:r w:rsidRPr="000541AA">
        <w:rPr>
          <w:color w:val="1F497D" w:themeColor="text2"/>
        </w:rPr>
        <w:t xml:space="preserve"> Initiatives under the 2016-</w:t>
      </w:r>
      <w:r w:rsidR="00250BFD">
        <w:rPr>
          <w:color w:val="1F497D" w:themeColor="text2"/>
        </w:rPr>
        <w:t>20</w:t>
      </w:r>
      <w:r w:rsidRPr="000541AA">
        <w:rPr>
          <w:color w:val="1F497D" w:themeColor="text2"/>
        </w:rPr>
        <w:t xml:space="preserve">18 Priorities </w:t>
      </w:r>
      <w:r w:rsidR="00062CA5">
        <w:rPr>
          <w:color w:val="1F497D" w:themeColor="text2"/>
        </w:rPr>
        <w:t>as of November 2018</w:t>
      </w:r>
      <w:r w:rsidRPr="000541AA">
        <w:rPr>
          <w:color w:val="1F497D" w:themeColor="text2"/>
        </w:rPr>
        <w:t xml:space="preserve"> </w:t>
      </w:r>
    </w:p>
    <w:tbl>
      <w:tblPr>
        <w:tblStyle w:val="TableGrid"/>
        <w:tblW w:w="5000" w:type="pct"/>
        <w:tblLook w:val="04A0" w:firstRow="1" w:lastRow="0" w:firstColumn="1" w:lastColumn="0" w:noHBand="0" w:noVBand="1"/>
      </w:tblPr>
      <w:tblGrid>
        <w:gridCol w:w="1731"/>
        <w:gridCol w:w="556"/>
        <w:gridCol w:w="556"/>
        <w:gridCol w:w="654"/>
        <w:gridCol w:w="654"/>
        <w:gridCol w:w="654"/>
        <w:gridCol w:w="654"/>
        <w:gridCol w:w="654"/>
        <w:gridCol w:w="654"/>
        <w:gridCol w:w="798"/>
        <w:gridCol w:w="654"/>
        <w:gridCol w:w="798"/>
      </w:tblGrid>
      <w:tr w:rsidR="00E25B33" w14:paraId="4C843E3E" w14:textId="77777777" w:rsidTr="00E25B33">
        <w:trPr>
          <w:trHeight w:val="280"/>
          <w:tblHeader/>
        </w:trPr>
        <w:tc>
          <w:tcPr>
            <w:tcW w:w="1041" w:type="pct"/>
            <w:vMerge w:val="restart"/>
            <w:shd w:val="clear" w:color="auto" w:fill="FFFFFF" w:themeFill="background1"/>
            <w:vAlign w:val="center"/>
          </w:tcPr>
          <w:p w14:paraId="08C055FA" w14:textId="77777777" w:rsidR="00C26D36" w:rsidRPr="00270224" w:rsidRDefault="00C26D36" w:rsidP="00860FE3">
            <w:pPr>
              <w:pStyle w:val="TableNheader"/>
              <w:jc w:val="center"/>
              <w:rPr>
                <w:color w:val="000000" w:themeColor="text1"/>
                <w:lang w:eastAsia="en-AU"/>
              </w:rPr>
            </w:pPr>
            <w:r w:rsidRPr="00270224">
              <w:rPr>
                <w:color w:val="000000" w:themeColor="text1"/>
                <w:lang w:eastAsia="en-AU"/>
              </w:rPr>
              <w:t>Initiative</w:t>
            </w:r>
          </w:p>
        </w:tc>
        <w:tc>
          <w:tcPr>
            <w:tcW w:w="745" w:type="pct"/>
            <w:gridSpan w:val="2"/>
            <w:shd w:val="clear" w:color="auto" w:fill="17365D" w:themeFill="text2" w:themeFillShade="BF"/>
            <w:vAlign w:val="center"/>
          </w:tcPr>
          <w:p w14:paraId="55AF14F6" w14:textId="77777777" w:rsidR="00C26D36" w:rsidRPr="00860FE3" w:rsidRDefault="00C26D36" w:rsidP="0094170C">
            <w:pPr>
              <w:pStyle w:val="TableNheader"/>
              <w:jc w:val="center"/>
              <w:rPr>
                <w:b/>
                <w:lang w:eastAsia="en-AU"/>
              </w:rPr>
            </w:pPr>
            <w:r w:rsidRPr="00860FE3">
              <w:rPr>
                <w:b/>
                <w:lang w:eastAsia="en-AU"/>
              </w:rPr>
              <w:t>Actual</w:t>
            </w:r>
            <w:r w:rsidR="00062CA5">
              <w:rPr>
                <w:b/>
                <w:lang w:eastAsia="en-AU"/>
              </w:rPr>
              <w:t xml:space="preserve"> ($m)</w:t>
            </w:r>
          </w:p>
        </w:tc>
        <w:tc>
          <w:tcPr>
            <w:tcW w:w="2350" w:type="pct"/>
            <w:gridSpan w:val="6"/>
            <w:shd w:val="clear" w:color="auto" w:fill="17365D" w:themeFill="text2" w:themeFillShade="BF"/>
            <w:vAlign w:val="center"/>
          </w:tcPr>
          <w:p w14:paraId="38C40399" w14:textId="77777777" w:rsidR="00C26D36" w:rsidRPr="00860FE3" w:rsidRDefault="00C26D36">
            <w:pPr>
              <w:pStyle w:val="TableNheader"/>
              <w:jc w:val="center"/>
              <w:rPr>
                <w:b/>
                <w:lang w:eastAsia="en-AU"/>
              </w:rPr>
            </w:pPr>
            <w:r w:rsidRPr="00860FE3">
              <w:rPr>
                <w:b/>
                <w:lang w:eastAsia="en-AU"/>
              </w:rPr>
              <w:t>Budget</w:t>
            </w:r>
            <w:r w:rsidR="00062CA5">
              <w:rPr>
                <w:b/>
                <w:lang w:eastAsia="en-AU"/>
              </w:rPr>
              <w:t xml:space="preserve"> ($m)</w:t>
            </w:r>
          </w:p>
        </w:tc>
        <w:tc>
          <w:tcPr>
            <w:tcW w:w="864" w:type="pct"/>
            <w:gridSpan w:val="3"/>
            <w:shd w:val="clear" w:color="auto" w:fill="FFFFFF" w:themeFill="background1"/>
            <w:vAlign w:val="center"/>
          </w:tcPr>
          <w:p w14:paraId="52CAE371" w14:textId="77777777" w:rsidR="00C26D36" w:rsidRDefault="00C26D36">
            <w:pPr>
              <w:pStyle w:val="TableNheader"/>
              <w:jc w:val="center"/>
              <w:rPr>
                <w:lang w:eastAsia="en-AU"/>
              </w:rPr>
            </w:pPr>
          </w:p>
        </w:tc>
      </w:tr>
      <w:tr w:rsidR="00E25B33" w14:paraId="1849C946" w14:textId="77777777" w:rsidTr="00E25B33">
        <w:trPr>
          <w:trHeight w:val="280"/>
          <w:tblHeader/>
        </w:trPr>
        <w:tc>
          <w:tcPr>
            <w:tcW w:w="1041" w:type="pct"/>
            <w:vMerge/>
            <w:shd w:val="clear" w:color="auto" w:fill="FFFFFF" w:themeFill="background1"/>
            <w:vAlign w:val="center"/>
          </w:tcPr>
          <w:p w14:paraId="0854A259" w14:textId="77777777" w:rsidR="00C26D36" w:rsidRPr="008520FB" w:rsidRDefault="00C26D36" w:rsidP="00860FE3">
            <w:pPr>
              <w:pStyle w:val="TableNheader"/>
              <w:jc w:val="center"/>
              <w:rPr>
                <w:lang w:eastAsia="en-AU"/>
              </w:rPr>
            </w:pPr>
          </w:p>
        </w:tc>
        <w:tc>
          <w:tcPr>
            <w:tcW w:w="372" w:type="pct"/>
            <w:shd w:val="clear" w:color="auto" w:fill="1F497D" w:themeFill="text2"/>
            <w:vAlign w:val="center"/>
          </w:tcPr>
          <w:p w14:paraId="31E4F14C" w14:textId="77777777" w:rsidR="00C26D36" w:rsidRDefault="00C26D36" w:rsidP="0094170C">
            <w:pPr>
              <w:pStyle w:val="TableNheader"/>
              <w:jc w:val="center"/>
              <w:rPr>
                <w:lang w:eastAsia="en-AU"/>
              </w:rPr>
            </w:pPr>
            <w:r>
              <w:rPr>
                <w:lang w:eastAsia="en-AU"/>
              </w:rPr>
              <w:t>16-17</w:t>
            </w:r>
          </w:p>
        </w:tc>
        <w:tc>
          <w:tcPr>
            <w:tcW w:w="373" w:type="pct"/>
            <w:shd w:val="clear" w:color="auto" w:fill="1F497D" w:themeFill="text2"/>
            <w:vAlign w:val="center"/>
          </w:tcPr>
          <w:p w14:paraId="3709B698" w14:textId="77777777" w:rsidR="00C26D36" w:rsidRDefault="00C26D36">
            <w:pPr>
              <w:pStyle w:val="TableNheader"/>
              <w:jc w:val="center"/>
              <w:rPr>
                <w:lang w:eastAsia="en-AU"/>
              </w:rPr>
            </w:pPr>
            <w:r>
              <w:rPr>
                <w:lang w:eastAsia="en-AU"/>
              </w:rPr>
              <w:t>17-18</w:t>
            </w:r>
          </w:p>
        </w:tc>
        <w:tc>
          <w:tcPr>
            <w:tcW w:w="374" w:type="pct"/>
            <w:shd w:val="clear" w:color="auto" w:fill="1F497D" w:themeFill="text2"/>
            <w:vAlign w:val="center"/>
          </w:tcPr>
          <w:p w14:paraId="0AAEB1B9" w14:textId="77777777" w:rsidR="00C26D36" w:rsidRDefault="00C26D36">
            <w:pPr>
              <w:pStyle w:val="TableNheader"/>
              <w:jc w:val="center"/>
              <w:rPr>
                <w:lang w:eastAsia="en-AU"/>
              </w:rPr>
            </w:pPr>
            <w:r>
              <w:rPr>
                <w:lang w:eastAsia="en-AU"/>
              </w:rPr>
              <w:t>18-19</w:t>
            </w:r>
          </w:p>
        </w:tc>
        <w:tc>
          <w:tcPr>
            <w:tcW w:w="374" w:type="pct"/>
            <w:shd w:val="clear" w:color="auto" w:fill="1F497D" w:themeFill="text2"/>
            <w:vAlign w:val="center"/>
          </w:tcPr>
          <w:p w14:paraId="6AE4CB24" w14:textId="77777777" w:rsidR="00C26D36" w:rsidRDefault="00C26D36">
            <w:pPr>
              <w:pStyle w:val="TableNheader"/>
              <w:jc w:val="center"/>
              <w:rPr>
                <w:lang w:eastAsia="en-AU"/>
              </w:rPr>
            </w:pPr>
            <w:r>
              <w:rPr>
                <w:lang w:eastAsia="en-AU"/>
              </w:rPr>
              <w:t>19-20</w:t>
            </w:r>
          </w:p>
        </w:tc>
        <w:tc>
          <w:tcPr>
            <w:tcW w:w="374" w:type="pct"/>
            <w:shd w:val="clear" w:color="auto" w:fill="1F497D" w:themeFill="text2"/>
            <w:vAlign w:val="center"/>
          </w:tcPr>
          <w:p w14:paraId="6652021C" w14:textId="77777777" w:rsidR="00C26D36" w:rsidRDefault="00C26D36">
            <w:pPr>
              <w:pStyle w:val="TableNheader"/>
              <w:jc w:val="center"/>
              <w:rPr>
                <w:lang w:eastAsia="en-AU"/>
              </w:rPr>
            </w:pPr>
            <w:r>
              <w:rPr>
                <w:lang w:eastAsia="en-AU"/>
              </w:rPr>
              <w:t>20-21</w:t>
            </w:r>
          </w:p>
        </w:tc>
        <w:tc>
          <w:tcPr>
            <w:tcW w:w="371" w:type="pct"/>
            <w:shd w:val="clear" w:color="auto" w:fill="1F497D" w:themeFill="text2"/>
            <w:vAlign w:val="center"/>
          </w:tcPr>
          <w:p w14:paraId="7327EADF" w14:textId="77777777" w:rsidR="00C26D36" w:rsidRDefault="00C26D36">
            <w:pPr>
              <w:pStyle w:val="TableNheader"/>
              <w:jc w:val="center"/>
              <w:rPr>
                <w:lang w:eastAsia="en-AU"/>
              </w:rPr>
            </w:pPr>
            <w:r>
              <w:rPr>
                <w:lang w:eastAsia="en-AU"/>
              </w:rPr>
              <w:t>21-22</w:t>
            </w:r>
          </w:p>
        </w:tc>
        <w:tc>
          <w:tcPr>
            <w:tcW w:w="458" w:type="pct"/>
            <w:shd w:val="clear" w:color="auto" w:fill="1F497D" w:themeFill="text2"/>
            <w:vAlign w:val="center"/>
          </w:tcPr>
          <w:p w14:paraId="5D6A7322" w14:textId="77777777" w:rsidR="00C26D36" w:rsidRDefault="00C26D36">
            <w:pPr>
              <w:pStyle w:val="TableNheader"/>
              <w:jc w:val="center"/>
              <w:rPr>
                <w:lang w:eastAsia="en-AU"/>
              </w:rPr>
            </w:pPr>
            <w:r>
              <w:rPr>
                <w:lang w:eastAsia="en-AU"/>
              </w:rPr>
              <w:t>22-23</w:t>
            </w:r>
          </w:p>
        </w:tc>
        <w:tc>
          <w:tcPr>
            <w:tcW w:w="399" w:type="pct"/>
            <w:shd w:val="clear" w:color="auto" w:fill="1F497D" w:themeFill="text2"/>
            <w:vAlign w:val="center"/>
          </w:tcPr>
          <w:p w14:paraId="57CFBE96" w14:textId="77777777" w:rsidR="00C26D36" w:rsidRDefault="00C26D36">
            <w:pPr>
              <w:pStyle w:val="TableNheader"/>
              <w:jc w:val="center"/>
              <w:rPr>
                <w:lang w:eastAsia="en-AU"/>
              </w:rPr>
            </w:pPr>
            <w:r>
              <w:rPr>
                <w:lang w:eastAsia="en-AU"/>
              </w:rPr>
              <w:t>23-24</w:t>
            </w:r>
          </w:p>
        </w:tc>
        <w:tc>
          <w:tcPr>
            <w:tcW w:w="398" w:type="pct"/>
            <w:shd w:val="clear" w:color="auto" w:fill="17365D" w:themeFill="text2" w:themeFillShade="BF"/>
            <w:vAlign w:val="center"/>
          </w:tcPr>
          <w:p w14:paraId="57CF5529" w14:textId="77777777" w:rsidR="00C26D36" w:rsidRDefault="000F541A">
            <w:pPr>
              <w:pStyle w:val="TableNheader"/>
              <w:jc w:val="center"/>
              <w:rPr>
                <w:lang w:eastAsia="en-AU"/>
              </w:rPr>
            </w:pPr>
            <w:r>
              <w:rPr>
                <w:lang w:eastAsia="en-AU"/>
              </w:rPr>
              <w:t xml:space="preserve">8 </w:t>
            </w:r>
            <w:r w:rsidR="00C26D36">
              <w:rPr>
                <w:lang w:eastAsia="en-AU"/>
              </w:rPr>
              <w:t>Year Total</w:t>
            </w:r>
          </w:p>
        </w:tc>
        <w:tc>
          <w:tcPr>
            <w:tcW w:w="318" w:type="pct"/>
            <w:shd w:val="clear" w:color="auto" w:fill="17365D" w:themeFill="text2" w:themeFillShade="BF"/>
            <w:vAlign w:val="center"/>
          </w:tcPr>
          <w:p w14:paraId="4802E979" w14:textId="77777777" w:rsidR="00C26D36" w:rsidRDefault="00C26D36">
            <w:pPr>
              <w:pStyle w:val="TableNheader"/>
              <w:jc w:val="center"/>
              <w:rPr>
                <w:lang w:eastAsia="en-AU"/>
              </w:rPr>
            </w:pPr>
            <w:r>
              <w:rPr>
                <w:lang w:eastAsia="en-AU"/>
              </w:rPr>
              <w:t>Out Years</w:t>
            </w:r>
          </w:p>
        </w:tc>
        <w:tc>
          <w:tcPr>
            <w:tcW w:w="148" w:type="pct"/>
            <w:shd w:val="clear" w:color="auto" w:fill="17365D" w:themeFill="text2" w:themeFillShade="BF"/>
            <w:vAlign w:val="center"/>
          </w:tcPr>
          <w:p w14:paraId="32C3B028" w14:textId="77777777" w:rsidR="00C26D36" w:rsidRDefault="00C26D36">
            <w:pPr>
              <w:pStyle w:val="TableNheader"/>
              <w:jc w:val="center"/>
              <w:rPr>
                <w:lang w:eastAsia="en-AU"/>
              </w:rPr>
            </w:pPr>
            <w:r>
              <w:rPr>
                <w:lang w:eastAsia="en-AU"/>
              </w:rPr>
              <w:t>Total</w:t>
            </w:r>
          </w:p>
        </w:tc>
      </w:tr>
      <w:tr w:rsidR="00E25B33" w14:paraId="418D2913" w14:textId="77777777" w:rsidTr="00E25B33">
        <w:trPr>
          <w:cantSplit/>
          <w:trHeight w:val="280"/>
        </w:trPr>
        <w:tc>
          <w:tcPr>
            <w:tcW w:w="1041" w:type="pct"/>
          </w:tcPr>
          <w:p w14:paraId="61BB34A1" w14:textId="77777777" w:rsidR="0083481A" w:rsidRPr="00E90101" w:rsidRDefault="0083481A" w:rsidP="00062CA5">
            <w:pPr>
              <w:pStyle w:val="TableNText"/>
            </w:pPr>
            <w:r w:rsidRPr="00E90101">
              <w:t>Tackling Antimicrobial Resistance</w:t>
            </w:r>
          </w:p>
        </w:tc>
        <w:tc>
          <w:tcPr>
            <w:tcW w:w="372" w:type="pct"/>
            <w:vAlign w:val="center"/>
          </w:tcPr>
          <w:p w14:paraId="65DEF926" w14:textId="77777777" w:rsidR="0083481A" w:rsidRPr="00BB609D" w:rsidRDefault="0083481A" w:rsidP="00860FE3">
            <w:pPr>
              <w:pStyle w:val="TableNText"/>
              <w:jc w:val="right"/>
            </w:pPr>
            <w:r w:rsidRPr="00BB609D">
              <w:t> </w:t>
            </w:r>
          </w:p>
        </w:tc>
        <w:tc>
          <w:tcPr>
            <w:tcW w:w="373" w:type="pct"/>
            <w:vAlign w:val="center"/>
          </w:tcPr>
          <w:p w14:paraId="36091FE4" w14:textId="77777777" w:rsidR="0083481A" w:rsidRPr="00BB609D" w:rsidRDefault="0083481A" w:rsidP="00860FE3">
            <w:pPr>
              <w:pStyle w:val="TableNText"/>
              <w:jc w:val="right"/>
            </w:pPr>
            <w:r w:rsidRPr="00BB609D">
              <w:t>0.5</w:t>
            </w:r>
          </w:p>
        </w:tc>
        <w:tc>
          <w:tcPr>
            <w:tcW w:w="374" w:type="pct"/>
            <w:vAlign w:val="center"/>
          </w:tcPr>
          <w:p w14:paraId="171935B0" w14:textId="77777777" w:rsidR="0083481A" w:rsidRPr="00BB609D" w:rsidRDefault="0083481A" w:rsidP="00860FE3">
            <w:pPr>
              <w:pStyle w:val="TableNText"/>
              <w:jc w:val="right"/>
            </w:pPr>
            <w:r w:rsidRPr="00BB609D">
              <w:t>1.8</w:t>
            </w:r>
          </w:p>
        </w:tc>
        <w:tc>
          <w:tcPr>
            <w:tcW w:w="374" w:type="pct"/>
            <w:vAlign w:val="center"/>
          </w:tcPr>
          <w:p w14:paraId="3D2D5BD5" w14:textId="77777777" w:rsidR="0083481A" w:rsidRPr="00BB609D" w:rsidRDefault="0083481A" w:rsidP="00860FE3">
            <w:pPr>
              <w:pStyle w:val="TableNText"/>
              <w:jc w:val="right"/>
            </w:pPr>
            <w:r w:rsidRPr="00BB609D">
              <w:t>2.2</w:t>
            </w:r>
          </w:p>
        </w:tc>
        <w:tc>
          <w:tcPr>
            <w:tcW w:w="374" w:type="pct"/>
            <w:vAlign w:val="center"/>
          </w:tcPr>
          <w:p w14:paraId="1028CB61" w14:textId="77777777" w:rsidR="0083481A" w:rsidRPr="00BB609D" w:rsidRDefault="0083481A" w:rsidP="00860FE3">
            <w:pPr>
              <w:pStyle w:val="TableNText"/>
              <w:jc w:val="right"/>
            </w:pPr>
            <w:r w:rsidRPr="00BB609D">
              <w:t>1.2</w:t>
            </w:r>
          </w:p>
        </w:tc>
        <w:tc>
          <w:tcPr>
            <w:tcW w:w="371" w:type="pct"/>
            <w:vAlign w:val="center"/>
          </w:tcPr>
          <w:p w14:paraId="080F0948" w14:textId="77777777" w:rsidR="0083481A" w:rsidRPr="00BB609D" w:rsidRDefault="0083481A" w:rsidP="00860FE3">
            <w:pPr>
              <w:pStyle w:val="TableNText"/>
              <w:jc w:val="right"/>
            </w:pPr>
            <w:r w:rsidRPr="00BB609D">
              <w:t>0.3</w:t>
            </w:r>
          </w:p>
        </w:tc>
        <w:tc>
          <w:tcPr>
            <w:tcW w:w="458" w:type="pct"/>
            <w:vAlign w:val="center"/>
          </w:tcPr>
          <w:p w14:paraId="43E3B5BF" w14:textId="77777777" w:rsidR="0083481A" w:rsidRPr="00BB609D" w:rsidRDefault="0083481A" w:rsidP="00860FE3">
            <w:pPr>
              <w:pStyle w:val="TableNText"/>
              <w:jc w:val="right"/>
            </w:pPr>
            <w:r w:rsidRPr="00BB609D">
              <w:t> </w:t>
            </w:r>
          </w:p>
        </w:tc>
        <w:tc>
          <w:tcPr>
            <w:tcW w:w="399" w:type="pct"/>
            <w:vAlign w:val="center"/>
          </w:tcPr>
          <w:p w14:paraId="11C028C5" w14:textId="77777777" w:rsidR="0083481A" w:rsidRPr="00BB609D" w:rsidRDefault="0083481A" w:rsidP="00860FE3">
            <w:pPr>
              <w:pStyle w:val="TableNText"/>
              <w:jc w:val="right"/>
            </w:pPr>
            <w:r w:rsidRPr="00BB609D">
              <w:t> </w:t>
            </w:r>
          </w:p>
        </w:tc>
        <w:tc>
          <w:tcPr>
            <w:tcW w:w="398" w:type="pct"/>
            <w:vAlign w:val="center"/>
          </w:tcPr>
          <w:p w14:paraId="13E8D2E1" w14:textId="77777777" w:rsidR="0083481A" w:rsidRPr="00860FE3" w:rsidRDefault="0083481A" w:rsidP="00860FE3">
            <w:pPr>
              <w:pStyle w:val="TableNText"/>
              <w:jc w:val="right"/>
              <w:rPr>
                <w:b/>
              </w:rPr>
            </w:pPr>
            <w:r w:rsidRPr="00860FE3">
              <w:rPr>
                <w:b/>
              </w:rPr>
              <w:t>5.9</w:t>
            </w:r>
          </w:p>
        </w:tc>
        <w:tc>
          <w:tcPr>
            <w:tcW w:w="318" w:type="pct"/>
            <w:vAlign w:val="center"/>
          </w:tcPr>
          <w:p w14:paraId="65EEB5E3" w14:textId="77777777" w:rsidR="0083481A" w:rsidRPr="00BB609D" w:rsidRDefault="0083481A" w:rsidP="00860FE3">
            <w:pPr>
              <w:pStyle w:val="TableNText"/>
              <w:jc w:val="right"/>
            </w:pPr>
            <w:r w:rsidRPr="00BB609D">
              <w:t> </w:t>
            </w:r>
          </w:p>
        </w:tc>
        <w:tc>
          <w:tcPr>
            <w:tcW w:w="148" w:type="pct"/>
            <w:vAlign w:val="center"/>
          </w:tcPr>
          <w:p w14:paraId="11C4AF7E" w14:textId="77777777" w:rsidR="0083481A" w:rsidRPr="00860FE3" w:rsidRDefault="0083481A" w:rsidP="00860FE3">
            <w:pPr>
              <w:pStyle w:val="TableNText"/>
              <w:jc w:val="right"/>
              <w:rPr>
                <w:b/>
              </w:rPr>
            </w:pPr>
            <w:r w:rsidRPr="00860FE3">
              <w:rPr>
                <w:b/>
              </w:rPr>
              <w:t>5.9</w:t>
            </w:r>
          </w:p>
        </w:tc>
      </w:tr>
      <w:tr w:rsidR="00E25B33" w14:paraId="12444AD0" w14:textId="77777777" w:rsidTr="00E25B33">
        <w:trPr>
          <w:cantSplit/>
          <w:trHeight w:val="280"/>
        </w:trPr>
        <w:tc>
          <w:tcPr>
            <w:tcW w:w="1041" w:type="pct"/>
          </w:tcPr>
          <w:p w14:paraId="5F6D8F7F" w14:textId="77777777" w:rsidR="0083481A" w:rsidRPr="00E90101" w:rsidRDefault="0083481A" w:rsidP="00860FE3">
            <w:pPr>
              <w:pStyle w:val="TableNText"/>
            </w:pPr>
            <w:r w:rsidRPr="00E90101">
              <w:t>International Clinical Trial Collaboration</w:t>
            </w:r>
            <w:r w:rsidR="002F760E">
              <w:t>s</w:t>
            </w:r>
          </w:p>
        </w:tc>
        <w:tc>
          <w:tcPr>
            <w:tcW w:w="372" w:type="pct"/>
            <w:vAlign w:val="center"/>
          </w:tcPr>
          <w:p w14:paraId="0926F3ED" w14:textId="77777777" w:rsidR="0083481A" w:rsidRPr="00BB609D" w:rsidRDefault="0083481A" w:rsidP="00860FE3">
            <w:pPr>
              <w:pStyle w:val="TableNText"/>
              <w:jc w:val="right"/>
            </w:pPr>
            <w:r w:rsidRPr="00BB609D">
              <w:t xml:space="preserve"> </w:t>
            </w:r>
          </w:p>
        </w:tc>
        <w:tc>
          <w:tcPr>
            <w:tcW w:w="373" w:type="pct"/>
            <w:vAlign w:val="center"/>
          </w:tcPr>
          <w:p w14:paraId="36687715" w14:textId="77777777" w:rsidR="0083481A" w:rsidRPr="00BB609D" w:rsidRDefault="0083481A" w:rsidP="00860FE3">
            <w:pPr>
              <w:pStyle w:val="TableNText"/>
              <w:jc w:val="right"/>
            </w:pPr>
            <w:r w:rsidRPr="00BB609D">
              <w:t> </w:t>
            </w:r>
          </w:p>
        </w:tc>
        <w:tc>
          <w:tcPr>
            <w:tcW w:w="374" w:type="pct"/>
            <w:vAlign w:val="center"/>
          </w:tcPr>
          <w:p w14:paraId="60AD2C01" w14:textId="77777777" w:rsidR="0083481A" w:rsidRPr="00BB609D" w:rsidRDefault="0083481A" w:rsidP="00860FE3">
            <w:pPr>
              <w:pStyle w:val="TableNText"/>
              <w:jc w:val="right"/>
            </w:pPr>
            <w:r w:rsidRPr="00BB609D">
              <w:t>4.2</w:t>
            </w:r>
          </w:p>
        </w:tc>
        <w:tc>
          <w:tcPr>
            <w:tcW w:w="374" w:type="pct"/>
            <w:vAlign w:val="center"/>
          </w:tcPr>
          <w:p w14:paraId="6E7E1839" w14:textId="77777777" w:rsidR="0083481A" w:rsidRPr="00BB609D" w:rsidRDefault="0083481A" w:rsidP="00860FE3">
            <w:pPr>
              <w:pStyle w:val="TableNText"/>
              <w:jc w:val="right"/>
            </w:pPr>
            <w:r w:rsidRPr="00BB609D">
              <w:t>12.6</w:t>
            </w:r>
          </w:p>
        </w:tc>
        <w:tc>
          <w:tcPr>
            <w:tcW w:w="374" w:type="pct"/>
            <w:vAlign w:val="center"/>
          </w:tcPr>
          <w:p w14:paraId="76743831" w14:textId="77777777" w:rsidR="0083481A" w:rsidRPr="00BB609D" w:rsidRDefault="0083481A" w:rsidP="00860FE3">
            <w:pPr>
              <w:pStyle w:val="TableNText"/>
              <w:jc w:val="right"/>
            </w:pPr>
            <w:r w:rsidRPr="00BB609D">
              <w:t>12.6</w:t>
            </w:r>
          </w:p>
        </w:tc>
        <w:tc>
          <w:tcPr>
            <w:tcW w:w="371" w:type="pct"/>
            <w:vAlign w:val="center"/>
          </w:tcPr>
          <w:p w14:paraId="639CA8CF" w14:textId="77777777" w:rsidR="0083481A" w:rsidRPr="00BB609D" w:rsidRDefault="0083481A" w:rsidP="00860FE3">
            <w:pPr>
              <w:pStyle w:val="TableNText"/>
              <w:jc w:val="right"/>
            </w:pPr>
            <w:r w:rsidRPr="00BB609D">
              <w:t>12.6</w:t>
            </w:r>
          </w:p>
        </w:tc>
        <w:tc>
          <w:tcPr>
            <w:tcW w:w="458" w:type="pct"/>
            <w:vAlign w:val="center"/>
          </w:tcPr>
          <w:p w14:paraId="0C04F487" w14:textId="77777777" w:rsidR="0083481A" w:rsidRPr="00BB609D" w:rsidRDefault="0083481A" w:rsidP="00860FE3">
            <w:pPr>
              <w:pStyle w:val="TableNText"/>
              <w:jc w:val="right"/>
            </w:pPr>
            <w:r w:rsidRPr="00BB609D">
              <w:t> </w:t>
            </w:r>
          </w:p>
        </w:tc>
        <w:tc>
          <w:tcPr>
            <w:tcW w:w="399" w:type="pct"/>
            <w:vAlign w:val="center"/>
          </w:tcPr>
          <w:p w14:paraId="3525A507" w14:textId="77777777" w:rsidR="0083481A" w:rsidRPr="00BB609D" w:rsidRDefault="0083481A" w:rsidP="00860FE3">
            <w:pPr>
              <w:pStyle w:val="TableNText"/>
              <w:jc w:val="right"/>
            </w:pPr>
            <w:r w:rsidRPr="00BB609D">
              <w:t> </w:t>
            </w:r>
          </w:p>
        </w:tc>
        <w:tc>
          <w:tcPr>
            <w:tcW w:w="398" w:type="pct"/>
            <w:vAlign w:val="center"/>
          </w:tcPr>
          <w:p w14:paraId="0038CA0D" w14:textId="77777777" w:rsidR="0083481A" w:rsidRPr="00860FE3" w:rsidRDefault="0083481A" w:rsidP="00860FE3">
            <w:pPr>
              <w:pStyle w:val="TableNText"/>
              <w:jc w:val="right"/>
              <w:rPr>
                <w:b/>
              </w:rPr>
            </w:pPr>
            <w:r w:rsidRPr="00860FE3">
              <w:rPr>
                <w:b/>
              </w:rPr>
              <w:t>42.0</w:t>
            </w:r>
          </w:p>
        </w:tc>
        <w:tc>
          <w:tcPr>
            <w:tcW w:w="318" w:type="pct"/>
            <w:vAlign w:val="center"/>
          </w:tcPr>
          <w:p w14:paraId="1DABF34C" w14:textId="77777777" w:rsidR="0083481A" w:rsidRPr="00BB609D" w:rsidRDefault="0083481A" w:rsidP="00860FE3">
            <w:pPr>
              <w:pStyle w:val="TableNText"/>
              <w:jc w:val="right"/>
            </w:pPr>
            <w:r w:rsidRPr="00BB609D">
              <w:t> </w:t>
            </w:r>
          </w:p>
        </w:tc>
        <w:tc>
          <w:tcPr>
            <w:tcW w:w="148" w:type="pct"/>
            <w:vAlign w:val="center"/>
          </w:tcPr>
          <w:p w14:paraId="68A16248" w14:textId="77777777" w:rsidR="0083481A" w:rsidRPr="00860FE3" w:rsidRDefault="0083481A" w:rsidP="00860FE3">
            <w:pPr>
              <w:pStyle w:val="TableNText"/>
              <w:jc w:val="right"/>
              <w:rPr>
                <w:b/>
              </w:rPr>
            </w:pPr>
            <w:r w:rsidRPr="00860FE3">
              <w:rPr>
                <w:b/>
              </w:rPr>
              <w:t>42.0</w:t>
            </w:r>
          </w:p>
        </w:tc>
      </w:tr>
      <w:tr w:rsidR="00E25B33" w14:paraId="697A352D" w14:textId="77777777" w:rsidTr="00E25B33">
        <w:trPr>
          <w:cantSplit/>
          <w:trHeight w:val="280"/>
        </w:trPr>
        <w:tc>
          <w:tcPr>
            <w:tcW w:w="1041" w:type="pct"/>
          </w:tcPr>
          <w:p w14:paraId="60F6BB31" w14:textId="77777777" w:rsidR="0083481A" w:rsidRPr="00E90101" w:rsidRDefault="0083481A" w:rsidP="00860FE3">
            <w:pPr>
              <w:pStyle w:val="TableNText"/>
            </w:pPr>
            <w:r w:rsidRPr="00E90101">
              <w:t>Frontier Health and Medical Research</w:t>
            </w:r>
          </w:p>
        </w:tc>
        <w:tc>
          <w:tcPr>
            <w:tcW w:w="372" w:type="pct"/>
            <w:vAlign w:val="center"/>
          </w:tcPr>
          <w:p w14:paraId="74783864" w14:textId="77777777" w:rsidR="0083481A" w:rsidRPr="00BB609D" w:rsidRDefault="0083481A" w:rsidP="00860FE3">
            <w:pPr>
              <w:pStyle w:val="TableNText"/>
              <w:jc w:val="right"/>
            </w:pPr>
            <w:r w:rsidRPr="00BB609D">
              <w:t xml:space="preserve"> </w:t>
            </w:r>
          </w:p>
        </w:tc>
        <w:tc>
          <w:tcPr>
            <w:tcW w:w="373" w:type="pct"/>
            <w:vAlign w:val="center"/>
          </w:tcPr>
          <w:p w14:paraId="43183C41" w14:textId="77777777" w:rsidR="0083481A" w:rsidRPr="00BB609D" w:rsidRDefault="0083481A" w:rsidP="00860FE3">
            <w:pPr>
              <w:pStyle w:val="TableNText"/>
              <w:jc w:val="right"/>
            </w:pPr>
            <w:r w:rsidRPr="00BB609D">
              <w:t> </w:t>
            </w:r>
          </w:p>
        </w:tc>
        <w:tc>
          <w:tcPr>
            <w:tcW w:w="374" w:type="pct"/>
            <w:vAlign w:val="center"/>
          </w:tcPr>
          <w:p w14:paraId="13CC610F" w14:textId="77777777" w:rsidR="0083481A" w:rsidRPr="00BB609D" w:rsidRDefault="0083481A" w:rsidP="00860FE3">
            <w:pPr>
              <w:pStyle w:val="TableNText"/>
              <w:jc w:val="right"/>
            </w:pPr>
            <w:r w:rsidRPr="00BB609D">
              <w:t> </w:t>
            </w:r>
          </w:p>
        </w:tc>
        <w:tc>
          <w:tcPr>
            <w:tcW w:w="374" w:type="pct"/>
            <w:vAlign w:val="center"/>
          </w:tcPr>
          <w:p w14:paraId="22B42EF4" w14:textId="77777777" w:rsidR="0083481A" w:rsidRPr="00BB609D" w:rsidRDefault="0083481A" w:rsidP="00860FE3">
            <w:pPr>
              <w:pStyle w:val="TableNText"/>
              <w:jc w:val="right"/>
            </w:pPr>
            <w:r w:rsidRPr="00BB609D">
              <w:t>40.0</w:t>
            </w:r>
          </w:p>
        </w:tc>
        <w:tc>
          <w:tcPr>
            <w:tcW w:w="374" w:type="pct"/>
            <w:vAlign w:val="center"/>
          </w:tcPr>
          <w:p w14:paraId="757A0A73" w14:textId="77777777" w:rsidR="0083481A" w:rsidRPr="00BB609D" w:rsidRDefault="0083481A" w:rsidP="00860FE3">
            <w:pPr>
              <w:pStyle w:val="TableNText"/>
              <w:jc w:val="right"/>
            </w:pPr>
            <w:r w:rsidRPr="00BB609D">
              <w:t>60.0</w:t>
            </w:r>
          </w:p>
        </w:tc>
        <w:tc>
          <w:tcPr>
            <w:tcW w:w="371" w:type="pct"/>
            <w:vAlign w:val="center"/>
          </w:tcPr>
          <w:p w14:paraId="65EFC660" w14:textId="77777777" w:rsidR="0083481A" w:rsidRPr="00BB609D" w:rsidRDefault="0083481A" w:rsidP="00860FE3">
            <w:pPr>
              <w:pStyle w:val="TableNText"/>
              <w:jc w:val="right"/>
            </w:pPr>
            <w:r w:rsidRPr="00BB609D">
              <w:t>60.0</w:t>
            </w:r>
          </w:p>
        </w:tc>
        <w:tc>
          <w:tcPr>
            <w:tcW w:w="458" w:type="pct"/>
            <w:vAlign w:val="center"/>
          </w:tcPr>
          <w:p w14:paraId="3A9A4098" w14:textId="77777777" w:rsidR="0083481A" w:rsidRPr="00BB609D" w:rsidRDefault="0083481A" w:rsidP="00860FE3">
            <w:pPr>
              <w:pStyle w:val="TableNText"/>
              <w:jc w:val="right"/>
            </w:pPr>
            <w:r w:rsidRPr="00BB609D">
              <w:t>60.0</w:t>
            </w:r>
          </w:p>
        </w:tc>
        <w:tc>
          <w:tcPr>
            <w:tcW w:w="399" w:type="pct"/>
            <w:vAlign w:val="center"/>
          </w:tcPr>
          <w:p w14:paraId="4AACDA64" w14:textId="77777777" w:rsidR="0083481A" w:rsidRPr="00BB609D" w:rsidRDefault="0083481A" w:rsidP="00860FE3">
            <w:pPr>
              <w:pStyle w:val="TableNText"/>
              <w:jc w:val="right"/>
            </w:pPr>
            <w:r w:rsidRPr="00BB609D">
              <w:t>20.0</w:t>
            </w:r>
          </w:p>
        </w:tc>
        <w:tc>
          <w:tcPr>
            <w:tcW w:w="398" w:type="pct"/>
            <w:vAlign w:val="center"/>
          </w:tcPr>
          <w:p w14:paraId="6442F9A1" w14:textId="77777777" w:rsidR="0083481A" w:rsidRPr="00860FE3" w:rsidRDefault="0083481A" w:rsidP="00860FE3">
            <w:pPr>
              <w:pStyle w:val="TableNText"/>
              <w:jc w:val="right"/>
              <w:rPr>
                <w:b/>
              </w:rPr>
            </w:pPr>
            <w:r w:rsidRPr="00860FE3">
              <w:rPr>
                <w:b/>
              </w:rPr>
              <w:t>240.0</w:t>
            </w:r>
          </w:p>
        </w:tc>
        <w:tc>
          <w:tcPr>
            <w:tcW w:w="318" w:type="pct"/>
            <w:vAlign w:val="center"/>
          </w:tcPr>
          <w:p w14:paraId="786F8461" w14:textId="77777777" w:rsidR="0083481A" w:rsidRPr="00BB609D" w:rsidRDefault="0083481A" w:rsidP="00860FE3">
            <w:pPr>
              <w:pStyle w:val="TableNText"/>
              <w:jc w:val="right"/>
            </w:pPr>
            <w:r w:rsidRPr="00BB609D">
              <w:t> </w:t>
            </w:r>
          </w:p>
        </w:tc>
        <w:tc>
          <w:tcPr>
            <w:tcW w:w="148" w:type="pct"/>
            <w:vAlign w:val="center"/>
          </w:tcPr>
          <w:p w14:paraId="693676D8" w14:textId="77777777" w:rsidR="0083481A" w:rsidRPr="00860FE3" w:rsidRDefault="0083481A" w:rsidP="00860FE3">
            <w:pPr>
              <w:pStyle w:val="TableNText"/>
              <w:jc w:val="right"/>
              <w:rPr>
                <w:b/>
              </w:rPr>
            </w:pPr>
            <w:r w:rsidRPr="00860FE3">
              <w:rPr>
                <w:b/>
              </w:rPr>
              <w:t>240.0</w:t>
            </w:r>
          </w:p>
        </w:tc>
      </w:tr>
      <w:tr w:rsidR="00E25B33" w14:paraId="2DF077CC" w14:textId="77777777" w:rsidTr="00E25B33">
        <w:trPr>
          <w:cantSplit/>
          <w:trHeight w:val="280"/>
        </w:trPr>
        <w:tc>
          <w:tcPr>
            <w:tcW w:w="1041" w:type="pct"/>
          </w:tcPr>
          <w:p w14:paraId="1056F118" w14:textId="6A029043" w:rsidR="00444EDB" w:rsidRPr="00E90101" w:rsidRDefault="00444EDB" w:rsidP="00444EDB">
            <w:pPr>
              <w:pStyle w:val="TableNText"/>
            </w:pPr>
            <w:r w:rsidRPr="00E90101">
              <w:t>Genomics Health Futures Mission</w:t>
            </w:r>
          </w:p>
        </w:tc>
        <w:tc>
          <w:tcPr>
            <w:tcW w:w="372" w:type="pct"/>
            <w:vAlign w:val="center"/>
          </w:tcPr>
          <w:p w14:paraId="726BCEDA" w14:textId="77777777" w:rsidR="00444EDB" w:rsidRPr="00BB609D" w:rsidRDefault="00444EDB" w:rsidP="00444EDB">
            <w:pPr>
              <w:pStyle w:val="TableNText"/>
              <w:jc w:val="right"/>
            </w:pPr>
            <w:r w:rsidRPr="00BB609D">
              <w:t xml:space="preserve"> </w:t>
            </w:r>
          </w:p>
        </w:tc>
        <w:tc>
          <w:tcPr>
            <w:tcW w:w="373" w:type="pct"/>
            <w:vAlign w:val="center"/>
          </w:tcPr>
          <w:p w14:paraId="2CEB76AF" w14:textId="77777777" w:rsidR="00444EDB" w:rsidRPr="001A5EEC" w:rsidRDefault="00444EDB" w:rsidP="00444EDB">
            <w:pPr>
              <w:pStyle w:val="TableNText"/>
              <w:jc w:val="right"/>
            </w:pPr>
            <w:r w:rsidRPr="001A5EEC">
              <w:t> </w:t>
            </w:r>
          </w:p>
        </w:tc>
        <w:tc>
          <w:tcPr>
            <w:tcW w:w="374" w:type="pct"/>
            <w:vAlign w:val="center"/>
          </w:tcPr>
          <w:p w14:paraId="6034EA38" w14:textId="62A36D39" w:rsidR="00444EDB" w:rsidRPr="001A5EEC" w:rsidRDefault="00444EDB" w:rsidP="00444EDB">
            <w:pPr>
              <w:pStyle w:val="TableNText"/>
              <w:jc w:val="right"/>
            </w:pPr>
          </w:p>
        </w:tc>
        <w:tc>
          <w:tcPr>
            <w:tcW w:w="374" w:type="pct"/>
            <w:vAlign w:val="center"/>
          </w:tcPr>
          <w:p w14:paraId="690A4D98" w14:textId="525B4462" w:rsidR="00444EDB" w:rsidRPr="001A5EEC" w:rsidRDefault="00444EDB" w:rsidP="00444EDB">
            <w:pPr>
              <w:pStyle w:val="TableNText"/>
              <w:jc w:val="right"/>
            </w:pPr>
          </w:p>
        </w:tc>
        <w:tc>
          <w:tcPr>
            <w:tcW w:w="374" w:type="pct"/>
            <w:vAlign w:val="center"/>
          </w:tcPr>
          <w:p w14:paraId="4B4FA599" w14:textId="3929C9B7" w:rsidR="00444EDB" w:rsidRPr="001A5EEC" w:rsidRDefault="00444EDB" w:rsidP="00444EDB">
            <w:pPr>
              <w:pStyle w:val="TableNText"/>
              <w:jc w:val="right"/>
            </w:pPr>
          </w:p>
        </w:tc>
        <w:tc>
          <w:tcPr>
            <w:tcW w:w="371" w:type="pct"/>
            <w:vAlign w:val="center"/>
          </w:tcPr>
          <w:p w14:paraId="4990AF34" w14:textId="32A42417" w:rsidR="00444EDB" w:rsidRPr="001A5EEC" w:rsidRDefault="00444EDB" w:rsidP="00D80478">
            <w:pPr>
              <w:pStyle w:val="TableNText"/>
              <w:jc w:val="right"/>
            </w:pPr>
          </w:p>
        </w:tc>
        <w:tc>
          <w:tcPr>
            <w:tcW w:w="458" w:type="pct"/>
            <w:vAlign w:val="center"/>
          </w:tcPr>
          <w:p w14:paraId="4E9E48D0" w14:textId="0B272CDA" w:rsidR="00444EDB" w:rsidRPr="001A5EEC" w:rsidRDefault="00444EDB" w:rsidP="00444EDB">
            <w:pPr>
              <w:pStyle w:val="TableNText"/>
              <w:jc w:val="right"/>
            </w:pPr>
          </w:p>
        </w:tc>
        <w:tc>
          <w:tcPr>
            <w:tcW w:w="399" w:type="pct"/>
            <w:vAlign w:val="center"/>
          </w:tcPr>
          <w:p w14:paraId="295C351F" w14:textId="075FEBE7" w:rsidR="00444EDB" w:rsidRPr="001A5EEC" w:rsidRDefault="00444EDB" w:rsidP="00444EDB">
            <w:pPr>
              <w:pStyle w:val="TableNText"/>
              <w:jc w:val="right"/>
            </w:pPr>
          </w:p>
        </w:tc>
        <w:tc>
          <w:tcPr>
            <w:tcW w:w="398" w:type="pct"/>
            <w:vAlign w:val="center"/>
          </w:tcPr>
          <w:p w14:paraId="516EACC5" w14:textId="58F532D5" w:rsidR="00444EDB" w:rsidRPr="001A5EEC" w:rsidRDefault="00444EDB" w:rsidP="00444EDB">
            <w:pPr>
              <w:pStyle w:val="TableNText"/>
              <w:jc w:val="right"/>
              <w:rPr>
                <w:b/>
              </w:rPr>
            </w:pPr>
          </w:p>
        </w:tc>
        <w:tc>
          <w:tcPr>
            <w:tcW w:w="318" w:type="pct"/>
            <w:vAlign w:val="center"/>
          </w:tcPr>
          <w:p w14:paraId="1DE6D87C" w14:textId="0BC472EE" w:rsidR="00444EDB" w:rsidRPr="001A5EEC" w:rsidRDefault="00444EDB" w:rsidP="00444EDB">
            <w:pPr>
              <w:pStyle w:val="TableNText"/>
              <w:jc w:val="right"/>
            </w:pPr>
          </w:p>
        </w:tc>
        <w:tc>
          <w:tcPr>
            <w:tcW w:w="148" w:type="pct"/>
            <w:vAlign w:val="center"/>
          </w:tcPr>
          <w:p w14:paraId="3C0BDB7F" w14:textId="77777777" w:rsidR="00444EDB" w:rsidRPr="001A5EEC" w:rsidRDefault="00444EDB" w:rsidP="00444EDB">
            <w:pPr>
              <w:pStyle w:val="TableNText"/>
              <w:jc w:val="right"/>
              <w:rPr>
                <w:b/>
              </w:rPr>
            </w:pPr>
            <w:r w:rsidRPr="001A5EEC">
              <w:rPr>
                <w:b/>
              </w:rPr>
              <w:t>500.0</w:t>
            </w:r>
          </w:p>
        </w:tc>
      </w:tr>
      <w:tr w:rsidR="00E25B33" w14:paraId="09C5E3AC" w14:textId="77777777" w:rsidTr="00E25B33">
        <w:trPr>
          <w:cantSplit/>
          <w:trHeight w:val="280"/>
        </w:trPr>
        <w:tc>
          <w:tcPr>
            <w:tcW w:w="1041" w:type="pct"/>
          </w:tcPr>
          <w:p w14:paraId="7D308CB8" w14:textId="77777777" w:rsidR="0083481A" w:rsidRPr="00E90101" w:rsidRDefault="0083481A" w:rsidP="00860FE3">
            <w:pPr>
              <w:pStyle w:val="TableNText"/>
            </w:pPr>
            <w:r>
              <w:t xml:space="preserve">Australian </w:t>
            </w:r>
            <w:r w:rsidRPr="00E90101">
              <w:t>Brain Cancer Mission</w:t>
            </w:r>
          </w:p>
        </w:tc>
        <w:tc>
          <w:tcPr>
            <w:tcW w:w="372" w:type="pct"/>
            <w:vAlign w:val="center"/>
          </w:tcPr>
          <w:p w14:paraId="4A937737" w14:textId="77777777" w:rsidR="0083481A" w:rsidRPr="00BB609D" w:rsidRDefault="0083481A" w:rsidP="00860FE3">
            <w:pPr>
              <w:pStyle w:val="TableNText"/>
              <w:jc w:val="right"/>
            </w:pPr>
            <w:r w:rsidRPr="00BB609D">
              <w:t xml:space="preserve"> </w:t>
            </w:r>
          </w:p>
        </w:tc>
        <w:tc>
          <w:tcPr>
            <w:tcW w:w="373" w:type="pct"/>
            <w:vAlign w:val="center"/>
          </w:tcPr>
          <w:p w14:paraId="165142F0" w14:textId="77777777" w:rsidR="0083481A" w:rsidRPr="00BB609D" w:rsidRDefault="0083481A" w:rsidP="00860FE3">
            <w:pPr>
              <w:pStyle w:val="TableNText"/>
              <w:jc w:val="right"/>
            </w:pPr>
            <w:r w:rsidRPr="00BB609D">
              <w:t>1.0</w:t>
            </w:r>
          </w:p>
        </w:tc>
        <w:tc>
          <w:tcPr>
            <w:tcW w:w="374" w:type="pct"/>
            <w:vAlign w:val="center"/>
          </w:tcPr>
          <w:p w14:paraId="4681AF61" w14:textId="77777777" w:rsidR="0083481A" w:rsidRPr="00BB609D" w:rsidRDefault="0083481A" w:rsidP="00860FE3">
            <w:pPr>
              <w:pStyle w:val="TableNText"/>
              <w:jc w:val="right"/>
            </w:pPr>
            <w:r w:rsidRPr="00BB609D">
              <w:t>9.0</w:t>
            </w:r>
          </w:p>
        </w:tc>
        <w:tc>
          <w:tcPr>
            <w:tcW w:w="374" w:type="pct"/>
            <w:vAlign w:val="center"/>
          </w:tcPr>
          <w:p w14:paraId="7831ECEF" w14:textId="77777777" w:rsidR="0083481A" w:rsidRPr="00BB609D" w:rsidRDefault="0083481A" w:rsidP="00860FE3">
            <w:pPr>
              <w:pStyle w:val="TableNText"/>
              <w:jc w:val="right"/>
            </w:pPr>
            <w:r w:rsidRPr="00BB609D">
              <w:t>5.0</w:t>
            </w:r>
          </w:p>
        </w:tc>
        <w:tc>
          <w:tcPr>
            <w:tcW w:w="374" w:type="pct"/>
            <w:vAlign w:val="center"/>
          </w:tcPr>
          <w:p w14:paraId="2E5B7EB7" w14:textId="77777777" w:rsidR="0083481A" w:rsidRPr="00BB609D" w:rsidRDefault="0083481A" w:rsidP="00860FE3">
            <w:pPr>
              <w:pStyle w:val="TableNText"/>
              <w:jc w:val="right"/>
            </w:pPr>
            <w:r w:rsidRPr="00BB609D">
              <w:t>5.0</w:t>
            </w:r>
          </w:p>
        </w:tc>
        <w:tc>
          <w:tcPr>
            <w:tcW w:w="371" w:type="pct"/>
            <w:vAlign w:val="center"/>
          </w:tcPr>
          <w:p w14:paraId="07190FEB" w14:textId="77777777" w:rsidR="0083481A" w:rsidRPr="00BB609D" w:rsidRDefault="0083481A" w:rsidP="00860FE3">
            <w:pPr>
              <w:pStyle w:val="TableNText"/>
              <w:jc w:val="right"/>
            </w:pPr>
            <w:r w:rsidRPr="00BB609D">
              <w:t>5.0</w:t>
            </w:r>
          </w:p>
        </w:tc>
        <w:tc>
          <w:tcPr>
            <w:tcW w:w="458" w:type="pct"/>
            <w:vAlign w:val="center"/>
          </w:tcPr>
          <w:p w14:paraId="67847140" w14:textId="77777777" w:rsidR="0083481A" w:rsidRPr="00BB609D" w:rsidRDefault="0083481A" w:rsidP="00860FE3">
            <w:pPr>
              <w:pStyle w:val="TableNText"/>
              <w:jc w:val="right"/>
            </w:pPr>
            <w:r w:rsidRPr="00BB609D">
              <w:t>5.0</w:t>
            </w:r>
          </w:p>
        </w:tc>
        <w:tc>
          <w:tcPr>
            <w:tcW w:w="399" w:type="pct"/>
            <w:vAlign w:val="center"/>
          </w:tcPr>
          <w:p w14:paraId="5EF99E02" w14:textId="77777777" w:rsidR="0083481A" w:rsidRPr="00BB609D" w:rsidRDefault="0083481A" w:rsidP="00860FE3">
            <w:pPr>
              <w:pStyle w:val="TableNText"/>
              <w:jc w:val="right"/>
            </w:pPr>
            <w:r w:rsidRPr="00BB609D">
              <w:t>5.0</w:t>
            </w:r>
          </w:p>
        </w:tc>
        <w:tc>
          <w:tcPr>
            <w:tcW w:w="398" w:type="pct"/>
            <w:vAlign w:val="center"/>
          </w:tcPr>
          <w:p w14:paraId="292F92F0" w14:textId="77777777" w:rsidR="0083481A" w:rsidRPr="00860FE3" w:rsidRDefault="0083481A" w:rsidP="00860FE3">
            <w:pPr>
              <w:pStyle w:val="TableNText"/>
              <w:jc w:val="right"/>
              <w:rPr>
                <w:b/>
              </w:rPr>
            </w:pPr>
            <w:r w:rsidRPr="00860FE3">
              <w:rPr>
                <w:b/>
              </w:rPr>
              <w:t>35.0</w:t>
            </w:r>
          </w:p>
        </w:tc>
        <w:tc>
          <w:tcPr>
            <w:tcW w:w="318" w:type="pct"/>
            <w:vAlign w:val="center"/>
          </w:tcPr>
          <w:p w14:paraId="2124BD5B" w14:textId="77777777" w:rsidR="0083481A" w:rsidRPr="00BB609D" w:rsidRDefault="0083481A" w:rsidP="00860FE3">
            <w:pPr>
              <w:pStyle w:val="TableNText"/>
              <w:jc w:val="right"/>
            </w:pPr>
            <w:r w:rsidRPr="00BB609D">
              <w:t>15.0</w:t>
            </w:r>
          </w:p>
        </w:tc>
        <w:tc>
          <w:tcPr>
            <w:tcW w:w="148" w:type="pct"/>
            <w:vAlign w:val="center"/>
          </w:tcPr>
          <w:p w14:paraId="1981206E" w14:textId="77777777" w:rsidR="0083481A" w:rsidRPr="00860FE3" w:rsidRDefault="0083481A" w:rsidP="00860FE3">
            <w:pPr>
              <w:pStyle w:val="TableNText"/>
              <w:jc w:val="right"/>
              <w:rPr>
                <w:b/>
              </w:rPr>
            </w:pPr>
            <w:r w:rsidRPr="00860FE3">
              <w:rPr>
                <w:b/>
              </w:rPr>
              <w:t>50.0</w:t>
            </w:r>
          </w:p>
        </w:tc>
      </w:tr>
      <w:tr w:rsidR="00E25B33" w14:paraId="46DA07EC" w14:textId="77777777" w:rsidTr="00E25B33">
        <w:trPr>
          <w:cantSplit/>
          <w:trHeight w:val="280"/>
        </w:trPr>
        <w:tc>
          <w:tcPr>
            <w:tcW w:w="1041" w:type="pct"/>
          </w:tcPr>
          <w:p w14:paraId="07BBEA72" w14:textId="77777777" w:rsidR="0083481A" w:rsidRPr="004F21B1" w:rsidRDefault="0083481A" w:rsidP="00860FE3">
            <w:pPr>
              <w:pStyle w:val="TableNText"/>
            </w:pPr>
            <w:r w:rsidRPr="004F21B1">
              <w:t>Clinical Trials Activity</w:t>
            </w:r>
            <w:r w:rsidR="00F614CC">
              <w:t xml:space="preserve"> (</w:t>
            </w:r>
            <w:r w:rsidR="00F614CC" w:rsidRPr="00F20C11">
              <w:t>Lifting Clinical Trials and Registries capacity</w:t>
            </w:r>
            <w:r w:rsidR="00F614CC">
              <w:t xml:space="preserve"> and </w:t>
            </w:r>
            <w:r w:rsidRPr="004F21B1">
              <w:t>Rare Cancer, Rare Diseases and Unmet needs</w:t>
            </w:r>
            <w:r w:rsidR="00F20C11" w:rsidRPr="00F20C11">
              <w:t>)</w:t>
            </w:r>
          </w:p>
        </w:tc>
        <w:tc>
          <w:tcPr>
            <w:tcW w:w="372" w:type="pct"/>
            <w:vAlign w:val="center"/>
          </w:tcPr>
          <w:p w14:paraId="4F1DCA4A" w14:textId="77777777" w:rsidR="0083481A" w:rsidRPr="00BB609D" w:rsidRDefault="0083481A" w:rsidP="00860FE3">
            <w:pPr>
              <w:pStyle w:val="TableNText"/>
              <w:jc w:val="right"/>
            </w:pPr>
            <w:r w:rsidRPr="00BB609D">
              <w:t> </w:t>
            </w:r>
          </w:p>
        </w:tc>
        <w:tc>
          <w:tcPr>
            <w:tcW w:w="373" w:type="pct"/>
            <w:vAlign w:val="center"/>
          </w:tcPr>
          <w:p w14:paraId="44E65F89" w14:textId="77777777" w:rsidR="0083481A" w:rsidRPr="00BB609D" w:rsidRDefault="0083481A" w:rsidP="00860FE3">
            <w:pPr>
              <w:pStyle w:val="TableNText"/>
              <w:jc w:val="right"/>
            </w:pPr>
            <w:r w:rsidRPr="00BB609D">
              <w:t>3.3</w:t>
            </w:r>
          </w:p>
        </w:tc>
        <w:tc>
          <w:tcPr>
            <w:tcW w:w="374" w:type="pct"/>
            <w:vAlign w:val="center"/>
          </w:tcPr>
          <w:p w14:paraId="54EBDEC3" w14:textId="77777777" w:rsidR="0083481A" w:rsidRPr="00BB609D" w:rsidRDefault="0083481A" w:rsidP="00860FE3">
            <w:pPr>
              <w:pStyle w:val="TableNText"/>
              <w:jc w:val="right"/>
            </w:pPr>
            <w:r w:rsidRPr="00BB609D">
              <w:t>36.7</w:t>
            </w:r>
          </w:p>
        </w:tc>
        <w:tc>
          <w:tcPr>
            <w:tcW w:w="374" w:type="pct"/>
            <w:vAlign w:val="center"/>
          </w:tcPr>
          <w:p w14:paraId="77CDD06E" w14:textId="77777777" w:rsidR="0083481A" w:rsidRPr="00BB609D" w:rsidRDefault="0083481A" w:rsidP="00860FE3">
            <w:pPr>
              <w:pStyle w:val="TableNText"/>
              <w:jc w:val="right"/>
            </w:pPr>
            <w:r w:rsidRPr="00BB609D">
              <w:t>53.5</w:t>
            </w:r>
          </w:p>
        </w:tc>
        <w:tc>
          <w:tcPr>
            <w:tcW w:w="374" w:type="pct"/>
            <w:vAlign w:val="center"/>
          </w:tcPr>
          <w:p w14:paraId="2DC1F3E3" w14:textId="77777777" w:rsidR="0083481A" w:rsidRPr="00BB609D" w:rsidRDefault="0083481A" w:rsidP="00860FE3">
            <w:pPr>
              <w:pStyle w:val="TableNText"/>
              <w:jc w:val="right"/>
            </w:pPr>
            <w:r w:rsidRPr="00BB609D">
              <w:t>53.9</w:t>
            </w:r>
          </w:p>
        </w:tc>
        <w:tc>
          <w:tcPr>
            <w:tcW w:w="371" w:type="pct"/>
            <w:vAlign w:val="center"/>
          </w:tcPr>
          <w:p w14:paraId="04B622E9" w14:textId="77777777" w:rsidR="0083481A" w:rsidRPr="00BB609D" w:rsidRDefault="0083481A" w:rsidP="00860FE3">
            <w:pPr>
              <w:pStyle w:val="TableNText"/>
              <w:jc w:val="right"/>
            </w:pPr>
            <w:r w:rsidRPr="00BB609D">
              <w:t>50.0</w:t>
            </w:r>
          </w:p>
        </w:tc>
        <w:tc>
          <w:tcPr>
            <w:tcW w:w="458" w:type="pct"/>
            <w:vAlign w:val="center"/>
          </w:tcPr>
          <w:p w14:paraId="5A65F725" w14:textId="77777777" w:rsidR="0083481A" w:rsidRPr="00BB609D" w:rsidRDefault="0083481A" w:rsidP="00860FE3">
            <w:pPr>
              <w:pStyle w:val="TableNText"/>
              <w:jc w:val="right"/>
            </w:pPr>
            <w:r w:rsidRPr="00BB609D">
              <w:t>9.2</w:t>
            </w:r>
          </w:p>
        </w:tc>
        <w:tc>
          <w:tcPr>
            <w:tcW w:w="399" w:type="pct"/>
            <w:vAlign w:val="center"/>
          </w:tcPr>
          <w:p w14:paraId="14C7309E" w14:textId="77777777" w:rsidR="0083481A" w:rsidRPr="00BB609D" w:rsidRDefault="0083481A" w:rsidP="00860FE3">
            <w:pPr>
              <w:pStyle w:val="TableNText"/>
              <w:jc w:val="right"/>
            </w:pPr>
            <w:r w:rsidRPr="00BB609D">
              <w:t>12.4</w:t>
            </w:r>
          </w:p>
        </w:tc>
        <w:tc>
          <w:tcPr>
            <w:tcW w:w="398" w:type="pct"/>
            <w:vAlign w:val="center"/>
          </w:tcPr>
          <w:p w14:paraId="38A0DFA3" w14:textId="77777777" w:rsidR="0083481A" w:rsidRPr="00860FE3" w:rsidRDefault="0083481A" w:rsidP="00860FE3">
            <w:pPr>
              <w:pStyle w:val="TableNText"/>
              <w:jc w:val="right"/>
              <w:rPr>
                <w:b/>
              </w:rPr>
            </w:pPr>
            <w:r w:rsidRPr="00860FE3">
              <w:rPr>
                <w:b/>
              </w:rPr>
              <w:t>219.0</w:t>
            </w:r>
          </w:p>
        </w:tc>
        <w:tc>
          <w:tcPr>
            <w:tcW w:w="318" w:type="pct"/>
            <w:vAlign w:val="center"/>
          </w:tcPr>
          <w:p w14:paraId="0EB03993" w14:textId="77777777" w:rsidR="0083481A" w:rsidRPr="00BB609D" w:rsidRDefault="0083481A" w:rsidP="00860FE3">
            <w:pPr>
              <w:pStyle w:val="TableNText"/>
              <w:jc w:val="right"/>
            </w:pPr>
            <w:r w:rsidRPr="00BB609D">
              <w:t> </w:t>
            </w:r>
          </w:p>
        </w:tc>
        <w:tc>
          <w:tcPr>
            <w:tcW w:w="148" w:type="pct"/>
            <w:vAlign w:val="center"/>
          </w:tcPr>
          <w:p w14:paraId="199D6936" w14:textId="77777777" w:rsidR="0083481A" w:rsidRPr="00860FE3" w:rsidRDefault="0083481A" w:rsidP="00860FE3">
            <w:pPr>
              <w:pStyle w:val="TableNText"/>
              <w:jc w:val="right"/>
              <w:rPr>
                <w:b/>
              </w:rPr>
            </w:pPr>
            <w:r w:rsidRPr="00860FE3">
              <w:rPr>
                <w:b/>
              </w:rPr>
              <w:t>219.0</w:t>
            </w:r>
          </w:p>
        </w:tc>
      </w:tr>
      <w:tr w:rsidR="00E25B33" w14:paraId="6500C078" w14:textId="77777777" w:rsidTr="00E25B33">
        <w:trPr>
          <w:cantSplit/>
          <w:trHeight w:val="280"/>
        </w:trPr>
        <w:tc>
          <w:tcPr>
            <w:tcW w:w="1041" w:type="pct"/>
          </w:tcPr>
          <w:p w14:paraId="356EB144" w14:textId="77777777" w:rsidR="0083481A" w:rsidRPr="00E90101" w:rsidRDefault="0083481A" w:rsidP="00860FE3">
            <w:pPr>
              <w:pStyle w:val="TableNText"/>
            </w:pPr>
            <w:r w:rsidRPr="00015358">
              <w:lastRenderedPageBreak/>
              <w:t>Clinical Trials Network Capacity</w:t>
            </w:r>
          </w:p>
        </w:tc>
        <w:tc>
          <w:tcPr>
            <w:tcW w:w="372" w:type="pct"/>
            <w:vAlign w:val="center"/>
          </w:tcPr>
          <w:p w14:paraId="729350F2" w14:textId="77777777" w:rsidR="0083481A" w:rsidRPr="00BB609D" w:rsidRDefault="0083481A" w:rsidP="00860FE3">
            <w:pPr>
              <w:pStyle w:val="TableNText"/>
              <w:jc w:val="right"/>
            </w:pPr>
            <w:r w:rsidRPr="00BB609D">
              <w:t>1.0</w:t>
            </w:r>
          </w:p>
        </w:tc>
        <w:tc>
          <w:tcPr>
            <w:tcW w:w="373" w:type="pct"/>
            <w:vAlign w:val="center"/>
          </w:tcPr>
          <w:p w14:paraId="18954C8D" w14:textId="77777777" w:rsidR="0083481A" w:rsidRPr="00BB609D" w:rsidRDefault="0083481A" w:rsidP="00860FE3">
            <w:pPr>
              <w:pStyle w:val="TableNText"/>
              <w:jc w:val="right"/>
            </w:pPr>
            <w:r w:rsidRPr="00BB609D">
              <w:t>1.5</w:t>
            </w:r>
          </w:p>
        </w:tc>
        <w:tc>
          <w:tcPr>
            <w:tcW w:w="374" w:type="pct"/>
            <w:vAlign w:val="center"/>
          </w:tcPr>
          <w:p w14:paraId="32A681C8" w14:textId="77777777" w:rsidR="0083481A" w:rsidRPr="00BB609D" w:rsidRDefault="0083481A" w:rsidP="00860FE3">
            <w:pPr>
              <w:pStyle w:val="TableNText"/>
              <w:jc w:val="right"/>
            </w:pPr>
            <w:r w:rsidRPr="00BB609D">
              <w:t>1.5</w:t>
            </w:r>
          </w:p>
        </w:tc>
        <w:tc>
          <w:tcPr>
            <w:tcW w:w="374" w:type="pct"/>
            <w:vAlign w:val="center"/>
          </w:tcPr>
          <w:p w14:paraId="38CDB737" w14:textId="77777777" w:rsidR="0083481A" w:rsidRPr="00BB609D" w:rsidRDefault="0083481A" w:rsidP="00860FE3">
            <w:pPr>
              <w:pStyle w:val="TableNText"/>
              <w:jc w:val="right"/>
            </w:pPr>
            <w:r w:rsidRPr="00BB609D">
              <w:t>1.0</w:t>
            </w:r>
          </w:p>
        </w:tc>
        <w:tc>
          <w:tcPr>
            <w:tcW w:w="374" w:type="pct"/>
            <w:vAlign w:val="center"/>
          </w:tcPr>
          <w:p w14:paraId="46FA7F7D" w14:textId="77777777" w:rsidR="0083481A" w:rsidRPr="00BB609D" w:rsidRDefault="0083481A" w:rsidP="00860FE3">
            <w:pPr>
              <w:pStyle w:val="TableNText"/>
              <w:jc w:val="right"/>
            </w:pPr>
            <w:r w:rsidRPr="00BB609D">
              <w:t xml:space="preserve"> </w:t>
            </w:r>
          </w:p>
        </w:tc>
        <w:tc>
          <w:tcPr>
            <w:tcW w:w="371" w:type="pct"/>
            <w:vAlign w:val="center"/>
          </w:tcPr>
          <w:p w14:paraId="12F9B554" w14:textId="77777777" w:rsidR="0083481A" w:rsidRPr="00BB609D" w:rsidRDefault="0083481A" w:rsidP="00860FE3">
            <w:pPr>
              <w:pStyle w:val="TableNText"/>
              <w:jc w:val="right"/>
            </w:pPr>
            <w:r w:rsidRPr="00BB609D">
              <w:t xml:space="preserve"> </w:t>
            </w:r>
          </w:p>
        </w:tc>
        <w:tc>
          <w:tcPr>
            <w:tcW w:w="458" w:type="pct"/>
            <w:vAlign w:val="center"/>
          </w:tcPr>
          <w:p w14:paraId="10AE25F8" w14:textId="77777777" w:rsidR="0083481A" w:rsidRPr="00BB609D" w:rsidRDefault="0083481A" w:rsidP="00860FE3">
            <w:pPr>
              <w:pStyle w:val="TableNText"/>
              <w:jc w:val="right"/>
            </w:pPr>
            <w:r w:rsidRPr="00BB609D">
              <w:t> </w:t>
            </w:r>
          </w:p>
        </w:tc>
        <w:tc>
          <w:tcPr>
            <w:tcW w:w="399" w:type="pct"/>
            <w:vAlign w:val="center"/>
          </w:tcPr>
          <w:p w14:paraId="03F35564" w14:textId="77777777" w:rsidR="0083481A" w:rsidRPr="00BB609D" w:rsidRDefault="0083481A" w:rsidP="00860FE3">
            <w:pPr>
              <w:pStyle w:val="TableNText"/>
              <w:jc w:val="right"/>
            </w:pPr>
            <w:r w:rsidRPr="00BB609D">
              <w:t> </w:t>
            </w:r>
          </w:p>
        </w:tc>
        <w:tc>
          <w:tcPr>
            <w:tcW w:w="398" w:type="pct"/>
            <w:vAlign w:val="center"/>
          </w:tcPr>
          <w:p w14:paraId="291F9CF2" w14:textId="77777777" w:rsidR="0083481A" w:rsidRPr="00860FE3" w:rsidRDefault="0083481A" w:rsidP="00860FE3">
            <w:pPr>
              <w:pStyle w:val="TableNText"/>
              <w:jc w:val="right"/>
              <w:rPr>
                <w:b/>
              </w:rPr>
            </w:pPr>
            <w:r w:rsidRPr="00860FE3">
              <w:rPr>
                <w:b/>
              </w:rPr>
              <w:t>5.0</w:t>
            </w:r>
          </w:p>
        </w:tc>
        <w:tc>
          <w:tcPr>
            <w:tcW w:w="318" w:type="pct"/>
            <w:vAlign w:val="center"/>
          </w:tcPr>
          <w:p w14:paraId="3CD4AB8F" w14:textId="77777777" w:rsidR="0083481A" w:rsidRPr="00BB609D" w:rsidRDefault="0083481A" w:rsidP="00860FE3">
            <w:pPr>
              <w:pStyle w:val="TableNText"/>
              <w:jc w:val="right"/>
            </w:pPr>
            <w:r w:rsidRPr="00BB609D">
              <w:t> </w:t>
            </w:r>
          </w:p>
        </w:tc>
        <w:tc>
          <w:tcPr>
            <w:tcW w:w="148" w:type="pct"/>
            <w:vAlign w:val="center"/>
          </w:tcPr>
          <w:p w14:paraId="45C656E7" w14:textId="77777777" w:rsidR="0083481A" w:rsidRPr="00860FE3" w:rsidRDefault="0083481A" w:rsidP="00860FE3">
            <w:pPr>
              <w:pStyle w:val="TableNText"/>
              <w:jc w:val="right"/>
              <w:rPr>
                <w:b/>
              </w:rPr>
            </w:pPr>
            <w:r w:rsidRPr="00860FE3">
              <w:rPr>
                <w:b/>
              </w:rPr>
              <w:t>5.0</w:t>
            </w:r>
          </w:p>
        </w:tc>
      </w:tr>
      <w:tr w:rsidR="00E25B33" w14:paraId="5F6674DA" w14:textId="77777777" w:rsidTr="00E25B33">
        <w:trPr>
          <w:cantSplit/>
          <w:trHeight w:val="280"/>
        </w:trPr>
        <w:tc>
          <w:tcPr>
            <w:tcW w:w="1041" w:type="pct"/>
          </w:tcPr>
          <w:p w14:paraId="68E4B2A7" w14:textId="77777777" w:rsidR="0083481A" w:rsidRPr="00E90101" w:rsidRDefault="0083481A" w:rsidP="00860FE3">
            <w:pPr>
              <w:pStyle w:val="TableNText"/>
            </w:pPr>
            <w:r w:rsidRPr="00E90101">
              <w:t>Million Minds Mental Health Research Mission</w:t>
            </w:r>
          </w:p>
        </w:tc>
        <w:tc>
          <w:tcPr>
            <w:tcW w:w="372" w:type="pct"/>
            <w:vAlign w:val="center"/>
          </w:tcPr>
          <w:p w14:paraId="28A6A290" w14:textId="77777777" w:rsidR="0083481A" w:rsidRPr="00BB609D" w:rsidRDefault="0083481A" w:rsidP="00860FE3">
            <w:pPr>
              <w:pStyle w:val="TableNText"/>
              <w:jc w:val="right"/>
            </w:pPr>
            <w:r w:rsidRPr="00BB609D">
              <w:t> </w:t>
            </w:r>
          </w:p>
        </w:tc>
        <w:tc>
          <w:tcPr>
            <w:tcW w:w="373" w:type="pct"/>
            <w:vAlign w:val="center"/>
          </w:tcPr>
          <w:p w14:paraId="1BB72563" w14:textId="77777777" w:rsidR="0083481A" w:rsidRPr="00BB609D" w:rsidRDefault="0083481A" w:rsidP="00860FE3">
            <w:pPr>
              <w:pStyle w:val="TableNText"/>
              <w:jc w:val="right"/>
            </w:pPr>
            <w:r w:rsidRPr="00BB609D">
              <w:t> </w:t>
            </w:r>
          </w:p>
        </w:tc>
        <w:tc>
          <w:tcPr>
            <w:tcW w:w="374" w:type="pct"/>
            <w:vAlign w:val="center"/>
          </w:tcPr>
          <w:p w14:paraId="5C220DD8" w14:textId="77777777" w:rsidR="0083481A" w:rsidRPr="00BB609D" w:rsidRDefault="0083481A" w:rsidP="00860FE3">
            <w:pPr>
              <w:pStyle w:val="TableNText"/>
              <w:jc w:val="right"/>
            </w:pPr>
            <w:r w:rsidRPr="00BB609D">
              <w:t>5.0</w:t>
            </w:r>
          </w:p>
        </w:tc>
        <w:tc>
          <w:tcPr>
            <w:tcW w:w="374" w:type="pct"/>
            <w:vAlign w:val="center"/>
          </w:tcPr>
          <w:p w14:paraId="217A113B" w14:textId="77777777" w:rsidR="0083481A" w:rsidRPr="00BB609D" w:rsidRDefault="0083481A" w:rsidP="00860FE3">
            <w:pPr>
              <w:pStyle w:val="TableNText"/>
              <w:jc w:val="right"/>
            </w:pPr>
            <w:r w:rsidRPr="00BB609D">
              <w:t>5.0</w:t>
            </w:r>
          </w:p>
        </w:tc>
        <w:tc>
          <w:tcPr>
            <w:tcW w:w="374" w:type="pct"/>
            <w:vAlign w:val="center"/>
          </w:tcPr>
          <w:p w14:paraId="62F3BE47" w14:textId="77777777" w:rsidR="0083481A" w:rsidRPr="00BB609D" w:rsidRDefault="0083481A" w:rsidP="00860FE3">
            <w:pPr>
              <w:pStyle w:val="TableNText"/>
              <w:jc w:val="right"/>
            </w:pPr>
            <w:r w:rsidRPr="00BB609D">
              <w:t>15.0</w:t>
            </w:r>
          </w:p>
        </w:tc>
        <w:tc>
          <w:tcPr>
            <w:tcW w:w="371" w:type="pct"/>
            <w:vAlign w:val="center"/>
          </w:tcPr>
          <w:p w14:paraId="3BD78C53" w14:textId="77777777" w:rsidR="0083481A" w:rsidRPr="00BB609D" w:rsidRDefault="0083481A" w:rsidP="00860FE3">
            <w:pPr>
              <w:pStyle w:val="TableNText"/>
              <w:jc w:val="right"/>
            </w:pPr>
            <w:r w:rsidRPr="00BB609D">
              <w:t>15.0</w:t>
            </w:r>
          </w:p>
        </w:tc>
        <w:tc>
          <w:tcPr>
            <w:tcW w:w="458" w:type="pct"/>
            <w:vAlign w:val="center"/>
          </w:tcPr>
          <w:p w14:paraId="572F2085" w14:textId="77777777" w:rsidR="0083481A" w:rsidRPr="00BB609D" w:rsidRDefault="0083481A" w:rsidP="00860FE3">
            <w:pPr>
              <w:pStyle w:val="TableNText"/>
              <w:jc w:val="right"/>
            </w:pPr>
            <w:r w:rsidRPr="00BB609D">
              <w:t>25.0</w:t>
            </w:r>
          </w:p>
        </w:tc>
        <w:tc>
          <w:tcPr>
            <w:tcW w:w="399" w:type="pct"/>
            <w:vAlign w:val="center"/>
          </w:tcPr>
          <w:p w14:paraId="45FF7C63" w14:textId="77777777" w:rsidR="0083481A" w:rsidRPr="00BB609D" w:rsidRDefault="0083481A" w:rsidP="00860FE3">
            <w:pPr>
              <w:pStyle w:val="TableNText"/>
              <w:jc w:val="right"/>
            </w:pPr>
            <w:r w:rsidRPr="00BB609D">
              <w:t>15.0</w:t>
            </w:r>
          </w:p>
        </w:tc>
        <w:tc>
          <w:tcPr>
            <w:tcW w:w="398" w:type="pct"/>
            <w:vAlign w:val="center"/>
          </w:tcPr>
          <w:p w14:paraId="7553B548" w14:textId="77777777" w:rsidR="0083481A" w:rsidRPr="00860FE3" w:rsidRDefault="0083481A" w:rsidP="00860FE3">
            <w:pPr>
              <w:pStyle w:val="TableNText"/>
              <w:jc w:val="right"/>
              <w:rPr>
                <w:b/>
              </w:rPr>
            </w:pPr>
            <w:r w:rsidRPr="00860FE3">
              <w:rPr>
                <w:b/>
              </w:rPr>
              <w:t>80.0</w:t>
            </w:r>
          </w:p>
        </w:tc>
        <w:tc>
          <w:tcPr>
            <w:tcW w:w="318" w:type="pct"/>
            <w:vAlign w:val="center"/>
          </w:tcPr>
          <w:p w14:paraId="275E8AC3" w14:textId="77777777" w:rsidR="0083481A" w:rsidRPr="00BB609D" w:rsidRDefault="0083481A" w:rsidP="00860FE3">
            <w:pPr>
              <w:pStyle w:val="TableNText"/>
              <w:jc w:val="right"/>
            </w:pPr>
            <w:r w:rsidRPr="00BB609D">
              <w:t>45.0</w:t>
            </w:r>
          </w:p>
        </w:tc>
        <w:tc>
          <w:tcPr>
            <w:tcW w:w="148" w:type="pct"/>
            <w:vAlign w:val="center"/>
          </w:tcPr>
          <w:p w14:paraId="70FE1B33" w14:textId="77777777" w:rsidR="0083481A" w:rsidRPr="00860FE3" w:rsidRDefault="0083481A" w:rsidP="00860FE3">
            <w:pPr>
              <w:pStyle w:val="TableNText"/>
              <w:jc w:val="right"/>
              <w:rPr>
                <w:b/>
              </w:rPr>
            </w:pPr>
            <w:r w:rsidRPr="00860FE3">
              <w:rPr>
                <w:b/>
              </w:rPr>
              <w:t>125.0</w:t>
            </w:r>
          </w:p>
        </w:tc>
      </w:tr>
      <w:tr w:rsidR="00E25B33" w14:paraId="5826DC82" w14:textId="77777777" w:rsidTr="00E25B33">
        <w:trPr>
          <w:cantSplit/>
          <w:trHeight w:val="280"/>
        </w:trPr>
        <w:tc>
          <w:tcPr>
            <w:tcW w:w="1041" w:type="pct"/>
          </w:tcPr>
          <w:p w14:paraId="789DBCD0" w14:textId="77777777" w:rsidR="0083481A" w:rsidRDefault="0083481A" w:rsidP="00860FE3">
            <w:pPr>
              <w:pStyle w:val="TableNText"/>
            </w:pPr>
            <w:r w:rsidRPr="00E90101">
              <w:t>National Security Against Pandemic Risk</w:t>
            </w:r>
          </w:p>
        </w:tc>
        <w:tc>
          <w:tcPr>
            <w:tcW w:w="372" w:type="pct"/>
            <w:vAlign w:val="center"/>
          </w:tcPr>
          <w:p w14:paraId="56616DCC" w14:textId="77777777" w:rsidR="0083481A" w:rsidRPr="00BB609D" w:rsidRDefault="0083481A" w:rsidP="00860FE3">
            <w:pPr>
              <w:pStyle w:val="TableNText"/>
              <w:jc w:val="right"/>
            </w:pPr>
            <w:r w:rsidRPr="00BB609D">
              <w:t> </w:t>
            </w:r>
          </w:p>
        </w:tc>
        <w:tc>
          <w:tcPr>
            <w:tcW w:w="373" w:type="pct"/>
            <w:vAlign w:val="center"/>
          </w:tcPr>
          <w:p w14:paraId="72BE1D39" w14:textId="77777777" w:rsidR="0083481A" w:rsidRPr="00BB609D" w:rsidRDefault="0083481A" w:rsidP="00860FE3">
            <w:pPr>
              <w:pStyle w:val="TableNText"/>
              <w:jc w:val="right"/>
            </w:pPr>
            <w:r w:rsidRPr="00BB609D">
              <w:t>2.0</w:t>
            </w:r>
          </w:p>
        </w:tc>
        <w:tc>
          <w:tcPr>
            <w:tcW w:w="374" w:type="pct"/>
            <w:vAlign w:val="center"/>
          </w:tcPr>
          <w:p w14:paraId="0274060D" w14:textId="77777777" w:rsidR="0083481A" w:rsidRPr="00BB609D" w:rsidRDefault="0083481A" w:rsidP="00860FE3">
            <w:pPr>
              <w:pStyle w:val="TableNText"/>
              <w:jc w:val="right"/>
            </w:pPr>
            <w:r w:rsidRPr="00BB609D">
              <w:t xml:space="preserve"> </w:t>
            </w:r>
          </w:p>
        </w:tc>
        <w:tc>
          <w:tcPr>
            <w:tcW w:w="374" w:type="pct"/>
            <w:vAlign w:val="center"/>
          </w:tcPr>
          <w:p w14:paraId="3818DB64" w14:textId="77777777" w:rsidR="0083481A" w:rsidRPr="00BB609D" w:rsidRDefault="0083481A" w:rsidP="00860FE3">
            <w:pPr>
              <w:pStyle w:val="TableNText"/>
              <w:jc w:val="right"/>
            </w:pPr>
            <w:r w:rsidRPr="00BB609D">
              <w:t xml:space="preserve"> </w:t>
            </w:r>
          </w:p>
        </w:tc>
        <w:tc>
          <w:tcPr>
            <w:tcW w:w="374" w:type="pct"/>
            <w:vAlign w:val="center"/>
          </w:tcPr>
          <w:p w14:paraId="2CA56DCA" w14:textId="77777777" w:rsidR="0083481A" w:rsidRPr="00BB609D" w:rsidRDefault="0083481A" w:rsidP="00860FE3">
            <w:pPr>
              <w:pStyle w:val="TableNText"/>
              <w:jc w:val="right"/>
            </w:pPr>
            <w:r w:rsidRPr="00BB609D">
              <w:t xml:space="preserve"> </w:t>
            </w:r>
          </w:p>
        </w:tc>
        <w:tc>
          <w:tcPr>
            <w:tcW w:w="371" w:type="pct"/>
            <w:vAlign w:val="center"/>
          </w:tcPr>
          <w:p w14:paraId="61719C6C" w14:textId="77777777" w:rsidR="0083481A" w:rsidRPr="00BB609D" w:rsidRDefault="0083481A" w:rsidP="00860FE3">
            <w:pPr>
              <w:pStyle w:val="TableNText"/>
              <w:jc w:val="right"/>
            </w:pPr>
            <w:r w:rsidRPr="00BB609D">
              <w:t xml:space="preserve"> </w:t>
            </w:r>
          </w:p>
        </w:tc>
        <w:tc>
          <w:tcPr>
            <w:tcW w:w="458" w:type="pct"/>
            <w:vAlign w:val="center"/>
          </w:tcPr>
          <w:p w14:paraId="5E8AC45B" w14:textId="77777777" w:rsidR="0083481A" w:rsidRPr="00BB609D" w:rsidRDefault="0083481A" w:rsidP="00860FE3">
            <w:pPr>
              <w:pStyle w:val="TableNText"/>
              <w:jc w:val="right"/>
            </w:pPr>
            <w:r w:rsidRPr="00BB609D">
              <w:t> </w:t>
            </w:r>
          </w:p>
        </w:tc>
        <w:tc>
          <w:tcPr>
            <w:tcW w:w="399" w:type="pct"/>
            <w:vAlign w:val="center"/>
          </w:tcPr>
          <w:p w14:paraId="0C9BD132" w14:textId="77777777" w:rsidR="0083481A" w:rsidRPr="00BB609D" w:rsidRDefault="0083481A" w:rsidP="00860FE3">
            <w:pPr>
              <w:pStyle w:val="TableNText"/>
              <w:jc w:val="right"/>
            </w:pPr>
            <w:r w:rsidRPr="00BB609D">
              <w:t> </w:t>
            </w:r>
          </w:p>
        </w:tc>
        <w:tc>
          <w:tcPr>
            <w:tcW w:w="398" w:type="pct"/>
            <w:vAlign w:val="center"/>
          </w:tcPr>
          <w:p w14:paraId="50B5217D" w14:textId="77777777" w:rsidR="0083481A" w:rsidRPr="00860FE3" w:rsidRDefault="0083481A" w:rsidP="00860FE3">
            <w:pPr>
              <w:pStyle w:val="TableNText"/>
              <w:jc w:val="right"/>
              <w:rPr>
                <w:b/>
              </w:rPr>
            </w:pPr>
            <w:r w:rsidRPr="00860FE3">
              <w:rPr>
                <w:b/>
              </w:rPr>
              <w:t>2.0</w:t>
            </w:r>
          </w:p>
        </w:tc>
        <w:tc>
          <w:tcPr>
            <w:tcW w:w="318" w:type="pct"/>
            <w:vAlign w:val="center"/>
          </w:tcPr>
          <w:p w14:paraId="4FD28656" w14:textId="77777777" w:rsidR="0083481A" w:rsidRPr="00BB609D" w:rsidRDefault="0083481A" w:rsidP="00860FE3">
            <w:pPr>
              <w:pStyle w:val="TableNText"/>
              <w:jc w:val="right"/>
            </w:pPr>
            <w:r w:rsidRPr="00BB609D">
              <w:t> </w:t>
            </w:r>
          </w:p>
        </w:tc>
        <w:tc>
          <w:tcPr>
            <w:tcW w:w="148" w:type="pct"/>
            <w:vAlign w:val="center"/>
          </w:tcPr>
          <w:p w14:paraId="5A78677C" w14:textId="77777777" w:rsidR="0083481A" w:rsidRPr="00860FE3" w:rsidRDefault="0083481A" w:rsidP="00860FE3">
            <w:pPr>
              <w:pStyle w:val="TableNText"/>
              <w:jc w:val="right"/>
              <w:rPr>
                <w:b/>
              </w:rPr>
            </w:pPr>
            <w:r w:rsidRPr="00860FE3">
              <w:rPr>
                <w:b/>
              </w:rPr>
              <w:t>2.0</w:t>
            </w:r>
          </w:p>
        </w:tc>
      </w:tr>
      <w:tr w:rsidR="00E25B33" w14:paraId="29B12168" w14:textId="77777777" w:rsidTr="00E25B33">
        <w:trPr>
          <w:cantSplit/>
          <w:trHeight w:val="280"/>
        </w:trPr>
        <w:tc>
          <w:tcPr>
            <w:tcW w:w="1041" w:type="pct"/>
          </w:tcPr>
          <w:p w14:paraId="65E6469C" w14:textId="77777777" w:rsidR="0083481A" w:rsidRPr="00E90101" w:rsidRDefault="0083481A" w:rsidP="00062CA5">
            <w:pPr>
              <w:pStyle w:val="TableNText"/>
            </w:pPr>
            <w:r w:rsidRPr="00E90101">
              <w:t>Accelerated Research</w:t>
            </w:r>
          </w:p>
        </w:tc>
        <w:tc>
          <w:tcPr>
            <w:tcW w:w="372" w:type="pct"/>
            <w:vAlign w:val="center"/>
          </w:tcPr>
          <w:p w14:paraId="4E2FB147" w14:textId="77777777" w:rsidR="0083481A" w:rsidRPr="00BB609D" w:rsidRDefault="0083481A" w:rsidP="00860FE3">
            <w:pPr>
              <w:pStyle w:val="TableNText"/>
              <w:jc w:val="right"/>
            </w:pPr>
            <w:r w:rsidRPr="00BB609D">
              <w:t>7.0</w:t>
            </w:r>
          </w:p>
        </w:tc>
        <w:tc>
          <w:tcPr>
            <w:tcW w:w="373" w:type="pct"/>
            <w:vAlign w:val="center"/>
          </w:tcPr>
          <w:p w14:paraId="16B0CC22" w14:textId="77777777" w:rsidR="0083481A" w:rsidRPr="00BB609D" w:rsidRDefault="0083481A" w:rsidP="00860FE3">
            <w:pPr>
              <w:pStyle w:val="TableNText"/>
              <w:jc w:val="right"/>
            </w:pPr>
            <w:r w:rsidRPr="00BB609D">
              <w:t> </w:t>
            </w:r>
          </w:p>
        </w:tc>
        <w:tc>
          <w:tcPr>
            <w:tcW w:w="374" w:type="pct"/>
            <w:vAlign w:val="center"/>
          </w:tcPr>
          <w:p w14:paraId="1793F7F1" w14:textId="77777777" w:rsidR="0083481A" w:rsidRPr="00BB609D" w:rsidRDefault="00612FE6" w:rsidP="00860FE3">
            <w:pPr>
              <w:pStyle w:val="TableNText"/>
              <w:jc w:val="right"/>
            </w:pPr>
            <w:r>
              <w:t>13.2</w:t>
            </w:r>
          </w:p>
        </w:tc>
        <w:tc>
          <w:tcPr>
            <w:tcW w:w="374" w:type="pct"/>
            <w:vAlign w:val="center"/>
          </w:tcPr>
          <w:p w14:paraId="229B85E2" w14:textId="77777777" w:rsidR="0083481A" w:rsidRPr="00BB609D" w:rsidRDefault="00612FE6" w:rsidP="00860FE3">
            <w:pPr>
              <w:pStyle w:val="TableNText"/>
              <w:jc w:val="right"/>
            </w:pPr>
            <w:r>
              <w:t>11.5</w:t>
            </w:r>
          </w:p>
        </w:tc>
        <w:tc>
          <w:tcPr>
            <w:tcW w:w="374" w:type="pct"/>
            <w:vAlign w:val="center"/>
          </w:tcPr>
          <w:p w14:paraId="436C04D2" w14:textId="77777777" w:rsidR="0083481A" w:rsidRPr="00BB609D" w:rsidRDefault="00612FE6" w:rsidP="00860FE3">
            <w:pPr>
              <w:pStyle w:val="TableNText"/>
              <w:jc w:val="right"/>
            </w:pPr>
            <w:r>
              <w:t>10.4</w:t>
            </w:r>
          </w:p>
        </w:tc>
        <w:tc>
          <w:tcPr>
            <w:tcW w:w="371" w:type="pct"/>
            <w:vAlign w:val="center"/>
          </w:tcPr>
          <w:p w14:paraId="2201BE56" w14:textId="77777777" w:rsidR="0083481A" w:rsidRPr="00BB609D" w:rsidRDefault="00612FE6" w:rsidP="00860FE3">
            <w:pPr>
              <w:pStyle w:val="TableNText"/>
              <w:jc w:val="right"/>
            </w:pPr>
            <w:r>
              <w:t>14.0</w:t>
            </w:r>
          </w:p>
        </w:tc>
        <w:tc>
          <w:tcPr>
            <w:tcW w:w="458" w:type="pct"/>
            <w:vAlign w:val="center"/>
          </w:tcPr>
          <w:p w14:paraId="37EFBF1C" w14:textId="77777777" w:rsidR="0083481A" w:rsidRPr="00BB609D" w:rsidRDefault="0083481A" w:rsidP="00860FE3">
            <w:pPr>
              <w:pStyle w:val="TableNText"/>
              <w:jc w:val="right"/>
            </w:pPr>
          </w:p>
        </w:tc>
        <w:tc>
          <w:tcPr>
            <w:tcW w:w="399" w:type="pct"/>
            <w:vAlign w:val="center"/>
          </w:tcPr>
          <w:p w14:paraId="03837529" w14:textId="77777777" w:rsidR="0083481A" w:rsidRPr="00BB609D" w:rsidRDefault="0083481A" w:rsidP="00860FE3">
            <w:pPr>
              <w:pStyle w:val="TableNText"/>
              <w:jc w:val="right"/>
            </w:pPr>
          </w:p>
        </w:tc>
        <w:tc>
          <w:tcPr>
            <w:tcW w:w="398" w:type="pct"/>
            <w:vAlign w:val="center"/>
          </w:tcPr>
          <w:p w14:paraId="65324D28" w14:textId="77777777" w:rsidR="0083481A" w:rsidRPr="00860FE3" w:rsidRDefault="00612FE6" w:rsidP="00860FE3">
            <w:pPr>
              <w:pStyle w:val="TableNText"/>
              <w:jc w:val="right"/>
              <w:rPr>
                <w:b/>
              </w:rPr>
            </w:pPr>
            <w:r w:rsidRPr="00860FE3">
              <w:rPr>
                <w:b/>
              </w:rPr>
              <w:t>56.0</w:t>
            </w:r>
          </w:p>
        </w:tc>
        <w:tc>
          <w:tcPr>
            <w:tcW w:w="318" w:type="pct"/>
            <w:vAlign w:val="center"/>
          </w:tcPr>
          <w:p w14:paraId="55C6D843" w14:textId="77777777" w:rsidR="0083481A" w:rsidRPr="00BB609D" w:rsidRDefault="0083481A" w:rsidP="00860FE3">
            <w:pPr>
              <w:pStyle w:val="TableNText"/>
              <w:jc w:val="right"/>
            </w:pPr>
            <w:r w:rsidRPr="00BB609D">
              <w:t> </w:t>
            </w:r>
          </w:p>
        </w:tc>
        <w:tc>
          <w:tcPr>
            <w:tcW w:w="148" w:type="pct"/>
            <w:vAlign w:val="center"/>
          </w:tcPr>
          <w:p w14:paraId="48636F49" w14:textId="77777777" w:rsidR="0083481A" w:rsidRPr="00860FE3" w:rsidRDefault="00612FE6" w:rsidP="00860FE3">
            <w:pPr>
              <w:pStyle w:val="TableNText"/>
              <w:jc w:val="right"/>
              <w:rPr>
                <w:b/>
              </w:rPr>
            </w:pPr>
            <w:r>
              <w:rPr>
                <w:b/>
              </w:rPr>
              <w:t>56.0</w:t>
            </w:r>
          </w:p>
        </w:tc>
      </w:tr>
      <w:tr w:rsidR="00E25B33" w14:paraId="2970243E" w14:textId="77777777" w:rsidTr="00E25B33">
        <w:trPr>
          <w:cantSplit/>
          <w:trHeight w:val="280"/>
        </w:trPr>
        <w:tc>
          <w:tcPr>
            <w:tcW w:w="1041" w:type="pct"/>
          </w:tcPr>
          <w:p w14:paraId="0B5B5D1D" w14:textId="77777777" w:rsidR="0083481A" w:rsidRPr="00E90101" w:rsidRDefault="0083481A" w:rsidP="00860FE3">
            <w:pPr>
              <w:pStyle w:val="TableNText"/>
            </w:pPr>
            <w:r w:rsidRPr="00E90101">
              <w:t>Boosting Preventi</w:t>
            </w:r>
            <w:r>
              <w:t>ve</w:t>
            </w:r>
            <w:r w:rsidRPr="00E90101">
              <w:t xml:space="preserve"> Health Research</w:t>
            </w:r>
          </w:p>
        </w:tc>
        <w:tc>
          <w:tcPr>
            <w:tcW w:w="372" w:type="pct"/>
            <w:vAlign w:val="center"/>
          </w:tcPr>
          <w:p w14:paraId="4B0FDC34" w14:textId="77777777" w:rsidR="0083481A" w:rsidRPr="00BB609D" w:rsidRDefault="0083481A" w:rsidP="00860FE3">
            <w:pPr>
              <w:pStyle w:val="TableNText"/>
              <w:jc w:val="right"/>
            </w:pPr>
            <w:r w:rsidRPr="00BB609D">
              <w:t>10.0</w:t>
            </w:r>
          </w:p>
        </w:tc>
        <w:tc>
          <w:tcPr>
            <w:tcW w:w="373" w:type="pct"/>
            <w:vAlign w:val="center"/>
          </w:tcPr>
          <w:p w14:paraId="3A7F9959" w14:textId="77777777" w:rsidR="0083481A" w:rsidRPr="00BB609D" w:rsidRDefault="0083481A" w:rsidP="00860FE3">
            <w:pPr>
              <w:pStyle w:val="TableNText"/>
              <w:jc w:val="right"/>
            </w:pPr>
            <w:r w:rsidRPr="00BB609D">
              <w:t> </w:t>
            </w:r>
          </w:p>
        </w:tc>
        <w:tc>
          <w:tcPr>
            <w:tcW w:w="374" w:type="pct"/>
            <w:vAlign w:val="center"/>
          </w:tcPr>
          <w:p w14:paraId="4C2AB8BC" w14:textId="77777777" w:rsidR="0083481A" w:rsidRPr="00BB609D" w:rsidRDefault="0083481A" w:rsidP="00860FE3">
            <w:pPr>
              <w:pStyle w:val="TableNText"/>
              <w:jc w:val="right"/>
            </w:pPr>
            <w:r w:rsidRPr="00BB609D">
              <w:t> </w:t>
            </w:r>
          </w:p>
        </w:tc>
        <w:tc>
          <w:tcPr>
            <w:tcW w:w="374" w:type="pct"/>
            <w:vAlign w:val="center"/>
          </w:tcPr>
          <w:p w14:paraId="1DFDD020" w14:textId="77777777" w:rsidR="0083481A" w:rsidRPr="00BB609D" w:rsidRDefault="0083481A" w:rsidP="00860FE3">
            <w:pPr>
              <w:pStyle w:val="TableNText"/>
              <w:jc w:val="right"/>
            </w:pPr>
            <w:r w:rsidRPr="00BB609D">
              <w:t> </w:t>
            </w:r>
          </w:p>
        </w:tc>
        <w:tc>
          <w:tcPr>
            <w:tcW w:w="374" w:type="pct"/>
            <w:vAlign w:val="center"/>
          </w:tcPr>
          <w:p w14:paraId="2D262E92" w14:textId="77777777" w:rsidR="0083481A" w:rsidRPr="00BB609D" w:rsidRDefault="0083481A" w:rsidP="00860FE3">
            <w:pPr>
              <w:pStyle w:val="TableNText"/>
              <w:jc w:val="right"/>
            </w:pPr>
            <w:r w:rsidRPr="00BB609D">
              <w:t> </w:t>
            </w:r>
          </w:p>
        </w:tc>
        <w:tc>
          <w:tcPr>
            <w:tcW w:w="371" w:type="pct"/>
            <w:vAlign w:val="center"/>
          </w:tcPr>
          <w:p w14:paraId="2CD573CD" w14:textId="77777777" w:rsidR="0083481A" w:rsidRPr="00BB609D" w:rsidRDefault="0083481A" w:rsidP="00860FE3">
            <w:pPr>
              <w:pStyle w:val="TableNText"/>
              <w:jc w:val="right"/>
            </w:pPr>
            <w:r w:rsidRPr="00BB609D">
              <w:t> </w:t>
            </w:r>
          </w:p>
        </w:tc>
        <w:tc>
          <w:tcPr>
            <w:tcW w:w="458" w:type="pct"/>
            <w:vAlign w:val="center"/>
          </w:tcPr>
          <w:p w14:paraId="13C8545F" w14:textId="77777777" w:rsidR="0083481A" w:rsidRPr="00BB609D" w:rsidRDefault="0083481A" w:rsidP="00860FE3">
            <w:pPr>
              <w:pStyle w:val="TableNText"/>
              <w:jc w:val="right"/>
            </w:pPr>
            <w:r w:rsidRPr="00BB609D">
              <w:t> </w:t>
            </w:r>
          </w:p>
        </w:tc>
        <w:tc>
          <w:tcPr>
            <w:tcW w:w="399" w:type="pct"/>
            <w:vAlign w:val="center"/>
          </w:tcPr>
          <w:p w14:paraId="07596C46" w14:textId="77777777" w:rsidR="0083481A" w:rsidRPr="00BB609D" w:rsidRDefault="0083481A" w:rsidP="00860FE3">
            <w:pPr>
              <w:pStyle w:val="TableNText"/>
              <w:jc w:val="right"/>
            </w:pPr>
            <w:r w:rsidRPr="00BB609D">
              <w:t> </w:t>
            </w:r>
          </w:p>
        </w:tc>
        <w:tc>
          <w:tcPr>
            <w:tcW w:w="398" w:type="pct"/>
            <w:vAlign w:val="center"/>
          </w:tcPr>
          <w:p w14:paraId="0C9B6FE8" w14:textId="77777777" w:rsidR="0083481A" w:rsidRPr="00860FE3" w:rsidRDefault="0083481A" w:rsidP="00860FE3">
            <w:pPr>
              <w:pStyle w:val="TableNText"/>
              <w:jc w:val="right"/>
              <w:rPr>
                <w:b/>
              </w:rPr>
            </w:pPr>
            <w:r w:rsidRPr="00860FE3">
              <w:rPr>
                <w:b/>
              </w:rPr>
              <w:t>10.0</w:t>
            </w:r>
          </w:p>
        </w:tc>
        <w:tc>
          <w:tcPr>
            <w:tcW w:w="318" w:type="pct"/>
            <w:vAlign w:val="center"/>
          </w:tcPr>
          <w:p w14:paraId="4220CCC8" w14:textId="77777777" w:rsidR="0083481A" w:rsidRPr="00BB609D" w:rsidRDefault="0083481A" w:rsidP="00860FE3">
            <w:pPr>
              <w:pStyle w:val="TableNText"/>
              <w:jc w:val="right"/>
            </w:pPr>
            <w:r w:rsidRPr="00BB609D">
              <w:t> </w:t>
            </w:r>
          </w:p>
        </w:tc>
        <w:tc>
          <w:tcPr>
            <w:tcW w:w="148" w:type="pct"/>
            <w:vAlign w:val="center"/>
          </w:tcPr>
          <w:p w14:paraId="7F5CE2A7" w14:textId="77777777" w:rsidR="0083481A" w:rsidRPr="00860FE3" w:rsidRDefault="0083481A" w:rsidP="00860FE3">
            <w:pPr>
              <w:pStyle w:val="TableNText"/>
              <w:jc w:val="right"/>
              <w:rPr>
                <w:b/>
              </w:rPr>
            </w:pPr>
            <w:r w:rsidRPr="00860FE3">
              <w:rPr>
                <w:b/>
              </w:rPr>
              <w:t>10.0</w:t>
            </w:r>
          </w:p>
        </w:tc>
      </w:tr>
      <w:tr w:rsidR="00E25B33" w14:paraId="0EC28A85" w14:textId="77777777" w:rsidTr="00E25B33">
        <w:trPr>
          <w:cantSplit/>
          <w:trHeight w:val="280"/>
        </w:trPr>
        <w:tc>
          <w:tcPr>
            <w:tcW w:w="1041" w:type="pct"/>
          </w:tcPr>
          <w:p w14:paraId="4E2B36DD" w14:textId="6BAE6996" w:rsidR="0083481A" w:rsidRPr="00E90101" w:rsidRDefault="00973106" w:rsidP="00860FE3">
            <w:pPr>
              <w:pStyle w:val="TableNText"/>
            </w:pPr>
            <w:r>
              <w:t>Keeping Australians O</w:t>
            </w:r>
            <w:r w:rsidR="0083481A" w:rsidRPr="00E90101">
              <w:t>ut of Hospital</w:t>
            </w:r>
          </w:p>
        </w:tc>
        <w:tc>
          <w:tcPr>
            <w:tcW w:w="372" w:type="pct"/>
            <w:vAlign w:val="center"/>
          </w:tcPr>
          <w:p w14:paraId="6AE49C0B" w14:textId="77777777" w:rsidR="0083481A" w:rsidRPr="00BB609D" w:rsidRDefault="0083481A" w:rsidP="00860FE3">
            <w:pPr>
              <w:pStyle w:val="TableNText"/>
              <w:jc w:val="right"/>
            </w:pPr>
            <w:r w:rsidRPr="00BB609D">
              <w:t> </w:t>
            </w:r>
          </w:p>
        </w:tc>
        <w:tc>
          <w:tcPr>
            <w:tcW w:w="373" w:type="pct"/>
            <w:vAlign w:val="center"/>
          </w:tcPr>
          <w:p w14:paraId="5F433114" w14:textId="77777777" w:rsidR="0083481A" w:rsidRPr="00BB609D" w:rsidRDefault="0083481A" w:rsidP="00860FE3">
            <w:pPr>
              <w:pStyle w:val="TableNText"/>
              <w:jc w:val="right"/>
            </w:pPr>
            <w:r w:rsidRPr="00BB609D">
              <w:t> </w:t>
            </w:r>
          </w:p>
        </w:tc>
        <w:tc>
          <w:tcPr>
            <w:tcW w:w="374" w:type="pct"/>
            <w:vAlign w:val="center"/>
          </w:tcPr>
          <w:p w14:paraId="2FBEB970" w14:textId="77777777" w:rsidR="0083481A" w:rsidRPr="00BB609D" w:rsidRDefault="0083481A" w:rsidP="00860FE3">
            <w:pPr>
              <w:pStyle w:val="TableNText"/>
              <w:jc w:val="right"/>
            </w:pPr>
            <w:r w:rsidRPr="00BB609D">
              <w:t>9.0</w:t>
            </w:r>
          </w:p>
        </w:tc>
        <w:tc>
          <w:tcPr>
            <w:tcW w:w="374" w:type="pct"/>
            <w:vAlign w:val="center"/>
          </w:tcPr>
          <w:p w14:paraId="42DCCA1D" w14:textId="77777777" w:rsidR="0083481A" w:rsidRPr="00BB609D" w:rsidRDefault="0083481A" w:rsidP="00860FE3">
            <w:pPr>
              <w:pStyle w:val="TableNText"/>
              <w:jc w:val="right"/>
            </w:pPr>
            <w:r w:rsidRPr="00BB609D">
              <w:t>4.5</w:t>
            </w:r>
          </w:p>
        </w:tc>
        <w:tc>
          <w:tcPr>
            <w:tcW w:w="374" w:type="pct"/>
            <w:vAlign w:val="center"/>
          </w:tcPr>
          <w:p w14:paraId="2B429EDE" w14:textId="77777777" w:rsidR="0083481A" w:rsidRPr="00BB609D" w:rsidRDefault="0083481A" w:rsidP="00860FE3">
            <w:pPr>
              <w:pStyle w:val="TableNText"/>
              <w:jc w:val="right"/>
            </w:pPr>
            <w:r w:rsidRPr="00BB609D">
              <w:t>4.6</w:t>
            </w:r>
          </w:p>
        </w:tc>
        <w:tc>
          <w:tcPr>
            <w:tcW w:w="371" w:type="pct"/>
            <w:vAlign w:val="center"/>
          </w:tcPr>
          <w:p w14:paraId="35D56671" w14:textId="77777777" w:rsidR="0083481A" w:rsidRPr="00BB609D" w:rsidRDefault="0083481A" w:rsidP="00860FE3">
            <w:pPr>
              <w:pStyle w:val="TableNText"/>
              <w:jc w:val="right"/>
            </w:pPr>
            <w:r w:rsidRPr="00BB609D">
              <w:t xml:space="preserve"> </w:t>
            </w:r>
          </w:p>
        </w:tc>
        <w:tc>
          <w:tcPr>
            <w:tcW w:w="458" w:type="pct"/>
            <w:vAlign w:val="center"/>
          </w:tcPr>
          <w:p w14:paraId="56C7D4F1" w14:textId="77777777" w:rsidR="0083481A" w:rsidRPr="00BB609D" w:rsidRDefault="0083481A" w:rsidP="00860FE3">
            <w:pPr>
              <w:pStyle w:val="TableNText"/>
              <w:jc w:val="right"/>
            </w:pPr>
            <w:r w:rsidRPr="00BB609D">
              <w:t> </w:t>
            </w:r>
          </w:p>
        </w:tc>
        <w:tc>
          <w:tcPr>
            <w:tcW w:w="399" w:type="pct"/>
            <w:vAlign w:val="center"/>
          </w:tcPr>
          <w:p w14:paraId="4B40FDDD" w14:textId="77777777" w:rsidR="0083481A" w:rsidRPr="00BB609D" w:rsidRDefault="0083481A" w:rsidP="00860FE3">
            <w:pPr>
              <w:pStyle w:val="TableNText"/>
              <w:jc w:val="right"/>
            </w:pPr>
            <w:r w:rsidRPr="00BB609D">
              <w:t> </w:t>
            </w:r>
          </w:p>
        </w:tc>
        <w:tc>
          <w:tcPr>
            <w:tcW w:w="398" w:type="pct"/>
            <w:vAlign w:val="center"/>
          </w:tcPr>
          <w:p w14:paraId="1757D8BC" w14:textId="77777777" w:rsidR="0083481A" w:rsidRPr="00860FE3" w:rsidRDefault="0083481A" w:rsidP="00860FE3">
            <w:pPr>
              <w:pStyle w:val="TableNText"/>
              <w:jc w:val="right"/>
              <w:rPr>
                <w:b/>
              </w:rPr>
            </w:pPr>
            <w:r w:rsidRPr="00860FE3">
              <w:rPr>
                <w:b/>
              </w:rPr>
              <w:t>18.1</w:t>
            </w:r>
          </w:p>
        </w:tc>
        <w:tc>
          <w:tcPr>
            <w:tcW w:w="318" w:type="pct"/>
            <w:vAlign w:val="center"/>
          </w:tcPr>
          <w:p w14:paraId="202268C9" w14:textId="77777777" w:rsidR="0083481A" w:rsidRPr="00BB609D" w:rsidRDefault="0083481A" w:rsidP="00860FE3">
            <w:pPr>
              <w:pStyle w:val="TableNText"/>
              <w:jc w:val="right"/>
            </w:pPr>
            <w:r w:rsidRPr="00BB609D">
              <w:t> </w:t>
            </w:r>
          </w:p>
        </w:tc>
        <w:tc>
          <w:tcPr>
            <w:tcW w:w="148" w:type="pct"/>
            <w:vAlign w:val="center"/>
          </w:tcPr>
          <w:p w14:paraId="631A9B3E" w14:textId="77777777" w:rsidR="0083481A" w:rsidRPr="00860FE3" w:rsidRDefault="0083481A" w:rsidP="00860FE3">
            <w:pPr>
              <w:pStyle w:val="TableNText"/>
              <w:jc w:val="right"/>
              <w:rPr>
                <w:b/>
              </w:rPr>
            </w:pPr>
            <w:r w:rsidRPr="00860FE3">
              <w:rPr>
                <w:b/>
              </w:rPr>
              <w:t>18.1</w:t>
            </w:r>
          </w:p>
        </w:tc>
      </w:tr>
      <w:tr w:rsidR="00E25B33" w14:paraId="2D854272" w14:textId="77777777" w:rsidTr="00E25B33">
        <w:trPr>
          <w:cantSplit/>
          <w:trHeight w:val="280"/>
        </w:trPr>
        <w:tc>
          <w:tcPr>
            <w:tcW w:w="1041" w:type="pct"/>
          </w:tcPr>
          <w:p w14:paraId="5848C07F" w14:textId="77777777" w:rsidR="0083481A" w:rsidRPr="00E90101" w:rsidRDefault="0083481A" w:rsidP="00860FE3">
            <w:pPr>
              <w:pStyle w:val="TableNText"/>
            </w:pPr>
            <w:r w:rsidRPr="00E90101">
              <w:t>Maternal Health and First 2,000 Days</w:t>
            </w:r>
          </w:p>
        </w:tc>
        <w:tc>
          <w:tcPr>
            <w:tcW w:w="372" w:type="pct"/>
            <w:vAlign w:val="center"/>
          </w:tcPr>
          <w:p w14:paraId="7A0D9A1B" w14:textId="77777777" w:rsidR="0083481A" w:rsidRPr="00BB609D" w:rsidRDefault="0083481A" w:rsidP="00860FE3">
            <w:pPr>
              <w:pStyle w:val="TableNText"/>
              <w:jc w:val="right"/>
            </w:pPr>
            <w:r w:rsidRPr="00BB609D">
              <w:t> </w:t>
            </w:r>
          </w:p>
        </w:tc>
        <w:tc>
          <w:tcPr>
            <w:tcW w:w="373" w:type="pct"/>
            <w:vAlign w:val="center"/>
          </w:tcPr>
          <w:p w14:paraId="76DDF311" w14:textId="77777777" w:rsidR="0083481A" w:rsidRPr="00BB609D" w:rsidRDefault="0083481A" w:rsidP="00860FE3">
            <w:pPr>
              <w:pStyle w:val="TableNText"/>
              <w:jc w:val="right"/>
            </w:pPr>
            <w:r w:rsidRPr="00BB609D">
              <w:t> </w:t>
            </w:r>
          </w:p>
        </w:tc>
        <w:tc>
          <w:tcPr>
            <w:tcW w:w="374" w:type="pct"/>
            <w:vAlign w:val="center"/>
          </w:tcPr>
          <w:p w14:paraId="3BC2DDB8" w14:textId="77777777" w:rsidR="0083481A" w:rsidRPr="00BB609D" w:rsidRDefault="0083481A" w:rsidP="00860FE3">
            <w:pPr>
              <w:pStyle w:val="TableNText"/>
              <w:jc w:val="right"/>
            </w:pPr>
            <w:r w:rsidRPr="00BB609D">
              <w:t> </w:t>
            </w:r>
          </w:p>
        </w:tc>
        <w:tc>
          <w:tcPr>
            <w:tcW w:w="374" w:type="pct"/>
            <w:vAlign w:val="center"/>
          </w:tcPr>
          <w:p w14:paraId="3DC0B023" w14:textId="77777777" w:rsidR="0083481A" w:rsidRPr="00BB609D" w:rsidRDefault="0083481A" w:rsidP="00860FE3">
            <w:pPr>
              <w:pStyle w:val="TableNText"/>
              <w:jc w:val="right"/>
            </w:pPr>
            <w:r w:rsidRPr="00BB609D">
              <w:t>7.5</w:t>
            </w:r>
          </w:p>
        </w:tc>
        <w:tc>
          <w:tcPr>
            <w:tcW w:w="374" w:type="pct"/>
            <w:vAlign w:val="center"/>
          </w:tcPr>
          <w:p w14:paraId="243215D1" w14:textId="77777777" w:rsidR="0083481A" w:rsidRPr="00BB609D" w:rsidRDefault="0083481A" w:rsidP="00860FE3">
            <w:pPr>
              <w:pStyle w:val="TableNText"/>
              <w:jc w:val="right"/>
            </w:pPr>
            <w:r w:rsidRPr="00BB609D">
              <w:t>5.0</w:t>
            </w:r>
          </w:p>
        </w:tc>
        <w:tc>
          <w:tcPr>
            <w:tcW w:w="371" w:type="pct"/>
            <w:vAlign w:val="center"/>
          </w:tcPr>
          <w:p w14:paraId="307BCA5E" w14:textId="77777777" w:rsidR="0083481A" w:rsidRPr="00BB609D" w:rsidRDefault="0083481A" w:rsidP="00860FE3">
            <w:pPr>
              <w:pStyle w:val="TableNText"/>
              <w:jc w:val="right"/>
            </w:pPr>
            <w:r w:rsidRPr="00BB609D">
              <w:t>5.0</w:t>
            </w:r>
          </w:p>
        </w:tc>
        <w:tc>
          <w:tcPr>
            <w:tcW w:w="458" w:type="pct"/>
            <w:vAlign w:val="center"/>
          </w:tcPr>
          <w:p w14:paraId="180F5104" w14:textId="77777777" w:rsidR="0083481A" w:rsidRPr="00BB609D" w:rsidRDefault="0083481A" w:rsidP="00860FE3">
            <w:pPr>
              <w:pStyle w:val="TableNText"/>
              <w:jc w:val="right"/>
            </w:pPr>
            <w:r w:rsidRPr="00BB609D">
              <w:t> </w:t>
            </w:r>
          </w:p>
        </w:tc>
        <w:tc>
          <w:tcPr>
            <w:tcW w:w="399" w:type="pct"/>
            <w:vAlign w:val="center"/>
          </w:tcPr>
          <w:p w14:paraId="1EA3CA44" w14:textId="77777777" w:rsidR="0083481A" w:rsidRPr="00BB609D" w:rsidRDefault="0083481A" w:rsidP="00860FE3">
            <w:pPr>
              <w:pStyle w:val="TableNText"/>
              <w:jc w:val="right"/>
            </w:pPr>
            <w:r w:rsidRPr="00BB609D">
              <w:t> </w:t>
            </w:r>
          </w:p>
        </w:tc>
        <w:tc>
          <w:tcPr>
            <w:tcW w:w="398" w:type="pct"/>
            <w:vAlign w:val="center"/>
          </w:tcPr>
          <w:p w14:paraId="0C9354F1" w14:textId="77777777" w:rsidR="0083481A" w:rsidRPr="00860FE3" w:rsidRDefault="0083481A" w:rsidP="00860FE3">
            <w:pPr>
              <w:pStyle w:val="TableNText"/>
              <w:jc w:val="right"/>
              <w:rPr>
                <w:b/>
              </w:rPr>
            </w:pPr>
            <w:r w:rsidRPr="00860FE3">
              <w:rPr>
                <w:b/>
              </w:rPr>
              <w:t>17.5</w:t>
            </w:r>
          </w:p>
        </w:tc>
        <w:tc>
          <w:tcPr>
            <w:tcW w:w="318" w:type="pct"/>
            <w:vAlign w:val="center"/>
          </w:tcPr>
          <w:p w14:paraId="0B2E6AE9" w14:textId="77777777" w:rsidR="0083481A" w:rsidRPr="00BB609D" w:rsidRDefault="0083481A" w:rsidP="00860FE3">
            <w:pPr>
              <w:pStyle w:val="TableNText"/>
              <w:jc w:val="right"/>
            </w:pPr>
            <w:r w:rsidRPr="00BB609D">
              <w:t> </w:t>
            </w:r>
          </w:p>
        </w:tc>
        <w:tc>
          <w:tcPr>
            <w:tcW w:w="148" w:type="pct"/>
            <w:vAlign w:val="center"/>
          </w:tcPr>
          <w:p w14:paraId="0EC81974" w14:textId="77777777" w:rsidR="0083481A" w:rsidRPr="00860FE3" w:rsidRDefault="0083481A" w:rsidP="00860FE3">
            <w:pPr>
              <w:pStyle w:val="TableNText"/>
              <w:jc w:val="right"/>
              <w:rPr>
                <w:b/>
              </w:rPr>
            </w:pPr>
            <w:r w:rsidRPr="00860FE3">
              <w:rPr>
                <w:b/>
              </w:rPr>
              <w:t>17.5</w:t>
            </w:r>
          </w:p>
        </w:tc>
      </w:tr>
      <w:tr w:rsidR="00E25B33" w14:paraId="1CC7AF56" w14:textId="77777777" w:rsidTr="00E25B33">
        <w:trPr>
          <w:cantSplit/>
          <w:trHeight w:val="280"/>
        </w:trPr>
        <w:tc>
          <w:tcPr>
            <w:tcW w:w="1041" w:type="pct"/>
          </w:tcPr>
          <w:p w14:paraId="6C52D7F1" w14:textId="77777777" w:rsidR="0083481A" w:rsidRPr="00E90101" w:rsidRDefault="0083481A" w:rsidP="00860FE3">
            <w:pPr>
              <w:pStyle w:val="TableNText"/>
            </w:pPr>
            <w:r w:rsidRPr="00E90101">
              <w:t>Targeted Health System and Community Organisation Research</w:t>
            </w:r>
          </w:p>
        </w:tc>
        <w:tc>
          <w:tcPr>
            <w:tcW w:w="372" w:type="pct"/>
            <w:vAlign w:val="center"/>
          </w:tcPr>
          <w:p w14:paraId="41333229" w14:textId="77777777" w:rsidR="0083481A" w:rsidRPr="00BB609D" w:rsidRDefault="0083481A" w:rsidP="00860FE3">
            <w:pPr>
              <w:pStyle w:val="TableNText"/>
              <w:jc w:val="right"/>
            </w:pPr>
            <w:r w:rsidRPr="00BB609D">
              <w:t xml:space="preserve"> </w:t>
            </w:r>
          </w:p>
        </w:tc>
        <w:tc>
          <w:tcPr>
            <w:tcW w:w="373" w:type="pct"/>
            <w:vAlign w:val="center"/>
          </w:tcPr>
          <w:p w14:paraId="6418213D" w14:textId="77777777" w:rsidR="0083481A" w:rsidRPr="00BB609D" w:rsidRDefault="0083481A" w:rsidP="00860FE3">
            <w:pPr>
              <w:pStyle w:val="TableNText"/>
              <w:jc w:val="right"/>
            </w:pPr>
            <w:r w:rsidRPr="00BB609D">
              <w:t> </w:t>
            </w:r>
          </w:p>
        </w:tc>
        <w:tc>
          <w:tcPr>
            <w:tcW w:w="374" w:type="pct"/>
            <w:vAlign w:val="center"/>
          </w:tcPr>
          <w:p w14:paraId="0CC012E8" w14:textId="77777777" w:rsidR="0083481A" w:rsidRPr="00BB609D" w:rsidRDefault="0083481A" w:rsidP="00860FE3">
            <w:pPr>
              <w:pStyle w:val="TableNText"/>
              <w:jc w:val="right"/>
            </w:pPr>
            <w:r w:rsidRPr="00BB609D">
              <w:t>9.8</w:t>
            </w:r>
          </w:p>
        </w:tc>
        <w:tc>
          <w:tcPr>
            <w:tcW w:w="374" w:type="pct"/>
            <w:vAlign w:val="center"/>
          </w:tcPr>
          <w:p w14:paraId="3FA1F76B" w14:textId="77777777" w:rsidR="0083481A" w:rsidRPr="00BB609D" w:rsidRDefault="0083481A" w:rsidP="00860FE3">
            <w:pPr>
              <w:pStyle w:val="TableNText"/>
              <w:jc w:val="right"/>
            </w:pPr>
            <w:r w:rsidRPr="00BB609D">
              <w:t>10.0</w:t>
            </w:r>
          </w:p>
        </w:tc>
        <w:tc>
          <w:tcPr>
            <w:tcW w:w="374" w:type="pct"/>
            <w:vAlign w:val="center"/>
          </w:tcPr>
          <w:p w14:paraId="439D92FF" w14:textId="77777777" w:rsidR="0083481A" w:rsidRPr="00BB609D" w:rsidRDefault="0083481A" w:rsidP="00860FE3">
            <w:pPr>
              <w:pStyle w:val="TableNText"/>
              <w:jc w:val="right"/>
            </w:pPr>
            <w:r w:rsidRPr="00BB609D">
              <w:t>20.0</w:t>
            </w:r>
          </w:p>
        </w:tc>
        <w:tc>
          <w:tcPr>
            <w:tcW w:w="371" w:type="pct"/>
            <w:vAlign w:val="center"/>
          </w:tcPr>
          <w:p w14:paraId="0F1D1349" w14:textId="77777777" w:rsidR="0083481A" w:rsidRPr="00BB609D" w:rsidRDefault="0083481A" w:rsidP="00860FE3">
            <w:pPr>
              <w:pStyle w:val="TableNText"/>
              <w:jc w:val="right"/>
            </w:pPr>
            <w:r w:rsidRPr="00BB609D">
              <w:t xml:space="preserve"> </w:t>
            </w:r>
          </w:p>
        </w:tc>
        <w:tc>
          <w:tcPr>
            <w:tcW w:w="458" w:type="pct"/>
            <w:vAlign w:val="center"/>
          </w:tcPr>
          <w:p w14:paraId="69799868" w14:textId="77777777" w:rsidR="0083481A" w:rsidRPr="00BB609D" w:rsidRDefault="0083481A" w:rsidP="00860FE3">
            <w:pPr>
              <w:pStyle w:val="TableNText"/>
              <w:jc w:val="right"/>
            </w:pPr>
            <w:r w:rsidRPr="00BB609D">
              <w:t> </w:t>
            </w:r>
          </w:p>
        </w:tc>
        <w:tc>
          <w:tcPr>
            <w:tcW w:w="399" w:type="pct"/>
            <w:vAlign w:val="center"/>
          </w:tcPr>
          <w:p w14:paraId="78D8B328" w14:textId="77777777" w:rsidR="0083481A" w:rsidRPr="00BB609D" w:rsidRDefault="0083481A" w:rsidP="00860FE3">
            <w:pPr>
              <w:pStyle w:val="TableNText"/>
              <w:jc w:val="right"/>
            </w:pPr>
            <w:r w:rsidRPr="00BB609D">
              <w:t> </w:t>
            </w:r>
          </w:p>
        </w:tc>
        <w:tc>
          <w:tcPr>
            <w:tcW w:w="398" w:type="pct"/>
            <w:vAlign w:val="center"/>
          </w:tcPr>
          <w:p w14:paraId="2C5DFC85" w14:textId="77777777" w:rsidR="0083481A" w:rsidRPr="00860FE3" w:rsidRDefault="0083481A" w:rsidP="00860FE3">
            <w:pPr>
              <w:pStyle w:val="TableNText"/>
              <w:jc w:val="right"/>
              <w:rPr>
                <w:b/>
              </w:rPr>
            </w:pPr>
            <w:r w:rsidRPr="00860FE3">
              <w:rPr>
                <w:b/>
              </w:rPr>
              <w:t>39.8</w:t>
            </w:r>
          </w:p>
        </w:tc>
        <w:tc>
          <w:tcPr>
            <w:tcW w:w="318" w:type="pct"/>
            <w:vAlign w:val="center"/>
          </w:tcPr>
          <w:p w14:paraId="2CAD3EE1" w14:textId="77777777" w:rsidR="0083481A" w:rsidRPr="00BB609D" w:rsidRDefault="0083481A" w:rsidP="00860FE3">
            <w:pPr>
              <w:pStyle w:val="TableNText"/>
              <w:jc w:val="right"/>
            </w:pPr>
            <w:r w:rsidRPr="00BB609D">
              <w:t> </w:t>
            </w:r>
          </w:p>
        </w:tc>
        <w:tc>
          <w:tcPr>
            <w:tcW w:w="148" w:type="pct"/>
            <w:vAlign w:val="center"/>
          </w:tcPr>
          <w:p w14:paraId="0D51F8EF" w14:textId="77777777" w:rsidR="0083481A" w:rsidRPr="00860FE3" w:rsidRDefault="0083481A" w:rsidP="00860FE3">
            <w:pPr>
              <w:pStyle w:val="TableNText"/>
              <w:jc w:val="right"/>
              <w:rPr>
                <w:b/>
              </w:rPr>
            </w:pPr>
            <w:r w:rsidRPr="00860FE3">
              <w:rPr>
                <w:b/>
              </w:rPr>
              <w:t>39.8</w:t>
            </w:r>
          </w:p>
        </w:tc>
      </w:tr>
      <w:tr w:rsidR="00E25B33" w14:paraId="1547C453" w14:textId="77777777" w:rsidTr="00E25B33">
        <w:trPr>
          <w:cantSplit/>
          <w:trHeight w:val="280"/>
        </w:trPr>
        <w:tc>
          <w:tcPr>
            <w:tcW w:w="1041" w:type="pct"/>
          </w:tcPr>
          <w:p w14:paraId="339E26CC" w14:textId="77777777" w:rsidR="0083481A" w:rsidRDefault="0083481A" w:rsidP="00860FE3">
            <w:pPr>
              <w:pStyle w:val="TableNText"/>
            </w:pPr>
            <w:r w:rsidRPr="00570143">
              <w:t>Researcher Exchange and Development Within Industry</w:t>
            </w:r>
          </w:p>
        </w:tc>
        <w:tc>
          <w:tcPr>
            <w:tcW w:w="372" w:type="pct"/>
            <w:vAlign w:val="center"/>
          </w:tcPr>
          <w:p w14:paraId="55432E8F" w14:textId="77777777" w:rsidR="0083481A" w:rsidRPr="00BB609D" w:rsidRDefault="0083481A" w:rsidP="00860FE3">
            <w:pPr>
              <w:pStyle w:val="TableNText"/>
              <w:jc w:val="right"/>
            </w:pPr>
            <w:r w:rsidRPr="00BB609D">
              <w:t xml:space="preserve"> </w:t>
            </w:r>
          </w:p>
        </w:tc>
        <w:tc>
          <w:tcPr>
            <w:tcW w:w="373" w:type="pct"/>
            <w:vAlign w:val="center"/>
          </w:tcPr>
          <w:p w14:paraId="0D5E049C" w14:textId="77777777" w:rsidR="0083481A" w:rsidRPr="00BB609D" w:rsidRDefault="0083481A" w:rsidP="00860FE3">
            <w:pPr>
              <w:pStyle w:val="TableNText"/>
              <w:jc w:val="right"/>
            </w:pPr>
            <w:r w:rsidRPr="00BB609D">
              <w:t xml:space="preserve"> </w:t>
            </w:r>
          </w:p>
        </w:tc>
        <w:tc>
          <w:tcPr>
            <w:tcW w:w="374" w:type="pct"/>
            <w:vAlign w:val="center"/>
          </w:tcPr>
          <w:p w14:paraId="6AE39449" w14:textId="77777777" w:rsidR="0083481A" w:rsidRPr="00BB609D" w:rsidRDefault="0083481A" w:rsidP="00860FE3">
            <w:pPr>
              <w:pStyle w:val="TableNText"/>
              <w:jc w:val="right"/>
            </w:pPr>
            <w:r w:rsidRPr="00BB609D">
              <w:t> </w:t>
            </w:r>
          </w:p>
        </w:tc>
        <w:tc>
          <w:tcPr>
            <w:tcW w:w="374" w:type="pct"/>
            <w:vAlign w:val="center"/>
          </w:tcPr>
          <w:p w14:paraId="37BC9687" w14:textId="77777777" w:rsidR="0083481A" w:rsidRPr="00BB609D" w:rsidRDefault="0083481A" w:rsidP="00860FE3">
            <w:pPr>
              <w:pStyle w:val="TableNText"/>
              <w:jc w:val="right"/>
            </w:pPr>
            <w:r w:rsidRPr="00BB609D">
              <w:t>8.0</w:t>
            </w:r>
          </w:p>
        </w:tc>
        <w:tc>
          <w:tcPr>
            <w:tcW w:w="374" w:type="pct"/>
            <w:vAlign w:val="center"/>
          </w:tcPr>
          <w:p w14:paraId="58E782FF" w14:textId="77777777" w:rsidR="0083481A" w:rsidRPr="00BB609D" w:rsidRDefault="0083481A" w:rsidP="00860FE3">
            <w:pPr>
              <w:pStyle w:val="TableNText"/>
              <w:jc w:val="right"/>
            </w:pPr>
            <w:r w:rsidRPr="00BB609D">
              <w:t>10.0</w:t>
            </w:r>
          </w:p>
        </w:tc>
        <w:tc>
          <w:tcPr>
            <w:tcW w:w="371" w:type="pct"/>
            <w:vAlign w:val="center"/>
          </w:tcPr>
          <w:p w14:paraId="44995531" w14:textId="77777777" w:rsidR="0083481A" w:rsidRPr="00BB609D" w:rsidRDefault="0083481A" w:rsidP="00860FE3">
            <w:pPr>
              <w:pStyle w:val="TableNText"/>
              <w:jc w:val="right"/>
            </w:pPr>
            <w:r w:rsidRPr="00BB609D">
              <w:t>10.0</w:t>
            </w:r>
          </w:p>
        </w:tc>
        <w:tc>
          <w:tcPr>
            <w:tcW w:w="458" w:type="pct"/>
            <w:vAlign w:val="center"/>
          </w:tcPr>
          <w:p w14:paraId="49660980" w14:textId="77777777" w:rsidR="0083481A" w:rsidRPr="00BB609D" w:rsidRDefault="0083481A" w:rsidP="00860FE3">
            <w:pPr>
              <w:pStyle w:val="TableNText"/>
              <w:jc w:val="right"/>
            </w:pPr>
            <w:r w:rsidRPr="00BB609D">
              <w:t>4.0</w:t>
            </w:r>
          </w:p>
        </w:tc>
        <w:tc>
          <w:tcPr>
            <w:tcW w:w="399" w:type="pct"/>
            <w:vAlign w:val="center"/>
          </w:tcPr>
          <w:p w14:paraId="6A873F07" w14:textId="77777777" w:rsidR="0083481A" w:rsidRPr="00BB609D" w:rsidRDefault="0083481A" w:rsidP="00860FE3">
            <w:pPr>
              <w:pStyle w:val="TableNText"/>
              <w:jc w:val="right"/>
            </w:pPr>
            <w:r w:rsidRPr="00BB609D">
              <w:t> </w:t>
            </w:r>
          </w:p>
        </w:tc>
        <w:tc>
          <w:tcPr>
            <w:tcW w:w="398" w:type="pct"/>
            <w:vAlign w:val="center"/>
          </w:tcPr>
          <w:p w14:paraId="6189CCFA" w14:textId="77777777" w:rsidR="0083481A" w:rsidRPr="00860FE3" w:rsidRDefault="0083481A" w:rsidP="00860FE3">
            <w:pPr>
              <w:pStyle w:val="TableNText"/>
              <w:jc w:val="right"/>
              <w:rPr>
                <w:b/>
              </w:rPr>
            </w:pPr>
            <w:r w:rsidRPr="00860FE3">
              <w:rPr>
                <w:b/>
              </w:rPr>
              <w:t>32.0</w:t>
            </w:r>
          </w:p>
        </w:tc>
        <w:tc>
          <w:tcPr>
            <w:tcW w:w="318" w:type="pct"/>
            <w:vAlign w:val="center"/>
          </w:tcPr>
          <w:p w14:paraId="7E898010" w14:textId="77777777" w:rsidR="0083481A" w:rsidRPr="00BB609D" w:rsidRDefault="0083481A" w:rsidP="00860FE3">
            <w:pPr>
              <w:pStyle w:val="TableNText"/>
              <w:jc w:val="right"/>
            </w:pPr>
            <w:r w:rsidRPr="00BB609D">
              <w:t> </w:t>
            </w:r>
          </w:p>
        </w:tc>
        <w:tc>
          <w:tcPr>
            <w:tcW w:w="148" w:type="pct"/>
            <w:vAlign w:val="center"/>
          </w:tcPr>
          <w:p w14:paraId="7C02DF91" w14:textId="77777777" w:rsidR="0083481A" w:rsidRPr="00860FE3" w:rsidRDefault="0083481A" w:rsidP="00860FE3">
            <w:pPr>
              <w:pStyle w:val="TableNText"/>
              <w:jc w:val="right"/>
              <w:rPr>
                <w:b/>
              </w:rPr>
            </w:pPr>
            <w:r w:rsidRPr="00860FE3">
              <w:rPr>
                <w:b/>
              </w:rPr>
              <w:t>32.0</w:t>
            </w:r>
          </w:p>
        </w:tc>
      </w:tr>
      <w:tr w:rsidR="00E25B33" w14:paraId="199A7086" w14:textId="77777777" w:rsidTr="00E25B33">
        <w:trPr>
          <w:cantSplit/>
          <w:trHeight w:val="280"/>
        </w:trPr>
        <w:tc>
          <w:tcPr>
            <w:tcW w:w="1041" w:type="pct"/>
          </w:tcPr>
          <w:p w14:paraId="7D43675C" w14:textId="77777777" w:rsidR="0083481A" w:rsidRPr="00E90101" w:rsidRDefault="0083481A" w:rsidP="00860FE3">
            <w:pPr>
              <w:pStyle w:val="TableNText"/>
            </w:pPr>
            <w:r w:rsidRPr="00E90101">
              <w:t>Next Generation Clinical Researchers</w:t>
            </w:r>
          </w:p>
        </w:tc>
        <w:tc>
          <w:tcPr>
            <w:tcW w:w="372" w:type="pct"/>
            <w:vAlign w:val="center"/>
          </w:tcPr>
          <w:p w14:paraId="1DE13201" w14:textId="77777777" w:rsidR="0083481A" w:rsidRPr="00BB609D" w:rsidRDefault="0083481A" w:rsidP="00860FE3">
            <w:pPr>
              <w:pStyle w:val="TableNText"/>
              <w:jc w:val="right"/>
            </w:pPr>
            <w:r w:rsidRPr="00BB609D">
              <w:t> </w:t>
            </w:r>
          </w:p>
        </w:tc>
        <w:tc>
          <w:tcPr>
            <w:tcW w:w="373" w:type="pct"/>
            <w:vAlign w:val="center"/>
          </w:tcPr>
          <w:p w14:paraId="63481452" w14:textId="77777777" w:rsidR="0083481A" w:rsidRPr="00BB609D" w:rsidRDefault="0083481A" w:rsidP="00860FE3">
            <w:pPr>
              <w:pStyle w:val="TableNText"/>
              <w:jc w:val="right"/>
            </w:pPr>
            <w:r w:rsidRPr="00BB609D">
              <w:t>1.8</w:t>
            </w:r>
          </w:p>
        </w:tc>
        <w:tc>
          <w:tcPr>
            <w:tcW w:w="374" w:type="pct"/>
            <w:vAlign w:val="center"/>
          </w:tcPr>
          <w:p w14:paraId="5F408453" w14:textId="77777777" w:rsidR="0083481A" w:rsidRPr="00BB609D" w:rsidRDefault="0083481A" w:rsidP="00860FE3">
            <w:pPr>
              <w:pStyle w:val="TableNText"/>
              <w:jc w:val="right"/>
            </w:pPr>
            <w:r w:rsidRPr="00BB609D">
              <w:t>4.3</w:t>
            </w:r>
          </w:p>
        </w:tc>
        <w:tc>
          <w:tcPr>
            <w:tcW w:w="374" w:type="pct"/>
            <w:vAlign w:val="center"/>
          </w:tcPr>
          <w:p w14:paraId="49214BA1" w14:textId="77777777" w:rsidR="0083481A" w:rsidRPr="00BB609D" w:rsidRDefault="0083481A" w:rsidP="00860FE3">
            <w:pPr>
              <w:pStyle w:val="TableNText"/>
              <w:jc w:val="right"/>
            </w:pPr>
            <w:r w:rsidRPr="00BB609D">
              <w:t>21.8</w:t>
            </w:r>
          </w:p>
        </w:tc>
        <w:tc>
          <w:tcPr>
            <w:tcW w:w="374" w:type="pct"/>
            <w:vAlign w:val="center"/>
          </w:tcPr>
          <w:p w14:paraId="1D5F3369" w14:textId="77777777" w:rsidR="0083481A" w:rsidRPr="00BB609D" w:rsidRDefault="0083481A" w:rsidP="00860FE3">
            <w:pPr>
              <w:pStyle w:val="TableNText"/>
              <w:jc w:val="right"/>
            </w:pPr>
            <w:r w:rsidRPr="00BB609D">
              <w:t>22.6</w:t>
            </w:r>
          </w:p>
        </w:tc>
        <w:tc>
          <w:tcPr>
            <w:tcW w:w="371" w:type="pct"/>
            <w:vAlign w:val="center"/>
          </w:tcPr>
          <w:p w14:paraId="68440767" w14:textId="77777777" w:rsidR="0083481A" w:rsidRPr="00BB609D" w:rsidRDefault="0083481A" w:rsidP="00860FE3">
            <w:pPr>
              <w:pStyle w:val="TableNText"/>
              <w:jc w:val="right"/>
            </w:pPr>
            <w:r w:rsidRPr="00BB609D">
              <w:t>10.0</w:t>
            </w:r>
          </w:p>
        </w:tc>
        <w:tc>
          <w:tcPr>
            <w:tcW w:w="458" w:type="pct"/>
            <w:vAlign w:val="center"/>
          </w:tcPr>
          <w:p w14:paraId="14DCE678" w14:textId="77777777" w:rsidR="0083481A" w:rsidRPr="00BB609D" w:rsidRDefault="0083481A" w:rsidP="00860FE3">
            <w:pPr>
              <w:pStyle w:val="TableNText"/>
              <w:jc w:val="right"/>
            </w:pPr>
            <w:r w:rsidRPr="00BB609D">
              <w:t>10.0</w:t>
            </w:r>
          </w:p>
        </w:tc>
        <w:tc>
          <w:tcPr>
            <w:tcW w:w="399" w:type="pct"/>
            <w:vAlign w:val="center"/>
          </w:tcPr>
          <w:p w14:paraId="79823A38" w14:textId="77777777" w:rsidR="0083481A" w:rsidRPr="00BB609D" w:rsidRDefault="0083481A" w:rsidP="00860FE3">
            <w:pPr>
              <w:pStyle w:val="TableNText"/>
              <w:jc w:val="right"/>
            </w:pPr>
            <w:r w:rsidRPr="00BB609D">
              <w:t>7.5</w:t>
            </w:r>
          </w:p>
        </w:tc>
        <w:tc>
          <w:tcPr>
            <w:tcW w:w="398" w:type="pct"/>
            <w:vAlign w:val="center"/>
          </w:tcPr>
          <w:p w14:paraId="14007221" w14:textId="77777777" w:rsidR="0083481A" w:rsidRPr="00860FE3" w:rsidRDefault="0083481A" w:rsidP="00860FE3">
            <w:pPr>
              <w:pStyle w:val="TableNText"/>
              <w:jc w:val="right"/>
              <w:rPr>
                <w:b/>
              </w:rPr>
            </w:pPr>
            <w:r w:rsidRPr="00860FE3">
              <w:rPr>
                <w:b/>
              </w:rPr>
              <w:t>78.0</w:t>
            </w:r>
          </w:p>
        </w:tc>
        <w:tc>
          <w:tcPr>
            <w:tcW w:w="318" w:type="pct"/>
            <w:vAlign w:val="center"/>
          </w:tcPr>
          <w:p w14:paraId="70271229" w14:textId="77777777" w:rsidR="0083481A" w:rsidRPr="00BB609D" w:rsidRDefault="0083481A" w:rsidP="00860FE3">
            <w:pPr>
              <w:pStyle w:val="TableNText"/>
              <w:jc w:val="right"/>
            </w:pPr>
            <w:r w:rsidRPr="00BB609D">
              <w:t> </w:t>
            </w:r>
          </w:p>
        </w:tc>
        <w:tc>
          <w:tcPr>
            <w:tcW w:w="148" w:type="pct"/>
            <w:vAlign w:val="center"/>
          </w:tcPr>
          <w:p w14:paraId="25F09540" w14:textId="77777777" w:rsidR="0083481A" w:rsidRPr="00860FE3" w:rsidRDefault="0083481A" w:rsidP="00860FE3">
            <w:pPr>
              <w:pStyle w:val="TableNText"/>
              <w:jc w:val="right"/>
              <w:rPr>
                <w:b/>
              </w:rPr>
            </w:pPr>
            <w:r w:rsidRPr="00860FE3">
              <w:rPr>
                <w:b/>
              </w:rPr>
              <w:t>78.0</w:t>
            </w:r>
          </w:p>
        </w:tc>
      </w:tr>
      <w:tr w:rsidR="00E25B33" w14:paraId="175412DB" w14:textId="77777777" w:rsidTr="00E25B33">
        <w:trPr>
          <w:cantSplit/>
          <w:trHeight w:val="280"/>
        </w:trPr>
        <w:tc>
          <w:tcPr>
            <w:tcW w:w="1041" w:type="pct"/>
          </w:tcPr>
          <w:p w14:paraId="54DB87F7" w14:textId="77777777" w:rsidR="0083481A" w:rsidRPr="00E90101" w:rsidRDefault="0083481A" w:rsidP="00860FE3">
            <w:pPr>
              <w:pStyle w:val="TableNText"/>
            </w:pPr>
            <w:r w:rsidRPr="00E90101">
              <w:t>Rapid Applied Research Translation</w:t>
            </w:r>
          </w:p>
        </w:tc>
        <w:tc>
          <w:tcPr>
            <w:tcW w:w="372" w:type="pct"/>
            <w:vAlign w:val="center"/>
          </w:tcPr>
          <w:p w14:paraId="04FBECEB" w14:textId="77777777" w:rsidR="0083481A" w:rsidRPr="00BB609D" w:rsidRDefault="0083481A" w:rsidP="00860FE3">
            <w:pPr>
              <w:pStyle w:val="TableNText"/>
              <w:jc w:val="right"/>
            </w:pPr>
            <w:r w:rsidRPr="00BB609D">
              <w:t> </w:t>
            </w:r>
          </w:p>
        </w:tc>
        <w:tc>
          <w:tcPr>
            <w:tcW w:w="373" w:type="pct"/>
            <w:vAlign w:val="center"/>
          </w:tcPr>
          <w:p w14:paraId="4FBCB336" w14:textId="77777777" w:rsidR="0083481A" w:rsidRPr="00BB609D" w:rsidRDefault="0083481A" w:rsidP="00860FE3">
            <w:pPr>
              <w:pStyle w:val="TableNText"/>
              <w:jc w:val="right"/>
            </w:pPr>
            <w:r w:rsidRPr="00BB609D">
              <w:t>10.0</w:t>
            </w:r>
          </w:p>
        </w:tc>
        <w:tc>
          <w:tcPr>
            <w:tcW w:w="374" w:type="pct"/>
            <w:vAlign w:val="center"/>
          </w:tcPr>
          <w:p w14:paraId="1533EF2B" w14:textId="77777777" w:rsidR="0083481A" w:rsidRPr="00BB609D" w:rsidRDefault="0083481A" w:rsidP="00860FE3">
            <w:pPr>
              <w:pStyle w:val="TableNText"/>
              <w:jc w:val="right"/>
            </w:pPr>
            <w:r w:rsidRPr="00BB609D">
              <w:t>20.0</w:t>
            </w:r>
          </w:p>
        </w:tc>
        <w:tc>
          <w:tcPr>
            <w:tcW w:w="374" w:type="pct"/>
            <w:vAlign w:val="center"/>
          </w:tcPr>
          <w:p w14:paraId="046B0237" w14:textId="77777777" w:rsidR="0083481A" w:rsidRPr="00BB609D" w:rsidRDefault="0083481A" w:rsidP="00860FE3">
            <w:pPr>
              <w:pStyle w:val="TableNText"/>
              <w:jc w:val="right"/>
            </w:pPr>
            <w:r w:rsidRPr="00BB609D">
              <w:t>20.0</w:t>
            </w:r>
          </w:p>
        </w:tc>
        <w:tc>
          <w:tcPr>
            <w:tcW w:w="374" w:type="pct"/>
            <w:vAlign w:val="center"/>
          </w:tcPr>
          <w:p w14:paraId="1840B74C" w14:textId="77777777" w:rsidR="0083481A" w:rsidRPr="00BB609D" w:rsidRDefault="0083481A" w:rsidP="00860FE3">
            <w:pPr>
              <w:pStyle w:val="TableNText"/>
              <w:jc w:val="right"/>
            </w:pPr>
            <w:r w:rsidRPr="00BB609D">
              <w:t>20.0</w:t>
            </w:r>
          </w:p>
        </w:tc>
        <w:tc>
          <w:tcPr>
            <w:tcW w:w="371" w:type="pct"/>
            <w:vAlign w:val="center"/>
          </w:tcPr>
          <w:p w14:paraId="05C4A4BF" w14:textId="77777777" w:rsidR="0083481A" w:rsidRPr="00BB609D" w:rsidRDefault="0083481A" w:rsidP="00860FE3">
            <w:pPr>
              <w:pStyle w:val="TableNText"/>
              <w:jc w:val="right"/>
            </w:pPr>
            <w:r w:rsidRPr="00BB609D">
              <w:t>15.0</w:t>
            </w:r>
          </w:p>
        </w:tc>
        <w:tc>
          <w:tcPr>
            <w:tcW w:w="458" w:type="pct"/>
            <w:vAlign w:val="center"/>
          </w:tcPr>
          <w:p w14:paraId="63F0E776" w14:textId="77777777" w:rsidR="0083481A" w:rsidRPr="00BB609D" w:rsidRDefault="0083481A" w:rsidP="00860FE3">
            <w:pPr>
              <w:pStyle w:val="TableNText"/>
              <w:jc w:val="right"/>
            </w:pPr>
            <w:r w:rsidRPr="00BB609D">
              <w:t> </w:t>
            </w:r>
          </w:p>
        </w:tc>
        <w:tc>
          <w:tcPr>
            <w:tcW w:w="399" w:type="pct"/>
            <w:vAlign w:val="center"/>
          </w:tcPr>
          <w:p w14:paraId="2BEC7CED" w14:textId="77777777" w:rsidR="0083481A" w:rsidRPr="00BB609D" w:rsidRDefault="0083481A" w:rsidP="00860FE3">
            <w:pPr>
              <w:pStyle w:val="TableNText"/>
              <w:jc w:val="right"/>
            </w:pPr>
            <w:r w:rsidRPr="00BB609D">
              <w:t> </w:t>
            </w:r>
          </w:p>
        </w:tc>
        <w:tc>
          <w:tcPr>
            <w:tcW w:w="398" w:type="pct"/>
            <w:vAlign w:val="center"/>
          </w:tcPr>
          <w:p w14:paraId="2A814885" w14:textId="77777777" w:rsidR="0083481A" w:rsidRPr="00860FE3" w:rsidRDefault="0083481A" w:rsidP="00860FE3">
            <w:pPr>
              <w:pStyle w:val="TableNText"/>
              <w:jc w:val="right"/>
              <w:rPr>
                <w:b/>
              </w:rPr>
            </w:pPr>
            <w:r w:rsidRPr="00860FE3">
              <w:rPr>
                <w:b/>
              </w:rPr>
              <w:t>85.0</w:t>
            </w:r>
          </w:p>
        </w:tc>
        <w:tc>
          <w:tcPr>
            <w:tcW w:w="318" w:type="pct"/>
            <w:vAlign w:val="center"/>
          </w:tcPr>
          <w:p w14:paraId="3CC7E78A" w14:textId="77777777" w:rsidR="0083481A" w:rsidRPr="00BB609D" w:rsidRDefault="0083481A" w:rsidP="00860FE3">
            <w:pPr>
              <w:pStyle w:val="TableNText"/>
              <w:jc w:val="right"/>
            </w:pPr>
            <w:r w:rsidRPr="00BB609D">
              <w:t> </w:t>
            </w:r>
          </w:p>
        </w:tc>
        <w:tc>
          <w:tcPr>
            <w:tcW w:w="148" w:type="pct"/>
            <w:vAlign w:val="center"/>
          </w:tcPr>
          <w:p w14:paraId="5C0A6F13" w14:textId="77777777" w:rsidR="0083481A" w:rsidRPr="00860FE3" w:rsidRDefault="0083481A" w:rsidP="00860FE3">
            <w:pPr>
              <w:pStyle w:val="TableNText"/>
              <w:jc w:val="right"/>
              <w:rPr>
                <w:b/>
              </w:rPr>
            </w:pPr>
            <w:r w:rsidRPr="00860FE3">
              <w:rPr>
                <w:b/>
              </w:rPr>
              <w:t>85.0</w:t>
            </w:r>
          </w:p>
        </w:tc>
      </w:tr>
      <w:tr w:rsidR="00E25B33" w14:paraId="271E6044" w14:textId="77777777" w:rsidTr="00E25B33">
        <w:trPr>
          <w:cantSplit/>
          <w:trHeight w:val="280"/>
        </w:trPr>
        <w:tc>
          <w:tcPr>
            <w:tcW w:w="1041" w:type="pct"/>
          </w:tcPr>
          <w:p w14:paraId="0F642511" w14:textId="77777777" w:rsidR="0083481A" w:rsidRPr="00015358" w:rsidRDefault="0083481A" w:rsidP="00860FE3">
            <w:pPr>
              <w:pStyle w:val="TableNText"/>
            </w:pPr>
            <w:r w:rsidRPr="00E90101">
              <w:t>Biomedical Translation Bridge</w:t>
            </w:r>
          </w:p>
        </w:tc>
        <w:tc>
          <w:tcPr>
            <w:tcW w:w="372" w:type="pct"/>
            <w:vAlign w:val="center"/>
          </w:tcPr>
          <w:p w14:paraId="0FEEB7EC" w14:textId="77777777" w:rsidR="0083481A" w:rsidRPr="00BB609D" w:rsidRDefault="0083481A" w:rsidP="00860FE3">
            <w:pPr>
              <w:pStyle w:val="TableNText"/>
              <w:jc w:val="right"/>
            </w:pPr>
            <w:r w:rsidRPr="00BB609D">
              <w:t xml:space="preserve"> </w:t>
            </w:r>
          </w:p>
        </w:tc>
        <w:tc>
          <w:tcPr>
            <w:tcW w:w="373" w:type="pct"/>
            <w:vAlign w:val="center"/>
          </w:tcPr>
          <w:p w14:paraId="54129BCB" w14:textId="77777777" w:rsidR="0083481A" w:rsidRPr="00BB609D" w:rsidRDefault="0083481A" w:rsidP="00860FE3">
            <w:pPr>
              <w:pStyle w:val="TableNText"/>
              <w:jc w:val="right"/>
            </w:pPr>
            <w:r w:rsidRPr="00BB609D">
              <w:t> </w:t>
            </w:r>
          </w:p>
        </w:tc>
        <w:tc>
          <w:tcPr>
            <w:tcW w:w="374" w:type="pct"/>
            <w:vAlign w:val="center"/>
          </w:tcPr>
          <w:p w14:paraId="68EFAA63" w14:textId="77777777" w:rsidR="0083481A" w:rsidRPr="00BB609D" w:rsidRDefault="0083481A" w:rsidP="00860FE3">
            <w:pPr>
              <w:pStyle w:val="TableNText"/>
              <w:jc w:val="right"/>
            </w:pPr>
            <w:r w:rsidRPr="00BB609D">
              <w:t>10.4</w:t>
            </w:r>
          </w:p>
        </w:tc>
        <w:tc>
          <w:tcPr>
            <w:tcW w:w="374" w:type="pct"/>
            <w:vAlign w:val="center"/>
          </w:tcPr>
          <w:p w14:paraId="4D688A88" w14:textId="77777777" w:rsidR="0083481A" w:rsidRPr="00BB609D" w:rsidRDefault="0083481A" w:rsidP="00860FE3">
            <w:pPr>
              <w:pStyle w:val="TableNText"/>
              <w:jc w:val="right"/>
            </w:pPr>
            <w:r w:rsidRPr="00BB609D">
              <w:t>5.3</w:t>
            </w:r>
          </w:p>
        </w:tc>
        <w:tc>
          <w:tcPr>
            <w:tcW w:w="374" w:type="pct"/>
            <w:vAlign w:val="center"/>
          </w:tcPr>
          <w:p w14:paraId="3E9752D5" w14:textId="77777777" w:rsidR="0083481A" w:rsidRPr="00BB609D" w:rsidRDefault="0083481A" w:rsidP="00860FE3">
            <w:pPr>
              <w:pStyle w:val="TableNText"/>
              <w:jc w:val="right"/>
            </w:pPr>
            <w:r w:rsidRPr="00BB609D">
              <w:t>5.3</w:t>
            </w:r>
          </w:p>
        </w:tc>
        <w:tc>
          <w:tcPr>
            <w:tcW w:w="371" w:type="pct"/>
            <w:vAlign w:val="center"/>
          </w:tcPr>
          <w:p w14:paraId="4E517D89" w14:textId="77777777" w:rsidR="0083481A" w:rsidRPr="00BB609D" w:rsidRDefault="0083481A" w:rsidP="00860FE3">
            <w:pPr>
              <w:pStyle w:val="TableNText"/>
              <w:jc w:val="right"/>
            </w:pPr>
            <w:r w:rsidRPr="00BB609D">
              <w:t>1.3</w:t>
            </w:r>
          </w:p>
        </w:tc>
        <w:tc>
          <w:tcPr>
            <w:tcW w:w="458" w:type="pct"/>
            <w:vAlign w:val="center"/>
          </w:tcPr>
          <w:p w14:paraId="2749C78A" w14:textId="77777777" w:rsidR="0083481A" w:rsidRPr="00BB609D" w:rsidRDefault="0083481A" w:rsidP="00860FE3">
            <w:pPr>
              <w:pStyle w:val="TableNText"/>
              <w:jc w:val="right"/>
            </w:pPr>
            <w:r w:rsidRPr="00BB609D">
              <w:t> </w:t>
            </w:r>
          </w:p>
        </w:tc>
        <w:tc>
          <w:tcPr>
            <w:tcW w:w="399" w:type="pct"/>
            <w:vAlign w:val="center"/>
          </w:tcPr>
          <w:p w14:paraId="5478B9A5" w14:textId="77777777" w:rsidR="0083481A" w:rsidRPr="00BB609D" w:rsidRDefault="0083481A" w:rsidP="00860FE3">
            <w:pPr>
              <w:pStyle w:val="TableNText"/>
              <w:jc w:val="right"/>
            </w:pPr>
            <w:r w:rsidRPr="00BB609D">
              <w:t> </w:t>
            </w:r>
          </w:p>
        </w:tc>
        <w:tc>
          <w:tcPr>
            <w:tcW w:w="398" w:type="pct"/>
            <w:vAlign w:val="center"/>
          </w:tcPr>
          <w:p w14:paraId="3676D7D8" w14:textId="77777777" w:rsidR="0083481A" w:rsidRPr="00860FE3" w:rsidRDefault="0083481A" w:rsidP="00860FE3">
            <w:pPr>
              <w:pStyle w:val="TableNText"/>
              <w:jc w:val="right"/>
              <w:rPr>
                <w:b/>
              </w:rPr>
            </w:pPr>
            <w:r w:rsidRPr="00860FE3">
              <w:rPr>
                <w:b/>
              </w:rPr>
              <w:t>22.3</w:t>
            </w:r>
          </w:p>
        </w:tc>
        <w:tc>
          <w:tcPr>
            <w:tcW w:w="318" w:type="pct"/>
            <w:vAlign w:val="center"/>
          </w:tcPr>
          <w:p w14:paraId="08433856" w14:textId="77777777" w:rsidR="0083481A" w:rsidRPr="00BB609D" w:rsidRDefault="0083481A" w:rsidP="00860FE3">
            <w:pPr>
              <w:pStyle w:val="TableNText"/>
              <w:jc w:val="right"/>
            </w:pPr>
            <w:r w:rsidRPr="00BB609D">
              <w:t> </w:t>
            </w:r>
          </w:p>
        </w:tc>
        <w:tc>
          <w:tcPr>
            <w:tcW w:w="148" w:type="pct"/>
            <w:vAlign w:val="center"/>
          </w:tcPr>
          <w:p w14:paraId="15D4FDEE" w14:textId="77777777" w:rsidR="0083481A" w:rsidRPr="00860FE3" w:rsidRDefault="0083481A" w:rsidP="00860FE3">
            <w:pPr>
              <w:pStyle w:val="TableNText"/>
              <w:jc w:val="right"/>
              <w:rPr>
                <w:b/>
              </w:rPr>
            </w:pPr>
            <w:r w:rsidRPr="00860FE3">
              <w:rPr>
                <w:b/>
              </w:rPr>
              <w:t>22.3</w:t>
            </w:r>
          </w:p>
        </w:tc>
      </w:tr>
      <w:tr w:rsidR="00E25B33" w14:paraId="5B53742A" w14:textId="77777777" w:rsidTr="00E25B33">
        <w:trPr>
          <w:cantSplit/>
          <w:trHeight w:val="280"/>
        </w:trPr>
        <w:tc>
          <w:tcPr>
            <w:tcW w:w="1041" w:type="pct"/>
          </w:tcPr>
          <w:p w14:paraId="535FCB25" w14:textId="77777777" w:rsidR="003C7D0B" w:rsidRPr="00E90101" w:rsidRDefault="003C7D0B" w:rsidP="00860FE3">
            <w:pPr>
              <w:pStyle w:val="TableNText"/>
            </w:pPr>
            <w:r>
              <w:t>Targeted Translation Research Accelerator</w:t>
            </w:r>
          </w:p>
        </w:tc>
        <w:tc>
          <w:tcPr>
            <w:tcW w:w="372" w:type="pct"/>
            <w:vAlign w:val="center"/>
          </w:tcPr>
          <w:p w14:paraId="1D013E5C" w14:textId="77777777" w:rsidR="003C7D0B" w:rsidRPr="00BB609D" w:rsidRDefault="003C7D0B" w:rsidP="00860FE3">
            <w:pPr>
              <w:pStyle w:val="TableNText"/>
              <w:jc w:val="right"/>
            </w:pPr>
            <w:r w:rsidRPr="00BB609D">
              <w:t> </w:t>
            </w:r>
          </w:p>
        </w:tc>
        <w:tc>
          <w:tcPr>
            <w:tcW w:w="373" w:type="pct"/>
            <w:vAlign w:val="center"/>
          </w:tcPr>
          <w:p w14:paraId="53C202D2" w14:textId="77777777" w:rsidR="003C7D0B" w:rsidRPr="00BB609D" w:rsidRDefault="003C7D0B" w:rsidP="00860FE3">
            <w:pPr>
              <w:pStyle w:val="TableNText"/>
              <w:jc w:val="right"/>
            </w:pPr>
            <w:r w:rsidRPr="00BB609D">
              <w:t> </w:t>
            </w:r>
          </w:p>
        </w:tc>
        <w:tc>
          <w:tcPr>
            <w:tcW w:w="374" w:type="pct"/>
            <w:vAlign w:val="center"/>
          </w:tcPr>
          <w:p w14:paraId="54F3235B" w14:textId="77777777" w:rsidR="003C7D0B" w:rsidRPr="00BB609D" w:rsidRDefault="003C7D0B" w:rsidP="00860FE3">
            <w:pPr>
              <w:pStyle w:val="TableNText"/>
              <w:jc w:val="right"/>
            </w:pPr>
            <w:r w:rsidRPr="00BB609D">
              <w:t> </w:t>
            </w:r>
          </w:p>
        </w:tc>
        <w:tc>
          <w:tcPr>
            <w:tcW w:w="374" w:type="pct"/>
            <w:vAlign w:val="center"/>
          </w:tcPr>
          <w:p w14:paraId="0EA03793" w14:textId="77777777" w:rsidR="003C7D0B" w:rsidRPr="00BB609D" w:rsidRDefault="003C7D0B" w:rsidP="00860FE3">
            <w:pPr>
              <w:pStyle w:val="TableNText"/>
              <w:jc w:val="right"/>
            </w:pPr>
            <w:r w:rsidRPr="00BB609D">
              <w:t>6.5</w:t>
            </w:r>
          </w:p>
        </w:tc>
        <w:tc>
          <w:tcPr>
            <w:tcW w:w="374" w:type="pct"/>
            <w:vAlign w:val="center"/>
          </w:tcPr>
          <w:p w14:paraId="3380A9E4" w14:textId="77777777" w:rsidR="003C7D0B" w:rsidRPr="00BB609D" w:rsidRDefault="003C7D0B" w:rsidP="00860FE3">
            <w:pPr>
              <w:pStyle w:val="TableNText"/>
              <w:jc w:val="right"/>
            </w:pPr>
            <w:r w:rsidRPr="00BB609D">
              <w:t>12.5</w:t>
            </w:r>
          </w:p>
        </w:tc>
        <w:tc>
          <w:tcPr>
            <w:tcW w:w="371" w:type="pct"/>
            <w:vAlign w:val="center"/>
          </w:tcPr>
          <w:p w14:paraId="6A025F1A" w14:textId="77777777" w:rsidR="003C7D0B" w:rsidRPr="00BB609D" w:rsidRDefault="003C7D0B" w:rsidP="00860FE3">
            <w:pPr>
              <w:pStyle w:val="TableNText"/>
              <w:jc w:val="right"/>
            </w:pPr>
            <w:r w:rsidRPr="00BB609D">
              <w:t>12.5</w:t>
            </w:r>
          </w:p>
        </w:tc>
        <w:tc>
          <w:tcPr>
            <w:tcW w:w="458" w:type="pct"/>
            <w:vAlign w:val="center"/>
          </w:tcPr>
          <w:p w14:paraId="78074906" w14:textId="77777777" w:rsidR="003C7D0B" w:rsidRPr="00BB609D" w:rsidRDefault="003C7D0B" w:rsidP="00860FE3">
            <w:pPr>
              <w:pStyle w:val="TableNText"/>
              <w:jc w:val="right"/>
            </w:pPr>
            <w:r w:rsidRPr="00BB609D">
              <w:t>15.5</w:t>
            </w:r>
          </w:p>
        </w:tc>
        <w:tc>
          <w:tcPr>
            <w:tcW w:w="399" w:type="pct"/>
            <w:vAlign w:val="center"/>
          </w:tcPr>
          <w:p w14:paraId="4A89708D" w14:textId="77777777" w:rsidR="003C7D0B" w:rsidRPr="00BB609D" w:rsidRDefault="003C7D0B" w:rsidP="00860FE3">
            <w:pPr>
              <w:pStyle w:val="TableNText"/>
              <w:jc w:val="right"/>
            </w:pPr>
            <w:r w:rsidRPr="00BB609D">
              <w:t>15.5</w:t>
            </w:r>
          </w:p>
        </w:tc>
        <w:tc>
          <w:tcPr>
            <w:tcW w:w="398" w:type="pct"/>
            <w:vAlign w:val="center"/>
          </w:tcPr>
          <w:p w14:paraId="15AFB75A" w14:textId="77777777" w:rsidR="003C7D0B" w:rsidRPr="00860FE3" w:rsidRDefault="003C7D0B" w:rsidP="00860FE3">
            <w:pPr>
              <w:pStyle w:val="TableNText"/>
              <w:jc w:val="right"/>
              <w:rPr>
                <w:b/>
              </w:rPr>
            </w:pPr>
            <w:r w:rsidRPr="00860FE3">
              <w:rPr>
                <w:b/>
              </w:rPr>
              <w:t>62.5</w:t>
            </w:r>
          </w:p>
        </w:tc>
        <w:tc>
          <w:tcPr>
            <w:tcW w:w="318" w:type="pct"/>
            <w:vAlign w:val="center"/>
          </w:tcPr>
          <w:p w14:paraId="1119C147" w14:textId="77777777" w:rsidR="003C7D0B" w:rsidRPr="00BB609D" w:rsidRDefault="003C7D0B" w:rsidP="00860FE3">
            <w:pPr>
              <w:pStyle w:val="TableNText"/>
              <w:jc w:val="right"/>
            </w:pPr>
            <w:r w:rsidRPr="00BB609D">
              <w:t>62.5</w:t>
            </w:r>
          </w:p>
        </w:tc>
        <w:tc>
          <w:tcPr>
            <w:tcW w:w="148" w:type="pct"/>
            <w:vAlign w:val="center"/>
          </w:tcPr>
          <w:p w14:paraId="24188282" w14:textId="77777777" w:rsidR="003C7D0B" w:rsidRPr="00860FE3" w:rsidRDefault="003C7D0B" w:rsidP="00860FE3">
            <w:pPr>
              <w:pStyle w:val="TableNText"/>
              <w:jc w:val="right"/>
              <w:rPr>
                <w:b/>
              </w:rPr>
            </w:pPr>
            <w:r w:rsidRPr="00860FE3">
              <w:rPr>
                <w:b/>
              </w:rPr>
              <w:t>125.0</w:t>
            </w:r>
          </w:p>
        </w:tc>
      </w:tr>
      <w:tr w:rsidR="00E25B33" w14:paraId="5A3A2350" w14:textId="77777777" w:rsidTr="00E25B33">
        <w:trPr>
          <w:cantSplit/>
          <w:trHeight w:val="280"/>
        </w:trPr>
        <w:tc>
          <w:tcPr>
            <w:tcW w:w="1041" w:type="pct"/>
          </w:tcPr>
          <w:p w14:paraId="2B9C5F47" w14:textId="77777777" w:rsidR="0083481A" w:rsidRPr="004F21B1" w:rsidRDefault="0083481A" w:rsidP="00860FE3">
            <w:pPr>
              <w:pStyle w:val="TableNText"/>
            </w:pPr>
            <w:r w:rsidRPr="00E90101">
              <w:t>BioMedTech Horizons</w:t>
            </w:r>
          </w:p>
        </w:tc>
        <w:tc>
          <w:tcPr>
            <w:tcW w:w="372" w:type="pct"/>
            <w:vAlign w:val="center"/>
          </w:tcPr>
          <w:p w14:paraId="28FFEF7A" w14:textId="77777777" w:rsidR="0083481A" w:rsidRPr="00BB609D" w:rsidRDefault="0083481A" w:rsidP="00860FE3">
            <w:pPr>
              <w:pStyle w:val="TableNText"/>
              <w:jc w:val="right"/>
            </w:pPr>
            <w:r w:rsidRPr="00BB609D">
              <w:t> </w:t>
            </w:r>
          </w:p>
        </w:tc>
        <w:tc>
          <w:tcPr>
            <w:tcW w:w="373" w:type="pct"/>
            <w:vAlign w:val="center"/>
          </w:tcPr>
          <w:p w14:paraId="7D92D623" w14:textId="77777777" w:rsidR="0083481A" w:rsidRPr="00BB609D" w:rsidRDefault="0083481A" w:rsidP="00860FE3">
            <w:pPr>
              <w:pStyle w:val="TableNText"/>
              <w:jc w:val="right"/>
            </w:pPr>
            <w:r w:rsidRPr="00BB609D">
              <w:t>10.0</w:t>
            </w:r>
          </w:p>
        </w:tc>
        <w:tc>
          <w:tcPr>
            <w:tcW w:w="374" w:type="pct"/>
            <w:vAlign w:val="center"/>
          </w:tcPr>
          <w:p w14:paraId="052DED1C" w14:textId="77777777" w:rsidR="0083481A" w:rsidRPr="00BB609D" w:rsidRDefault="0083481A" w:rsidP="00860FE3">
            <w:pPr>
              <w:pStyle w:val="TableNText"/>
              <w:jc w:val="right"/>
            </w:pPr>
            <w:r w:rsidRPr="00BB609D">
              <w:t>5.0</w:t>
            </w:r>
          </w:p>
        </w:tc>
        <w:tc>
          <w:tcPr>
            <w:tcW w:w="374" w:type="pct"/>
            <w:vAlign w:val="center"/>
          </w:tcPr>
          <w:p w14:paraId="4DEE1055" w14:textId="77777777" w:rsidR="0083481A" w:rsidRPr="00BB609D" w:rsidRDefault="0083481A" w:rsidP="00860FE3">
            <w:pPr>
              <w:pStyle w:val="TableNText"/>
              <w:jc w:val="right"/>
            </w:pPr>
            <w:r w:rsidRPr="00BB609D">
              <w:t>10.0</w:t>
            </w:r>
          </w:p>
        </w:tc>
        <w:tc>
          <w:tcPr>
            <w:tcW w:w="374" w:type="pct"/>
            <w:vAlign w:val="center"/>
          </w:tcPr>
          <w:p w14:paraId="40F55975" w14:textId="77777777" w:rsidR="0083481A" w:rsidRPr="00BB609D" w:rsidRDefault="0083481A" w:rsidP="00860FE3">
            <w:pPr>
              <w:pStyle w:val="TableNText"/>
              <w:jc w:val="right"/>
            </w:pPr>
            <w:r w:rsidRPr="00BB609D">
              <w:t>20.0</w:t>
            </w:r>
          </w:p>
        </w:tc>
        <w:tc>
          <w:tcPr>
            <w:tcW w:w="371" w:type="pct"/>
            <w:vAlign w:val="center"/>
          </w:tcPr>
          <w:p w14:paraId="1F75A969" w14:textId="77777777" w:rsidR="0083481A" w:rsidRPr="00BB609D" w:rsidRDefault="0083481A" w:rsidP="00860FE3">
            <w:pPr>
              <w:pStyle w:val="TableNText"/>
              <w:jc w:val="right"/>
            </w:pPr>
            <w:r w:rsidRPr="00BB609D">
              <w:t xml:space="preserve"> </w:t>
            </w:r>
          </w:p>
        </w:tc>
        <w:tc>
          <w:tcPr>
            <w:tcW w:w="458" w:type="pct"/>
            <w:vAlign w:val="center"/>
          </w:tcPr>
          <w:p w14:paraId="7FF0D4B1" w14:textId="77777777" w:rsidR="0083481A" w:rsidRPr="00BB609D" w:rsidRDefault="0083481A" w:rsidP="00860FE3">
            <w:pPr>
              <w:pStyle w:val="TableNText"/>
              <w:jc w:val="right"/>
            </w:pPr>
            <w:r w:rsidRPr="00BB609D">
              <w:t> </w:t>
            </w:r>
          </w:p>
        </w:tc>
        <w:tc>
          <w:tcPr>
            <w:tcW w:w="399" w:type="pct"/>
            <w:vAlign w:val="center"/>
          </w:tcPr>
          <w:p w14:paraId="551C894E" w14:textId="77777777" w:rsidR="0083481A" w:rsidRPr="00BB609D" w:rsidRDefault="0083481A" w:rsidP="00860FE3">
            <w:pPr>
              <w:pStyle w:val="TableNText"/>
              <w:jc w:val="right"/>
            </w:pPr>
            <w:r w:rsidRPr="00BB609D">
              <w:t> </w:t>
            </w:r>
          </w:p>
        </w:tc>
        <w:tc>
          <w:tcPr>
            <w:tcW w:w="398" w:type="pct"/>
            <w:vAlign w:val="center"/>
          </w:tcPr>
          <w:p w14:paraId="42CC4AAE" w14:textId="77777777" w:rsidR="0083481A" w:rsidRPr="00860FE3" w:rsidRDefault="0083481A" w:rsidP="00860FE3">
            <w:pPr>
              <w:pStyle w:val="TableNText"/>
              <w:jc w:val="right"/>
              <w:rPr>
                <w:b/>
              </w:rPr>
            </w:pPr>
            <w:r w:rsidRPr="00860FE3">
              <w:rPr>
                <w:b/>
              </w:rPr>
              <w:t>45.0</w:t>
            </w:r>
          </w:p>
        </w:tc>
        <w:tc>
          <w:tcPr>
            <w:tcW w:w="318" w:type="pct"/>
            <w:vAlign w:val="center"/>
          </w:tcPr>
          <w:p w14:paraId="3259CAC8" w14:textId="77777777" w:rsidR="0083481A" w:rsidRPr="00BB609D" w:rsidRDefault="0083481A" w:rsidP="00860FE3">
            <w:pPr>
              <w:pStyle w:val="TableNText"/>
              <w:jc w:val="right"/>
            </w:pPr>
            <w:r w:rsidRPr="00BB609D">
              <w:t> </w:t>
            </w:r>
          </w:p>
        </w:tc>
        <w:tc>
          <w:tcPr>
            <w:tcW w:w="148" w:type="pct"/>
            <w:vAlign w:val="center"/>
          </w:tcPr>
          <w:p w14:paraId="39C51EC4" w14:textId="77777777" w:rsidR="0083481A" w:rsidRPr="00860FE3" w:rsidRDefault="0083481A" w:rsidP="00860FE3">
            <w:pPr>
              <w:pStyle w:val="TableNText"/>
              <w:jc w:val="right"/>
              <w:rPr>
                <w:b/>
              </w:rPr>
            </w:pPr>
            <w:r w:rsidRPr="00860FE3">
              <w:rPr>
                <w:b/>
              </w:rPr>
              <w:t>45.0</w:t>
            </w:r>
          </w:p>
        </w:tc>
      </w:tr>
      <w:tr w:rsidR="00E25B33" w14:paraId="62B98424" w14:textId="77777777" w:rsidTr="00E25B33">
        <w:trPr>
          <w:cantSplit/>
          <w:trHeight w:val="280"/>
        </w:trPr>
        <w:tc>
          <w:tcPr>
            <w:tcW w:w="1041" w:type="pct"/>
            <w:shd w:val="clear" w:color="auto" w:fill="244061" w:themeFill="accent1" w:themeFillShade="80"/>
            <w:vAlign w:val="center"/>
          </w:tcPr>
          <w:p w14:paraId="57F501A6" w14:textId="2958F0DC" w:rsidR="009C70B4" w:rsidRPr="009C70B4" w:rsidRDefault="009C70B4" w:rsidP="009C70B4">
            <w:pPr>
              <w:pStyle w:val="TableNText"/>
              <w:jc w:val="right"/>
              <w:rPr>
                <w:b/>
                <w:color w:val="FFFFFF" w:themeColor="background1"/>
              </w:rPr>
            </w:pPr>
            <w:r w:rsidRPr="009C70B4">
              <w:rPr>
                <w:b/>
                <w:color w:val="FFFFFF" w:themeColor="background1"/>
              </w:rPr>
              <w:t>Total</w:t>
            </w:r>
          </w:p>
        </w:tc>
        <w:tc>
          <w:tcPr>
            <w:tcW w:w="372" w:type="pct"/>
            <w:shd w:val="clear" w:color="auto" w:fill="244061" w:themeFill="accent1" w:themeFillShade="80"/>
            <w:vAlign w:val="center"/>
          </w:tcPr>
          <w:p w14:paraId="6D4D1066" w14:textId="1A567BC7" w:rsidR="009C70B4" w:rsidRPr="009C70B4" w:rsidRDefault="009C70B4" w:rsidP="009C70B4">
            <w:pPr>
              <w:pStyle w:val="TableNText"/>
              <w:jc w:val="right"/>
              <w:rPr>
                <w:b/>
                <w:color w:val="FFFFFF" w:themeColor="background1"/>
              </w:rPr>
            </w:pPr>
            <w:r w:rsidRPr="009C70B4">
              <w:rPr>
                <w:b/>
                <w:color w:val="FFFFFF" w:themeColor="background1"/>
              </w:rPr>
              <w:t xml:space="preserve"> 18.0 </w:t>
            </w:r>
          </w:p>
        </w:tc>
        <w:tc>
          <w:tcPr>
            <w:tcW w:w="373" w:type="pct"/>
            <w:shd w:val="clear" w:color="auto" w:fill="244061" w:themeFill="accent1" w:themeFillShade="80"/>
            <w:vAlign w:val="center"/>
          </w:tcPr>
          <w:p w14:paraId="407B03C1" w14:textId="02D73FDD" w:rsidR="009C70B4" w:rsidRPr="009C70B4" w:rsidRDefault="009C70B4" w:rsidP="009C70B4">
            <w:pPr>
              <w:pStyle w:val="TableNText"/>
              <w:jc w:val="right"/>
              <w:rPr>
                <w:b/>
                <w:color w:val="FFFFFF" w:themeColor="background1"/>
              </w:rPr>
            </w:pPr>
            <w:r w:rsidRPr="009C70B4">
              <w:rPr>
                <w:b/>
                <w:color w:val="FFFFFF" w:themeColor="background1"/>
              </w:rPr>
              <w:t xml:space="preserve"> 30.1 </w:t>
            </w:r>
          </w:p>
        </w:tc>
        <w:tc>
          <w:tcPr>
            <w:tcW w:w="374" w:type="pct"/>
            <w:shd w:val="clear" w:color="auto" w:fill="244061" w:themeFill="accent1" w:themeFillShade="80"/>
            <w:vAlign w:val="center"/>
          </w:tcPr>
          <w:p w14:paraId="4A4BCFC4" w14:textId="22C8AE99" w:rsidR="009C70B4" w:rsidRPr="009C70B4" w:rsidRDefault="009C70B4" w:rsidP="009C70B4">
            <w:pPr>
              <w:pStyle w:val="TableNText"/>
              <w:jc w:val="right"/>
              <w:rPr>
                <w:b/>
                <w:color w:val="FFFFFF" w:themeColor="background1"/>
              </w:rPr>
            </w:pPr>
            <w:r w:rsidRPr="009C70B4">
              <w:rPr>
                <w:b/>
                <w:color w:val="FFFFFF" w:themeColor="background1"/>
              </w:rPr>
              <w:t xml:space="preserve">138.7 </w:t>
            </w:r>
          </w:p>
        </w:tc>
        <w:tc>
          <w:tcPr>
            <w:tcW w:w="374" w:type="pct"/>
            <w:shd w:val="clear" w:color="auto" w:fill="244061" w:themeFill="accent1" w:themeFillShade="80"/>
            <w:vAlign w:val="center"/>
          </w:tcPr>
          <w:p w14:paraId="596E6513" w14:textId="0F8CA729" w:rsidR="009C70B4" w:rsidRPr="009C70B4" w:rsidRDefault="009C70B4" w:rsidP="009C70B4">
            <w:pPr>
              <w:pStyle w:val="TableNText"/>
              <w:jc w:val="right"/>
              <w:rPr>
                <w:b/>
                <w:color w:val="FFFFFF" w:themeColor="background1"/>
              </w:rPr>
            </w:pPr>
            <w:r w:rsidRPr="009C70B4">
              <w:rPr>
                <w:b/>
                <w:color w:val="FFFFFF" w:themeColor="background1"/>
              </w:rPr>
              <w:t xml:space="preserve">281.0 </w:t>
            </w:r>
          </w:p>
        </w:tc>
        <w:tc>
          <w:tcPr>
            <w:tcW w:w="374" w:type="pct"/>
            <w:shd w:val="clear" w:color="auto" w:fill="244061" w:themeFill="accent1" w:themeFillShade="80"/>
            <w:vAlign w:val="center"/>
          </w:tcPr>
          <w:p w14:paraId="7B285FB1" w14:textId="0AB62E63" w:rsidR="009C70B4" w:rsidRPr="009C70B4" w:rsidRDefault="009C70B4" w:rsidP="009C70B4">
            <w:pPr>
              <w:pStyle w:val="TableNText"/>
              <w:jc w:val="right"/>
              <w:rPr>
                <w:b/>
                <w:color w:val="FFFFFF" w:themeColor="background1"/>
              </w:rPr>
            </w:pPr>
            <w:r w:rsidRPr="009C70B4">
              <w:rPr>
                <w:b/>
                <w:color w:val="FFFFFF" w:themeColor="background1"/>
              </w:rPr>
              <w:t xml:space="preserve">346.8 </w:t>
            </w:r>
          </w:p>
        </w:tc>
        <w:tc>
          <w:tcPr>
            <w:tcW w:w="371" w:type="pct"/>
            <w:shd w:val="clear" w:color="auto" w:fill="244061" w:themeFill="accent1" w:themeFillShade="80"/>
            <w:vAlign w:val="center"/>
          </w:tcPr>
          <w:p w14:paraId="56EC08AE" w14:textId="192B6117" w:rsidR="009C70B4" w:rsidRPr="009C70B4" w:rsidRDefault="009C70B4" w:rsidP="009C70B4">
            <w:pPr>
              <w:pStyle w:val="TableNText"/>
              <w:jc w:val="right"/>
              <w:rPr>
                <w:b/>
                <w:color w:val="FFFFFF" w:themeColor="background1"/>
              </w:rPr>
            </w:pPr>
            <w:r w:rsidRPr="009C70B4">
              <w:rPr>
                <w:b/>
                <w:color w:val="FFFFFF" w:themeColor="background1"/>
              </w:rPr>
              <w:t xml:space="preserve">280.6 </w:t>
            </w:r>
          </w:p>
        </w:tc>
        <w:tc>
          <w:tcPr>
            <w:tcW w:w="458" w:type="pct"/>
            <w:shd w:val="clear" w:color="auto" w:fill="244061" w:themeFill="accent1" w:themeFillShade="80"/>
            <w:vAlign w:val="center"/>
          </w:tcPr>
          <w:p w14:paraId="3815CCF5" w14:textId="21886D68" w:rsidR="009C70B4" w:rsidRPr="009C70B4" w:rsidRDefault="009C70B4" w:rsidP="009C70B4">
            <w:pPr>
              <w:pStyle w:val="TableNText"/>
              <w:jc w:val="right"/>
              <w:rPr>
                <w:b/>
                <w:color w:val="FFFFFF" w:themeColor="background1"/>
              </w:rPr>
            </w:pPr>
            <w:r w:rsidRPr="009C70B4">
              <w:rPr>
                <w:b/>
                <w:color w:val="FFFFFF" w:themeColor="background1"/>
              </w:rPr>
              <w:t xml:space="preserve">183.6 </w:t>
            </w:r>
          </w:p>
        </w:tc>
        <w:tc>
          <w:tcPr>
            <w:tcW w:w="399" w:type="pct"/>
            <w:shd w:val="clear" w:color="auto" w:fill="244061" w:themeFill="accent1" w:themeFillShade="80"/>
            <w:vAlign w:val="center"/>
          </w:tcPr>
          <w:p w14:paraId="3764B35D" w14:textId="3ED9EE7C" w:rsidR="009C70B4" w:rsidRPr="009C70B4" w:rsidRDefault="009C70B4" w:rsidP="009C70B4">
            <w:pPr>
              <w:pStyle w:val="TableNText"/>
              <w:jc w:val="right"/>
              <w:rPr>
                <w:b/>
                <w:color w:val="FFFFFF" w:themeColor="background1"/>
              </w:rPr>
            </w:pPr>
            <w:r w:rsidRPr="009C70B4">
              <w:rPr>
                <w:b/>
                <w:color w:val="FFFFFF" w:themeColor="background1"/>
              </w:rPr>
              <w:t xml:space="preserve"> 125.4 </w:t>
            </w:r>
          </w:p>
        </w:tc>
        <w:tc>
          <w:tcPr>
            <w:tcW w:w="398" w:type="pct"/>
            <w:shd w:val="clear" w:color="auto" w:fill="244061" w:themeFill="accent1" w:themeFillShade="80"/>
            <w:vAlign w:val="center"/>
          </w:tcPr>
          <w:p w14:paraId="2D41C0E4" w14:textId="68870DC6" w:rsidR="009C70B4" w:rsidRPr="009C70B4" w:rsidRDefault="009C70B4" w:rsidP="009C70B4">
            <w:pPr>
              <w:pStyle w:val="TableNText"/>
              <w:jc w:val="right"/>
              <w:rPr>
                <w:b/>
                <w:color w:val="FFFFFF" w:themeColor="background1"/>
              </w:rPr>
            </w:pPr>
            <w:r w:rsidRPr="009C70B4">
              <w:rPr>
                <w:b/>
                <w:color w:val="FFFFFF" w:themeColor="background1"/>
              </w:rPr>
              <w:t xml:space="preserve">1,404.0 </w:t>
            </w:r>
          </w:p>
        </w:tc>
        <w:tc>
          <w:tcPr>
            <w:tcW w:w="318" w:type="pct"/>
            <w:shd w:val="clear" w:color="auto" w:fill="244061" w:themeFill="accent1" w:themeFillShade="80"/>
            <w:vAlign w:val="center"/>
          </w:tcPr>
          <w:p w14:paraId="4E91B6F4" w14:textId="3198759C" w:rsidR="009C70B4" w:rsidRPr="009C70B4" w:rsidRDefault="009C70B4" w:rsidP="009C70B4">
            <w:pPr>
              <w:pStyle w:val="TableNText"/>
              <w:jc w:val="right"/>
              <w:rPr>
                <w:b/>
                <w:color w:val="FFFFFF" w:themeColor="background1"/>
              </w:rPr>
            </w:pPr>
            <w:r w:rsidRPr="009C70B4">
              <w:rPr>
                <w:b/>
                <w:color w:val="FFFFFF" w:themeColor="background1"/>
              </w:rPr>
              <w:t xml:space="preserve">313.7 </w:t>
            </w:r>
          </w:p>
        </w:tc>
        <w:tc>
          <w:tcPr>
            <w:tcW w:w="148" w:type="pct"/>
            <w:shd w:val="clear" w:color="auto" w:fill="244061" w:themeFill="accent1" w:themeFillShade="80"/>
            <w:vAlign w:val="center"/>
          </w:tcPr>
          <w:p w14:paraId="47249D76" w14:textId="0CD784FE" w:rsidR="009C70B4" w:rsidRPr="009C70B4" w:rsidRDefault="009C70B4" w:rsidP="009C70B4">
            <w:pPr>
              <w:pStyle w:val="TableNText"/>
              <w:jc w:val="right"/>
              <w:rPr>
                <w:b/>
                <w:color w:val="FFFFFF" w:themeColor="background1"/>
              </w:rPr>
            </w:pPr>
            <w:r w:rsidRPr="009C70B4">
              <w:rPr>
                <w:b/>
                <w:color w:val="FFFFFF" w:themeColor="background1"/>
              </w:rPr>
              <w:t xml:space="preserve">1,217.6 </w:t>
            </w:r>
          </w:p>
        </w:tc>
      </w:tr>
    </w:tbl>
    <w:p w14:paraId="04449F48" w14:textId="77777777" w:rsidR="00352A0A" w:rsidRPr="002B383D" w:rsidRDefault="00352A0A" w:rsidP="00024322">
      <w:pPr>
        <w:pStyle w:val="Heading1"/>
        <w:keepNext/>
        <w:pageBreakBefore/>
        <w:numPr>
          <w:ilvl w:val="0"/>
          <w:numId w:val="5"/>
        </w:numPr>
        <w:spacing w:before="0" w:after="240" w:line="560" w:lineRule="exact"/>
        <w:ind w:left="357" w:hanging="357"/>
        <w:contextualSpacing w:val="0"/>
        <w:rPr>
          <w:rFonts w:ascii="Arial" w:hAnsi="Arial" w:cs="Arial"/>
          <w:lang w:val="en-US"/>
        </w:rPr>
      </w:pPr>
      <w:bookmarkStart w:id="11" w:name="_Toc5785662"/>
      <w:r w:rsidRPr="002B383D">
        <w:rPr>
          <w:rFonts w:ascii="Arial" w:hAnsi="Arial" w:cs="Arial"/>
          <w:lang w:val="en-US"/>
        </w:rPr>
        <w:lastRenderedPageBreak/>
        <w:t>Processes for determining grants of financial assistance</w:t>
      </w:r>
      <w:bookmarkEnd w:id="11"/>
    </w:p>
    <w:p w14:paraId="579F4A5F" w14:textId="77777777" w:rsidR="00062CA5" w:rsidRDefault="00062CA5" w:rsidP="00860FE3">
      <w:pPr>
        <w:spacing w:before="120" w:after="120" w:line="240" w:lineRule="auto"/>
        <w:rPr>
          <w:rFonts w:ascii="Arial" w:hAnsi="Arial" w:cs="Arial"/>
          <w:szCs w:val="22"/>
          <w:lang w:eastAsia="en-AU"/>
        </w:rPr>
      </w:pPr>
      <w:r>
        <w:rPr>
          <w:rFonts w:ascii="Arial" w:hAnsi="Arial" w:cs="Arial"/>
          <w:szCs w:val="22"/>
          <w:lang w:eastAsia="en-AU"/>
        </w:rPr>
        <w:t>MRFF i</w:t>
      </w:r>
      <w:r w:rsidRPr="000541AA">
        <w:rPr>
          <w:rFonts w:ascii="Arial" w:hAnsi="Arial" w:cs="Arial"/>
          <w:szCs w:val="22"/>
          <w:lang w:eastAsia="en-AU"/>
        </w:rPr>
        <w:t xml:space="preserve">nitiatives </w:t>
      </w:r>
      <w:r>
        <w:rPr>
          <w:rFonts w:ascii="Arial" w:hAnsi="Arial" w:cs="Arial"/>
          <w:szCs w:val="22"/>
          <w:lang w:eastAsia="en-AU"/>
        </w:rPr>
        <w:t>agreed to by Government are designed i</w:t>
      </w:r>
      <w:r w:rsidR="00F56F40">
        <w:rPr>
          <w:rFonts w:ascii="Arial" w:hAnsi="Arial" w:cs="Arial"/>
          <w:szCs w:val="22"/>
          <w:lang w:eastAsia="en-AU"/>
        </w:rPr>
        <w:t>nclusive of grant opportunities</w:t>
      </w:r>
      <w:r w:rsidRPr="000541AA">
        <w:rPr>
          <w:rFonts w:ascii="Arial" w:hAnsi="Arial" w:cs="Arial"/>
          <w:szCs w:val="22"/>
          <w:lang w:eastAsia="en-AU"/>
        </w:rPr>
        <w:t xml:space="preserve">. </w:t>
      </w:r>
      <w:r>
        <w:rPr>
          <w:rFonts w:ascii="Arial" w:hAnsi="Arial" w:cs="Arial"/>
          <w:szCs w:val="22"/>
          <w:lang w:eastAsia="en-AU"/>
        </w:rPr>
        <w:t xml:space="preserve">All MRFF grant opportunities have been conducted consistent with the </w:t>
      </w:r>
      <w:r w:rsidRPr="00056AC4">
        <w:rPr>
          <w:rFonts w:ascii="Arial" w:hAnsi="Arial" w:cs="Arial"/>
          <w:i/>
          <w:szCs w:val="22"/>
          <w:lang w:eastAsia="en-AU"/>
        </w:rPr>
        <w:t>Public Governance and Performance Accountability Act 2013</w:t>
      </w:r>
      <w:r>
        <w:rPr>
          <w:rFonts w:ascii="Arial" w:hAnsi="Arial" w:cs="Arial"/>
          <w:szCs w:val="22"/>
          <w:lang w:eastAsia="en-AU"/>
        </w:rPr>
        <w:t xml:space="preserve">, associated </w:t>
      </w:r>
      <w:r w:rsidRPr="00056AC4">
        <w:rPr>
          <w:rFonts w:ascii="Arial" w:hAnsi="Arial" w:cs="Arial"/>
          <w:i/>
          <w:szCs w:val="22"/>
          <w:lang w:eastAsia="en-AU"/>
        </w:rPr>
        <w:t>Commonwealth Grant Rules and Guidelines 2017</w:t>
      </w:r>
      <w:r>
        <w:rPr>
          <w:rFonts w:ascii="Arial" w:hAnsi="Arial" w:cs="Arial"/>
          <w:szCs w:val="22"/>
          <w:lang w:eastAsia="en-AU"/>
        </w:rPr>
        <w:t xml:space="preserve"> </w:t>
      </w:r>
      <w:r w:rsidR="00F56F40">
        <w:rPr>
          <w:rFonts w:ascii="Arial" w:hAnsi="Arial" w:cs="Arial"/>
          <w:szCs w:val="22"/>
          <w:lang w:eastAsia="en-AU"/>
        </w:rPr>
        <w:t xml:space="preserve">(CGRGs) </w:t>
      </w:r>
      <w:r>
        <w:rPr>
          <w:rFonts w:ascii="Arial" w:hAnsi="Arial" w:cs="Arial"/>
          <w:szCs w:val="22"/>
          <w:lang w:eastAsia="en-AU"/>
        </w:rPr>
        <w:t>and the MRFF Act.</w:t>
      </w:r>
      <w:r w:rsidR="00F56F40">
        <w:rPr>
          <w:rFonts w:ascii="Arial" w:hAnsi="Arial" w:cs="Arial"/>
          <w:szCs w:val="22"/>
          <w:lang w:eastAsia="en-AU"/>
        </w:rPr>
        <w:t xml:space="preserve"> The outcome of these grant opportunities identify the individual grant </w:t>
      </w:r>
      <w:r w:rsidR="00EE3EB5">
        <w:rPr>
          <w:rFonts w:ascii="Arial" w:hAnsi="Arial" w:cs="Arial"/>
          <w:szCs w:val="22"/>
          <w:lang w:eastAsia="en-AU"/>
        </w:rPr>
        <w:t>recipients</w:t>
      </w:r>
      <w:r w:rsidR="00F56F40">
        <w:rPr>
          <w:rFonts w:ascii="Arial" w:hAnsi="Arial" w:cs="Arial"/>
          <w:szCs w:val="22"/>
          <w:lang w:eastAsia="en-AU"/>
        </w:rPr>
        <w:t>.</w:t>
      </w:r>
    </w:p>
    <w:p w14:paraId="14F507B7" w14:textId="77777777" w:rsidR="00352A0A" w:rsidRPr="00860FE3" w:rsidRDefault="003E1D5D" w:rsidP="00860FE3">
      <w:pPr>
        <w:pStyle w:val="Heading2"/>
        <w:keepLines w:val="0"/>
        <w:numPr>
          <w:ilvl w:val="1"/>
          <w:numId w:val="5"/>
        </w:numPr>
        <w:spacing w:before="480" w:after="180" w:line="380" w:lineRule="exact"/>
        <w:rPr>
          <w:b w:val="0"/>
        </w:rPr>
      </w:pPr>
      <w:bookmarkStart w:id="12" w:name="_Toc5785663"/>
      <w:r>
        <w:rPr>
          <w:b w:val="0"/>
        </w:rPr>
        <w:t>Determination of MRFF initiatives</w:t>
      </w:r>
      <w:bookmarkEnd w:id="12"/>
    </w:p>
    <w:p w14:paraId="1735ABDC" w14:textId="77777777" w:rsidR="00352A0A" w:rsidRPr="000541AA" w:rsidRDefault="00352A0A" w:rsidP="00860FE3">
      <w:pPr>
        <w:pStyle w:val="Bullet"/>
        <w:numPr>
          <w:ilvl w:val="0"/>
          <w:numId w:val="0"/>
        </w:numPr>
        <w:rPr>
          <w:rFonts w:ascii="Arial" w:hAnsi="Arial" w:cs="Arial"/>
          <w:sz w:val="22"/>
          <w:szCs w:val="22"/>
        </w:rPr>
      </w:pPr>
      <w:r w:rsidRPr="000541AA">
        <w:rPr>
          <w:rFonts w:ascii="Arial" w:hAnsi="Arial" w:cs="Arial"/>
          <w:sz w:val="22"/>
          <w:szCs w:val="22"/>
        </w:rPr>
        <w:t>AMRAB</w:t>
      </w:r>
      <w:r w:rsidR="003E1D5D">
        <w:rPr>
          <w:rFonts w:ascii="Arial" w:hAnsi="Arial" w:cs="Arial"/>
          <w:sz w:val="22"/>
          <w:szCs w:val="22"/>
        </w:rPr>
        <w:t xml:space="preserve"> is responsible for</w:t>
      </w:r>
      <w:r w:rsidRPr="000541AA">
        <w:rPr>
          <w:rFonts w:ascii="Arial" w:hAnsi="Arial" w:cs="Arial"/>
          <w:sz w:val="22"/>
          <w:szCs w:val="22"/>
        </w:rPr>
        <w:t xml:space="preserve"> de</w:t>
      </w:r>
      <w:r w:rsidR="003E1D5D">
        <w:rPr>
          <w:rFonts w:ascii="Arial" w:hAnsi="Arial" w:cs="Arial"/>
          <w:sz w:val="22"/>
          <w:szCs w:val="22"/>
        </w:rPr>
        <w:t xml:space="preserve">veloping </w:t>
      </w:r>
      <w:r w:rsidRPr="000541AA">
        <w:rPr>
          <w:rFonts w:ascii="Arial" w:hAnsi="Arial" w:cs="Arial"/>
          <w:sz w:val="22"/>
          <w:szCs w:val="22"/>
        </w:rPr>
        <w:t xml:space="preserve">the </w:t>
      </w:r>
      <w:r w:rsidR="00F56F40">
        <w:rPr>
          <w:rFonts w:ascii="Arial" w:hAnsi="Arial" w:cs="Arial"/>
          <w:sz w:val="22"/>
          <w:szCs w:val="22"/>
        </w:rPr>
        <w:t xml:space="preserve">MRFF </w:t>
      </w:r>
      <w:r w:rsidRPr="000541AA">
        <w:rPr>
          <w:rFonts w:ascii="Arial" w:hAnsi="Arial" w:cs="Arial"/>
          <w:sz w:val="22"/>
          <w:szCs w:val="22"/>
        </w:rPr>
        <w:t>Strategy and Priorities. The 2016-</w:t>
      </w:r>
      <w:r w:rsidR="00C26D36">
        <w:rPr>
          <w:rFonts w:ascii="Arial" w:hAnsi="Arial" w:cs="Arial"/>
          <w:sz w:val="22"/>
          <w:szCs w:val="22"/>
        </w:rPr>
        <w:t>20</w:t>
      </w:r>
      <w:r w:rsidRPr="000541AA">
        <w:rPr>
          <w:rFonts w:ascii="Arial" w:hAnsi="Arial" w:cs="Arial"/>
          <w:sz w:val="22"/>
          <w:szCs w:val="22"/>
        </w:rPr>
        <w:t>21 Strategy and the 2016-</w:t>
      </w:r>
      <w:r w:rsidR="00C26D36">
        <w:rPr>
          <w:rFonts w:ascii="Arial" w:hAnsi="Arial" w:cs="Arial"/>
          <w:sz w:val="22"/>
          <w:szCs w:val="22"/>
        </w:rPr>
        <w:t>20</w:t>
      </w:r>
      <w:r w:rsidRPr="000541AA">
        <w:rPr>
          <w:rFonts w:ascii="Arial" w:hAnsi="Arial" w:cs="Arial"/>
          <w:sz w:val="22"/>
          <w:szCs w:val="22"/>
        </w:rPr>
        <w:t>18 Priorities were determined by AMRAB through extensive national consultation with consumers, researchers, healthcare providers and managers.</w:t>
      </w:r>
    </w:p>
    <w:p w14:paraId="010EC921" w14:textId="77BF0E03" w:rsidR="00352A0A" w:rsidRPr="000541AA" w:rsidRDefault="006B2553" w:rsidP="00860FE3">
      <w:pPr>
        <w:pStyle w:val="Bullet"/>
        <w:numPr>
          <w:ilvl w:val="0"/>
          <w:numId w:val="0"/>
        </w:numPr>
        <w:rPr>
          <w:rFonts w:ascii="Arial" w:hAnsi="Arial" w:cs="Arial"/>
          <w:sz w:val="22"/>
          <w:szCs w:val="22"/>
        </w:rPr>
      </w:pPr>
      <w:r>
        <w:rPr>
          <w:rFonts w:ascii="Arial" w:hAnsi="Arial" w:cs="Arial"/>
          <w:sz w:val="22"/>
          <w:szCs w:val="22"/>
        </w:rPr>
        <w:t>The Minister for Health</w:t>
      </w:r>
      <w:r w:rsidR="00352A0A" w:rsidRPr="000541AA">
        <w:rPr>
          <w:rFonts w:ascii="Arial" w:hAnsi="Arial" w:cs="Arial"/>
          <w:sz w:val="22"/>
          <w:szCs w:val="22"/>
        </w:rPr>
        <w:t xml:space="preserve"> </w:t>
      </w:r>
      <w:r w:rsidR="00814FCE">
        <w:rPr>
          <w:rFonts w:ascii="Arial" w:hAnsi="Arial" w:cs="Arial"/>
          <w:sz w:val="22"/>
          <w:szCs w:val="22"/>
        </w:rPr>
        <w:t xml:space="preserve">must take into account </w:t>
      </w:r>
      <w:r w:rsidR="00352A0A" w:rsidRPr="000541AA">
        <w:rPr>
          <w:rFonts w:ascii="Arial" w:hAnsi="Arial" w:cs="Arial"/>
          <w:sz w:val="22"/>
          <w:szCs w:val="22"/>
        </w:rPr>
        <w:t xml:space="preserve">the </w:t>
      </w:r>
      <w:r w:rsidR="00814FCE">
        <w:rPr>
          <w:rFonts w:ascii="Arial" w:hAnsi="Arial" w:cs="Arial"/>
          <w:sz w:val="22"/>
          <w:szCs w:val="22"/>
        </w:rPr>
        <w:t>MRFF</w:t>
      </w:r>
      <w:r w:rsidR="00352A0A" w:rsidRPr="000541AA">
        <w:rPr>
          <w:rFonts w:ascii="Arial" w:hAnsi="Arial" w:cs="Arial"/>
          <w:sz w:val="22"/>
          <w:szCs w:val="22"/>
        </w:rPr>
        <w:t xml:space="preserve"> Priorities </w:t>
      </w:r>
      <w:r w:rsidR="00814FCE">
        <w:rPr>
          <w:rFonts w:ascii="Arial" w:hAnsi="Arial" w:cs="Arial"/>
          <w:sz w:val="22"/>
          <w:szCs w:val="22"/>
        </w:rPr>
        <w:t>when</w:t>
      </w:r>
      <w:r w:rsidR="00352A0A" w:rsidRPr="000541AA">
        <w:rPr>
          <w:rFonts w:ascii="Arial" w:hAnsi="Arial" w:cs="Arial"/>
          <w:sz w:val="22"/>
          <w:szCs w:val="22"/>
        </w:rPr>
        <w:t xml:space="preserve"> </w:t>
      </w:r>
      <w:r w:rsidR="00814FCE">
        <w:rPr>
          <w:rFonts w:ascii="Arial" w:hAnsi="Arial" w:cs="Arial"/>
          <w:sz w:val="22"/>
          <w:szCs w:val="22"/>
        </w:rPr>
        <w:t>determining</w:t>
      </w:r>
      <w:r w:rsidR="00352A0A" w:rsidRPr="00075F9E">
        <w:rPr>
          <w:rFonts w:ascii="Arial" w:hAnsi="Arial" w:cs="Arial"/>
          <w:sz w:val="22"/>
          <w:szCs w:val="22"/>
        </w:rPr>
        <w:t xml:space="preserve"> </w:t>
      </w:r>
      <w:r w:rsidR="003E1D5D">
        <w:rPr>
          <w:rFonts w:ascii="Arial" w:hAnsi="Arial" w:cs="Arial"/>
          <w:sz w:val="22"/>
          <w:szCs w:val="22"/>
        </w:rPr>
        <w:t>MRFF i</w:t>
      </w:r>
      <w:r w:rsidR="00352A0A" w:rsidRPr="00075F9E">
        <w:rPr>
          <w:rFonts w:ascii="Arial" w:hAnsi="Arial" w:cs="Arial"/>
          <w:sz w:val="22"/>
          <w:szCs w:val="22"/>
        </w:rPr>
        <w:t>nitiatives</w:t>
      </w:r>
      <w:r w:rsidR="00075F9E">
        <w:rPr>
          <w:rFonts w:ascii="Arial" w:hAnsi="Arial" w:cs="Arial"/>
          <w:sz w:val="22"/>
          <w:szCs w:val="22"/>
        </w:rPr>
        <w:t>.</w:t>
      </w:r>
      <w:r w:rsidR="00F56F40">
        <w:rPr>
          <w:rFonts w:ascii="Arial" w:hAnsi="Arial" w:cs="Arial"/>
          <w:sz w:val="22"/>
          <w:szCs w:val="22"/>
        </w:rPr>
        <w:t xml:space="preserve"> </w:t>
      </w:r>
    </w:p>
    <w:p w14:paraId="2F469EED" w14:textId="646024FE" w:rsidR="00352A0A" w:rsidRPr="008E4DE7" w:rsidRDefault="002A2720" w:rsidP="00352A0A">
      <w:pPr>
        <w:pStyle w:val="Heading2"/>
        <w:keepLines w:val="0"/>
        <w:numPr>
          <w:ilvl w:val="1"/>
          <w:numId w:val="5"/>
        </w:numPr>
        <w:spacing w:before="480" w:after="180" w:line="380" w:lineRule="exact"/>
        <w:rPr>
          <w:b w:val="0"/>
        </w:rPr>
      </w:pPr>
      <w:bookmarkStart w:id="13" w:name="_Toc5785664"/>
      <w:r>
        <w:rPr>
          <w:b w:val="0"/>
        </w:rPr>
        <w:t>Determination of grants of financial assistance</w:t>
      </w:r>
      <w:bookmarkEnd w:id="13"/>
    </w:p>
    <w:p w14:paraId="434BBCD2" w14:textId="01D1BEED" w:rsidR="002C1B2D" w:rsidRDefault="00F56F40" w:rsidP="00821195">
      <w:pPr>
        <w:pStyle w:val="Bullet"/>
        <w:numPr>
          <w:ilvl w:val="0"/>
          <w:numId w:val="0"/>
        </w:numPr>
        <w:rPr>
          <w:rFonts w:ascii="Arial" w:hAnsi="Arial" w:cs="Arial"/>
          <w:sz w:val="22"/>
          <w:szCs w:val="22"/>
        </w:rPr>
      </w:pPr>
      <w:r>
        <w:rPr>
          <w:rFonts w:ascii="Arial" w:hAnsi="Arial" w:cs="Arial"/>
          <w:sz w:val="22"/>
          <w:szCs w:val="22"/>
        </w:rPr>
        <w:t xml:space="preserve">Consistent with the CGRGs, </w:t>
      </w:r>
      <w:r w:rsidR="00056AC4">
        <w:rPr>
          <w:rFonts w:ascii="Arial" w:hAnsi="Arial" w:cs="Arial"/>
          <w:sz w:val="22"/>
          <w:szCs w:val="22"/>
        </w:rPr>
        <w:t>g</w:t>
      </w:r>
      <w:r w:rsidR="002C1B2D">
        <w:rPr>
          <w:rFonts w:ascii="Arial" w:hAnsi="Arial" w:cs="Arial"/>
          <w:sz w:val="22"/>
          <w:szCs w:val="22"/>
        </w:rPr>
        <w:t xml:space="preserve">rant opportunities under MRFF </w:t>
      </w:r>
      <w:r w:rsidR="005118B5">
        <w:rPr>
          <w:rFonts w:ascii="Arial" w:hAnsi="Arial" w:cs="Arial"/>
          <w:sz w:val="22"/>
          <w:szCs w:val="22"/>
        </w:rPr>
        <w:t>initiatives</w:t>
      </w:r>
      <w:r>
        <w:rPr>
          <w:rFonts w:ascii="Arial" w:hAnsi="Arial" w:cs="Arial"/>
          <w:sz w:val="22"/>
          <w:szCs w:val="22"/>
        </w:rPr>
        <w:t xml:space="preserve"> are supported by</w:t>
      </w:r>
      <w:r w:rsidR="005118B5">
        <w:rPr>
          <w:rFonts w:ascii="Arial" w:hAnsi="Arial" w:cs="Arial"/>
          <w:sz w:val="22"/>
          <w:szCs w:val="22"/>
        </w:rPr>
        <w:t xml:space="preserve"> grant opportunity guidelines</w:t>
      </w:r>
      <w:r>
        <w:rPr>
          <w:rFonts w:ascii="Arial" w:hAnsi="Arial" w:cs="Arial"/>
          <w:sz w:val="22"/>
          <w:szCs w:val="22"/>
        </w:rPr>
        <w:t xml:space="preserve"> and processes that outline the conduct of the</w:t>
      </w:r>
      <w:r w:rsidR="005118B5">
        <w:rPr>
          <w:rFonts w:ascii="Arial" w:hAnsi="Arial" w:cs="Arial"/>
          <w:sz w:val="22"/>
          <w:szCs w:val="22"/>
        </w:rPr>
        <w:t xml:space="preserve"> application process, assessment of applications, </w:t>
      </w:r>
      <w:r>
        <w:rPr>
          <w:rFonts w:ascii="Arial" w:hAnsi="Arial" w:cs="Arial"/>
          <w:sz w:val="22"/>
          <w:szCs w:val="22"/>
        </w:rPr>
        <w:t>determination of outcomes based on assessment</w:t>
      </w:r>
      <w:r w:rsidR="005118B5">
        <w:rPr>
          <w:rFonts w:ascii="Arial" w:hAnsi="Arial" w:cs="Arial"/>
          <w:sz w:val="22"/>
          <w:szCs w:val="22"/>
        </w:rPr>
        <w:t>, and award</w:t>
      </w:r>
      <w:r w:rsidR="00636E50">
        <w:rPr>
          <w:rFonts w:ascii="Arial" w:hAnsi="Arial" w:cs="Arial"/>
          <w:sz w:val="22"/>
          <w:szCs w:val="22"/>
        </w:rPr>
        <w:t>ing</w:t>
      </w:r>
      <w:r w:rsidR="005118B5">
        <w:rPr>
          <w:rFonts w:ascii="Arial" w:hAnsi="Arial" w:cs="Arial"/>
          <w:sz w:val="22"/>
          <w:szCs w:val="22"/>
        </w:rPr>
        <w:t xml:space="preserve"> </w:t>
      </w:r>
      <w:r w:rsidR="00DE57E6">
        <w:rPr>
          <w:rFonts w:ascii="Arial" w:hAnsi="Arial" w:cs="Arial"/>
          <w:sz w:val="22"/>
          <w:szCs w:val="22"/>
        </w:rPr>
        <w:t xml:space="preserve">of grants to </w:t>
      </w:r>
      <w:r w:rsidR="005118B5">
        <w:rPr>
          <w:rFonts w:ascii="Arial" w:hAnsi="Arial" w:cs="Arial"/>
          <w:sz w:val="22"/>
          <w:szCs w:val="22"/>
        </w:rPr>
        <w:t>successful applicants.</w:t>
      </w:r>
    </w:p>
    <w:p w14:paraId="4B9797A5" w14:textId="01D10FFB" w:rsidR="005118B5" w:rsidRDefault="005118B5" w:rsidP="00F56F40">
      <w:pPr>
        <w:pStyle w:val="Bullet"/>
        <w:numPr>
          <w:ilvl w:val="0"/>
          <w:numId w:val="0"/>
        </w:numPr>
        <w:rPr>
          <w:rFonts w:ascii="Arial" w:hAnsi="Arial" w:cs="Arial"/>
          <w:sz w:val="22"/>
          <w:szCs w:val="22"/>
        </w:rPr>
      </w:pPr>
      <w:r w:rsidRPr="00A87E64">
        <w:rPr>
          <w:rFonts w:ascii="Arial" w:hAnsi="Arial" w:cs="Arial"/>
          <w:sz w:val="22"/>
          <w:szCs w:val="22"/>
        </w:rPr>
        <w:t xml:space="preserve">The Department of Health </w:t>
      </w:r>
      <w:r w:rsidR="00F56F40">
        <w:rPr>
          <w:rFonts w:ascii="Arial" w:hAnsi="Arial" w:cs="Arial"/>
          <w:sz w:val="22"/>
          <w:szCs w:val="22"/>
        </w:rPr>
        <w:t>utilis</w:t>
      </w:r>
      <w:r w:rsidR="002C0E3B">
        <w:rPr>
          <w:rFonts w:ascii="Arial" w:hAnsi="Arial" w:cs="Arial"/>
          <w:sz w:val="22"/>
          <w:szCs w:val="22"/>
        </w:rPr>
        <w:t xml:space="preserve">es the Business Grants Hub within </w:t>
      </w:r>
      <w:r w:rsidR="00F56F40">
        <w:rPr>
          <w:rFonts w:ascii="Arial" w:hAnsi="Arial" w:cs="Arial"/>
          <w:sz w:val="22"/>
          <w:szCs w:val="22"/>
        </w:rPr>
        <w:t>the Department of Industry, Innovation and Science</w:t>
      </w:r>
      <w:r w:rsidR="007A2EFD">
        <w:rPr>
          <w:rFonts w:ascii="Arial" w:hAnsi="Arial" w:cs="Arial"/>
          <w:sz w:val="22"/>
          <w:szCs w:val="22"/>
        </w:rPr>
        <w:t xml:space="preserve">, </w:t>
      </w:r>
      <w:r w:rsidR="007A2EFD" w:rsidRPr="00A87E64">
        <w:rPr>
          <w:rFonts w:ascii="Arial" w:hAnsi="Arial" w:cs="Arial"/>
          <w:sz w:val="22"/>
          <w:szCs w:val="22"/>
        </w:rPr>
        <w:t>the Community Grants Hub managed by the Department of Social Services</w:t>
      </w:r>
      <w:r w:rsidR="007A2EFD">
        <w:rPr>
          <w:rFonts w:ascii="Arial" w:hAnsi="Arial" w:cs="Arial"/>
          <w:sz w:val="22"/>
          <w:szCs w:val="22"/>
        </w:rPr>
        <w:t xml:space="preserve"> and </w:t>
      </w:r>
      <w:r w:rsidR="00F56F40">
        <w:rPr>
          <w:rFonts w:ascii="Arial" w:hAnsi="Arial" w:cs="Arial"/>
          <w:sz w:val="22"/>
          <w:szCs w:val="22"/>
        </w:rPr>
        <w:t>the National Health and Medical Research Council (NHMRC) as grant administrators of MRFF initia</w:t>
      </w:r>
      <w:r w:rsidR="00056AC4">
        <w:rPr>
          <w:rFonts w:ascii="Arial" w:hAnsi="Arial" w:cs="Arial"/>
          <w:sz w:val="22"/>
          <w:szCs w:val="22"/>
        </w:rPr>
        <w:t>tives. In this relationship</w:t>
      </w:r>
      <w:r w:rsidR="007A2EFD">
        <w:rPr>
          <w:rFonts w:ascii="Arial" w:hAnsi="Arial" w:cs="Arial"/>
          <w:sz w:val="22"/>
          <w:szCs w:val="22"/>
        </w:rPr>
        <w:t xml:space="preserve"> </w:t>
      </w:r>
      <w:r w:rsidR="00352A0A" w:rsidRPr="00A87E64">
        <w:rPr>
          <w:rFonts w:ascii="Arial" w:hAnsi="Arial" w:cs="Arial"/>
          <w:sz w:val="22"/>
          <w:szCs w:val="22"/>
        </w:rPr>
        <w:t xml:space="preserve">the Department of Health </w:t>
      </w:r>
      <w:r w:rsidR="00F56F40">
        <w:rPr>
          <w:rFonts w:ascii="Arial" w:hAnsi="Arial" w:cs="Arial"/>
          <w:sz w:val="22"/>
          <w:szCs w:val="22"/>
        </w:rPr>
        <w:t>retains responsibility for</w:t>
      </w:r>
      <w:r w:rsidR="00352A0A" w:rsidRPr="00A87E64">
        <w:rPr>
          <w:rFonts w:ascii="Arial" w:hAnsi="Arial" w:cs="Arial"/>
          <w:sz w:val="22"/>
          <w:szCs w:val="22"/>
        </w:rPr>
        <w:t xml:space="preserve"> </w:t>
      </w:r>
      <w:r w:rsidR="002A2720">
        <w:rPr>
          <w:rFonts w:ascii="Arial" w:hAnsi="Arial" w:cs="Arial"/>
          <w:sz w:val="22"/>
          <w:szCs w:val="22"/>
        </w:rPr>
        <w:t>policy</w:t>
      </w:r>
      <w:r w:rsidR="00F56F40">
        <w:rPr>
          <w:rFonts w:ascii="Arial" w:hAnsi="Arial" w:cs="Arial"/>
          <w:sz w:val="22"/>
          <w:szCs w:val="22"/>
        </w:rPr>
        <w:t xml:space="preserve"> and program</w:t>
      </w:r>
      <w:r w:rsidR="002A2720">
        <w:rPr>
          <w:rFonts w:ascii="Arial" w:hAnsi="Arial" w:cs="Arial"/>
          <w:sz w:val="22"/>
          <w:szCs w:val="22"/>
        </w:rPr>
        <w:t xml:space="preserve"> </w:t>
      </w:r>
      <w:r w:rsidR="00352A0A" w:rsidRPr="00A87E64">
        <w:rPr>
          <w:rFonts w:ascii="Arial" w:hAnsi="Arial" w:cs="Arial"/>
          <w:sz w:val="22"/>
          <w:szCs w:val="22"/>
        </w:rPr>
        <w:t>oversight</w:t>
      </w:r>
      <w:r>
        <w:rPr>
          <w:rFonts w:ascii="Arial" w:hAnsi="Arial" w:cs="Arial"/>
          <w:sz w:val="22"/>
          <w:szCs w:val="22"/>
        </w:rPr>
        <w:t xml:space="preserve"> to ensure that grants are meeting</w:t>
      </w:r>
      <w:r w:rsidR="006161EE">
        <w:rPr>
          <w:rFonts w:ascii="Arial" w:hAnsi="Arial" w:cs="Arial"/>
          <w:sz w:val="22"/>
          <w:szCs w:val="22"/>
        </w:rPr>
        <w:t xml:space="preserve"> the</w:t>
      </w:r>
      <w:r>
        <w:rPr>
          <w:rFonts w:ascii="Arial" w:hAnsi="Arial" w:cs="Arial"/>
          <w:sz w:val="22"/>
          <w:szCs w:val="22"/>
        </w:rPr>
        <w:t xml:space="preserve"> objectives of specific MRFF initiatives</w:t>
      </w:r>
      <w:r w:rsidR="00352A0A" w:rsidRPr="00A87E64">
        <w:rPr>
          <w:rFonts w:ascii="Arial" w:hAnsi="Arial" w:cs="Arial"/>
          <w:sz w:val="22"/>
          <w:szCs w:val="22"/>
        </w:rPr>
        <w:t xml:space="preserve">. </w:t>
      </w:r>
      <w:r w:rsidR="00F56F40">
        <w:rPr>
          <w:rFonts w:ascii="Arial" w:hAnsi="Arial" w:cs="Arial"/>
          <w:sz w:val="22"/>
          <w:szCs w:val="22"/>
        </w:rPr>
        <w:t xml:space="preserve">The grant hubs are responsible for </w:t>
      </w:r>
      <w:r w:rsidR="007A2EFD">
        <w:rPr>
          <w:rFonts w:ascii="Arial" w:hAnsi="Arial" w:cs="Arial"/>
          <w:sz w:val="22"/>
          <w:szCs w:val="22"/>
        </w:rPr>
        <w:t>conducting the grant opportunity, inclusive of the assessment and delivering a merit assessment to the Program Delegate as determined by the Minister for Health.</w:t>
      </w:r>
    </w:p>
    <w:p w14:paraId="11A184E3" w14:textId="75CD7151" w:rsidR="009C7DA5" w:rsidRPr="00A87E64" w:rsidRDefault="005118B5" w:rsidP="00821195">
      <w:pPr>
        <w:pStyle w:val="Bullet"/>
        <w:numPr>
          <w:ilvl w:val="0"/>
          <w:numId w:val="0"/>
        </w:numPr>
        <w:rPr>
          <w:rFonts w:ascii="Arial" w:hAnsi="Arial" w:cs="Arial"/>
          <w:sz w:val="22"/>
          <w:szCs w:val="22"/>
        </w:rPr>
      </w:pPr>
      <w:r>
        <w:rPr>
          <w:rFonts w:ascii="Arial" w:hAnsi="Arial" w:cs="Arial"/>
          <w:sz w:val="22"/>
          <w:szCs w:val="22"/>
        </w:rPr>
        <w:t>Grant opportunities can be</w:t>
      </w:r>
      <w:r w:rsidR="009C7DA5" w:rsidRPr="00A87E64">
        <w:rPr>
          <w:rFonts w:ascii="Arial" w:hAnsi="Arial" w:cs="Arial"/>
          <w:sz w:val="22"/>
          <w:szCs w:val="22"/>
        </w:rPr>
        <w:t xml:space="preserve"> open </w:t>
      </w:r>
      <w:r>
        <w:rPr>
          <w:rFonts w:ascii="Arial" w:hAnsi="Arial" w:cs="Arial"/>
          <w:sz w:val="22"/>
          <w:szCs w:val="22"/>
        </w:rPr>
        <w:t>or</w:t>
      </w:r>
      <w:r w:rsidRPr="00A87E64">
        <w:rPr>
          <w:rFonts w:ascii="Arial" w:hAnsi="Arial" w:cs="Arial"/>
          <w:sz w:val="22"/>
          <w:szCs w:val="22"/>
        </w:rPr>
        <w:t xml:space="preserve"> </w:t>
      </w:r>
      <w:r w:rsidR="009C7DA5" w:rsidRPr="00A87E64">
        <w:rPr>
          <w:rFonts w:ascii="Arial" w:hAnsi="Arial" w:cs="Arial"/>
          <w:sz w:val="22"/>
          <w:szCs w:val="22"/>
        </w:rPr>
        <w:t>targeted</w:t>
      </w:r>
      <w:r>
        <w:rPr>
          <w:rFonts w:ascii="Arial" w:hAnsi="Arial" w:cs="Arial"/>
          <w:sz w:val="22"/>
          <w:szCs w:val="22"/>
        </w:rPr>
        <w:t xml:space="preserve">, </w:t>
      </w:r>
      <w:r w:rsidR="00DE57E6">
        <w:rPr>
          <w:rFonts w:ascii="Arial" w:hAnsi="Arial" w:cs="Arial"/>
          <w:sz w:val="22"/>
          <w:szCs w:val="22"/>
        </w:rPr>
        <w:t xml:space="preserve">the </w:t>
      </w:r>
      <w:r>
        <w:rPr>
          <w:rFonts w:ascii="Arial" w:hAnsi="Arial" w:cs="Arial"/>
          <w:sz w:val="22"/>
          <w:szCs w:val="22"/>
        </w:rPr>
        <w:t>appropriateness of which is dependent on the objectives of the specific initiative</w:t>
      </w:r>
      <w:r w:rsidR="009C7DA5" w:rsidRPr="00A87E64">
        <w:rPr>
          <w:rFonts w:ascii="Arial" w:hAnsi="Arial" w:cs="Arial"/>
          <w:sz w:val="22"/>
          <w:szCs w:val="22"/>
        </w:rPr>
        <w:t>.</w:t>
      </w:r>
      <w:r w:rsidR="007A2EFD">
        <w:rPr>
          <w:rFonts w:ascii="Arial" w:hAnsi="Arial" w:cs="Arial"/>
          <w:sz w:val="22"/>
          <w:szCs w:val="22"/>
        </w:rPr>
        <w:t xml:space="preserve"> The MRFF Funding Principles endorsed by the Government in </w:t>
      </w:r>
      <w:r w:rsidR="003E6C88">
        <w:rPr>
          <w:rFonts w:ascii="Arial" w:hAnsi="Arial" w:cs="Arial"/>
          <w:sz w:val="22"/>
          <w:szCs w:val="22"/>
        </w:rPr>
        <w:t>October 2017</w:t>
      </w:r>
      <w:r w:rsidR="007A2EFD">
        <w:rPr>
          <w:rFonts w:ascii="Arial" w:hAnsi="Arial" w:cs="Arial"/>
          <w:sz w:val="22"/>
          <w:szCs w:val="22"/>
        </w:rPr>
        <w:t>, encourage open and contestable, peer rev</w:t>
      </w:r>
      <w:r w:rsidR="002C0E3B">
        <w:rPr>
          <w:rFonts w:ascii="Arial" w:hAnsi="Arial" w:cs="Arial"/>
          <w:sz w:val="22"/>
          <w:szCs w:val="22"/>
        </w:rPr>
        <w:t>iewed grant opportunities where</w:t>
      </w:r>
      <w:r w:rsidR="007A2EFD">
        <w:rPr>
          <w:rFonts w:ascii="Arial" w:hAnsi="Arial" w:cs="Arial"/>
          <w:sz w:val="22"/>
          <w:szCs w:val="22"/>
        </w:rPr>
        <w:t>ver possible as a means to ensure investmen</w:t>
      </w:r>
      <w:r w:rsidR="002C0E3B">
        <w:rPr>
          <w:rFonts w:ascii="Arial" w:hAnsi="Arial" w:cs="Arial"/>
          <w:sz w:val="22"/>
          <w:szCs w:val="22"/>
        </w:rPr>
        <w:t>t in research excellence. G</w:t>
      </w:r>
      <w:r w:rsidR="007A2EFD">
        <w:rPr>
          <w:rFonts w:ascii="Arial" w:hAnsi="Arial" w:cs="Arial"/>
          <w:sz w:val="22"/>
          <w:szCs w:val="22"/>
        </w:rPr>
        <w:t xml:space="preserve">rant hubs have capacity to deploy </w:t>
      </w:r>
      <w:r w:rsidR="00E843EE">
        <w:rPr>
          <w:rFonts w:ascii="Arial" w:hAnsi="Arial" w:cs="Arial"/>
          <w:sz w:val="22"/>
          <w:szCs w:val="22"/>
        </w:rPr>
        <w:t xml:space="preserve">an </w:t>
      </w:r>
      <w:r w:rsidR="007A2EFD">
        <w:rPr>
          <w:rFonts w:ascii="Arial" w:hAnsi="Arial" w:cs="Arial"/>
          <w:sz w:val="22"/>
          <w:szCs w:val="22"/>
        </w:rPr>
        <w:t>assessment process that involve</w:t>
      </w:r>
      <w:r w:rsidR="00E843EE">
        <w:rPr>
          <w:rFonts w:ascii="Arial" w:hAnsi="Arial" w:cs="Arial"/>
          <w:sz w:val="22"/>
          <w:szCs w:val="22"/>
        </w:rPr>
        <w:t>s</w:t>
      </w:r>
      <w:r w:rsidR="007A2EFD">
        <w:rPr>
          <w:rFonts w:ascii="Arial" w:hAnsi="Arial" w:cs="Arial"/>
          <w:sz w:val="22"/>
          <w:szCs w:val="22"/>
        </w:rPr>
        <w:t xml:space="preserve"> scientific peer review and relevant perspectives (i.e., from consumers, industry, clinicians) to assist in deliberations.</w:t>
      </w:r>
    </w:p>
    <w:p w14:paraId="7EBA35A6" w14:textId="66963D1F" w:rsidR="000F541A" w:rsidRPr="00A87E64" w:rsidRDefault="00312DAF" w:rsidP="00821195">
      <w:pPr>
        <w:pStyle w:val="Bullet"/>
        <w:numPr>
          <w:ilvl w:val="0"/>
          <w:numId w:val="0"/>
        </w:numPr>
        <w:rPr>
          <w:rFonts w:ascii="Arial" w:hAnsi="Arial" w:cs="Arial"/>
          <w:sz w:val="22"/>
          <w:szCs w:val="22"/>
        </w:rPr>
      </w:pPr>
      <w:r w:rsidRPr="00312DAF">
        <w:rPr>
          <w:rFonts w:ascii="Arial" w:hAnsi="Arial" w:cs="Arial"/>
          <w:sz w:val="22"/>
          <w:szCs w:val="22"/>
        </w:rPr>
        <w:t>The list of grant recipients by MRFF initiatives, announced and awarded</w:t>
      </w:r>
      <w:r w:rsidR="00DE57E6">
        <w:rPr>
          <w:rFonts w:ascii="Arial" w:hAnsi="Arial" w:cs="Arial"/>
          <w:sz w:val="22"/>
          <w:szCs w:val="22"/>
        </w:rPr>
        <w:t xml:space="preserve"> or </w:t>
      </w:r>
      <w:r w:rsidRPr="00312DAF">
        <w:rPr>
          <w:rFonts w:ascii="Arial" w:hAnsi="Arial" w:cs="Arial"/>
          <w:sz w:val="22"/>
          <w:szCs w:val="22"/>
        </w:rPr>
        <w:t>under negotiation during the period when the 2016</w:t>
      </w:r>
      <w:r w:rsidRPr="00312DAF">
        <w:rPr>
          <w:rFonts w:ascii="Arial" w:hAnsi="Arial" w:cs="Arial"/>
          <w:sz w:val="22"/>
          <w:szCs w:val="22"/>
        </w:rPr>
        <w:noBreakHyphen/>
        <w:t xml:space="preserve">2018 Priorities were in force, </w:t>
      </w:r>
      <w:r>
        <w:rPr>
          <w:rFonts w:ascii="Arial" w:hAnsi="Arial" w:cs="Arial"/>
          <w:sz w:val="22"/>
          <w:szCs w:val="22"/>
        </w:rPr>
        <w:t xml:space="preserve">is provided at </w:t>
      </w:r>
      <w:r w:rsidR="00F7366A" w:rsidRPr="00F7366A">
        <w:rPr>
          <w:rFonts w:ascii="Arial" w:hAnsi="Arial" w:cs="Arial"/>
          <w:sz w:val="22"/>
          <w:szCs w:val="22"/>
          <w:u w:val="single"/>
        </w:rPr>
        <w:t>Appendi</w:t>
      </w:r>
      <w:r w:rsidR="00F7366A">
        <w:rPr>
          <w:rFonts w:ascii="Arial" w:hAnsi="Arial" w:cs="Arial"/>
          <w:sz w:val="22"/>
          <w:szCs w:val="22"/>
          <w:u w:val="single"/>
        </w:rPr>
        <w:t>ces</w:t>
      </w:r>
      <w:r w:rsidR="00EE3EB5">
        <w:rPr>
          <w:rFonts w:ascii="Arial" w:hAnsi="Arial" w:cs="Arial"/>
          <w:sz w:val="22"/>
          <w:szCs w:val="22"/>
          <w:u w:val="single"/>
        </w:rPr>
        <w:t xml:space="preserve"> C and D</w:t>
      </w:r>
      <w:r>
        <w:rPr>
          <w:rFonts w:ascii="Arial" w:hAnsi="Arial" w:cs="Arial"/>
          <w:sz w:val="22"/>
          <w:szCs w:val="22"/>
        </w:rPr>
        <w:t>.</w:t>
      </w:r>
    </w:p>
    <w:p w14:paraId="48A91153" w14:textId="77777777" w:rsidR="00352A0A" w:rsidRPr="002B383D" w:rsidRDefault="00352A0A" w:rsidP="00024322">
      <w:pPr>
        <w:pStyle w:val="Heading1"/>
        <w:keepNext/>
        <w:pageBreakBefore/>
        <w:numPr>
          <w:ilvl w:val="0"/>
          <w:numId w:val="5"/>
        </w:numPr>
        <w:spacing w:before="0" w:after="240" w:line="560" w:lineRule="exact"/>
        <w:ind w:left="357" w:hanging="357"/>
        <w:contextualSpacing w:val="0"/>
        <w:rPr>
          <w:rFonts w:ascii="Arial" w:hAnsi="Arial" w:cs="Arial"/>
          <w:lang w:val="en-US"/>
        </w:rPr>
      </w:pPr>
      <w:bookmarkStart w:id="14" w:name="_Toc5785665"/>
      <w:r w:rsidRPr="002B383D">
        <w:rPr>
          <w:rFonts w:ascii="Arial" w:hAnsi="Arial" w:cs="Arial"/>
          <w:lang w:val="en-US"/>
        </w:rPr>
        <w:lastRenderedPageBreak/>
        <w:t>Other financial assistance provided by the Commonwealth</w:t>
      </w:r>
      <w:bookmarkEnd w:id="14"/>
    </w:p>
    <w:p w14:paraId="190A65E9" w14:textId="77777777" w:rsidR="00E42BBE" w:rsidRDefault="00352A0A" w:rsidP="00352A0A">
      <w:pPr>
        <w:rPr>
          <w:rFonts w:ascii="Arial" w:hAnsi="Arial" w:cs="Arial"/>
          <w:lang w:eastAsia="en-AU"/>
        </w:rPr>
      </w:pPr>
      <w:r w:rsidRPr="000541AA">
        <w:rPr>
          <w:rFonts w:ascii="Arial" w:hAnsi="Arial" w:cs="Arial"/>
          <w:lang w:eastAsia="en-AU"/>
        </w:rPr>
        <w:t xml:space="preserve">Other financial assistance provided by the Commonwealth for medical research and innovation </w:t>
      </w:r>
      <w:r w:rsidR="00E42BBE" w:rsidRPr="00E42BBE">
        <w:rPr>
          <w:rFonts w:ascii="Arial" w:hAnsi="Arial" w:cs="Arial"/>
          <w:lang w:eastAsia="en-AU"/>
        </w:rPr>
        <w:t>consists of research grants provided by the NHMRC, funding provided by the Biomedical Translation Fund</w:t>
      </w:r>
      <w:r w:rsidR="004A602B">
        <w:rPr>
          <w:rFonts w:ascii="Arial" w:hAnsi="Arial" w:cs="Arial"/>
          <w:lang w:eastAsia="en-AU"/>
        </w:rPr>
        <w:t xml:space="preserve"> (BTF)</w:t>
      </w:r>
      <w:r w:rsidR="00E42BBE" w:rsidRPr="00E42BBE">
        <w:rPr>
          <w:rFonts w:ascii="Arial" w:hAnsi="Arial" w:cs="Arial"/>
          <w:lang w:eastAsia="en-AU"/>
        </w:rPr>
        <w:t xml:space="preserve"> to private sector fund managers to develop and commercialise biomedical discoveries in Australia, as well as funding for a number of other initiatives.</w:t>
      </w:r>
      <w:r w:rsidR="00E42BBE">
        <w:rPr>
          <w:rFonts w:ascii="Arial" w:hAnsi="Arial" w:cs="Arial"/>
          <w:lang w:eastAsia="en-AU"/>
        </w:rPr>
        <w:t xml:space="preserve"> </w:t>
      </w:r>
    </w:p>
    <w:p w14:paraId="3EF45D6F" w14:textId="77777777" w:rsidR="00E42BBE" w:rsidRDefault="00E42BBE" w:rsidP="00352A0A">
      <w:pPr>
        <w:rPr>
          <w:rFonts w:ascii="Arial" w:hAnsi="Arial" w:cs="Arial"/>
          <w:lang w:eastAsia="en-AU"/>
        </w:rPr>
      </w:pPr>
    </w:p>
    <w:p w14:paraId="3FB1313C" w14:textId="78DFC591" w:rsidR="00352A0A" w:rsidRPr="000541AA" w:rsidRDefault="0094170C" w:rsidP="00352A0A">
      <w:pPr>
        <w:rPr>
          <w:rFonts w:ascii="Arial" w:hAnsi="Arial" w:cs="Arial"/>
          <w:lang w:eastAsia="en-AU"/>
        </w:rPr>
      </w:pPr>
      <w:r w:rsidRPr="00860FE3">
        <w:rPr>
          <w:rFonts w:ascii="Arial" w:hAnsi="Arial" w:cs="Arial"/>
          <w:color w:val="17365D" w:themeColor="text2" w:themeShade="BF"/>
          <w:lang w:eastAsia="en-AU"/>
        </w:rPr>
        <w:fldChar w:fldCharType="begin"/>
      </w:r>
      <w:r w:rsidRPr="00860FE3">
        <w:rPr>
          <w:rFonts w:ascii="Arial" w:hAnsi="Arial" w:cs="Arial"/>
          <w:color w:val="17365D" w:themeColor="text2" w:themeShade="BF"/>
          <w:lang w:eastAsia="en-AU"/>
        </w:rPr>
        <w:instrText xml:space="preserve"> REF _Ref524932 \h  \* MERGEFORMAT </w:instrText>
      </w:r>
      <w:r w:rsidRPr="00860FE3">
        <w:rPr>
          <w:rFonts w:ascii="Arial" w:hAnsi="Arial" w:cs="Arial"/>
          <w:color w:val="17365D" w:themeColor="text2" w:themeShade="BF"/>
          <w:lang w:eastAsia="en-AU"/>
        </w:rPr>
      </w:r>
      <w:r w:rsidRPr="00860FE3">
        <w:rPr>
          <w:rFonts w:ascii="Arial" w:hAnsi="Arial" w:cs="Arial"/>
          <w:color w:val="17365D" w:themeColor="text2" w:themeShade="BF"/>
          <w:lang w:eastAsia="en-AU"/>
        </w:rPr>
        <w:fldChar w:fldCharType="separate"/>
      </w:r>
      <w:r w:rsidR="00533860" w:rsidRPr="00533860">
        <w:rPr>
          <w:rFonts w:ascii="Arial" w:hAnsi="Arial" w:cs="Arial"/>
          <w:color w:val="17365D" w:themeColor="text2" w:themeShade="BF"/>
        </w:rPr>
        <w:t xml:space="preserve">Table </w:t>
      </w:r>
      <w:r w:rsidR="00533860" w:rsidRPr="00533860">
        <w:rPr>
          <w:rFonts w:ascii="Arial" w:hAnsi="Arial" w:cs="Arial"/>
          <w:noProof/>
          <w:color w:val="17365D" w:themeColor="text2" w:themeShade="BF"/>
        </w:rPr>
        <w:t>3</w:t>
      </w:r>
      <w:r w:rsidRPr="00860FE3">
        <w:rPr>
          <w:rFonts w:ascii="Arial" w:hAnsi="Arial" w:cs="Arial"/>
          <w:color w:val="17365D" w:themeColor="text2" w:themeShade="BF"/>
          <w:lang w:eastAsia="en-AU"/>
        </w:rPr>
        <w:fldChar w:fldCharType="end"/>
      </w:r>
      <w:r w:rsidR="00352A0A" w:rsidRPr="000541AA">
        <w:rPr>
          <w:rFonts w:ascii="Arial" w:hAnsi="Arial" w:cs="Arial"/>
          <w:lang w:eastAsia="en-AU"/>
        </w:rPr>
        <w:t xml:space="preserve"> </w:t>
      </w:r>
      <w:r w:rsidR="00E42BBE" w:rsidRPr="00E42BBE">
        <w:rPr>
          <w:rFonts w:ascii="Arial" w:hAnsi="Arial" w:cs="Arial"/>
          <w:lang w:eastAsia="en-AU"/>
        </w:rPr>
        <w:t>outlines the financial assistance provided in 2016</w:t>
      </w:r>
      <w:r w:rsidR="000E3F3E">
        <w:rPr>
          <w:rFonts w:ascii="Arial" w:hAnsi="Arial" w:cs="Arial"/>
          <w:lang w:eastAsia="en-AU"/>
        </w:rPr>
        <w:noBreakHyphen/>
      </w:r>
      <w:r w:rsidR="00E42BBE" w:rsidRPr="00E42BBE">
        <w:rPr>
          <w:rFonts w:ascii="Arial" w:hAnsi="Arial" w:cs="Arial"/>
          <w:lang w:eastAsia="en-AU"/>
        </w:rPr>
        <w:t>17 and 2017</w:t>
      </w:r>
      <w:r w:rsidR="000E3F3E">
        <w:rPr>
          <w:rFonts w:ascii="Arial" w:hAnsi="Arial" w:cs="Arial"/>
          <w:lang w:eastAsia="en-AU"/>
        </w:rPr>
        <w:noBreakHyphen/>
      </w:r>
      <w:r w:rsidR="00E42BBE" w:rsidRPr="00E42BBE">
        <w:rPr>
          <w:rFonts w:ascii="Arial" w:hAnsi="Arial" w:cs="Arial"/>
          <w:lang w:eastAsia="en-AU"/>
        </w:rPr>
        <w:t xml:space="preserve">18 </w:t>
      </w:r>
      <w:r w:rsidR="006161EE">
        <w:rPr>
          <w:rFonts w:ascii="Arial" w:hAnsi="Arial" w:cs="Arial"/>
          <w:lang w:eastAsia="en-AU"/>
        </w:rPr>
        <w:t>(</w:t>
      </w:r>
      <w:r w:rsidR="00E42BBE" w:rsidRPr="00E42BBE">
        <w:rPr>
          <w:rFonts w:ascii="Arial" w:hAnsi="Arial" w:cs="Arial"/>
          <w:lang w:eastAsia="en-AU"/>
        </w:rPr>
        <w:t>as these are the financial years that have come to an end and are covered by the 2016</w:t>
      </w:r>
      <w:r w:rsidR="000E3F3E">
        <w:rPr>
          <w:rFonts w:ascii="Arial" w:hAnsi="Arial" w:cs="Arial"/>
          <w:lang w:eastAsia="en-AU"/>
        </w:rPr>
        <w:noBreakHyphen/>
        <w:t>20</w:t>
      </w:r>
      <w:r w:rsidR="00E42BBE" w:rsidRPr="00E42BBE">
        <w:rPr>
          <w:rFonts w:ascii="Arial" w:hAnsi="Arial" w:cs="Arial"/>
          <w:lang w:eastAsia="en-AU"/>
        </w:rPr>
        <w:t>18 Priorities</w:t>
      </w:r>
      <w:r w:rsidR="006161EE">
        <w:rPr>
          <w:rFonts w:ascii="Arial" w:hAnsi="Arial" w:cs="Arial"/>
          <w:lang w:eastAsia="en-AU"/>
        </w:rPr>
        <w:t>)</w:t>
      </w:r>
      <w:r w:rsidR="00E42BBE" w:rsidRPr="00E42BBE">
        <w:rPr>
          <w:rFonts w:ascii="Arial" w:hAnsi="Arial" w:cs="Arial"/>
          <w:lang w:eastAsia="en-AU"/>
        </w:rPr>
        <w:t>.</w:t>
      </w:r>
      <w:r w:rsidR="001560DF">
        <w:rPr>
          <w:rFonts w:ascii="Arial" w:hAnsi="Arial" w:cs="Arial"/>
          <w:lang w:eastAsia="en-AU"/>
        </w:rPr>
        <w:t xml:space="preserve"> </w:t>
      </w:r>
    </w:p>
    <w:p w14:paraId="0BBA9055" w14:textId="1FC0ADA9" w:rsidR="00352A0A" w:rsidRPr="000541AA" w:rsidRDefault="00352A0A" w:rsidP="00352A0A">
      <w:pPr>
        <w:pStyle w:val="Caption"/>
        <w:rPr>
          <w:color w:val="1F497D" w:themeColor="text2"/>
        </w:rPr>
      </w:pPr>
      <w:bookmarkStart w:id="15" w:name="_Ref524932"/>
      <w:r w:rsidRPr="000541AA">
        <w:rPr>
          <w:color w:val="1F497D" w:themeColor="text2"/>
        </w:rPr>
        <w:t xml:space="preserve">Table </w:t>
      </w:r>
      <w:r w:rsidRPr="000541AA">
        <w:rPr>
          <w:color w:val="1F497D" w:themeColor="text2"/>
        </w:rPr>
        <w:fldChar w:fldCharType="begin"/>
      </w:r>
      <w:r w:rsidRPr="000541AA">
        <w:rPr>
          <w:color w:val="1F497D" w:themeColor="text2"/>
        </w:rPr>
        <w:instrText xml:space="preserve"> SEQ Table \* ARABIC </w:instrText>
      </w:r>
      <w:r w:rsidRPr="000541AA">
        <w:rPr>
          <w:color w:val="1F497D" w:themeColor="text2"/>
        </w:rPr>
        <w:fldChar w:fldCharType="separate"/>
      </w:r>
      <w:r w:rsidR="00533860">
        <w:rPr>
          <w:noProof/>
          <w:color w:val="1F497D" w:themeColor="text2"/>
        </w:rPr>
        <w:t>3</w:t>
      </w:r>
      <w:r w:rsidRPr="000541AA">
        <w:rPr>
          <w:color w:val="1F497D" w:themeColor="text2"/>
        </w:rPr>
        <w:fldChar w:fldCharType="end"/>
      </w:r>
      <w:bookmarkEnd w:id="15"/>
      <w:r w:rsidRPr="000541AA">
        <w:rPr>
          <w:color w:val="1F497D" w:themeColor="text2"/>
        </w:rPr>
        <w:t xml:space="preserve"> | Commonwealth financial support for medical research and innovation ($m)</w:t>
      </w:r>
    </w:p>
    <w:tbl>
      <w:tblPr>
        <w:tblStyle w:val="TableGrid"/>
        <w:tblW w:w="4554" w:type="pct"/>
        <w:tblLayout w:type="fixed"/>
        <w:tblLook w:val="04A0" w:firstRow="1" w:lastRow="0" w:firstColumn="1" w:lastColumn="0" w:noHBand="0" w:noVBand="1"/>
      </w:tblPr>
      <w:tblGrid>
        <w:gridCol w:w="3740"/>
        <w:gridCol w:w="2237"/>
        <w:gridCol w:w="2236"/>
      </w:tblGrid>
      <w:tr w:rsidR="000E3F3E" w:rsidRPr="00860FE3" w14:paraId="18892262" w14:textId="77777777" w:rsidTr="00F30D66">
        <w:trPr>
          <w:trHeight w:val="413"/>
        </w:trPr>
        <w:tc>
          <w:tcPr>
            <w:tcW w:w="2277" w:type="pct"/>
            <w:shd w:val="clear" w:color="auto" w:fill="1F497D" w:themeFill="text2"/>
          </w:tcPr>
          <w:p w14:paraId="0F3FD5F0" w14:textId="77777777" w:rsidR="000E3F3E" w:rsidRPr="00860FE3" w:rsidRDefault="000E3F3E" w:rsidP="00B1774F">
            <w:pPr>
              <w:pStyle w:val="TableNheader"/>
              <w:rPr>
                <w:rFonts w:ascii="Arial" w:hAnsi="Arial" w:cs="Arial"/>
                <w:lang w:eastAsia="en-AU"/>
              </w:rPr>
            </w:pPr>
          </w:p>
        </w:tc>
        <w:tc>
          <w:tcPr>
            <w:tcW w:w="1362" w:type="pct"/>
            <w:shd w:val="clear" w:color="auto" w:fill="1F497D" w:themeFill="text2"/>
          </w:tcPr>
          <w:p w14:paraId="1EFF0F7D" w14:textId="77777777" w:rsidR="000E3F3E" w:rsidRPr="00860FE3" w:rsidRDefault="000E3F3E" w:rsidP="00B1774F">
            <w:pPr>
              <w:pStyle w:val="TableNheader"/>
              <w:jc w:val="center"/>
              <w:rPr>
                <w:rFonts w:ascii="Arial" w:hAnsi="Arial" w:cs="Arial"/>
                <w:b/>
                <w:lang w:eastAsia="en-AU"/>
              </w:rPr>
            </w:pPr>
            <w:r w:rsidRPr="00860FE3">
              <w:rPr>
                <w:rFonts w:ascii="Arial" w:hAnsi="Arial" w:cs="Arial"/>
                <w:b/>
                <w:lang w:eastAsia="en-AU"/>
              </w:rPr>
              <w:t>2016-2017</w:t>
            </w:r>
          </w:p>
          <w:p w14:paraId="3A01E3D6" w14:textId="77777777" w:rsidR="000E3F3E" w:rsidRPr="00860FE3" w:rsidRDefault="000E3F3E" w:rsidP="00B1774F">
            <w:pPr>
              <w:pStyle w:val="TableNheader"/>
              <w:jc w:val="center"/>
              <w:rPr>
                <w:rFonts w:ascii="Arial" w:hAnsi="Arial" w:cs="Arial"/>
                <w:b/>
                <w:lang w:eastAsia="en-AU"/>
              </w:rPr>
            </w:pPr>
            <w:r w:rsidRPr="00860FE3">
              <w:rPr>
                <w:rFonts w:ascii="Arial" w:hAnsi="Arial" w:cs="Arial"/>
                <w:b/>
                <w:lang w:eastAsia="en-AU"/>
              </w:rPr>
              <w:t>($m)</w:t>
            </w:r>
          </w:p>
        </w:tc>
        <w:tc>
          <w:tcPr>
            <w:tcW w:w="1361" w:type="pct"/>
            <w:shd w:val="clear" w:color="auto" w:fill="1F497D" w:themeFill="text2"/>
          </w:tcPr>
          <w:p w14:paraId="758E4FC5" w14:textId="77777777" w:rsidR="000E3F3E" w:rsidRPr="00860FE3" w:rsidRDefault="000E3F3E" w:rsidP="00B1774F">
            <w:pPr>
              <w:pStyle w:val="TableNheader"/>
              <w:jc w:val="center"/>
              <w:rPr>
                <w:rFonts w:ascii="Arial" w:hAnsi="Arial" w:cs="Arial"/>
                <w:b/>
                <w:lang w:eastAsia="en-AU"/>
              </w:rPr>
            </w:pPr>
            <w:r w:rsidRPr="00860FE3">
              <w:rPr>
                <w:rFonts w:ascii="Arial" w:hAnsi="Arial" w:cs="Arial"/>
                <w:b/>
                <w:lang w:eastAsia="en-AU"/>
              </w:rPr>
              <w:t>2017-2018</w:t>
            </w:r>
          </w:p>
          <w:p w14:paraId="6F974042" w14:textId="77777777" w:rsidR="000E3F3E" w:rsidRPr="00860FE3" w:rsidRDefault="000E3F3E" w:rsidP="00B1774F">
            <w:pPr>
              <w:pStyle w:val="TableNheader"/>
              <w:jc w:val="center"/>
              <w:rPr>
                <w:rFonts w:ascii="Arial" w:hAnsi="Arial" w:cs="Arial"/>
                <w:b/>
                <w:lang w:eastAsia="en-AU"/>
              </w:rPr>
            </w:pPr>
            <w:r w:rsidRPr="00860FE3">
              <w:rPr>
                <w:rFonts w:ascii="Arial" w:hAnsi="Arial" w:cs="Arial"/>
                <w:b/>
                <w:lang w:eastAsia="en-AU"/>
              </w:rPr>
              <w:t>($m)</w:t>
            </w:r>
          </w:p>
        </w:tc>
      </w:tr>
      <w:tr w:rsidR="002D472F" w:rsidRPr="00860FE3" w14:paraId="26D1799A" w14:textId="77777777" w:rsidTr="00F30D66">
        <w:trPr>
          <w:cantSplit/>
          <w:trHeight w:val="413"/>
        </w:trPr>
        <w:tc>
          <w:tcPr>
            <w:tcW w:w="2277" w:type="pct"/>
            <w:vAlign w:val="center"/>
          </w:tcPr>
          <w:p w14:paraId="5FF8CD8F" w14:textId="77777777" w:rsidR="000E3F3E" w:rsidRPr="00860FE3" w:rsidRDefault="000E3F3E" w:rsidP="00860FE3">
            <w:pPr>
              <w:pStyle w:val="TableNText"/>
              <w:rPr>
                <w:rFonts w:ascii="Arial" w:hAnsi="Arial" w:cs="Arial"/>
              </w:rPr>
            </w:pPr>
            <w:r w:rsidRPr="00860FE3">
              <w:rPr>
                <w:rFonts w:ascii="Arial" w:hAnsi="Arial" w:cs="Arial"/>
              </w:rPr>
              <w:t>NHMRC Research Grants</w:t>
            </w:r>
            <w:r w:rsidRPr="00860FE3">
              <w:rPr>
                <w:rFonts w:ascii="Arial" w:hAnsi="Arial" w:cs="Arial"/>
                <w:vertAlign w:val="superscript"/>
              </w:rPr>
              <w:t>1</w:t>
            </w:r>
          </w:p>
        </w:tc>
        <w:tc>
          <w:tcPr>
            <w:tcW w:w="1362" w:type="pct"/>
            <w:vAlign w:val="center"/>
          </w:tcPr>
          <w:p w14:paraId="66F2DD7C" w14:textId="77777777" w:rsidR="000E3F3E" w:rsidRPr="00860FE3" w:rsidRDefault="005E1F54" w:rsidP="00860FE3">
            <w:pPr>
              <w:pStyle w:val="TableNText"/>
              <w:jc w:val="right"/>
              <w:rPr>
                <w:rFonts w:ascii="Arial" w:hAnsi="Arial" w:cs="Arial"/>
                <w:szCs w:val="19"/>
              </w:rPr>
            </w:pPr>
            <w:r>
              <w:rPr>
                <w:rFonts w:ascii="Arial" w:hAnsi="Arial" w:cs="Arial"/>
                <w:szCs w:val="19"/>
              </w:rPr>
              <w:t>817.9</w:t>
            </w:r>
          </w:p>
        </w:tc>
        <w:tc>
          <w:tcPr>
            <w:tcW w:w="1361" w:type="pct"/>
            <w:vAlign w:val="center"/>
          </w:tcPr>
          <w:p w14:paraId="0E27C587" w14:textId="77777777" w:rsidR="000E3F3E" w:rsidRPr="00860FE3" w:rsidRDefault="005E1F54" w:rsidP="00860FE3">
            <w:pPr>
              <w:pStyle w:val="TableNText"/>
              <w:jc w:val="right"/>
              <w:rPr>
                <w:rFonts w:ascii="Arial" w:hAnsi="Arial" w:cs="Arial"/>
                <w:szCs w:val="19"/>
              </w:rPr>
            </w:pPr>
            <w:r>
              <w:rPr>
                <w:rFonts w:ascii="Arial" w:hAnsi="Arial" w:cs="Arial"/>
                <w:szCs w:val="19"/>
              </w:rPr>
              <w:t>837.3</w:t>
            </w:r>
          </w:p>
        </w:tc>
      </w:tr>
      <w:tr w:rsidR="002D472F" w:rsidRPr="00860FE3" w14:paraId="3B297721" w14:textId="77777777" w:rsidTr="00F30D66">
        <w:trPr>
          <w:cantSplit/>
          <w:trHeight w:val="413"/>
        </w:trPr>
        <w:tc>
          <w:tcPr>
            <w:tcW w:w="2277" w:type="pct"/>
            <w:vAlign w:val="center"/>
          </w:tcPr>
          <w:p w14:paraId="4D32CD34" w14:textId="77777777" w:rsidR="000E3F3E" w:rsidRPr="00860FE3" w:rsidRDefault="000E3F3E" w:rsidP="00860FE3">
            <w:pPr>
              <w:pStyle w:val="TableNText"/>
              <w:rPr>
                <w:rFonts w:ascii="Arial" w:hAnsi="Arial" w:cs="Arial"/>
              </w:rPr>
            </w:pPr>
            <w:r w:rsidRPr="00860FE3">
              <w:rPr>
                <w:rFonts w:ascii="Arial" w:hAnsi="Arial" w:cs="Arial"/>
              </w:rPr>
              <w:t>Biomedical Translation Fund investments</w:t>
            </w:r>
            <w:r w:rsidRPr="00860FE3">
              <w:rPr>
                <w:rFonts w:ascii="Arial" w:hAnsi="Arial" w:cs="Arial"/>
                <w:vertAlign w:val="superscript"/>
              </w:rPr>
              <w:t>2</w:t>
            </w:r>
          </w:p>
        </w:tc>
        <w:tc>
          <w:tcPr>
            <w:tcW w:w="1362" w:type="pct"/>
            <w:vAlign w:val="center"/>
          </w:tcPr>
          <w:p w14:paraId="30F72FF0" w14:textId="77777777" w:rsidR="000E3F3E" w:rsidRPr="00860FE3" w:rsidRDefault="000E3F3E" w:rsidP="00860FE3">
            <w:pPr>
              <w:pStyle w:val="TableNText"/>
              <w:jc w:val="right"/>
              <w:rPr>
                <w:rFonts w:ascii="Arial" w:hAnsi="Arial" w:cs="Arial"/>
                <w:szCs w:val="19"/>
              </w:rPr>
            </w:pPr>
            <w:r w:rsidRPr="00860FE3">
              <w:rPr>
                <w:rFonts w:ascii="Arial" w:hAnsi="Arial" w:cs="Arial"/>
                <w:szCs w:val="19"/>
              </w:rPr>
              <w:t>9.74</w:t>
            </w:r>
          </w:p>
        </w:tc>
        <w:tc>
          <w:tcPr>
            <w:tcW w:w="1361" w:type="pct"/>
            <w:vAlign w:val="center"/>
          </w:tcPr>
          <w:p w14:paraId="15F6E12F" w14:textId="77777777" w:rsidR="000E3F3E" w:rsidRPr="00860FE3" w:rsidRDefault="000E3F3E" w:rsidP="00860FE3">
            <w:pPr>
              <w:pStyle w:val="TableNText"/>
              <w:jc w:val="right"/>
              <w:rPr>
                <w:rFonts w:ascii="Arial" w:hAnsi="Arial" w:cs="Arial"/>
                <w:szCs w:val="19"/>
              </w:rPr>
            </w:pPr>
            <w:r w:rsidRPr="00860FE3">
              <w:rPr>
                <w:rFonts w:ascii="Arial" w:hAnsi="Arial" w:cs="Arial"/>
                <w:szCs w:val="19"/>
              </w:rPr>
              <w:t>20.13</w:t>
            </w:r>
          </w:p>
        </w:tc>
      </w:tr>
      <w:tr w:rsidR="000E3F3E" w:rsidRPr="00860FE3" w14:paraId="06F6451E" w14:textId="77777777" w:rsidTr="00F30D66">
        <w:trPr>
          <w:cantSplit/>
          <w:trHeight w:val="413"/>
        </w:trPr>
        <w:tc>
          <w:tcPr>
            <w:tcW w:w="2277" w:type="pct"/>
            <w:vAlign w:val="center"/>
          </w:tcPr>
          <w:p w14:paraId="40CC0986" w14:textId="77777777" w:rsidR="000E3F3E" w:rsidRPr="00860FE3" w:rsidRDefault="000E3F3E" w:rsidP="00860FE3">
            <w:pPr>
              <w:pStyle w:val="TableNText"/>
              <w:rPr>
                <w:rFonts w:ascii="Arial" w:hAnsi="Arial" w:cs="Arial"/>
              </w:rPr>
            </w:pPr>
            <w:r w:rsidRPr="00860FE3">
              <w:rPr>
                <w:rFonts w:ascii="Arial" w:hAnsi="Arial" w:cs="Arial"/>
              </w:rPr>
              <w:t>Other initiatives</w:t>
            </w:r>
            <w:r w:rsidR="005E1F54">
              <w:rPr>
                <w:rFonts w:ascii="Arial" w:hAnsi="Arial" w:cs="Arial"/>
                <w:vertAlign w:val="superscript"/>
              </w:rPr>
              <w:t>3</w:t>
            </w:r>
          </w:p>
        </w:tc>
        <w:tc>
          <w:tcPr>
            <w:tcW w:w="1362" w:type="pct"/>
            <w:vAlign w:val="center"/>
          </w:tcPr>
          <w:p w14:paraId="6E964007" w14:textId="77777777" w:rsidR="000E3F3E" w:rsidRPr="00860FE3" w:rsidRDefault="000E3F3E" w:rsidP="00860FE3">
            <w:pPr>
              <w:pStyle w:val="TableNText"/>
              <w:jc w:val="right"/>
              <w:rPr>
                <w:rFonts w:ascii="Arial" w:hAnsi="Arial" w:cs="Arial"/>
                <w:szCs w:val="19"/>
              </w:rPr>
            </w:pPr>
            <w:r w:rsidRPr="00860FE3">
              <w:rPr>
                <w:rFonts w:ascii="Arial" w:hAnsi="Arial" w:cs="Arial"/>
                <w:szCs w:val="19"/>
              </w:rPr>
              <w:t>101.82</w:t>
            </w:r>
          </w:p>
        </w:tc>
        <w:tc>
          <w:tcPr>
            <w:tcW w:w="1361" w:type="pct"/>
            <w:vAlign w:val="center"/>
          </w:tcPr>
          <w:p w14:paraId="15235165" w14:textId="77777777" w:rsidR="000E3F3E" w:rsidRPr="00860FE3" w:rsidRDefault="000E3F3E" w:rsidP="00860FE3">
            <w:pPr>
              <w:pStyle w:val="TableNText"/>
              <w:jc w:val="right"/>
              <w:rPr>
                <w:rFonts w:ascii="Arial" w:hAnsi="Arial" w:cs="Arial"/>
                <w:szCs w:val="19"/>
              </w:rPr>
            </w:pPr>
            <w:r w:rsidRPr="00860FE3">
              <w:rPr>
                <w:rFonts w:ascii="Arial" w:hAnsi="Arial" w:cs="Arial"/>
                <w:szCs w:val="19"/>
              </w:rPr>
              <w:t>88.06</w:t>
            </w:r>
          </w:p>
        </w:tc>
      </w:tr>
    </w:tbl>
    <w:p w14:paraId="30C656EF" w14:textId="77777777" w:rsidR="000E3F3E" w:rsidRPr="00860FE3" w:rsidRDefault="000E3F3E" w:rsidP="00860FE3">
      <w:pPr>
        <w:spacing w:before="60" w:after="60" w:line="240" w:lineRule="auto"/>
        <w:rPr>
          <w:rFonts w:ascii="Arial" w:hAnsi="Arial" w:cs="Arial"/>
          <w:sz w:val="16"/>
        </w:rPr>
      </w:pPr>
      <w:r w:rsidRPr="00860FE3">
        <w:rPr>
          <w:rFonts w:ascii="Arial" w:hAnsi="Arial" w:cs="Arial"/>
          <w:sz w:val="16"/>
          <w:szCs w:val="16"/>
          <w:vertAlign w:val="superscript"/>
        </w:rPr>
        <w:t>1</w:t>
      </w:r>
      <w:r w:rsidR="005B1C7C">
        <w:rPr>
          <w:rFonts w:ascii="Arial" w:hAnsi="Arial" w:cs="Arial"/>
          <w:sz w:val="16"/>
          <w:szCs w:val="16"/>
          <w:vertAlign w:val="superscript"/>
        </w:rPr>
        <w:t xml:space="preserve"> </w:t>
      </w:r>
      <w:r w:rsidR="005B1C7C">
        <w:rPr>
          <w:rFonts w:ascii="Arial" w:hAnsi="Arial" w:cs="Arial"/>
          <w:sz w:val="16"/>
          <w:szCs w:val="16"/>
        </w:rPr>
        <w:t>NHMRC Research grants were t</w:t>
      </w:r>
      <w:r w:rsidR="005B1C7C" w:rsidRPr="005B1C7C">
        <w:rPr>
          <w:rFonts w:ascii="Arial" w:hAnsi="Arial" w:cs="Arial"/>
          <w:sz w:val="16"/>
          <w:szCs w:val="16"/>
        </w:rPr>
        <w:t>he actual amounts paid as per the 2017-18 NHMRC Annual Report page 136</w:t>
      </w:r>
    </w:p>
    <w:p w14:paraId="4401C9CB" w14:textId="77777777" w:rsidR="000E3F3E" w:rsidRDefault="000E3F3E" w:rsidP="00860FE3">
      <w:pPr>
        <w:spacing w:before="60" w:after="60" w:line="240" w:lineRule="auto"/>
        <w:rPr>
          <w:rFonts w:ascii="Arial" w:hAnsi="Arial" w:cs="Arial"/>
          <w:sz w:val="16"/>
        </w:rPr>
      </w:pPr>
      <w:r w:rsidRPr="00860FE3">
        <w:rPr>
          <w:rFonts w:ascii="Arial" w:hAnsi="Arial" w:cs="Arial"/>
          <w:sz w:val="16"/>
          <w:szCs w:val="16"/>
          <w:vertAlign w:val="superscript"/>
        </w:rPr>
        <w:t xml:space="preserve">2 </w:t>
      </w:r>
      <w:r w:rsidRPr="00860FE3">
        <w:rPr>
          <w:rFonts w:ascii="Arial" w:hAnsi="Arial" w:cs="Arial"/>
          <w:sz w:val="16"/>
          <w:szCs w:val="16"/>
        </w:rPr>
        <w:t>Reporting</w:t>
      </w:r>
      <w:r w:rsidRPr="00860FE3">
        <w:rPr>
          <w:rFonts w:ascii="Arial" w:hAnsi="Arial" w:cs="Arial"/>
          <w:sz w:val="16"/>
        </w:rPr>
        <w:t xml:space="preserve"> by the administrator of the Biomedical Translation Fund, the Department of Industry, Innovation and Science.</w:t>
      </w:r>
    </w:p>
    <w:p w14:paraId="13A748B7" w14:textId="074707F4" w:rsidR="005E1F54" w:rsidRPr="00860FE3" w:rsidRDefault="005E1F54" w:rsidP="00860FE3">
      <w:pPr>
        <w:spacing w:before="60" w:after="60" w:line="240" w:lineRule="auto"/>
        <w:rPr>
          <w:rFonts w:ascii="Arial" w:hAnsi="Arial" w:cs="Arial"/>
          <w:sz w:val="16"/>
        </w:rPr>
      </w:pPr>
      <w:r>
        <w:rPr>
          <w:rFonts w:ascii="Arial" w:hAnsi="Arial" w:cs="Arial"/>
          <w:sz w:val="16"/>
          <w:szCs w:val="16"/>
          <w:vertAlign w:val="superscript"/>
        </w:rPr>
        <w:t>3</w:t>
      </w:r>
      <w:r w:rsidR="004A602B">
        <w:rPr>
          <w:rFonts w:ascii="Arial" w:hAnsi="Arial" w:cs="Arial"/>
          <w:sz w:val="16"/>
          <w:szCs w:val="16"/>
        </w:rPr>
        <w:t>The amount for other initiatives were derived from A</w:t>
      </w:r>
      <w:r w:rsidR="005B1C7C" w:rsidRPr="00860FE3">
        <w:rPr>
          <w:rFonts w:ascii="Arial" w:hAnsi="Arial" w:cs="Arial"/>
          <w:sz w:val="16"/>
          <w:szCs w:val="16"/>
        </w:rPr>
        <w:t>us</w:t>
      </w:r>
      <w:r w:rsidR="005B1C7C" w:rsidRPr="00860FE3">
        <w:rPr>
          <w:rFonts w:ascii="Arial" w:hAnsi="Arial" w:cs="Arial"/>
          <w:sz w:val="16"/>
        </w:rPr>
        <w:t>tralian Government’s Science, Research and Innovation (SRI) Budget Tables 2018-19 - Health Portfolio Research and</w:t>
      </w:r>
      <w:r w:rsidR="005B1C7C">
        <w:rPr>
          <w:rFonts w:ascii="Arial" w:hAnsi="Arial" w:cs="Arial"/>
          <w:sz w:val="16"/>
        </w:rPr>
        <w:t xml:space="preserve"> </w:t>
      </w:r>
      <w:r w:rsidR="005B1C7C" w:rsidRPr="00860FE3">
        <w:rPr>
          <w:rFonts w:ascii="Arial" w:hAnsi="Arial" w:cs="Arial"/>
          <w:sz w:val="16"/>
        </w:rPr>
        <w:t>Development investment into the Socio</w:t>
      </w:r>
      <w:r w:rsidR="004A602B">
        <w:rPr>
          <w:rFonts w:ascii="Arial" w:hAnsi="Arial" w:cs="Arial"/>
          <w:sz w:val="16"/>
        </w:rPr>
        <w:t xml:space="preserve">-Economic Objective of 'Health', excluding the MRFF, NHMRC and BTF. </w:t>
      </w:r>
      <w:r w:rsidR="00DE57E6">
        <w:rPr>
          <w:rFonts w:ascii="Arial" w:hAnsi="Arial" w:cs="Arial"/>
          <w:sz w:val="16"/>
        </w:rPr>
        <w:t xml:space="preserve">At the time of tabling, actual figures are available for 2016-17 and estimated actuals for </w:t>
      </w:r>
      <w:r w:rsidR="004A602B">
        <w:rPr>
          <w:rFonts w:ascii="Arial" w:hAnsi="Arial" w:cs="Arial"/>
          <w:sz w:val="16"/>
        </w:rPr>
        <w:t xml:space="preserve">2017-18. </w:t>
      </w:r>
    </w:p>
    <w:p w14:paraId="139D5166" w14:textId="77777777" w:rsidR="00883BA4" w:rsidRDefault="00883BA4" w:rsidP="00361001">
      <w:pPr>
        <w:spacing w:line="240" w:lineRule="auto"/>
        <w:contextualSpacing/>
        <w:rPr>
          <w:rFonts w:ascii="Arial" w:hAnsi="Arial" w:cs="Arial"/>
        </w:rPr>
      </w:pPr>
    </w:p>
    <w:p w14:paraId="15488362" w14:textId="65A4CBC4" w:rsidR="00883BA4" w:rsidRPr="002B383D" w:rsidRDefault="00F20C11" w:rsidP="00637CFB">
      <w:pPr>
        <w:pStyle w:val="xAppendixLevel1"/>
        <w:spacing w:after="240"/>
        <w:ind w:left="2127" w:hanging="2127"/>
        <w:rPr>
          <w:rFonts w:ascii="Arial" w:hAnsi="Arial" w:cs="Arial"/>
          <w:b w:val="0"/>
          <w:sz w:val="36"/>
          <w:szCs w:val="36"/>
        </w:rPr>
      </w:pPr>
      <w:bookmarkStart w:id="16" w:name="_Ref3891225"/>
      <w:bookmarkStart w:id="17" w:name="_Toc5785666"/>
      <w:r w:rsidRPr="00F20C11">
        <w:rPr>
          <w:rFonts w:ascii="Arial" w:hAnsi="Arial" w:cs="Arial"/>
          <w:b w:val="0"/>
          <w:sz w:val="36"/>
          <w:szCs w:val="36"/>
          <w:lang w:val="en-US"/>
        </w:rPr>
        <w:lastRenderedPageBreak/>
        <w:t>Australian Medical Research and Innovation Priorities</w:t>
      </w:r>
      <w:r w:rsidRPr="00F20C11">
        <w:rPr>
          <w:rFonts w:ascii="Arial" w:hAnsi="Arial" w:cs="Arial"/>
          <w:sz w:val="36"/>
          <w:szCs w:val="36"/>
        </w:rPr>
        <w:t xml:space="preserve"> </w:t>
      </w:r>
      <w:r w:rsidR="003466CF" w:rsidRPr="002B383D">
        <w:rPr>
          <w:rFonts w:ascii="Arial" w:hAnsi="Arial" w:cs="Arial"/>
          <w:b w:val="0"/>
          <w:sz w:val="36"/>
          <w:szCs w:val="36"/>
        </w:rPr>
        <w:t>2016</w:t>
      </w:r>
      <w:r>
        <w:rPr>
          <w:rFonts w:ascii="Arial" w:hAnsi="Arial" w:cs="Arial"/>
          <w:b w:val="0"/>
          <w:sz w:val="36"/>
          <w:szCs w:val="36"/>
        </w:rPr>
        <w:noBreakHyphen/>
      </w:r>
      <w:r w:rsidR="00AA6F41">
        <w:rPr>
          <w:rFonts w:ascii="Arial" w:hAnsi="Arial" w:cs="Arial"/>
          <w:b w:val="0"/>
          <w:sz w:val="36"/>
          <w:szCs w:val="36"/>
        </w:rPr>
        <w:t>20</w:t>
      </w:r>
      <w:r w:rsidR="003466CF" w:rsidRPr="002B383D">
        <w:rPr>
          <w:rFonts w:ascii="Arial" w:hAnsi="Arial" w:cs="Arial"/>
          <w:b w:val="0"/>
          <w:sz w:val="36"/>
          <w:szCs w:val="36"/>
        </w:rPr>
        <w:t>18</w:t>
      </w:r>
      <w:bookmarkEnd w:id="16"/>
      <w:bookmarkEnd w:id="17"/>
    </w:p>
    <w:p w14:paraId="19E50B77" w14:textId="1E7F89FB" w:rsidR="003466CF" w:rsidRPr="000541AA" w:rsidRDefault="00CC1083" w:rsidP="003466CF">
      <w:pPr>
        <w:rPr>
          <w:rFonts w:ascii="Arial" w:hAnsi="Arial" w:cs="Arial"/>
          <w:lang w:eastAsia="en-AU"/>
        </w:rPr>
      </w:pPr>
      <w:r>
        <w:rPr>
          <w:rFonts w:ascii="Arial" w:hAnsi="Arial" w:cs="Arial"/>
          <w:lang w:eastAsia="en-AU"/>
        </w:rPr>
        <w:t>The 2016-</w:t>
      </w:r>
      <w:r w:rsidR="00AA6F41">
        <w:rPr>
          <w:rFonts w:ascii="Arial" w:hAnsi="Arial" w:cs="Arial"/>
          <w:lang w:eastAsia="en-AU"/>
        </w:rPr>
        <w:t>20</w:t>
      </w:r>
      <w:r>
        <w:rPr>
          <w:rFonts w:ascii="Arial" w:hAnsi="Arial" w:cs="Arial"/>
          <w:lang w:eastAsia="en-AU"/>
        </w:rPr>
        <w:t xml:space="preserve">18 </w:t>
      </w:r>
      <w:r w:rsidR="00E843EE">
        <w:rPr>
          <w:rFonts w:ascii="Arial" w:hAnsi="Arial" w:cs="Arial"/>
          <w:lang w:eastAsia="en-AU"/>
        </w:rPr>
        <w:t xml:space="preserve">Australian </w:t>
      </w:r>
      <w:r>
        <w:rPr>
          <w:rFonts w:ascii="Arial" w:hAnsi="Arial" w:cs="Arial"/>
          <w:lang w:eastAsia="en-AU"/>
        </w:rPr>
        <w:t xml:space="preserve">Medical Research and Innovation Priorities are presented in </w:t>
      </w:r>
      <w:r w:rsidRPr="00CC1083">
        <w:rPr>
          <w:rFonts w:ascii="Arial" w:hAnsi="Arial" w:cs="Arial"/>
          <w:color w:val="000000" w:themeColor="text1"/>
          <w:lang w:eastAsia="en-AU"/>
        </w:rPr>
        <w:fldChar w:fldCharType="begin"/>
      </w:r>
      <w:r w:rsidRPr="00CC1083">
        <w:rPr>
          <w:rFonts w:ascii="Arial" w:hAnsi="Arial" w:cs="Arial"/>
          <w:color w:val="000000" w:themeColor="text1"/>
          <w:lang w:eastAsia="en-AU"/>
        </w:rPr>
        <w:instrText xml:space="preserve"> REF _Ref536028076 \h  \* MERGEFORMAT </w:instrText>
      </w:r>
      <w:r w:rsidRPr="00CC1083">
        <w:rPr>
          <w:rFonts w:ascii="Arial" w:hAnsi="Arial" w:cs="Arial"/>
          <w:color w:val="000000" w:themeColor="text1"/>
          <w:lang w:eastAsia="en-AU"/>
        </w:rPr>
      </w:r>
      <w:r w:rsidRPr="00CC1083">
        <w:rPr>
          <w:rFonts w:ascii="Arial" w:hAnsi="Arial" w:cs="Arial"/>
          <w:color w:val="000000" w:themeColor="text1"/>
          <w:lang w:eastAsia="en-AU"/>
        </w:rPr>
        <w:fldChar w:fldCharType="separate"/>
      </w:r>
      <w:r w:rsidR="00533860" w:rsidRPr="00533860">
        <w:rPr>
          <w:rFonts w:ascii="Arial" w:hAnsi="Arial" w:cs="Arial"/>
          <w:color w:val="000000" w:themeColor="text1"/>
        </w:rPr>
        <w:t xml:space="preserve">Table </w:t>
      </w:r>
      <w:r w:rsidR="00533860" w:rsidRPr="00533860">
        <w:rPr>
          <w:rFonts w:ascii="Arial" w:hAnsi="Arial" w:cs="Arial"/>
          <w:noProof/>
          <w:color w:val="000000" w:themeColor="text1"/>
        </w:rPr>
        <w:t>4</w:t>
      </w:r>
      <w:r w:rsidRPr="00CC1083">
        <w:rPr>
          <w:rFonts w:ascii="Arial" w:hAnsi="Arial" w:cs="Arial"/>
          <w:color w:val="000000" w:themeColor="text1"/>
          <w:lang w:eastAsia="en-AU"/>
        </w:rPr>
        <w:fldChar w:fldCharType="end"/>
      </w:r>
      <w:r w:rsidRPr="00CC1083">
        <w:rPr>
          <w:rFonts w:ascii="Arial" w:hAnsi="Arial" w:cs="Arial"/>
          <w:color w:val="000000" w:themeColor="text1"/>
          <w:lang w:eastAsia="en-AU"/>
        </w:rPr>
        <w:t xml:space="preserve"> against </w:t>
      </w:r>
      <w:r>
        <w:rPr>
          <w:rFonts w:ascii="Arial" w:hAnsi="Arial" w:cs="Arial"/>
          <w:lang w:eastAsia="en-AU"/>
        </w:rPr>
        <w:t xml:space="preserve">each of the six platforms of the </w:t>
      </w:r>
      <w:r w:rsidR="00FE018E">
        <w:rPr>
          <w:rFonts w:ascii="Arial" w:hAnsi="Arial" w:cs="Arial"/>
          <w:lang w:eastAsia="en-AU"/>
        </w:rPr>
        <w:t xml:space="preserve">Australian </w:t>
      </w:r>
      <w:r>
        <w:rPr>
          <w:rFonts w:ascii="Arial" w:hAnsi="Arial" w:cs="Arial"/>
          <w:lang w:eastAsia="en-AU"/>
        </w:rPr>
        <w:t>Medical Research and Innovation Strategy</w:t>
      </w:r>
      <w:r w:rsidR="00FE018E">
        <w:rPr>
          <w:rFonts w:ascii="Arial" w:hAnsi="Arial" w:cs="Arial"/>
          <w:lang w:eastAsia="en-AU"/>
        </w:rPr>
        <w:t xml:space="preserve"> 2016-2021</w:t>
      </w:r>
      <w:r>
        <w:rPr>
          <w:rFonts w:ascii="Arial" w:hAnsi="Arial" w:cs="Arial"/>
          <w:lang w:eastAsia="en-AU"/>
        </w:rPr>
        <w:t>.</w:t>
      </w:r>
    </w:p>
    <w:p w14:paraId="02F584F0" w14:textId="730C6F2E" w:rsidR="003466CF" w:rsidRPr="000541AA" w:rsidRDefault="003466CF" w:rsidP="003466CF">
      <w:pPr>
        <w:pStyle w:val="Caption"/>
        <w:rPr>
          <w:color w:val="1F497D" w:themeColor="text2"/>
        </w:rPr>
      </w:pPr>
      <w:bookmarkStart w:id="18" w:name="_Ref536028076"/>
      <w:bookmarkStart w:id="19" w:name="_Ref3885858"/>
      <w:r w:rsidRPr="000541AA">
        <w:rPr>
          <w:color w:val="1F497D" w:themeColor="text2"/>
        </w:rPr>
        <w:t xml:space="preserve">Table </w:t>
      </w:r>
      <w:r w:rsidRPr="000541AA">
        <w:rPr>
          <w:color w:val="1F497D" w:themeColor="text2"/>
        </w:rPr>
        <w:fldChar w:fldCharType="begin"/>
      </w:r>
      <w:r w:rsidRPr="000541AA">
        <w:rPr>
          <w:color w:val="1F497D" w:themeColor="text2"/>
        </w:rPr>
        <w:instrText xml:space="preserve"> SEQ Table \* ARABIC </w:instrText>
      </w:r>
      <w:r w:rsidRPr="000541AA">
        <w:rPr>
          <w:color w:val="1F497D" w:themeColor="text2"/>
        </w:rPr>
        <w:fldChar w:fldCharType="separate"/>
      </w:r>
      <w:r w:rsidR="00533860">
        <w:rPr>
          <w:noProof/>
          <w:color w:val="1F497D" w:themeColor="text2"/>
        </w:rPr>
        <w:t>4</w:t>
      </w:r>
      <w:r w:rsidRPr="000541AA">
        <w:rPr>
          <w:color w:val="1F497D" w:themeColor="text2"/>
        </w:rPr>
        <w:fldChar w:fldCharType="end"/>
      </w:r>
      <w:bookmarkEnd w:id="18"/>
      <w:r w:rsidRPr="000541AA">
        <w:rPr>
          <w:color w:val="1F497D" w:themeColor="text2"/>
        </w:rPr>
        <w:t xml:space="preserve"> | Australian Medical Research and Innovation Priorities 2016-18</w:t>
      </w:r>
      <w:r w:rsidRPr="000541AA">
        <w:rPr>
          <w:rStyle w:val="FootnoteReference"/>
          <w:color w:val="1F497D" w:themeColor="text2"/>
        </w:rPr>
        <w:footnoteReference w:id="2"/>
      </w:r>
      <w:bookmarkEnd w:id="19"/>
    </w:p>
    <w:tbl>
      <w:tblPr>
        <w:tblStyle w:val="TableGrid"/>
        <w:tblW w:w="9351" w:type="dxa"/>
        <w:tblLook w:val="04A0" w:firstRow="1" w:lastRow="0" w:firstColumn="1" w:lastColumn="0" w:noHBand="0" w:noVBand="1"/>
      </w:tblPr>
      <w:tblGrid>
        <w:gridCol w:w="1638"/>
        <w:gridCol w:w="7713"/>
      </w:tblGrid>
      <w:tr w:rsidR="003466CF" w14:paraId="1325C9A4" w14:textId="77777777" w:rsidTr="003B7915">
        <w:tc>
          <w:tcPr>
            <w:tcW w:w="1638" w:type="dxa"/>
            <w:shd w:val="clear" w:color="auto" w:fill="1F497D" w:themeFill="text2"/>
          </w:tcPr>
          <w:p w14:paraId="1FF9A137" w14:textId="77777777" w:rsidR="003466CF" w:rsidRPr="008520FB" w:rsidRDefault="003466CF" w:rsidP="00397415">
            <w:pPr>
              <w:pStyle w:val="TableNheader"/>
              <w:rPr>
                <w:rFonts w:eastAsia="Calibri"/>
                <w:color w:val="000000" w:themeColor="text1"/>
              </w:rPr>
            </w:pPr>
            <w:r w:rsidRPr="008520FB">
              <w:rPr>
                <w:lang w:eastAsia="en-AU"/>
              </w:rPr>
              <w:t>Priority</w:t>
            </w:r>
          </w:p>
        </w:tc>
        <w:tc>
          <w:tcPr>
            <w:tcW w:w="7713" w:type="dxa"/>
            <w:shd w:val="clear" w:color="auto" w:fill="1F497D" w:themeFill="text2"/>
          </w:tcPr>
          <w:p w14:paraId="46AA6D09" w14:textId="77777777" w:rsidR="003466CF" w:rsidRPr="008520FB" w:rsidRDefault="003466CF" w:rsidP="00397415">
            <w:pPr>
              <w:pStyle w:val="TableNheader"/>
              <w:rPr>
                <w:rFonts w:eastAsia="Calibri"/>
                <w:color w:val="000000" w:themeColor="text1"/>
              </w:rPr>
            </w:pPr>
            <w:r w:rsidRPr="008520FB">
              <w:rPr>
                <w:lang w:eastAsia="en-AU"/>
              </w:rPr>
              <w:t>Description</w:t>
            </w:r>
          </w:p>
        </w:tc>
      </w:tr>
      <w:tr w:rsidR="003466CF" w:rsidRPr="00CB4EA6" w14:paraId="6402D477" w14:textId="77777777" w:rsidTr="003B7915">
        <w:tc>
          <w:tcPr>
            <w:tcW w:w="9351" w:type="dxa"/>
            <w:gridSpan w:val="2"/>
            <w:shd w:val="clear" w:color="auto" w:fill="A6A6A6" w:themeFill="background1" w:themeFillShade="A6"/>
          </w:tcPr>
          <w:p w14:paraId="2BB5441D" w14:textId="77777777" w:rsidR="003466CF" w:rsidRPr="00CB4EA6" w:rsidRDefault="003466CF" w:rsidP="00397415">
            <w:pPr>
              <w:pStyle w:val="TableNheader"/>
              <w:rPr>
                <w:rFonts w:eastAsia="Calibri"/>
                <w:color w:val="FFFFFF" w:themeColor="background1"/>
              </w:rPr>
            </w:pPr>
            <w:r w:rsidRPr="00CB4EA6">
              <w:rPr>
                <w:color w:val="FFFFFF" w:themeColor="background1"/>
              </w:rPr>
              <w:t>Strategic and international horizons</w:t>
            </w:r>
          </w:p>
        </w:tc>
      </w:tr>
      <w:tr w:rsidR="003466CF" w14:paraId="5B17DB03" w14:textId="77777777" w:rsidTr="003B7915">
        <w:tc>
          <w:tcPr>
            <w:tcW w:w="1638" w:type="dxa"/>
          </w:tcPr>
          <w:p w14:paraId="5B9DC174" w14:textId="77777777" w:rsidR="003466CF" w:rsidRPr="00CB4EA6" w:rsidRDefault="003466CF" w:rsidP="00397415">
            <w:pPr>
              <w:pStyle w:val="TableNText"/>
              <w:rPr>
                <w:rFonts w:eastAsia="Calibri"/>
                <w:b/>
                <w:color w:val="000000" w:themeColor="text1"/>
              </w:rPr>
            </w:pPr>
            <w:r w:rsidRPr="00CB4EA6">
              <w:rPr>
                <w:b/>
              </w:rPr>
              <w:t>Antimicrobial resistance</w:t>
            </w:r>
          </w:p>
        </w:tc>
        <w:tc>
          <w:tcPr>
            <w:tcW w:w="7713" w:type="dxa"/>
          </w:tcPr>
          <w:p w14:paraId="4E137261" w14:textId="77777777" w:rsidR="003466CF" w:rsidRDefault="003466CF" w:rsidP="00397415">
            <w:pPr>
              <w:pStyle w:val="TableNText"/>
              <w:rPr>
                <w:rFonts w:ascii="Calibri" w:eastAsia="Calibri" w:hAnsi="Calibri" w:cs="Calibri"/>
                <w:color w:val="000000" w:themeColor="text1"/>
              </w:rPr>
            </w:pPr>
            <w:r>
              <w:t>Investment in this global challenge, consistent with Australia’s First National Antimicrobial Resistance Strategy (2015–2019), with a focus on research to bring to market point-of-care solutions</w:t>
            </w:r>
          </w:p>
        </w:tc>
      </w:tr>
      <w:tr w:rsidR="003466CF" w14:paraId="12CA22B5" w14:textId="77777777" w:rsidTr="003B7915">
        <w:tc>
          <w:tcPr>
            <w:tcW w:w="1638" w:type="dxa"/>
          </w:tcPr>
          <w:p w14:paraId="3D39F1E2" w14:textId="77777777" w:rsidR="003466CF" w:rsidRPr="00CB4EA6" w:rsidRDefault="003466CF" w:rsidP="00397415">
            <w:pPr>
              <w:pStyle w:val="TableNText"/>
              <w:rPr>
                <w:rFonts w:eastAsia="Calibri"/>
                <w:b/>
                <w:color w:val="000000" w:themeColor="text1"/>
              </w:rPr>
            </w:pPr>
            <w:r w:rsidRPr="00CB4EA6">
              <w:rPr>
                <w:b/>
              </w:rPr>
              <w:t>International collaborative research</w:t>
            </w:r>
          </w:p>
        </w:tc>
        <w:tc>
          <w:tcPr>
            <w:tcW w:w="7713" w:type="dxa"/>
          </w:tcPr>
          <w:p w14:paraId="7301453D" w14:textId="77777777" w:rsidR="003466CF" w:rsidRDefault="003466CF" w:rsidP="00397415">
            <w:pPr>
              <w:pStyle w:val="TableNText"/>
              <w:rPr>
                <w:rFonts w:ascii="Calibri" w:eastAsia="Calibri" w:hAnsi="Calibri" w:cs="Calibri"/>
                <w:color w:val="000000" w:themeColor="text1"/>
              </w:rPr>
            </w:pPr>
            <w:r>
              <w:t>Create a reserve for rapid funding of international collaborative work in priority areas of health and medical research, capable of leveraging multiple agency, discipline, national or industry investment.</w:t>
            </w:r>
          </w:p>
        </w:tc>
      </w:tr>
      <w:tr w:rsidR="003466CF" w14:paraId="2CCABFDC" w14:textId="77777777" w:rsidTr="003B7915">
        <w:tc>
          <w:tcPr>
            <w:tcW w:w="1638" w:type="dxa"/>
          </w:tcPr>
          <w:p w14:paraId="6FA242CE" w14:textId="77777777" w:rsidR="003466CF" w:rsidRPr="00CB4EA6" w:rsidRDefault="003466CF" w:rsidP="00397415">
            <w:pPr>
              <w:pStyle w:val="TableNText"/>
              <w:rPr>
                <w:rFonts w:eastAsia="Calibri"/>
                <w:b/>
                <w:color w:val="000000" w:themeColor="text1"/>
              </w:rPr>
            </w:pPr>
            <w:r w:rsidRPr="00CB4EA6">
              <w:rPr>
                <w:b/>
              </w:rPr>
              <w:t>Disruptive technology</w:t>
            </w:r>
          </w:p>
        </w:tc>
        <w:tc>
          <w:tcPr>
            <w:tcW w:w="7713" w:type="dxa"/>
          </w:tcPr>
          <w:p w14:paraId="3EE9DCDC" w14:textId="77777777" w:rsidR="003466CF" w:rsidRDefault="003466CF" w:rsidP="00397415">
            <w:pPr>
              <w:pStyle w:val="TableNText"/>
              <w:rPr>
                <w:rFonts w:ascii="Calibri" w:eastAsia="Calibri" w:hAnsi="Calibri" w:cs="Calibri"/>
                <w:color w:val="000000" w:themeColor="text1"/>
              </w:rPr>
            </w:pPr>
            <w:r>
              <w:t>Assess the impact of disruptive technologies such as artificial intelligence, wearables, genomic engineering and emerging markets on health service delivery and health training requirements.</w:t>
            </w:r>
          </w:p>
        </w:tc>
      </w:tr>
      <w:tr w:rsidR="003466CF" w:rsidRPr="00CB4EA6" w14:paraId="224D16EC" w14:textId="77777777" w:rsidTr="003B7915">
        <w:tc>
          <w:tcPr>
            <w:tcW w:w="9351" w:type="dxa"/>
            <w:gridSpan w:val="2"/>
            <w:shd w:val="clear" w:color="auto" w:fill="A6A6A6" w:themeFill="background1" w:themeFillShade="A6"/>
          </w:tcPr>
          <w:p w14:paraId="792F2FE3" w14:textId="77777777" w:rsidR="003466CF" w:rsidRPr="00CB4EA6" w:rsidRDefault="003466CF" w:rsidP="00397415">
            <w:pPr>
              <w:pStyle w:val="TableNheader"/>
              <w:rPr>
                <w:rFonts w:eastAsia="Calibri"/>
                <w:color w:val="FFFFFF" w:themeColor="background1"/>
              </w:rPr>
            </w:pPr>
            <w:r w:rsidRPr="00CB4EA6">
              <w:rPr>
                <w:color w:val="FFFFFF" w:themeColor="background1"/>
              </w:rPr>
              <w:t>Data and infrastructure</w:t>
            </w:r>
          </w:p>
        </w:tc>
      </w:tr>
      <w:tr w:rsidR="003466CF" w14:paraId="0F6891CF" w14:textId="77777777" w:rsidTr="003B7915">
        <w:tc>
          <w:tcPr>
            <w:tcW w:w="1638" w:type="dxa"/>
          </w:tcPr>
          <w:p w14:paraId="02750E2A" w14:textId="77777777" w:rsidR="003466CF" w:rsidRPr="00CB4EA6" w:rsidRDefault="003466CF" w:rsidP="00397415">
            <w:pPr>
              <w:pStyle w:val="TableNText"/>
              <w:rPr>
                <w:rFonts w:eastAsia="Calibri"/>
                <w:b/>
                <w:color w:val="000000" w:themeColor="text1"/>
              </w:rPr>
            </w:pPr>
            <w:r w:rsidRPr="00CB4EA6">
              <w:rPr>
                <w:b/>
              </w:rPr>
              <w:t>Clinical quality registries</w:t>
            </w:r>
          </w:p>
        </w:tc>
        <w:tc>
          <w:tcPr>
            <w:tcW w:w="7713" w:type="dxa"/>
          </w:tcPr>
          <w:p w14:paraId="5FAD1E19" w14:textId="77777777" w:rsidR="003466CF" w:rsidRDefault="003466CF" w:rsidP="00397415">
            <w:pPr>
              <w:pStyle w:val="TableNText"/>
              <w:rPr>
                <w:rFonts w:ascii="Calibri" w:eastAsia="Calibri" w:hAnsi="Calibri" w:cs="Calibri"/>
                <w:color w:val="000000" w:themeColor="text1"/>
              </w:rPr>
            </w:pPr>
            <w:r>
              <w:t>Provide start-up investment in disease or therapy-focussed clinical registries supported by a national framework to maximise interoperability and value of research to clinical practice.</w:t>
            </w:r>
          </w:p>
        </w:tc>
      </w:tr>
      <w:tr w:rsidR="003466CF" w14:paraId="707405BD" w14:textId="77777777" w:rsidTr="003B7915">
        <w:tc>
          <w:tcPr>
            <w:tcW w:w="1638" w:type="dxa"/>
          </w:tcPr>
          <w:p w14:paraId="39AE6BD2" w14:textId="77777777" w:rsidR="003466CF" w:rsidRPr="00CB4EA6" w:rsidRDefault="003466CF" w:rsidP="00397415">
            <w:pPr>
              <w:pStyle w:val="TableNText"/>
              <w:rPr>
                <w:rFonts w:eastAsia="Calibri"/>
                <w:b/>
                <w:color w:val="000000" w:themeColor="text1"/>
              </w:rPr>
            </w:pPr>
            <w:r w:rsidRPr="00CB4EA6">
              <w:rPr>
                <w:b/>
              </w:rPr>
              <w:t>National data management study</w:t>
            </w:r>
          </w:p>
        </w:tc>
        <w:tc>
          <w:tcPr>
            <w:tcW w:w="7713" w:type="dxa"/>
          </w:tcPr>
          <w:p w14:paraId="736B24E9" w14:textId="77777777" w:rsidR="003466CF" w:rsidRDefault="003466CF" w:rsidP="00397415">
            <w:pPr>
              <w:pStyle w:val="TableNText"/>
              <w:rPr>
                <w:rFonts w:ascii="Calibri" w:eastAsia="Calibri" w:hAnsi="Calibri" w:cs="Calibri"/>
                <w:color w:val="000000" w:themeColor="text1"/>
              </w:rPr>
            </w:pPr>
            <w:r>
              <w:t>Study, in collaboration with key agencies, the requirements for infrastructure enhancement that expands the use of secure, digitised (My Health Record) and linked health and social data and inter-agency collaborative research.</w:t>
            </w:r>
          </w:p>
        </w:tc>
      </w:tr>
      <w:tr w:rsidR="003466CF" w14:paraId="437343CB" w14:textId="77777777" w:rsidTr="003B7915">
        <w:tc>
          <w:tcPr>
            <w:tcW w:w="1638" w:type="dxa"/>
          </w:tcPr>
          <w:p w14:paraId="2E0D10AF" w14:textId="77777777" w:rsidR="003466CF" w:rsidRPr="00CB4EA6" w:rsidRDefault="003466CF" w:rsidP="00397415">
            <w:pPr>
              <w:pStyle w:val="TableNText"/>
              <w:rPr>
                <w:rFonts w:eastAsia="Calibri"/>
                <w:b/>
                <w:color w:val="000000" w:themeColor="text1"/>
              </w:rPr>
            </w:pPr>
            <w:r w:rsidRPr="00CB4EA6">
              <w:rPr>
                <w:b/>
              </w:rPr>
              <w:t>MRFF infrastructure and evaluation</w:t>
            </w:r>
          </w:p>
        </w:tc>
        <w:tc>
          <w:tcPr>
            <w:tcW w:w="7713" w:type="dxa"/>
          </w:tcPr>
          <w:p w14:paraId="4645C824" w14:textId="77777777" w:rsidR="003466CF" w:rsidRDefault="003466CF" w:rsidP="00397415">
            <w:pPr>
              <w:pStyle w:val="TableNText"/>
            </w:pPr>
            <w:r>
              <w:t>Establish:</w:t>
            </w:r>
          </w:p>
          <w:p w14:paraId="7E1BDA40" w14:textId="77777777" w:rsidR="003466CF" w:rsidRDefault="003466CF" w:rsidP="00397415">
            <w:pPr>
              <w:pStyle w:val="TableNListnumbered"/>
              <w:tabs>
                <w:tab w:val="clear" w:pos="360"/>
              </w:tabs>
              <w:spacing w:line="240" w:lineRule="auto"/>
              <w:ind w:left="227" w:hanging="227"/>
            </w:pPr>
            <w:r>
              <w:t>a consumer-driven health and medical research agenda,</w:t>
            </w:r>
          </w:p>
          <w:p w14:paraId="0D90CCE7" w14:textId="77777777" w:rsidR="003466CF" w:rsidRDefault="003466CF" w:rsidP="00397415">
            <w:pPr>
              <w:pStyle w:val="TableNListnumbered"/>
              <w:tabs>
                <w:tab w:val="clear" w:pos="360"/>
              </w:tabs>
              <w:spacing w:line="240" w:lineRule="auto"/>
              <w:ind w:left="227" w:hanging="227"/>
            </w:pPr>
            <w:r>
              <w:t>a method to guide future MRFF priorities, and</w:t>
            </w:r>
          </w:p>
          <w:p w14:paraId="071172F1" w14:textId="77777777" w:rsidR="003466CF" w:rsidRDefault="003466CF" w:rsidP="00397415">
            <w:pPr>
              <w:pStyle w:val="TableNListnumbered"/>
              <w:tabs>
                <w:tab w:val="clear" w:pos="360"/>
              </w:tabs>
              <w:spacing w:line="240" w:lineRule="auto"/>
              <w:ind w:left="227" w:hanging="227"/>
              <w:rPr>
                <w:rFonts w:ascii="Calibri" w:eastAsia="Calibri" w:hAnsi="Calibri" w:cs="Calibri"/>
                <w:color w:val="000000" w:themeColor="text1"/>
              </w:rPr>
            </w:pPr>
            <w:r>
              <w:t>the means to measure and report on economic returns from investments.</w:t>
            </w:r>
          </w:p>
        </w:tc>
      </w:tr>
      <w:tr w:rsidR="003466CF" w14:paraId="2A308276" w14:textId="77777777" w:rsidTr="003B7915">
        <w:tc>
          <w:tcPr>
            <w:tcW w:w="1638" w:type="dxa"/>
          </w:tcPr>
          <w:p w14:paraId="37FC9E16" w14:textId="77777777" w:rsidR="003466CF" w:rsidRPr="00CB4EA6" w:rsidRDefault="003466CF" w:rsidP="00397415">
            <w:pPr>
              <w:pStyle w:val="TableNText"/>
              <w:rPr>
                <w:rFonts w:eastAsia="Calibri"/>
                <w:b/>
                <w:color w:val="000000" w:themeColor="text1"/>
              </w:rPr>
            </w:pPr>
            <w:r w:rsidRPr="00CB4EA6">
              <w:rPr>
                <w:b/>
              </w:rPr>
              <w:t>Communicable disease control</w:t>
            </w:r>
          </w:p>
        </w:tc>
        <w:tc>
          <w:tcPr>
            <w:tcW w:w="7713" w:type="dxa"/>
          </w:tcPr>
          <w:p w14:paraId="71497593" w14:textId="77777777" w:rsidR="003466CF" w:rsidRDefault="003466CF" w:rsidP="00397415">
            <w:pPr>
              <w:pStyle w:val="TableNText"/>
              <w:rPr>
                <w:rFonts w:ascii="Calibri" w:eastAsia="Calibri" w:hAnsi="Calibri" w:cs="Calibri"/>
                <w:color w:val="000000" w:themeColor="text1"/>
              </w:rPr>
            </w:pPr>
            <w:r>
              <w:t>Enhance and coordinate research on national surveillance of and response to current and emerging infectious diseases and antimicrobial resistance.</w:t>
            </w:r>
          </w:p>
        </w:tc>
      </w:tr>
      <w:tr w:rsidR="003466CF" w:rsidRPr="00CB4EA6" w14:paraId="6AE43268" w14:textId="77777777" w:rsidTr="003B7915">
        <w:tc>
          <w:tcPr>
            <w:tcW w:w="9351" w:type="dxa"/>
            <w:gridSpan w:val="2"/>
            <w:shd w:val="clear" w:color="auto" w:fill="A6A6A6" w:themeFill="background1" w:themeFillShade="A6"/>
          </w:tcPr>
          <w:p w14:paraId="2209BEAA" w14:textId="77777777" w:rsidR="003466CF" w:rsidRPr="00CB4EA6" w:rsidRDefault="003466CF" w:rsidP="00397415">
            <w:pPr>
              <w:pStyle w:val="TableNheader"/>
              <w:rPr>
                <w:rFonts w:eastAsia="Calibri"/>
                <w:color w:val="FFFFFF" w:themeColor="background1"/>
              </w:rPr>
            </w:pPr>
            <w:r w:rsidRPr="00CB4EA6">
              <w:rPr>
                <w:color w:val="FFFFFF" w:themeColor="background1"/>
              </w:rPr>
              <w:t>Health services and systems</w:t>
            </w:r>
          </w:p>
        </w:tc>
      </w:tr>
      <w:tr w:rsidR="003466CF" w14:paraId="1AD8896A" w14:textId="77777777" w:rsidTr="003B7915">
        <w:tc>
          <w:tcPr>
            <w:tcW w:w="1638" w:type="dxa"/>
          </w:tcPr>
          <w:p w14:paraId="4F6EB7E4" w14:textId="77777777" w:rsidR="003466CF" w:rsidRPr="00CB4EA6" w:rsidRDefault="003466CF" w:rsidP="00397415">
            <w:pPr>
              <w:pStyle w:val="TableNText"/>
              <w:rPr>
                <w:rFonts w:eastAsia="Calibri"/>
                <w:b/>
                <w:color w:val="000000" w:themeColor="text1"/>
              </w:rPr>
            </w:pPr>
            <w:r w:rsidRPr="00CB4EA6">
              <w:rPr>
                <w:b/>
              </w:rPr>
              <w:t>National Institute of Research</w:t>
            </w:r>
          </w:p>
        </w:tc>
        <w:tc>
          <w:tcPr>
            <w:tcW w:w="7713" w:type="dxa"/>
          </w:tcPr>
          <w:p w14:paraId="65918642" w14:textId="77777777" w:rsidR="003466CF" w:rsidRDefault="003466CF" w:rsidP="00397415">
            <w:pPr>
              <w:pStyle w:val="TableNText"/>
              <w:rPr>
                <w:rFonts w:ascii="Calibri" w:eastAsia="Calibri" w:hAnsi="Calibri" w:cs="Calibri"/>
                <w:color w:val="000000" w:themeColor="text1"/>
              </w:rPr>
            </w:pPr>
            <w:r>
              <w:t>In partnership with the states and territories, determine the feasibility of establishing a national institute focused on health services, and public and preventive health research to facilitate evidence-based and cost-effective healthcare.</w:t>
            </w:r>
          </w:p>
        </w:tc>
      </w:tr>
      <w:tr w:rsidR="003466CF" w14:paraId="30A55EC7" w14:textId="77777777" w:rsidTr="003B7915">
        <w:tc>
          <w:tcPr>
            <w:tcW w:w="1638" w:type="dxa"/>
          </w:tcPr>
          <w:p w14:paraId="001C6F85" w14:textId="77777777" w:rsidR="003466CF" w:rsidRPr="00CB4EA6" w:rsidRDefault="003466CF" w:rsidP="00397415">
            <w:pPr>
              <w:pStyle w:val="TableNText"/>
              <w:rPr>
                <w:rFonts w:eastAsia="Calibri"/>
                <w:b/>
                <w:color w:val="000000" w:themeColor="text1"/>
              </w:rPr>
            </w:pPr>
            <w:r w:rsidRPr="00CB4EA6">
              <w:rPr>
                <w:b/>
              </w:rPr>
              <w:t>Building evidence in primary care</w:t>
            </w:r>
          </w:p>
        </w:tc>
        <w:tc>
          <w:tcPr>
            <w:tcW w:w="7713" w:type="dxa"/>
          </w:tcPr>
          <w:p w14:paraId="5DEEE3C8" w14:textId="77777777" w:rsidR="003466CF" w:rsidRDefault="003466CF" w:rsidP="00397415">
            <w:pPr>
              <w:pStyle w:val="TableNText"/>
              <w:rPr>
                <w:rFonts w:ascii="Calibri" w:eastAsia="Calibri" w:hAnsi="Calibri" w:cs="Calibri"/>
                <w:color w:val="000000" w:themeColor="text1"/>
              </w:rPr>
            </w:pPr>
            <w:r>
              <w:t>Work alongside the Medicare Benefits Schedule Review Taskforce to identify interventions with limited supporting evidence that are amenable to randomised control trial investigations, and engage the existing workforce to build capacity.</w:t>
            </w:r>
          </w:p>
        </w:tc>
      </w:tr>
      <w:tr w:rsidR="003466CF" w14:paraId="4FF847AC" w14:textId="77777777" w:rsidTr="003B7915">
        <w:tc>
          <w:tcPr>
            <w:tcW w:w="1638" w:type="dxa"/>
          </w:tcPr>
          <w:p w14:paraId="5331C877" w14:textId="77777777" w:rsidR="003466CF" w:rsidRPr="00CB4EA6" w:rsidRDefault="003466CF" w:rsidP="00397415">
            <w:pPr>
              <w:pStyle w:val="TableNText"/>
              <w:rPr>
                <w:rFonts w:eastAsia="Calibri"/>
                <w:b/>
                <w:color w:val="000000" w:themeColor="text1"/>
              </w:rPr>
            </w:pPr>
            <w:r w:rsidRPr="00CB4EA6">
              <w:rPr>
                <w:b/>
              </w:rPr>
              <w:t>Behavioural economics application</w:t>
            </w:r>
          </w:p>
        </w:tc>
        <w:tc>
          <w:tcPr>
            <w:tcW w:w="7713" w:type="dxa"/>
          </w:tcPr>
          <w:p w14:paraId="37E464B5" w14:textId="77777777" w:rsidR="003466CF" w:rsidRDefault="003466CF" w:rsidP="00397415">
            <w:pPr>
              <w:pStyle w:val="TableNText"/>
              <w:rPr>
                <w:rFonts w:ascii="Calibri" w:eastAsia="Calibri" w:hAnsi="Calibri" w:cs="Calibri"/>
                <w:color w:val="000000" w:themeColor="text1"/>
              </w:rPr>
            </w:pPr>
            <w:r>
              <w:t>Support development of research in applied behavioural economics that concentrates on public and preventive health, with an emphasis on early intervention in mental health, healthy eating and physical activity</w:t>
            </w:r>
          </w:p>
        </w:tc>
      </w:tr>
      <w:tr w:rsidR="003466CF" w14:paraId="7260BF8D" w14:textId="77777777" w:rsidTr="003B7915">
        <w:tc>
          <w:tcPr>
            <w:tcW w:w="1638" w:type="dxa"/>
          </w:tcPr>
          <w:p w14:paraId="02E27C1D" w14:textId="77777777" w:rsidR="003466CF" w:rsidRPr="00CB4EA6" w:rsidRDefault="003466CF" w:rsidP="00397415">
            <w:pPr>
              <w:pStyle w:val="TableNText"/>
              <w:rPr>
                <w:rFonts w:eastAsia="Calibri"/>
                <w:b/>
                <w:color w:val="000000" w:themeColor="text1"/>
              </w:rPr>
            </w:pPr>
            <w:r w:rsidRPr="00CB4EA6">
              <w:rPr>
                <w:b/>
              </w:rPr>
              <w:t>Drug effectiveness and repurposing</w:t>
            </w:r>
          </w:p>
        </w:tc>
        <w:tc>
          <w:tcPr>
            <w:tcW w:w="7713" w:type="dxa"/>
          </w:tcPr>
          <w:p w14:paraId="45C003DB" w14:textId="2D324642" w:rsidR="003466CF" w:rsidRDefault="003466CF" w:rsidP="00397415">
            <w:pPr>
              <w:pStyle w:val="TableNText"/>
              <w:rPr>
                <w:rFonts w:ascii="Calibri" w:eastAsia="Calibri" w:hAnsi="Calibri" w:cs="Calibri"/>
                <w:color w:val="000000" w:themeColor="text1"/>
              </w:rPr>
            </w:pPr>
            <w:r>
              <w:t>Invest in post-clinical effectiveness studies of drugs and other healt</w:t>
            </w:r>
            <w:r w:rsidR="00FE018E">
              <w:t>h interventions and support pre</w:t>
            </w:r>
            <w:r w:rsidR="00FE018E">
              <w:noBreakHyphen/>
            </w:r>
            <w:r>
              <w:t>clinical proposals that identify new uses for existing drugs.</w:t>
            </w:r>
          </w:p>
        </w:tc>
      </w:tr>
      <w:tr w:rsidR="003466CF" w:rsidRPr="00CB4EA6" w14:paraId="406B3D7D" w14:textId="77777777" w:rsidTr="003B7915">
        <w:tc>
          <w:tcPr>
            <w:tcW w:w="9351" w:type="dxa"/>
            <w:gridSpan w:val="2"/>
            <w:shd w:val="clear" w:color="auto" w:fill="A6A6A6" w:themeFill="background1" w:themeFillShade="A6"/>
          </w:tcPr>
          <w:p w14:paraId="04A170A6" w14:textId="77777777" w:rsidR="003466CF" w:rsidRPr="00CB4EA6" w:rsidRDefault="003466CF" w:rsidP="00397415">
            <w:pPr>
              <w:pStyle w:val="TableNheader"/>
              <w:rPr>
                <w:rFonts w:eastAsia="Calibri"/>
                <w:color w:val="FFFFFF" w:themeColor="background1"/>
              </w:rPr>
            </w:pPr>
            <w:r w:rsidRPr="00CB4EA6">
              <w:rPr>
                <w:color w:val="FFFFFF" w:themeColor="background1"/>
              </w:rPr>
              <w:t>Capacity and collaboration</w:t>
            </w:r>
          </w:p>
        </w:tc>
      </w:tr>
      <w:tr w:rsidR="003466CF" w14:paraId="0E077D8D" w14:textId="77777777" w:rsidTr="003B7915">
        <w:tc>
          <w:tcPr>
            <w:tcW w:w="1638" w:type="dxa"/>
          </w:tcPr>
          <w:p w14:paraId="6D22AC30" w14:textId="77777777" w:rsidR="003466CF" w:rsidRPr="00CB4EA6" w:rsidRDefault="003466CF" w:rsidP="00397415">
            <w:pPr>
              <w:pStyle w:val="TableNText"/>
              <w:rPr>
                <w:rFonts w:eastAsia="Calibri"/>
                <w:b/>
                <w:color w:val="000000" w:themeColor="text1"/>
              </w:rPr>
            </w:pPr>
            <w:r w:rsidRPr="00CB4EA6">
              <w:rPr>
                <w:b/>
              </w:rPr>
              <w:lastRenderedPageBreak/>
              <w:t>National infrastructure sharing scheme</w:t>
            </w:r>
          </w:p>
        </w:tc>
        <w:tc>
          <w:tcPr>
            <w:tcW w:w="7713" w:type="dxa"/>
          </w:tcPr>
          <w:p w14:paraId="6634AE16" w14:textId="77777777" w:rsidR="003466CF" w:rsidRDefault="003466CF" w:rsidP="00397415">
            <w:pPr>
              <w:pStyle w:val="TableNText"/>
              <w:rPr>
                <w:rFonts w:ascii="Calibri" w:eastAsia="Calibri" w:hAnsi="Calibri" w:cs="Calibri"/>
                <w:color w:val="000000" w:themeColor="text1"/>
              </w:rPr>
            </w:pPr>
            <w:r>
              <w:t>Develop and evaluate a national scheme that enables researchers to locate and access existing high cost infrastructure to maximise hardware use and foster research collaboration.</w:t>
            </w:r>
          </w:p>
        </w:tc>
      </w:tr>
      <w:tr w:rsidR="003466CF" w14:paraId="54C46A01" w14:textId="77777777" w:rsidTr="003B7915">
        <w:tc>
          <w:tcPr>
            <w:tcW w:w="1638" w:type="dxa"/>
          </w:tcPr>
          <w:p w14:paraId="506851DA" w14:textId="77777777" w:rsidR="003466CF" w:rsidRPr="00CB4EA6" w:rsidRDefault="003466CF" w:rsidP="00397415">
            <w:pPr>
              <w:pStyle w:val="TableNText"/>
              <w:rPr>
                <w:rFonts w:eastAsia="Calibri"/>
                <w:b/>
                <w:color w:val="000000" w:themeColor="text1"/>
              </w:rPr>
            </w:pPr>
            <w:r w:rsidRPr="00CB4EA6">
              <w:rPr>
                <w:b/>
              </w:rPr>
              <w:t>Industry exchange fellowships</w:t>
            </w:r>
          </w:p>
        </w:tc>
        <w:tc>
          <w:tcPr>
            <w:tcW w:w="7713" w:type="dxa"/>
          </w:tcPr>
          <w:p w14:paraId="4D190AE9" w14:textId="77777777" w:rsidR="003466CF" w:rsidRDefault="003466CF" w:rsidP="00397415">
            <w:pPr>
              <w:pStyle w:val="TableNText"/>
              <w:rPr>
                <w:rFonts w:ascii="Calibri" w:eastAsia="Calibri" w:hAnsi="Calibri" w:cs="Calibri"/>
                <w:color w:val="000000" w:themeColor="text1"/>
              </w:rPr>
            </w:pPr>
            <w:r>
              <w:t>Connect industry and academia via PhD and postdoctoral fellowships to enable and encourage talent exchange, with the aim of stimulating entrepreneurial and translation capabilities.</w:t>
            </w:r>
          </w:p>
        </w:tc>
      </w:tr>
      <w:tr w:rsidR="003466CF" w14:paraId="514AD58D" w14:textId="77777777" w:rsidTr="003B7915">
        <w:tc>
          <w:tcPr>
            <w:tcW w:w="1638" w:type="dxa"/>
          </w:tcPr>
          <w:p w14:paraId="0E238EA5" w14:textId="77777777" w:rsidR="003466CF" w:rsidRPr="00CB4EA6" w:rsidRDefault="003466CF" w:rsidP="00397415">
            <w:pPr>
              <w:pStyle w:val="TableNText"/>
              <w:rPr>
                <w:rFonts w:eastAsia="Calibri"/>
                <w:b/>
                <w:color w:val="000000" w:themeColor="text1"/>
              </w:rPr>
            </w:pPr>
            <w:r w:rsidRPr="00CB4EA6">
              <w:rPr>
                <w:b/>
              </w:rPr>
              <w:t>Clinical researcher fellowships</w:t>
            </w:r>
          </w:p>
        </w:tc>
        <w:tc>
          <w:tcPr>
            <w:tcW w:w="7713" w:type="dxa"/>
          </w:tcPr>
          <w:p w14:paraId="05240119" w14:textId="77777777" w:rsidR="003466CF" w:rsidRDefault="003466CF" w:rsidP="00397415">
            <w:pPr>
              <w:pStyle w:val="TableNText"/>
              <w:rPr>
                <w:rFonts w:ascii="Calibri" w:eastAsia="Calibri" w:hAnsi="Calibri" w:cs="Calibri"/>
                <w:color w:val="000000" w:themeColor="text1"/>
              </w:rPr>
            </w:pPr>
            <w:r>
              <w:t>Expand the scope and scale of the existing NHMRC Practitioner Fellowships Scheme to increase engagement of research-focussed clinicians in problem-solving and the translation of research into clinical practice.</w:t>
            </w:r>
          </w:p>
        </w:tc>
      </w:tr>
      <w:tr w:rsidR="003466CF" w:rsidRPr="00CB4EA6" w14:paraId="01802E69" w14:textId="77777777" w:rsidTr="003B7915">
        <w:tc>
          <w:tcPr>
            <w:tcW w:w="9351" w:type="dxa"/>
            <w:gridSpan w:val="2"/>
            <w:shd w:val="clear" w:color="auto" w:fill="A6A6A6" w:themeFill="background1" w:themeFillShade="A6"/>
          </w:tcPr>
          <w:p w14:paraId="3EEF6846" w14:textId="77777777" w:rsidR="003466CF" w:rsidRPr="00CB4EA6" w:rsidRDefault="003466CF" w:rsidP="00397415">
            <w:pPr>
              <w:pStyle w:val="TableNheader"/>
              <w:rPr>
                <w:rFonts w:eastAsia="Calibri"/>
                <w:color w:val="FFFFFF" w:themeColor="background1"/>
              </w:rPr>
            </w:pPr>
            <w:r w:rsidRPr="00CB4EA6">
              <w:rPr>
                <w:color w:val="FFFFFF" w:themeColor="background1"/>
              </w:rPr>
              <w:t>Trials and translation</w:t>
            </w:r>
          </w:p>
        </w:tc>
      </w:tr>
      <w:tr w:rsidR="003466CF" w14:paraId="12321469" w14:textId="77777777" w:rsidTr="003B7915">
        <w:tc>
          <w:tcPr>
            <w:tcW w:w="1638" w:type="dxa"/>
          </w:tcPr>
          <w:p w14:paraId="2D81119E" w14:textId="77777777" w:rsidR="003466CF" w:rsidRPr="00CB4EA6" w:rsidRDefault="003466CF" w:rsidP="00397415">
            <w:pPr>
              <w:pStyle w:val="TableNText"/>
              <w:rPr>
                <w:rFonts w:eastAsia="Calibri"/>
                <w:b/>
                <w:color w:val="000000" w:themeColor="text1"/>
              </w:rPr>
            </w:pPr>
            <w:r w:rsidRPr="00CB4EA6">
              <w:rPr>
                <w:b/>
              </w:rPr>
              <w:t>Clinical trial network</w:t>
            </w:r>
          </w:p>
        </w:tc>
        <w:tc>
          <w:tcPr>
            <w:tcW w:w="7713" w:type="dxa"/>
          </w:tcPr>
          <w:p w14:paraId="4B8D98F7" w14:textId="77777777" w:rsidR="003466CF" w:rsidRDefault="003466CF" w:rsidP="00397415">
            <w:pPr>
              <w:pStyle w:val="TableNText"/>
              <w:rPr>
                <w:rFonts w:ascii="Calibri" w:eastAsia="Calibri" w:hAnsi="Calibri" w:cs="Calibri"/>
                <w:color w:val="000000" w:themeColor="text1"/>
              </w:rPr>
            </w:pPr>
            <w:r>
              <w:t>Provide infrastructure support for existing and new national clinical trial networks to enhance innovation, collaboration, clinical research capacity and patient participation.</w:t>
            </w:r>
          </w:p>
        </w:tc>
      </w:tr>
      <w:tr w:rsidR="003466CF" w14:paraId="4715A75D" w14:textId="77777777" w:rsidTr="003B7915">
        <w:tc>
          <w:tcPr>
            <w:tcW w:w="1638" w:type="dxa"/>
          </w:tcPr>
          <w:p w14:paraId="2645C5AE" w14:textId="77777777" w:rsidR="003466CF" w:rsidRPr="00CB4EA6" w:rsidRDefault="003466CF" w:rsidP="00397415">
            <w:pPr>
              <w:pStyle w:val="TableNText"/>
              <w:rPr>
                <w:rFonts w:eastAsia="Calibri"/>
                <w:b/>
                <w:color w:val="000000" w:themeColor="text1"/>
              </w:rPr>
            </w:pPr>
            <w:r w:rsidRPr="00CB4EA6">
              <w:rPr>
                <w:b/>
              </w:rPr>
              <w:t>Public good demonstration trials</w:t>
            </w:r>
          </w:p>
        </w:tc>
        <w:tc>
          <w:tcPr>
            <w:tcW w:w="7713" w:type="dxa"/>
          </w:tcPr>
          <w:p w14:paraId="5DBD6D44" w14:textId="77777777" w:rsidR="003466CF" w:rsidRDefault="003466CF" w:rsidP="00397415">
            <w:pPr>
              <w:pStyle w:val="TableNText"/>
              <w:rPr>
                <w:rFonts w:ascii="Calibri" w:eastAsia="Calibri" w:hAnsi="Calibri" w:cs="Calibri"/>
                <w:color w:val="000000" w:themeColor="text1"/>
              </w:rPr>
            </w:pPr>
            <w:r>
              <w:t>Invest in extension of clinical trials of proven therapies with limited opportunity for further commercial sponsorship to at-risk groups including adolescents and young adults, culturally diverse groups, and people with complex co-morbidities.</w:t>
            </w:r>
          </w:p>
        </w:tc>
      </w:tr>
      <w:tr w:rsidR="003466CF" w14:paraId="58D0CFD5" w14:textId="77777777" w:rsidTr="003B7915">
        <w:tc>
          <w:tcPr>
            <w:tcW w:w="1638" w:type="dxa"/>
          </w:tcPr>
          <w:p w14:paraId="24C27693" w14:textId="77777777" w:rsidR="003466CF" w:rsidRPr="00CB4EA6" w:rsidRDefault="003466CF" w:rsidP="00397415">
            <w:pPr>
              <w:pStyle w:val="TableNText"/>
              <w:rPr>
                <w:rFonts w:eastAsia="Calibri"/>
                <w:b/>
                <w:color w:val="000000" w:themeColor="text1"/>
              </w:rPr>
            </w:pPr>
            <w:r w:rsidRPr="00CB4EA6">
              <w:rPr>
                <w:b/>
              </w:rPr>
              <w:t>Targeted translation topics</w:t>
            </w:r>
          </w:p>
        </w:tc>
        <w:tc>
          <w:tcPr>
            <w:tcW w:w="7713" w:type="dxa"/>
          </w:tcPr>
          <w:p w14:paraId="534BAC6F" w14:textId="77777777" w:rsidR="003466CF" w:rsidRDefault="003466CF" w:rsidP="00397415">
            <w:pPr>
              <w:pStyle w:val="TableNText"/>
            </w:pPr>
            <w:r>
              <w:t>Work with the NHMRC-accredited Advanced Health Research and Translation Centres to deliver research agendas in primary care, acute and sub-acute settings relating to:</w:t>
            </w:r>
          </w:p>
          <w:p w14:paraId="1922FFA9" w14:textId="77777777" w:rsidR="003466CF" w:rsidRDefault="003466CF" w:rsidP="00397415">
            <w:pPr>
              <w:pStyle w:val="TableNBullet"/>
              <w:tabs>
                <w:tab w:val="clear" w:pos="360"/>
              </w:tabs>
              <w:spacing w:line="240" w:lineRule="auto"/>
              <w:ind w:left="227" w:hanging="227"/>
            </w:pPr>
            <w:r>
              <w:t>clinical pathways and care transition,</w:t>
            </w:r>
          </w:p>
          <w:p w14:paraId="6EB6A7FF" w14:textId="77777777" w:rsidR="003466CF" w:rsidRDefault="003466CF" w:rsidP="00397415">
            <w:pPr>
              <w:pStyle w:val="TableNBullet"/>
              <w:tabs>
                <w:tab w:val="clear" w:pos="360"/>
              </w:tabs>
              <w:spacing w:line="240" w:lineRule="auto"/>
              <w:ind w:left="227" w:hanging="227"/>
            </w:pPr>
            <w:r>
              <w:t>clinical variation,</w:t>
            </w:r>
          </w:p>
          <w:p w14:paraId="7057C4EA" w14:textId="77777777" w:rsidR="003466CF" w:rsidRDefault="003466CF" w:rsidP="00397415">
            <w:pPr>
              <w:pStyle w:val="TableNBullet"/>
              <w:tabs>
                <w:tab w:val="clear" w:pos="360"/>
              </w:tabs>
              <w:spacing w:line="240" w:lineRule="auto"/>
              <w:ind w:left="227" w:hanging="227"/>
            </w:pPr>
            <w:r>
              <w:t>co-morbidity, and</w:t>
            </w:r>
          </w:p>
          <w:p w14:paraId="722A38C5" w14:textId="77777777" w:rsidR="003466CF" w:rsidRDefault="003466CF" w:rsidP="00397415">
            <w:pPr>
              <w:pStyle w:val="TableNBullet"/>
              <w:tabs>
                <w:tab w:val="clear" w:pos="360"/>
              </w:tabs>
              <w:spacing w:line="240" w:lineRule="auto"/>
              <w:ind w:left="227" w:hanging="227"/>
              <w:rPr>
                <w:rFonts w:ascii="Calibri" w:eastAsia="Calibri" w:hAnsi="Calibri" w:cs="Calibri"/>
                <w:color w:val="000000" w:themeColor="text1"/>
              </w:rPr>
            </w:pPr>
            <w:r>
              <w:t>health inequities in Aboriginal and Torres Strait Islander Australians and other vulnerable populations.</w:t>
            </w:r>
          </w:p>
        </w:tc>
      </w:tr>
      <w:tr w:rsidR="003466CF" w:rsidRPr="00CB4EA6" w14:paraId="75620DC1" w14:textId="77777777" w:rsidTr="003B7915">
        <w:tc>
          <w:tcPr>
            <w:tcW w:w="9351" w:type="dxa"/>
            <w:gridSpan w:val="2"/>
            <w:shd w:val="clear" w:color="auto" w:fill="A6A6A6" w:themeFill="background1" w:themeFillShade="A6"/>
          </w:tcPr>
          <w:p w14:paraId="5DC1F85E" w14:textId="77777777" w:rsidR="003466CF" w:rsidRPr="00CB4EA6" w:rsidRDefault="003466CF" w:rsidP="00397415">
            <w:pPr>
              <w:pStyle w:val="TableNheader"/>
              <w:rPr>
                <w:rFonts w:eastAsia="Calibri"/>
                <w:color w:val="FFFFFF" w:themeColor="background1"/>
              </w:rPr>
            </w:pPr>
            <w:r w:rsidRPr="00CB4EA6">
              <w:rPr>
                <w:color w:val="FFFFFF" w:themeColor="background1"/>
              </w:rPr>
              <w:t>Commercialisation</w:t>
            </w:r>
          </w:p>
        </w:tc>
      </w:tr>
      <w:tr w:rsidR="003466CF" w14:paraId="26D30B07" w14:textId="77777777" w:rsidTr="003B7915">
        <w:tc>
          <w:tcPr>
            <w:tcW w:w="1638" w:type="dxa"/>
          </w:tcPr>
          <w:p w14:paraId="4DB69CA0" w14:textId="77777777" w:rsidR="003466CF" w:rsidRPr="00CB4EA6" w:rsidRDefault="003466CF" w:rsidP="00397415">
            <w:pPr>
              <w:pStyle w:val="TableNText"/>
              <w:rPr>
                <w:rFonts w:eastAsia="Calibri"/>
                <w:b/>
                <w:color w:val="000000" w:themeColor="text1"/>
              </w:rPr>
            </w:pPr>
            <w:r w:rsidRPr="00CB4EA6">
              <w:rPr>
                <w:b/>
              </w:rPr>
              <w:t>Research incubator hubs</w:t>
            </w:r>
          </w:p>
        </w:tc>
        <w:tc>
          <w:tcPr>
            <w:tcW w:w="7713" w:type="dxa"/>
          </w:tcPr>
          <w:p w14:paraId="71A3752C" w14:textId="77777777" w:rsidR="003466CF" w:rsidRDefault="003466CF" w:rsidP="00397415">
            <w:pPr>
              <w:pStyle w:val="TableNText"/>
              <w:rPr>
                <w:rFonts w:ascii="Calibri" w:eastAsia="Calibri" w:hAnsi="Calibri" w:cs="Calibri"/>
                <w:color w:val="000000" w:themeColor="text1"/>
              </w:rPr>
            </w:pPr>
            <w:r>
              <w:t>Create and evaluate virtual or actual health research incubator hubs that stimulate partnerships across a range of academic, clinician and industry stakeholders to generate early-stage research ideas for diagnostics, devices and molecular therapeutics.</w:t>
            </w:r>
          </w:p>
        </w:tc>
      </w:tr>
      <w:tr w:rsidR="003466CF" w14:paraId="73BFD6FE" w14:textId="77777777" w:rsidTr="003B7915">
        <w:tc>
          <w:tcPr>
            <w:tcW w:w="1638" w:type="dxa"/>
          </w:tcPr>
          <w:p w14:paraId="095AD0B5" w14:textId="77777777" w:rsidR="003466CF" w:rsidRPr="00CB4EA6" w:rsidRDefault="003466CF" w:rsidP="00397415">
            <w:pPr>
              <w:pStyle w:val="TableNText"/>
              <w:rPr>
                <w:rFonts w:eastAsia="Calibri"/>
                <w:b/>
                <w:color w:val="000000" w:themeColor="text1"/>
              </w:rPr>
            </w:pPr>
            <w:r w:rsidRPr="00CB4EA6">
              <w:rPr>
                <w:b/>
              </w:rPr>
              <w:t>Biomedical translation</w:t>
            </w:r>
          </w:p>
        </w:tc>
        <w:tc>
          <w:tcPr>
            <w:tcW w:w="7713" w:type="dxa"/>
          </w:tcPr>
          <w:p w14:paraId="7C0555F7" w14:textId="77777777" w:rsidR="003466CF" w:rsidRDefault="003466CF" w:rsidP="00397415">
            <w:pPr>
              <w:pStyle w:val="TableNText"/>
              <w:rPr>
                <w:rFonts w:ascii="Calibri" w:eastAsia="Calibri" w:hAnsi="Calibri" w:cs="Calibri"/>
                <w:color w:val="000000" w:themeColor="text1"/>
              </w:rPr>
            </w:pPr>
            <w:r>
              <w:t>Through the Biomedical Translation Fund, seek out matched private capital to invest via licensed fund managers in pre-clinical to early clinical translation of research of commercial value.</w:t>
            </w:r>
          </w:p>
        </w:tc>
      </w:tr>
    </w:tbl>
    <w:p w14:paraId="21A7CEA1" w14:textId="77777777" w:rsidR="00312DAF" w:rsidRDefault="00312DAF" w:rsidP="00361001">
      <w:pPr>
        <w:spacing w:line="240" w:lineRule="auto"/>
        <w:contextualSpacing/>
        <w:rPr>
          <w:rFonts w:ascii="Arial" w:hAnsi="Arial" w:cs="Arial"/>
        </w:rPr>
      </w:pPr>
    </w:p>
    <w:p w14:paraId="3DAEAFCF" w14:textId="77777777" w:rsidR="00312DAF" w:rsidRDefault="00312DAF">
      <w:pPr>
        <w:spacing w:line="240" w:lineRule="auto"/>
        <w:rPr>
          <w:rFonts w:ascii="Arial" w:hAnsi="Arial" w:cs="Arial"/>
        </w:rPr>
      </w:pPr>
      <w:r>
        <w:rPr>
          <w:rFonts w:ascii="Arial" w:hAnsi="Arial" w:cs="Arial"/>
        </w:rPr>
        <w:br w:type="page"/>
      </w:r>
    </w:p>
    <w:p w14:paraId="719B7050" w14:textId="77777777" w:rsidR="00883BA4" w:rsidRPr="002B383D" w:rsidRDefault="00883BA4" w:rsidP="00637CFB">
      <w:pPr>
        <w:pStyle w:val="xAppendixLevel1"/>
        <w:spacing w:after="240"/>
        <w:ind w:left="2127" w:hanging="2127"/>
        <w:rPr>
          <w:rFonts w:ascii="Arial" w:hAnsi="Arial" w:cs="Arial"/>
          <w:b w:val="0"/>
          <w:sz w:val="36"/>
          <w:szCs w:val="36"/>
        </w:rPr>
      </w:pPr>
      <w:bookmarkStart w:id="20" w:name="_Toc5785667"/>
      <w:bookmarkStart w:id="21" w:name="_Ref3891294"/>
      <w:r w:rsidRPr="002B383D">
        <w:rPr>
          <w:rFonts w:ascii="Arial" w:hAnsi="Arial" w:cs="Arial"/>
          <w:b w:val="0"/>
          <w:sz w:val="36"/>
          <w:szCs w:val="36"/>
        </w:rPr>
        <w:lastRenderedPageBreak/>
        <w:t xml:space="preserve">Initiatives under the </w:t>
      </w:r>
      <w:r w:rsidR="000806F7" w:rsidRPr="002B383D">
        <w:rPr>
          <w:rFonts w:ascii="Arial" w:hAnsi="Arial" w:cs="Arial"/>
          <w:b w:val="0"/>
          <w:sz w:val="36"/>
          <w:szCs w:val="36"/>
        </w:rPr>
        <w:t>2016</w:t>
      </w:r>
      <w:r w:rsidR="000806F7">
        <w:rPr>
          <w:rFonts w:ascii="Arial" w:hAnsi="Arial" w:cs="Arial"/>
          <w:b w:val="0"/>
          <w:sz w:val="36"/>
          <w:szCs w:val="36"/>
        </w:rPr>
        <w:noBreakHyphen/>
        <w:t>20</w:t>
      </w:r>
      <w:r w:rsidR="000806F7" w:rsidRPr="002B383D">
        <w:rPr>
          <w:rFonts w:ascii="Arial" w:hAnsi="Arial" w:cs="Arial"/>
          <w:b w:val="0"/>
          <w:sz w:val="36"/>
          <w:szCs w:val="36"/>
        </w:rPr>
        <w:t xml:space="preserve">18 </w:t>
      </w:r>
      <w:r w:rsidR="00F20C11" w:rsidRPr="002B383D">
        <w:rPr>
          <w:rFonts w:ascii="Arial" w:hAnsi="Arial" w:cs="Arial"/>
          <w:b w:val="0"/>
          <w:sz w:val="36"/>
          <w:szCs w:val="36"/>
        </w:rPr>
        <w:t>Priorities</w:t>
      </w:r>
      <w:bookmarkEnd w:id="20"/>
      <w:r w:rsidR="00F20C11" w:rsidRPr="002B383D">
        <w:rPr>
          <w:rFonts w:ascii="Arial" w:hAnsi="Arial" w:cs="Arial"/>
          <w:b w:val="0"/>
          <w:sz w:val="36"/>
          <w:szCs w:val="36"/>
        </w:rPr>
        <w:t xml:space="preserve"> </w:t>
      </w:r>
      <w:bookmarkEnd w:id="21"/>
    </w:p>
    <w:p w14:paraId="73309E47" w14:textId="69857224" w:rsidR="003466CF" w:rsidRPr="00B4788D" w:rsidRDefault="00CC1083" w:rsidP="00B4788D">
      <w:pPr>
        <w:spacing w:line="240" w:lineRule="auto"/>
        <w:contextualSpacing/>
        <w:rPr>
          <w:rFonts w:ascii="Arial" w:hAnsi="Arial" w:cs="Arial"/>
        </w:rPr>
      </w:pPr>
      <w:bookmarkStart w:id="22" w:name="_Ref783009"/>
      <w:r>
        <w:rPr>
          <w:rFonts w:ascii="Arial" w:hAnsi="Arial" w:cs="Arial"/>
        </w:rPr>
        <w:t>The Initiatives under the 2016-18 Priorities are presented in</w:t>
      </w:r>
      <w:r w:rsidRPr="00CC1083">
        <w:rPr>
          <w:rFonts w:ascii="Arial" w:hAnsi="Arial" w:cs="Arial"/>
          <w:color w:val="000000" w:themeColor="text1"/>
        </w:rPr>
        <w:t xml:space="preserve"> </w:t>
      </w:r>
      <w:r w:rsidR="00F20C11" w:rsidRPr="00860FE3">
        <w:rPr>
          <w:rFonts w:ascii="Arial" w:hAnsi="Arial" w:cs="Arial"/>
        </w:rPr>
        <w:fldChar w:fldCharType="begin"/>
      </w:r>
      <w:r w:rsidR="00F20C11" w:rsidRPr="00860FE3">
        <w:rPr>
          <w:rFonts w:ascii="Arial" w:hAnsi="Arial" w:cs="Arial"/>
        </w:rPr>
        <w:instrText xml:space="preserve"> REF _Ref3885991 \h  \* MERGEFORMAT </w:instrText>
      </w:r>
      <w:r w:rsidR="00F20C11" w:rsidRPr="00860FE3">
        <w:rPr>
          <w:rFonts w:ascii="Arial" w:hAnsi="Arial" w:cs="Arial"/>
        </w:rPr>
      </w:r>
      <w:r w:rsidR="00F20C11" w:rsidRPr="00860FE3">
        <w:rPr>
          <w:rFonts w:ascii="Arial" w:hAnsi="Arial" w:cs="Arial"/>
        </w:rPr>
        <w:fldChar w:fldCharType="separate"/>
      </w:r>
      <w:r w:rsidR="00533860" w:rsidRPr="00533860">
        <w:rPr>
          <w:rFonts w:ascii="Arial" w:hAnsi="Arial" w:cs="Arial"/>
        </w:rPr>
        <w:t xml:space="preserve">Table </w:t>
      </w:r>
      <w:r w:rsidR="00533860" w:rsidRPr="00533860">
        <w:rPr>
          <w:rFonts w:ascii="Arial" w:hAnsi="Arial" w:cs="Arial"/>
          <w:noProof/>
        </w:rPr>
        <w:t>5</w:t>
      </w:r>
      <w:r w:rsidR="00F20C11" w:rsidRPr="00860FE3">
        <w:rPr>
          <w:rFonts w:ascii="Arial" w:hAnsi="Arial" w:cs="Arial"/>
        </w:rPr>
        <w:fldChar w:fldCharType="end"/>
      </w:r>
      <w:r w:rsidRPr="00CC1083">
        <w:rPr>
          <w:rFonts w:ascii="Arial" w:hAnsi="Arial" w:cs="Arial"/>
          <w:color w:val="000000" w:themeColor="text1"/>
        </w:rPr>
        <w:t>.</w:t>
      </w:r>
    </w:p>
    <w:p w14:paraId="2B34F551" w14:textId="3EAAD293" w:rsidR="003466CF" w:rsidRPr="000541AA" w:rsidRDefault="003466CF" w:rsidP="003466CF">
      <w:pPr>
        <w:pStyle w:val="Caption"/>
        <w:rPr>
          <w:color w:val="1F497D" w:themeColor="text2"/>
        </w:rPr>
      </w:pPr>
      <w:bookmarkStart w:id="23" w:name="_Ref3885991"/>
      <w:r w:rsidRPr="000541AA">
        <w:rPr>
          <w:color w:val="1F497D" w:themeColor="text2"/>
        </w:rPr>
        <w:t xml:space="preserve">Table </w:t>
      </w:r>
      <w:r w:rsidRPr="000541AA">
        <w:rPr>
          <w:color w:val="1F497D" w:themeColor="text2"/>
        </w:rPr>
        <w:fldChar w:fldCharType="begin"/>
      </w:r>
      <w:r w:rsidRPr="000541AA">
        <w:rPr>
          <w:color w:val="1F497D" w:themeColor="text2"/>
        </w:rPr>
        <w:instrText xml:space="preserve"> SEQ Table \* ARABIC </w:instrText>
      </w:r>
      <w:r w:rsidRPr="000541AA">
        <w:rPr>
          <w:color w:val="1F497D" w:themeColor="text2"/>
        </w:rPr>
        <w:fldChar w:fldCharType="separate"/>
      </w:r>
      <w:r w:rsidR="00533860">
        <w:rPr>
          <w:noProof/>
          <w:color w:val="1F497D" w:themeColor="text2"/>
        </w:rPr>
        <w:t>5</w:t>
      </w:r>
      <w:r w:rsidRPr="000541AA">
        <w:rPr>
          <w:color w:val="1F497D" w:themeColor="text2"/>
        </w:rPr>
        <w:fldChar w:fldCharType="end"/>
      </w:r>
      <w:bookmarkEnd w:id="22"/>
      <w:bookmarkEnd w:id="23"/>
      <w:r w:rsidRPr="000541AA">
        <w:rPr>
          <w:color w:val="1F497D" w:themeColor="text2"/>
        </w:rPr>
        <w:t xml:space="preserve"> | Initiatives under the 2016-18 Priorities</w:t>
      </w:r>
    </w:p>
    <w:tbl>
      <w:tblPr>
        <w:tblStyle w:val="TableGrid"/>
        <w:tblW w:w="9351" w:type="dxa"/>
        <w:tblLook w:val="04A0" w:firstRow="1" w:lastRow="0" w:firstColumn="1" w:lastColumn="0" w:noHBand="0" w:noVBand="1"/>
      </w:tblPr>
      <w:tblGrid>
        <w:gridCol w:w="576"/>
        <w:gridCol w:w="2963"/>
        <w:gridCol w:w="5812"/>
      </w:tblGrid>
      <w:tr w:rsidR="003466CF" w14:paraId="42EB2F51" w14:textId="77777777" w:rsidTr="006B18D8">
        <w:trPr>
          <w:cantSplit/>
        </w:trPr>
        <w:tc>
          <w:tcPr>
            <w:tcW w:w="576" w:type="dxa"/>
            <w:shd w:val="clear" w:color="auto" w:fill="1F497D" w:themeFill="text2"/>
          </w:tcPr>
          <w:p w14:paraId="29B3F114" w14:textId="77777777" w:rsidR="003466CF" w:rsidRDefault="003466CF" w:rsidP="00397415">
            <w:pPr>
              <w:pStyle w:val="TableNheader"/>
            </w:pPr>
            <w:r>
              <w:t>#</w:t>
            </w:r>
          </w:p>
        </w:tc>
        <w:tc>
          <w:tcPr>
            <w:tcW w:w="2963" w:type="dxa"/>
            <w:shd w:val="clear" w:color="auto" w:fill="1F497D" w:themeFill="text2"/>
          </w:tcPr>
          <w:p w14:paraId="77345F22" w14:textId="77777777" w:rsidR="003466CF" w:rsidRDefault="003466CF" w:rsidP="00397415">
            <w:pPr>
              <w:pStyle w:val="TableNheader"/>
            </w:pPr>
            <w:r>
              <w:t>Initiative</w:t>
            </w:r>
          </w:p>
        </w:tc>
        <w:tc>
          <w:tcPr>
            <w:tcW w:w="5812" w:type="dxa"/>
            <w:shd w:val="clear" w:color="auto" w:fill="1F497D" w:themeFill="text2"/>
          </w:tcPr>
          <w:p w14:paraId="2F329782" w14:textId="77777777" w:rsidR="003466CF" w:rsidRDefault="003466CF" w:rsidP="00397415">
            <w:pPr>
              <w:pStyle w:val="TableNheader"/>
            </w:pPr>
            <w:r>
              <w:t>Description</w:t>
            </w:r>
          </w:p>
        </w:tc>
      </w:tr>
      <w:tr w:rsidR="003466CF" w14:paraId="4304F9E3" w14:textId="77777777" w:rsidTr="006B18D8">
        <w:trPr>
          <w:cantSplit/>
        </w:trPr>
        <w:tc>
          <w:tcPr>
            <w:tcW w:w="576" w:type="dxa"/>
          </w:tcPr>
          <w:p w14:paraId="53830F24" w14:textId="77777777" w:rsidR="003466CF" w:rsidRPr="00E90101" w:rsidRDefault="003466CF" w:rsidP="00397415">
            <w:pPr>
              <w:pStyle w:val="TableNText"/>
            </w:pPr>
            <w:r>
              <w:t>1</w:t>
            </w:r>
          </w:p>
        </w:tc>
        <w:tc>
          <w:tcPr>
            <w:tcW w:w="2963" w:type="dxa"/>
          </w:tcPr>
          <w:p w14:paraId="65E8B450" w14:textId="77777777" w:rsidR="003466CF" w:rsidRDefault="003466CF" w:rsidP="00001D7E">
            <w:pPr>
              <w:pStyle w:val="TableNText"/>
            </w:pPr>
            <w:r w:rsidRPr="00E90101">
              <w:t xml:space="preserve">Accelerated Research </w:t>
            </w:r>
          </w:p>
        </w:tc>
        <w:tc>
          <w:tcPr>
            <w:tcW w:w="5812" w:type="dxa"/>
          </w:tcPr>
          <w:p w14:paraId="2B5A51E8" w14:textId="77777777" w:rsidR="003466CF" w:rsidRDefault="003466CF" w:rsidP="00397415">
            <w:pPr>
              <w:pStyle w:val="TableNText"/>
            </w:pPr>
            <w:r w:rsidRPr="009B3554">
              <w:t>The Australian Government is investing in health and medical research to support emerging priorities and fill gaps in research effort.</w:t>
            </w:r>
          </w:p>
        </w:tc>
      </w:tr>
      <w:tr w:rsidR="003466CF" w14:paraId="45CA5D24" w14:textId="77777777" w:rsidTr="006B18D8">
        <w:trPr>
          <w:cantSplit/>
        </w:trPr>
        <w:tc>
          <w:tcPr>
            <w:tcW w:w="576" w:type="dxa"/>
          </w:tcPr>
          <w:p w14:paraId="30F353AE" w14:textId="77777777" w:rsidR="003466CF" w:rsidRPr="00E90101" w:rsidRDefault="003466CF" w:rsidP="00397415">
            <w:pPr>
              <w:pStyle w:val="TableNText"/>
            </w:pPr>
            <w:r>
              <w:t>2</w:t>
            </w:r>
          </w:p>
        </w:tc>
        <w:tc>
          <w:tcPr>
            <w:tcW w:w="2963" w:type="dxa"/>
          </w:tcPr>
          <w:p w14:paraId="01DE085E" w14:textId="77777777" w:rsidR="003466CF" w:rsidRDefault="003466CF" w:rsidP="00397415">
            <w:pPr>
              <w:pStyle w:val="TableNText"/>
            </w:pPr>
            <w:r w:rsidRPr="00E90101">
              <w:t>Biomedical Translation Bridge</w:t>
            </w:r>
          </w:p>
        </w:tc>
        <w:tc>
          <w:tcPr>
            <w:tcW w:w="5812" w:type="dxa"/>
          </w:tcPr>
          <w:p w14:paraId="3DF39C92" w14:textId="77777777" w:rsidR="003466CF" w:rsidRDefault="003466CF" w:rsidP="00397415">
            <w:pPr>
              <w:pStyle w:val="TableNText"/>
            </w:pPr>
            <w:r w:rsidRPr="009B3554">
              <w:t>The Australian Government is supporting early-stage research discoveries to develop into viable treatments that will change lives and improve healthcare.</w:t>
            </w:r>
          </w:p>
        </w:tc>
      </w:tr>
      <w:tr w:rsidR="003466CF" w14:paraId="0573636A" w14:textId="77777777" w:rsidTr="006B18D8">
        <w:trPr>
          <w:cantSplit/>
        </w:trPr>
        <w:tc>
          <w:tcPr>
            <w:tcW w:w="576" w:type="dxa"/>
          </w:tcPr>
          <w:p w14:paraId="7F63FF39" w14:textId="77777777" w:rsidR="003466CF" w:rsidRDefault="003466CF" w:rsidP="00397415">
            <w:pPr>
              <w:pStyle w:val="TableNText"/>
            </w:pPr>
            <w:r>
              <w:t>3</w:t>
            </w:r>
          </w:p>
        </w:tc>
        <w:tc>
          <w:tcPr>
            <w:tcW w:w="2963" w:type="dxa"/>
          </w:tcPr>
          <w:p w14:paraId="3A43230C" w14:textId="77777777" w:rsidR="003466CF" w:rsidRPr="00E90101" w:rsidRDefault="003466CF" w:rsidP="00397415">
            <w:pPr>
              <w:pStyle w:val="TableNText"/>
            </w:pPr>
            <w:r w:rsidRPr="00E90101">
              <w:t>BioMedTech Horizons</w:t>
            </w:r>
          </w:p>
        </w:tc>
        <w:tc>
          <w:tcPr>
            <w:tcW w:w="5812" w:type="dxa"/>
          </w:tcPr>
          <w:p w14:paraId="3CA44838" w14:textId="77777777" w:rsidR="003466CF" w:rsidRPr="009B3554" w:rsidRDefault="003466CF" w:rsidP="00397415">
            <w:pPr>
              <w:pStyle w:val="TableNText"/>
            </w:pPr>
            <w:r w:rsidRPr="009B3554">
              <w:t>The Australian Government is supporting researchers and entrepreneurs to help them turn medical discoveries in viable treatments that will change lives and improve healthcare.</w:t>
            </w:r>
          </w:p>
        </w:tc>
      </w:tr>
      <w:tr w:rsidR="003466CF" w14:paraId="51C8836A" w14:textId="77777777" w:rsidTr="006B18D8">
        <w:trPr>
          <w:cantSplit/>
        </w:trPr>
        <w:tc>
          <w:tcPr>
            <w:tcW w:w="576" w:type="dxa"/>
          </w:tcPr>
          <w:p w14:paraId="36B98F88" w14:textId="77777777" w:rsidR="003466CF" w:rsidRPr="00E90101" w:rsidRDefault="003466CF" w:rsidP="00397415">
            <w:pPr>
              <w:pStyle w:val="TableNText"/>
            </w:pPr>
            <w:r>
              <w:t>4</w:t>
            </w:r>
          </w:p>
        </w:tc>
        <w:tc>
          <w:tcPr>
            <w:tcW w:w="2963" w:type="dxa"/>
          </w:tcPr>
          <w:p w14:paraId="07C42CD3" w14:textId="77777777" w:rsidR="003466CF" w:rsidRDefault="003466CF" w:rsidP="00397415">
            <w:pPr>
              <w:pStyle w:val="TableNText"/>
            </w:pPr>
            <w:r w:rsidRPr="00E90101">
              <w:t xml:space="preserve">Boosting </w:t>
            </w:r>
            <w:r w:rsidR="008B41F3">
              <w:t xml:space="preserve">Preventive </w:t>
            </w:r>
            <w:r w:rsidRPr="00E90101">
              <w:t>Health Research</w:t>
            </w:r>
          </w:p>
        </w:tc>
        <w:tc>
          <w:tcPr>
            <w:tcW w:w="5812" w:type="dxa"/>
          </w:tcPr>
          <w:p w14:paraId="0BF85B05" w14:textId="77777777" w:rsidR="003466CF" w:rsidRDefault="003466CF" w:rsidP="00397415">
            <w:pPr>
              <w:pStyle w:val="TableNText"/>
            </w:pPr>
            <w:r w:rsidRPr="009B3554">
              <w:t>The Australian Government is investing in research to help promote good health practice, prevent disease and keep people out of hospital.</w:t>
            </w:r>
          </w:p>
        </w:tc>
      </w:tr>
      <w:tr w:rsidR="003466CF" w14:paraId="6BBF7976" w14:textId="77777777" w:rsidTr="006B18D8">
        <w:trPr>
          <w:cantSplit/>
        </w:trPr>
        <w:tc>
          <w:tcPr>
            <w:tcW w:w="576" w:type="dxa"/>
          </w:tcPr>
          <w:p w14:paraId="146666FB" w14:textId="77777777" w:rsidR="003466CF" w:rsidRPr="00E90101" w:rsidRDefault="003466CF" w:rsidP="00397415">
            <w:pPr>
              <w:pStyle w:val="TableNText"/>
            </w:pPr>
            <w:r>
              <w:t>5</w:t>
            </w:r>
          </w:p>
        </w:tc>
        <w:tc>
          <w:tcPr>
            <w:tcW w:w="2963" w:type="dxa"/>
          </w:tcPr>
          <w:p w14:paraId="37896D1F" w14:textId="77777777" w:rsidR="003466CF" w:rsidRDefault="008B41F3" w:rsidP="00397415">
            <w:pPr>
              <w:pStyle w:val="TableNText"/>
            </w:pPr>
            <w:r>
              <w:t xml:space="preserve">Australian </w:t>
            </w:r>
            <w:r w:rsidR="003466CF" w:rsidRPr="00E90101">
              <w:t>Brain Cancer Mission</w:t>
            </w:r>
          </w:p>
        </w:tc>
        <w:tc>
          <w:tcPr>
            <w:tcW w:w="5812" w:type="dxa"/>
          </w:tcPr>
          <w:p w14:paraId="2E2C121C" w14:textId="3AEAFA2F" w:rsidR="003466CF" w:rsidRDefault="00637CFB" w:rsidP="00397415">
            <w:pPr>
              <w:pStyle w:val="TableNText"/>
            </w:pPr>
            <w:r>
              <w:t>E</w:t>
            </w:r>
            <w:r w:rsidR="003466CF" w:rsidRPr="004644EC">
              <w:t>stablished to double survival rates and improve the quality of life of people living with brain cancer over the next decade. Cancer Australia will coordinate and administer the Mission.</w:t>
            </w:r>
          </w:p>
        </w:tc>
      </w:tr>
      <w:tr w:rsidR="003466CF" w14:paraId="47DEDE73" w14:textId="77777777" w:rsidTr="006B18D8">
        <w:trPr>
          <w:cantSplit/>
        </w:trPr>
        <w:tc>
          <w:tcPr>
            <w:tcW w:w="576" w:type="dxa"/>
          </w:tcPr>
          <w:p w14:paraId="2BA39409" w14:textId="77777777" w:rsidR="003466CF" w:rsidRPr="004F21B1" w:rsidRDefault="003466CF" w:rsidP="00397415">
            <w:pPr>
              <w:pStyle w:val="TableNText"/>
            </w:pPr>
            <w:r>
              <w:t>6</w:t>
            </w:r>
          </w:p>
        </w:tc>
        <w:tc>
          <w:tcPr>
            <w:tcW w:w="2963" w:type="dxa"/>
          </w:tcPr>
          <w:p w14:paraId="3D72F3F6" w14:textId="19E5F8A0" w:rsidR="003466CF" w:rsidRDefault="00434B7D" w:rsidP="00397415">
            <w:pPr>
              <w:pStyle w:val="TableNText"/>
            </w:pPr>
            <w:r w:rsidRPr="00434B7D">
              <w:t>Clinical Trials Activity (Lifting Clinical Trials and Registries capacity and Rare Cancer</w:t>
            </w:r>
            <w:r w:rsidR="00E843EE">
              <w:t>s</w:t>
            </w:r>
            <w:r w:rsidRPr="00434B7D">
              <w:t>, Rare Diseases and Unmet needs)</w:t>
            </w:r>
          </w:p>
        </w:tc>
        <w:tc>
          <w:tcPr>
            <w:tcW w:w="5812" w:type="dxa"/>
          </w:tcPr>
          <w:p w14:paraId="7E060446" w14:textId="77777777" w:rsidR="003466CF" w:rsidRDefault="003466CF" w:rsidP="00397415">
            <w:pPr>
              <w:pStyle w:val="TableNText"/>
            </w:pPr>
            <w:r w:rsidRPr="00930715">
              <w:t>The Australian Government is investing in clinical trials to improve treatments and discover cures for debilitating and deadly rare cancers, rare diseases and areas of unmet need.</w:t>
            </w:r>
          </w:p>
        </w:tc>
      </w:tr>
      <w:tr w:rsidR="003466CF" w14:paraId="1844B3B3" w14:textId="77777777" w:rsidTr="006B18D8">
        <w:trPr>
          <w:cantSplit/>
        </w:trPr>
        <w:tc>
          <w:tcPr>
            <w:tcW w:w="576" w:type="dxa"/>
          </w:tcPr>
          <w:p w14:paraId="4C08C6B5" w14:textId="77777777" w:rsidR="003466CF" w:rsidRDefault="003466CF" w:rsidP="00397415">
            <w:pPr>
              <w:pStyle w:val="TableNText"/>
            </w:pPr>
            <w:r>
              <w:t>7</w:t>
            </w:r>
          </w:p>
        </w:tc>
        <w:tc>
          <w:tcPr>
            <w:tcW w:w="2963" w:type="dxa"/>
          </w:tcPr>
          <w:p w14:paraId="07BBDAEF" w14:textId="77777777" w:rsidR="003466CF" w:rsidRPr="004F21B1" w:rsidRDefault="003466CF" w:rsidP="00397415">
            <w:pPr>
              <w:pStyle w:val="TableNText"/>
            </w:pPr>
            <w:r w:rsidRPr="00015358">
              <w:t>Clinical Trials Network Capacity</w:t>
            </w:r>
          </w:p>
        </w:tc>
        <w:tc>
          <w:tcPr>
            <w:tcW w:w="5812" w:type="dxa"/>
          </w:tcPr>
          <w:p w14:paraId="4CCAB9BF" w14:textId="77777777" w:rsidR="003466CF" w:rsidRPr="00930715" w:rsidRDefault="008B41F3" w:rsidP="00397415">
            <w:pPr>
              <w:pStyle w:val="TableNText"/>
            </w:pPr>
            <w:r w:rsidRPr="008B41F3">
              <w:t xml:space="preserve">The </w:t>
            </w:r>
            <w:r w:rsidR="00B872FB">
              <w:t>Australian Government is working</w:t>
            </w:r>
            <w:r w:rsidRPr="008B41F3">
              <w:t xml:space="preserve"> with Clinical Trial Networks to strengthen sector capability, maximise collaboration, embed clinical trial best practice and foster leadership and knowledge exchange.</w:t>
            </w:r>
          </w:p>
        </w:tc>
      </w:tr>
      <w:tr w:rsidR="003466CF" w14:paraId="4A9D4BFC" w14:textId="77777777" w:rsidTr="006B18D8">
        <w:trPr>
          <w:cantSplit/>
        </w:trPr>
        <w:tc>
          <w:tcPr>
            <w:tcW w:w="576" w:type="dxa"/>
          </w:tcPr>
          <w:p w14:paraId="1EAE8F4E" w14:textId="77777777" w:rsidR="003466CF" w:rsidRPr="00E90101" w:rsidRDefault="003466CF" w:rsidP="00397415">
            <w:pPr>
              <w:pStyle w:val="TableNText"/>
            </w:pPr>
            <w:r>
              <w:t>8</w:t>
            </w:r>
          </w:p>
        </w:tc>
        <w:tc>
          <w:tcPr>
            <w:tcW w:w="2963" w:type="dxa"/>
          </w:tcPr>
          <w:p w14:paraId="29BC5C6F" w14:textId="77777777" w:rsidR="003466CF" w:rsidRDefault="003466CF" w:rsidP="00397415">
            <w:pPr>
              <w:pStyle w:val="TableNText"/>
            </w:pPr>
            <w:r w:rsidRPr="00E90101">
              <w:t>Frontier Health and Medical Research</w:t>
            </w:r>
          </w:p>
        </w:tc>
        <w:tc>
          <w:tcPr>
            <w:tcW w:w="5812" w:type="dxa"/>
          </w:tcPr>
          <w:p w14:paraId="3A32D189" w14:textId="77777777" w:rsidR="003466CF" w:rsidRDefault="003466CF" w:rsidP="00397415">
            <w:pPr>
              <w:pStyle w:val="TableNText"/>
            </w:pPr>
            <w:r w:rsidRPr="00930715">
              <w:t>The Australian Government is establishing a program to support researchers to push the boundaries to develop new health and medical breakthroughs.</w:t>
            </w:r>
          </w:p>
        </w:tc>
      </w:tr>
      <w:tr w:rsidR="003466CF" w14:paraId="2EE4CE25" w14:textId="77777777" w:rsidTr="006B18D8">
        <w:trPr>
          <w:cantSplit/>
        </w:trPr>
        <w:tc>
          <w:tcPr>
            <w:tcW w:w="576" w:type="dxa"/>
          </w:tcPr>
          <w:p w14:paraId="0F78ECE0" w14:textId="77777777" w:rsidR="003466CF" w:rsidRPr="00E90101" w:rsidRDefault="003466CF" w:rsidP="00397415">
            <w:pPr>
              <w:pStyle w:val="TableNText"/>
            </w:pPr>
            <w:r>
              <w:t>9</w:t>
            </w:r>
          </w:p>
        </w:tc>
        <w:tc>
          <w:tcPr>
            <w:tcW w:w="2963" w:type="dxa"/>
          </w:tcPr>
          <w:p w14:paraId="2D23F730" w14:textId="77777777" w:rsidR="003466CF" w:rsidRDefault="003466CF" w:rsidP="00397415">
            <w:pPr>
              <w:pStyle w:val="TableNText"/>
            </w:pPr>
            <w:r w:rsidRPr="00E90101">
              <w:t>Genomics Health Futures Mission</w:t>
            </w:r>
          </w:p>
        </w:tc>
        <w:tc>
          <w:tcPr>
            <w:tcW w:w="5812" w:type="dxa"/>
          </w:tcPr>
          <w:p w14:paraId="57CEAD8D" w14:textId="77777777" w:rsidR="003466CF" w:rsidRDefault="003466CF" w:rsidP="00397415">
            <w:pPr>
              <w:pStyle w:val="TableNText"/>
            </w:pPr>
            <w:r>
              <w:t xml:space="preserve">The Australian Government is investing </w:t>
            </w:r>
            <w:r w:rsidRPr="004644EC">
              <w:t>to help save or transform the lives of more than 200,000 Australians through research into better testing, diagnosis and treatment</w:t>
            </w:r>
          </w:p>
        </w:tc>
      </w:tr>
      <w:tr w:rsidR="003466CF" w14:paraId="78D5699B" w14:textId="77777777" w:rsidTr="006B18D8">
        <w:trPr>
          <w:cantSplit/>
        </w:trPr>
        <w:tc>
          <w:tcPr>
            <w:tcW w:w="576" w:type="dxa"/>
          </w:tcPr>
          <w:p w14:paraId="1AC525B4" w14:textId="77777777" w:rsidR="003466CF" w:rsidRPr="00E90101" w:rsidRDefault="003466CF" w:rsidP="00397415">
            <w:pPr>
              <w:pStyle w:val="TableNText"/>
            </w:pPr>
            <w:r>
              <w:t>10</w:t>
            </w:r>
          </w:p>
        </w:tc>
        <w:tc>
          <w:tcPr>
            <w:tcW w:w="2963" w:type="dxa"/>
          </w:tcPr>
          <w:p w14:paraId="18443014" w14:textId="77777777" w:rsidR="003466CF" w:rsidRDefault="003466CF" w:rsidP="00397415">
            <w:pPr>
              <w:pStyle w:val="TableNText"/>
            </w:pPr>
            <w:r w:rsidRPr="00E90101">
              <w:t>National Security Against Pandemic Risk</w:t>
            </w:r>
          </w:p>
        </w:tc>
        <w:tc>
          <w:tcPr>
            <w:tcW w:w="5812" w:type="dxa"/>
          </w:tcPr>
          <w:p w14:paraId="0AF51FE6" w14:textId="77777777" w:rsidR="003466CF" w:rsidRDefault="003466CF" w:rsidP="00397415">
            <w:pPr>
              <w:pStyle w:val="TableNText"/>
            </w:pPr>
            <w:r w:rsidRPr="00930715">
              <w:t>The Australian Government is investing in a global effort to fund critical research and development gaps for pandemic preparedness and global health security to better protect Australians.</w:t>
            </w:r>
          </w:p>
        </w:tc>
      </w:tr>
      <w:tr w:rsidR="003466CF" w14:paraId="120D225A" w14:textId="77777777" w:rsidTr="006B18D8">
        <w:trPr>
          <w:cantSplit/>
        </w:trPr>
        <w:tc>
          <w:tcPr>
            <w:tcW w:w="576" w:type="dxa"/>
          </w:tcPr>
          <w:p w14:paraId="2E416236" w14:textId="77777777" w:rsidR="003466CF" w:rsidRPr="00E90101" w:rsidRDefault="003466CF" w:rsidP="00397415">
            <w:pPr>
              <w:pStyle w:val="TableNText"/>
            </w:pPr>
            <w:r>
              <w:t>11</w:t>
            </w:r>
          </w:p>
        </w:tc>
        <w:tc>
          <w:tcPr>
            <w:tcW w:w="2963" w:type="dxa"/>
          </w:tcPr>
          <w:p w14:paraId="1D6171AF" w14:textId="77777777" w:rsidR="003466CF" w:rsidRDefault="003466CF" w:rsidP="00397415">
            <w:pPr>
              <w:pStyle w:val="TableNText"/>
            </w:pPr>
            <w:r w:rsidRPr="00E90101">
              <w:t xml:space="preserve">Researcher Exchange and </w:t>
            </w:r>
            <w:r w:rsidR="008B41F3">
              <w:t>Development Within Industry</w:t>
            </w:r>
          </w:p>
        </w:tc>
        <w:tc>
          <w:tcPr>
            <w:tcW w:w="5812" w:type="dxa"/>
          </w:tcPr>
          <w:p w14:paraId="3E5305AA" w14:textId="77777777" w:rsidR="003466CF" w:rsidRDefault="003466CF" w:rsidP="00397415">
            <w:pPr>
              <w:pStyle w:val="TableNText"/>
            </w:pPr>
            <w:r w:rsidRPr="00930715">
              <w:rPr>
                <w:sz w:val="16"/>
              </w:rPr>
              <w:t>The Australian Government is supporting researchers to work with industry to improve career opportunities and support researchers to remain in the sector.</w:t>
            </w:r>
          </w:p>
        </w:tc>
      </w:tr>
      <w:tr w:rsidR="003466CF" w14:paraId="178F818A" w14:textId="77777777" w:rsidTr="006B18D8">
        <w:trPr>
          <w:cantSplit/>
        </w:trPr>
        <w:tc>
          <w:tcPr>
            <w:tcW w:w="576" w:type="dxa"/>
          </w:tcPr>
          <w:p w14:paraId="1CEB9723" w14:textId="77777777" w:rsidR="003466CF" w:rsidRPr="00E90101" w:rsidRDefault="003466CF" w:rsidP="00397415">
            <w:pPr>
              <w:pStyle w:val="TableNText"/>
            </w:pPr>
            <w:r>
              <w:t>12</w:t>
            </w:r>
          </w:p>
        </w:tc>
        <w:tc>
          <w:tcPr>
            <w:tcW w:w="2963" w:type="dxa"/>
          </w:tcPr>
          <w:p w14:paraId="1511D549" w14:textId="77777777" w:rsidR="003466CF" w:rsidRDefault="003466CF" w:rsidP="00397415">
            <w:pPr>
              <w:pStyle w:val="TableNText"/>
            </w:pPr>
            <w:r w:rsidRPr="00E90101">
              <w:t>International Clinical Trial Collaborations</w:t>
            </w:r>
          </w:p>
        </w:tc>
        <w:tc>
          <w:tcPr>
            <w:tcW w:w="5812" w:type="dxa"/>
          </w:tcPr>
          <w:p w14:paraId="68301481" w14:textId="77777777" w:rsidR="003466CF" w:rsidRDefault="003466CF" w:rsidP="00397415">
            <w:pPr>
              <w:pStyle w:val="TableNText"/>
            </w:pPr>
            <w:r w:rsidRPr="00930715">
              <w:rPr>
                <w:sz w:val="16"/>
              </w:rPr>
              <w:t>The Australian Government is investing in research to drive a new era of better health care and fuel jobs and growth through research.</w:t>
            </w:r>
          </w:p>
        </w:tc>
      </w:tr>
      <w:tr w:rsidR="003466CF" w14:paraId="4480D295" w14:textId="77777777" w:rsidTr="006B18D8">
        <w:trPr>
          <w:cantSplit/>
        </w:trPr>
        <w:tc>
          <w:tcPr>
            <w:tcW w:w="576" w:type="dxa"/>
          </w:tcPr>
          <w:p w14:paraId="77695B74" w14:textId="77777777" w:rsidR="003466CF" w:rsidRPr="00E90101" w:rsidRDefault="003466CF" w:rsidP="00397415">
            <w:pPr>
              <w:pStyle w:val="TableNText"/>
            </w:pPr>
            <w:r>
              <w:t>13</w:t>
            </w:r>
          </w:p>
        </w:tc>
        <w:tc>
          <w:tcPr>
            <w:tcW w:w="2963" w:type="dxa"/>
          </w:tcPr>
          <w:p w14:paraId="1FE6668E" w14:textId="77777777" w:rsidR="003466CF" w:rsidRDefault="003466CF" w:rsidP="00397415">
            <w:pPr>
              <w:pStyle w:val="TableNText"/>
            </w:pPr>
            <w:r w:rsidRPr="00E90101">
              <w:t>Keeping Australians out of Hospital</w:t>
            </w:r>
          </w:p>
        </w:tc>
        <w:tc>
          <w:tcPr>
            <w:tcW w:w="5812" w:type="dxa"/>
          </w:tcPr>
          <w:p w14:paraId="64F92156" w14:textId="77777777" w:rsidR="003466CF" w:rsidRDefault="003466CF" w:rsidP="00397415">
            <w:pPr>
              <w:pStyle w:val="TableNText"/>
            </w:pPr>
            <w:r w:rsidRPr="00930715">
              <w:rPr>
                <w:sz w:val="16"/>
              </w:rPr>
              <w:t>The Australian Government is investing in research to reduce avoidable hospitalisation and improve the prevention and management of chronic and complex health conditions.</w:t>
            </w:r>
          </w:p>
        </w:tc>
      </w:tr>
      <w:tr w:rsidR="003466CF" w14:paraId="14DDC682" w14:textId="77777777" w:rsidTr="006B18D8">
        <w:trPr>
          <w:cantSplit/>
        </w:trPr>
        <w:tc>
          <w:tcPr>
            <w:tcW w:w="576" w:type="dxa"/>
          </w:tcPr>
          <w:p w14:paraId="1D1B7F03" w14:textId="77777777" w:rsidR="003466CF" w:rsidRPr="00E90101" w:rsidRDefault="003466CF" w:rsidP="00397415">
            <w:pPr>
              <w:pStyle w:val="TableNText"/>
            </w:pPr>
            <w:r>
              <w:t>1</w:t>
            </w:r>
            <w:r w:rsidR="008B41F3">
              <w:t>4</w:t>
            </w:r>
          </w:p>
        </w:tc>
        <w:tc>
          <w:tcPr>
            <w:tcW w:w="2963" w:type="dxa"/>
          </w:tcPr>
          <w:p w14:paraId="42E46A9C" w14:textId="77777777" w:rsidR="003466CF" w:rsidRDefault="003466CF" w:rsidP="00397415">
            <w:pPr>
              <w:pStyle w:val="TableNText"/>
            </w:pPr>
            <w:r w:rsidRPr="00E90101">
              <w:t>Maternal Health and First 2,000 Days</w:t>
            </w:r>
            <w:r w:rsidR="008B41F3">
              <w:t>/Women’s Health</w:t>
            </w:r>
          </w:p>
        </w:tc>
        <w:tc>
          <w:tcPr>
            <w:tcW w:w="5812" w:type="dxa"/>
          </w:tcPr>
          <w:p w14:paraId="4FDAB850" w14:textId="77777777" w:rsidR="003466CF" w:rsidRDefault="003466CF" w:rsidP="00397415">
            <w:pPr>
              <w:pStyle w:val="TableNText"/>
            </w:pPr>
            <w:r w:rsidRPr="00956799">
              <w:rPr>
                <w:sz w:val="16"/>
              </w:rPr>
              <w:t>The Australian Government is investing in research to improve the opportunity for health intervention in the time between a woman's pregnancy and her child's fifth birthday.</w:t>
            </w:r>
          </w:p>
        </w:tc>
      </w:tr>
      <w:tr w:rsidR="003466CF" w14:paraId="7AF80B85" w14:textId="77777777" w:rsidTr="006B18D8">
        <w:trPr>
          <w:cantSplit/>
        </w:trPr>
        <w:tc>
          <w:tcPr>
            <w:tcW w:w="576" w:type="dxa"/>
          </w:tcPr>
          <w:p w14:paraId="1B151CDB" w14:textId="77777777" w:rsidR="003466CF" w:rsidRPr="00E90101" w:rsidRDefault="003466CF" w:rsidP="00397415">
            <w:pPr>
              <w:pStyle w:val="TableNText"/>
            </w:pPr>
            <w:r>
              <w:lastRenderedPageBreak/>
              <w:t>1</w:t>
            </w:r>
            <w:r w:rsidR="008B41F3">
              <w:t>5</w:t>
            </w:r>
          </w:p>
        </w:tc>
        <w:tc>
          <w:tcPr>
            <w:tcW w:w="2963" w:type="dxa"/>
          </w:tcPr>
          <w:p w14:paraId="1400B6CF" w14:textId="77777777" w:rsidR="003466CF" w:rsidRDefault="003466CF" w:rsidP="00397415">
            <w:pPr>
              <w:pStyle w:val="TableNText"/>
            </w:pPr>
            <w:r w:rsidRPr="00E90101">
              <w:t>Million Minds Mental Health Research Mission</w:t>
            </w:r>
          </w:p>
        </w:tc>
        <w:tc>
          <w:tcPr>
            <w:tcW w:w="5812" w:type="dxa"/>
          </w:tcPr>
          <w:p w14:paraId="7A71CDFB" w14:textId="77777777" w:rsidR="003466CF" w:rsidRDefault="003466CF" w:rsidP="00397415">
            <w:pPr>
              <w:pStyle w:val="TableNText"/>
            </w:pPr>
            <w:r w:rsidRPr="00956799">
              <w:rPr>
                <w:sz w:val="16"/>
              </w:rPr>
              <w:t>The Australian Government is investing in bold and transformative research to support one million people with mental health issues access new and innovative approaches to prevention, diagnosis, treatment and recovery.</w:t>
            </w:r>
          </w:p>
        </w:tc>
      </w:tr>
      <w:tr w:rsidR="003466CF" w14:paraId="4F857850" w14:textId="77777777" w:rsidTr="006B18D8">
        <w:trPr>
          <w:cantSplit/>
        </w:trPr>
        <w:tc>
          <w:tcPr>
            <w:tcW w:w="576" w:type="dxa"/>
          </w:tcPr>
          <w:p w14:paraId="18DED88B" w14:textId="77777777" w:rsidR="003466CF" w:rsidRPr="00E90101" w:rsidRDefault="003466CF" w:rsidP="00397415">
            <w:pPr>
              <w:pStyle w:val="TableNText"/>
            </w:pPr>
            <w:r>
              <w:t>1</w:t>
            </w:r>
            <w:r w:rsidR="008B41F3">
              <w:t>6</w:t>
            </w:r>
          </w:p>
        </w:tc>
        <w:tc>
          <w:tcPr>
            <w:tcW w:w="2963" w:type="dxa"/>
          </w:tcPr>
          <w:p w14:paraId="3825FD46" w14:textId="77777777" w:rsidR="003466CF" w:rsidRDefault="003466CF" w:rsidP="00397415">
            <w:pPr>
              <w:pStyle w:val="TableNText"/>
            </w:pPr>
            <w:r w:rsidRPr="00E90101">
              <w:t>Next Generation Clinical Researchers</w:t>
            </w:r>
          </w:p>
        </w:tc>
        <w:tc>
          <w:tcPr>
            <w:tcW w:w="5812" w:type="dxa"/>
          </w:tcPr>
          <w:p w14:paraId="247249C9" w14:textId="77777777" w:rsidR="003466CF" w:rsidRDefault="003466CF" w:rsidP="00397415">
            <w:pPr>
              <w:pStyle w:val="TableNText"/>
            </w:pPr>
            <w:r w:rsidRPr="00956799">
              <w:rPr>
                <w:sz w:val="16"/>
              </w:rPr>
              <w:t>The Australian Government is investing in the talent and capacity of Australia's health and medical research workforce.</w:t>
            </w:r>
          </w:p>
        </w:tc>
      </w:tr>
      <w:tr w:rsidR="003466CF" w14:paraId="20F55201" w14:textId="77777777" w:rsidTr="006B18D8">
        <w:trPr>
          <w:cantSplit/>
        </w:trPr>
        <w:tc>
          <w:tcPr>
            <w:tcW w:w="576" w:type="dxa"/>
          </w:tcPr>
          <w:p w14:paraId="4E657C2A" w14:textId="77777777" w:rsidR="003466CF" w:rsidRPr="00E90101" w:rsidRDefault="003466CF" w:rsidP="00397415">
            <w:pPr>
              <w:pStyle w:val="TableNText"/>
            </w:pPr>
            <w:r>
              <w:t>1</w:t>
            </w:r>
            <w:r w:rsidR="008B41F3">
              <w:t>7</w:t>
            </w:r>
          </w:p>
        </w:tc>
        <w:tc>
          <w:tcPr>
            <w:tcW w:w="2963" w:type="dxa"/>
          </w:tcPr>
          <w:p w14:paraId="26592EB3" w14:textId="77777777" w:rsidR="003466CF" w:rsidRDefault="003466CF" w:rsidP="00397415">
            <w:pPr>
              <w:pStyle w:val="TableNText"/>
            </w:pPr>
            <w:r w:rsidRPr="00E90101">
              <w:t>Rapid Applied Research Translation</w:t>
            </w:r>
          </w:p>
        </w:tc>
        <w:tc>
          <w:tcPr>
            <w:tcW w:w="5812" w:type="dxa"/>
          </w:tcPr>
          <w:p w14:paraId="466161E4" w14:textId="77777777" w:rsidR="003466CF" w:rsidRDefault="003466CF" w:rsidP="00397415">
            <w:pPr>
              <w:pStyle w:val="TableNText"/>
            </w:pPr>
            <w:r w:rsidRPr="00956799">
              <w:rPr>
                <w:sz w:val="16"/>
              </w:rPr>
              <w:t>The Australian Government is investing in research that delivers solutions to health service problems that directly benefits patients.</w:t>
            </w:r>
          </w:p>
        </w:tc>
      </w:tr>
      <w:tr w:rsidR="003466CF" w14:paraId="6DD4FE9D" w14:textId="77777777" w:rsidTr="006B18D8">
        <w:trPr>
          <w:cantSplit/>
        </w:trPr>
        <w:tc>
          <w:tcPr>
            <w:tcW w:w="576" w:type="dxa"/>
          </w:tcPr>
          <w:p w14:paraId="7E57B299" w14:textId="77777777" w:rsidR="003466CF" w:rsidRPr="00E90101" w:rsidRDefault="003466CF" w:rsidP="00397415">
            <w:pPr>
              <w:pStyle w:val="TableNText"/>
            </w:pPr>
            <w:r>
              <w:t>1</w:t>
            </w:r>
            <w:r w:rsidR="008B41F3">
              <w:t>8</w:t>
            </w:r>
          </w:p>
        </w:tc>
        <w:tc>
          <w:tcPr>
            <w:tcW w:w="2963" w:type="dxa"/>
          </w:tcPr>
          <w:p w14:paraId="056B874E" w14:textId="77777777" w:rsidR="003466CF" w:rsidRDefault="003466CF" w:rsidP="00397415">
            <w:pPr>
              <w:pStyle w:val="TableNText"/>
            </w:pPr>
            <w:r w:rsidRPr="00E90101">
              <w:t>Tackling Antimicrobial Resistance</w:t>
            </w:r>
          </w:p>
        </w:tc>
        <w:tc>
          <w:tcPr>
            <w:tcW w:w="5812" w:type="dxa"/>
          </w:tcPr>
          <w:p w14:paraId="09326839" w14:textId="77777777" w:rsidR="003466CF" w:rsidRDefault="003466CF" w:rsidP="00397415">
            <w:pPr>
              <w:pStyle w:val="TableNText"/>
            </w:pPr>
            <w:r w:rsidRPr="00956799">
              <w:rPr>
                <w:sz w:val="16"/>
              </w:rPr>
              <w:t>The Australian Government is investing in research to help tackle the threat in aged care facilities, of microorganisms such as bacteria, viruses or parasites becoming resistant to standard medical treatments.</w:t>
            </w:r>
          </w:p>
        </w:tc>
      </w:tr>
      <w:tr w:rsidR="003466CF" w14:paraId="16ECB5B2" w14:textId="77777777" w:rsidTr="006B18D8">
        <w:trPr>
          <w:cantSplit/>
        </w:trPr>
        <w:tc>
          <w:tcPr>
            <w:tcW w:w="576" w:type="dxa"/>
          </w:tcPr>
          <w:p w14:paraId="1F38B7CF" w14:textId="77777777" w:rsidR="003466CF" w:rsidRPr="00E90101" w:rsidRDefault="008B41F3" w:rsidP="00397415">
            <w:pPr>
              <w:pStyle w:val="TableNText"/>
            </w:pPr>
            <w:r>
              <w:t>19</w:t>
            </w:r>
          </w:p>
        </w:tc>
        <w:tc>
          <w:tcPr>
            <w:tcW w:w="2963" w:type="dxa"/>
          </w:tcPr>
          <w:p w14:paraId="5DF053E5" w14:textId="77777777" w:rsidR="003466CF" w:rsidRDefault="003466CF" w:rsidP="00397415">
            <w:pPr>
              <w:pStyle w:val="TableNText"/>
            </w:pPr>
            <w:r w:rsidRPr="00E90101">
              <w:t>Targeted Health System and Community Organisation Research</w:t>
            </w:r>
          </w:p>
        </w:tc>
        <w:tc>
          <w:tcPr>
            <w:tcW w:w="5812" w:type="dxa"/>
          </w:tcPr>
          <w:p w14:paraId="67CF4DE8" w14:textId="77777777" w:rsidR="003466CF" w:rsidRDefault="003466CF" w:rsidP="00397415">
            <w:pPr>
              <w:pStyle w:val="TableNText"/>
            </w:pPr>
            <w:r w:rsidRPr="00956799">
              <w:rPr>
                <w:sz w:val="16"/>
              </w:rPr>
              <w:t>The Australian Government is investing in research to compare the effectiveness of health services, address areas of practice with low evidence and explore consumer-driven research.</w:t>
            </w:r>
          </w:p>
        </w:tc>
      </w:tr>
      <w:tr w:rsidR="003466CF" w14:paraId="7400668E" w14:textId="77777777" w:rsidTr="006B18D8">
        <w:trPr>
          <w:cantSplit/>
        </w:trPr>
        <w:tc>
          <w:tcPr>
            <w:tcW w:w="576" w:type="dxa"/>
          </w:tcPr>
          <w:p w14:paraId="12031D2C" w14:textId="77777777" w:rsidR="003466CF" w:rsidRPr="00E90101" w:rsidRDefault="003466CF" w:rsidP="00397415">
            <w:pPr>
              <w:pStyle w:val="TableNText"/>
            </w:pPr>
            <w:r>
              <w:t>2</w:t>
            </w:r>
            <w:r w:rsidR="008B41F3">
              <w:t>0</w:t>
            </w:r>
          </w:p>
        </w:tc>
        <w:tc>
          <w:tcPr>
            <w:tcW w:w="2963" w:type="dxa"/>
          </w:tcPr>
          <w:p w14:paraId="1C82DA9B" w14:textId="77777777" w:rsidR="003466CF" w:rsidRDefault="003466CF" w:rsidP="00397415">
            <w:pPr>
              <w:pStyle w:val="TableNText"/>
            </w:pPr>
            <w:r w:rsidRPr="00E90101">
              <w:t>Targeted Translation Research Accelerator</w:t>
            </w:r>
          </w:p>
        </w:tc>
        <w:tc>
          <w:tcPr>
            <w:tcW w:w="5812" w:type="dxa"/>
          </w:tcPr>
          <w:p w14:paraId="630939EF" w14:textId="77777777" w:rsidR="003466CF" w:rsidRDefault="003466CF" w:rsidP="00397415">
            <w:pPr>
              <w:pStyle w:val="TableNText"/>
            </w:pPr>
            <w:r w:rsidRPr="00956799">
              <w:rPr>
                <w:sz w:val="16"/>
              </w:rPr>
              <w:t>The Australian Government is investing in research to improve the lives of patients with chronic conditions through new methods of prevention, treatments and cures.</w:t>
            </w:r>
          </w:p>
        </w:tc>
      </w:tr>
    </w:tbl>
    <w:p w14:paraId="4E6B4288" w14:textId="77777777" w:rsidR="000806F7" w:rsidRDefault="000806F7" w:rsidP="00361001">
      <w:pPr>
        <w:spacing w:line="240" w:lineRule="auto"/>
        <w:contextualSpacing/>
        <w:rPr>
          <w:rFonts w:ascii="Arial" w:hAnsi="Arial" w:cs="Arial"/>
        </w:rPr>
      </w:pPr>
    </w:p>
    <w:p w14:paraId="0055203F" w14:textId="77777777" w:rsidR="00E25B33" w:rsidRDefault="00E25B33">
      <w:pPr>
        <w:spacing w:line="240" w:lineRule="auto"/>
        <w:rPr>
          <w:rFonts w:ascii="Arial" w:hAnsi="Arial" w:cs="Arial"/>
        </w:rPr>
        <w:sectPr w:rsidR="00E25B33" w:rsidSect="00965581">
          <w:headerReference w:type="default" r:id="rId16"/>
          <w:footerReference w:type="default" r:id="rId17"/>
          <w:headerReference w:type="first" r:id="rId18"/>
          <w:footerReference w:type="first" r:id="rId19"/>
          <w:pgSz w:w="11907" w:h="16839" w:code="9"/>
          <w:pgMar w:top="1440" w:right="1440" w:bottom="1440" w:left="1440" w:header="426" w:footer="720" w:gutter="0"/>
          <w:cols w:space="720"/>
          <w:titlePg/>
          <w:docGrid w:linePitch="360"/>
        </w:sectPr>
      </w:pPr>
    </w:p>
    <w:p w14:paraId="657C7C50" w14:textId="4F7C2C03" w:rsidR="003466CF" w:rsidRDefault="006B73AD" w:rsidP="000319EF">
      <w:pPr>
        <w:pStyle w:val="xAppendixLevel1"/>
        <w:spacing w:after="240"/>
        <w:ind w:left="2127" w:hanging="2127"/>
        <w:rPr>
          <w:rFonts w:ascii="Arial" w:hAnsi="Arial" w:cs="Arial"/>
          <w:b w:val="0"/>
          <w:sz w:val="36"/>
          <w:szCs w:val="36"/>
        </w:rPr>
      </w:pPr>
      <w:bookmarkStart w:id="24" w:name="_Ref4429528"/>
      <w:bookmarkStart w:id="25" w:name="_Toc5785668"/>
      <w:r>
        <w:rPr>
          <w:rFonts w:ascii="Arial" w:hAnsi="Arial" w:cs="Arial"/>
          <w:b w:val="0"/>
          <w:sz w:val="36"/>
          <w:szCs w:val="36"/>
        </w:rPr>
        <w:lastRenderedPageBreak/>
        <w:t xml:space="preserve">MRFF </w:t>
      </w:r>
      <w:r w:rsidR="000806F7" w:rsidRPr="00860FE3">
        <w:rPr>
          <w:rFonts w:ascii="Arial" w:hAnsi="Arial" w:cs="Arial"/>
          <w:b w:val="0"/>
          <w:sz w:val="36"/>
          <w:szCs w:val="36"/>
        </w:rPr>
        <w:t>Grant</w:t>
      </w:r>
      <w:bookmarkEnd w:id="24"/>
      <w:r w:rsidR="000319EF">
        <w:rPr>
          <w:rFonts w:ascii="Arial" w:hAnsi="Arial" w:cs="Arial"/>
          <w:b w:val="0"/>
          <w:sz w:val="36"/>
          <w:szCs w:val="36"/>
        </w:rPr>
        <w:t>s Awarded from November 2016 to November 2018, by project</w:t>
      </w:r>
      <w:bookmarkEnd w:id="25"/>
    </w:p>
    <w:p w14:paraId="73BA0837" w14:textId="07E5FC51" w:rsidR="006B73AD" w:rsidRDefault="006B73AD" w:rsidP="006B73AD">
      <w:pPr>
        <w:spacing w:line="240" w:lineRule="auto"/>
        <w:contextualSpacing/>
        <w:rPr>
          <w:rFonts w:ascii="Arial" w:hAnsi="Arial" w:cs="Arial"/>
        </w:rPr>
      </w:pPr>
      <w:r>
        <w:rPr>
          <w:rFonts w:ascii="Arial" w:hAnsi="Arial" w:cs="Arial"/>
        </w:rPr>
        <w:t>The list of grant recipients by MRFF initiatives, announced and awarded during the period when the 2016</w:t>
      </w:r>
      <w:r>
        <w:rPr>
          <w:rFonts w:ascii="Arial" w:hAnsi="Arial" w:cs="Arial"/>
        </w:rPr>
        <w:noBreakHyphen/>
        <w:t xml:space="preserve">2018 Priorities were in force, </w:t>
      </w:r>
      <w:r w:rsidRPr="006B73AD">
        <w:rPr>
          <w:rFonts w:ascii="Arial" w:hAnsi="Arial" w:cs="Arial"/>
        </w:rPr>
        <w:t>are presented</w:t>
      </w:r>
      <w:r>
        <w:rPr>
          <w:rFonts w:ascii="Arial" w:hAnsi="Arial" w:cs="Arial"/>
        </w:rPr>
        <w:t xml:space="preserve"> in </w:t>
      </w:r>
      <w:r>
        <w:rPr>
          <w:rFonts w:ascii="Arial" w:hAnsi="Arial" w:cs="Arial"/>
        </w:rPr>
        <w:fldChar w:fldCharType="begin"/>
      </w:r>
      <w:r>
        <w:rPr>
          <w:rFonts w:ascii="Arial" w:hAnsi="Arial" w:cs="Arial"/>
        </w:rPr>
        <w:instrText xml:space="preserve"> REF _Ref4429876 \h  \* MERGEFORMAT </w:instrText>
      </w:r>
      <w:r>
        <w:rPr>
          <w:rFonts w:ascii="Arial" w:hAnsi="Arial" w:cs="Arial"/>
        </w:rPr>
      </w:r>
      <w:r>
        <w:rPr>
          <w:rFonts w:ascii="Arial" w:hAnsi="Arial" w:cs="Arial"/>
        </w:rPr>
        <w:fldChar w:fldCharType="separate"/>
      </w:r>
      <w:r w:rsidR="00533860" w:rsidRPr="00533860">
        <w:rPr>
          <w:rFonts w:ascii="Arial" w:hAnsi="Arial" w:cs="Arial"/>
        </w:rPr>
        <w:t>Table 6</w:t>
      </w:r>
      <w:r>
        <w:rPr>
          <w:rFonts w:ascii="Arial" w:hAnsi="Arial" w:cs="Arial"/>
        </w:rPr>
        <w:fldChar w:fldCharType="end"/>
      </w:r>
      <w:r>
        <w:rPr>
          <w:rFonts w:ascii="Arial" w:hAnsi="Arial" w:cs="Arial"/>
        </w:rPr>
        <w:t>.</w:t>
      </w:r>
    </w:p>
    <w:p w14:paraId="42DA0930" w14:textId="36C516FB" w:rsidR="006B73AD" w:rsidRPr="006B73AD" w:rsidRDefault="006B73AD" w:rsidP="006B73AD">
      <w:pPr>
        <w:pStyle w:val="Caption"/>
        <w:rPr>
          <w:color w:val="1F497D" w:themeColor="text2"/>
        </w:rPr>
      </w:pPr>
      <w:bookmarkStart w:id="26" w:name="_Ref4429876"/>
      <w:r w:rsidRPr="006B73AD">
        <w:rPr>
          <w:color w:val="1F497D" w:themeColor="text2"/>
        </w:rPr>
        <w:t xml:space="preserve">Table </w:t>
      </w:r>
      <w:r w:rsidRPr="006B73AD">
        <w:rPr>
          <w:color w:val="1F497D" w:themeColor="text2"/>
        </w:rPr>
        <w:fldChar w:fldCharType="begin"/>
      </w:r>
      <w:r w:rsidRPr="006B73AD">
        <w:rPr>
          <w:color w:val="1F497D" w:themeColor="text2"/>
        </w:rPr>
        <w:instrText xml:space="preserve"> SEQ Table \* ARABIC </w:instrText>
      </w:r>
      <w:r w:rsidRPr="006B73AD">
        <w:rPr>
          <w:color w:val="1F497D" w:themeColor="text2"/>
        </w:rPr>
        <w:fldChar w:fldCharType="separate"/>
      </w:r>
      <w:r w:rsidR="00533860">
        <w:rPr>
          <w:noProof/>
          <w:color w:val="1F497D" w:themeColor="text2"/>
        </w:rPr>
        <w:t>6</w:t>
      </w:r>
      <w:r w:rsidRPr="006B73AD">
        <w:rPr>
          <w:color w:val="1F497D" w:themeColor="text2"/>
        </w:rPr>
        <w:fldChar w:fldCharType="end"/>
      </w:r>
      <w:bookmarkEnd w:id="26"/>
      <w:r w:rsidRPr="006B73AD">
        <w:rPr>
          <w:color w:val="1F497D" w:themeColor="text2"/>
        </w:rPr>
        <w:t xml:space="preserve"> | </w:t>
      </w:r>
      <w:r>
        <w:rPr>
          <w:color w:val="1F497D" w:themeColor="text2"/>
        </w:rPr>
        <w:t>MRFF grant recipients as at November 2018</w:t>
      </w:r>
    </w:p>
    <w:tbl>
      <w:tblPr>
        <w:tblW w:w="4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62"/>
        <w:gridCol w:w="2082"/>
        <w:gridCol w:w="4389"/>
        <w:gridCol w:w="1279"/>
      </w:tblGrid>
      <w:tr w:rsidR="003E5907" w:rsidRPr="00652AA2" w14:paraId="65B6ADB9" w14:textId="77777777" w:rsidTr="00CF2C5B">
        <w:trPr>
          <w:trHeight w:val="490"/>
          <w:tblHeader/>
        </w:trPr>
        <w:tc>
          <w:tcPr>
            <w:tcW w:w="794" w:type="pct"/>
            <w:shd w:val="clear" w:color="000000" w:fill="1F4E78"/>
            <w:tcMar>
              <w:top w:w="15" w:type="dxa"/>
              <w:left w:w="15" w:type="dxa"/>
              <w:bottom w:w="0" w:type="dxa"/>
              <w:right w:w="15" w:type="dxa"/>
            </w:tcMar>
            <w:vAlign w:val="center"/>
            <w:hideMark/>
          </w:tcPr>
          <w:p w14:paraId="419F3CCC" w14:textId="1FE67A57" w:rsidR="003E5907" w:rsidRPr="00652AA2" w:rsidRDefault="00035856" w:rsidP="00AE0C46">
            <w:pPr>
              <w:spacing w:before="20" w:after="20" w:line="240" w:lineRule="auto"/>
              <w:jc w:val="center"/>
              <w:rPr>
                <w:rFonts w:ascii="Segoe UI" w:eastAsia="Calibri" w:hAnsi="Segoe UI" w:cs="Segoe UI"/>
                <w:b/>
                <w:bCs/>
                <w:color w:val="FFFFFF"/>
                <w:sz w:val="17"/>
                <w:szCs w:val="17"/>
              </w:rPr>
            </w:pPr>
            <w:r>
              <w:rPr>
                <w:rFonts w:ascii="Segoe UI" w:eastAsia="Calibri" w:hAnsi="Segoe UI" w:cs="Segoe UI"/>
                <w:b/>
                <w:bCs/>
                <w:color w:val="FFFFFF"/>
                <w:sz w:val="17"/>
                <w:szCs w:val="17"/>
              </w:rPr>
              <w:t xml:space="preserve"> </w:t>
            </w:r>
            <w:r w:rsidR="003E5907" w:rsidRPr="00652AA2">
              <w:rPr>
                <w:rFonts w:ascii="Segoe UI" w:eastAsia="Calibri" w:hAnsi="Segoe UI" w:cs="Segoe UI"/>
                <w:b/>
                <w:bCs/>
                <w:color w:val="FFFFFF"/>
                <w:sz w:val="17"/>
                <w:szCs w:val="17"/>
              </w:rPr>
              <w:t>MRFF Initiative</w:t>
            </w:r>
          </w:p>
        </w:tc>
        <w:tc>
          <w:tcPr>
            <w:tcW w:w="1130" w:type="pct"/>
            <w:shd w:val="clear" w:color="000000" w:fill="1F4E78"/>
            <w:tcMar>
              <w:top w:w="15" w:type="dxa"/>
              <w:left w:w="15" w:type="dxa"/>
              <w:bottom w:w="0" w:type="dxa"/>
              <w:right w:w="15" w:type="dxa"/>
            </w:tcMar>
            <w:vAlign w:val="center"/>
            <w:hideMark/>
          </w:tcPr>
          <w:p w14:paraId="14EC2718" w14:textId="61ABFCE8" w:rsidR="003E5907" w:rsidRPr="00652AA2" w:rsidRDefault="003E5907" w:rsidP="00966BA6">
            <w:pPr>
              <w:spacing w:before="20" w:after="20" w:line="240" w:lineRule="auto"/>
              <w:jc w:val="center"/>
              <w:rPr>
                <w:rFonts w:ascii="Segoe UI" w:eastAsia="Calibri" w:hAnsi="Segoe UI" w:cs="Segoe UI"/>
                <w:b/>
                <w:bCs/>
                <w:color w:val="FFFFFF"/>
                <w:sz w:val="17"/>
                <w:szCs w:val="17"/>
              </w:rPr>
            </w:pPr>
            <w:r w:rsidRPr="00652AA2">
              <w:rPr>
                <w:rFonts w:ascii="Segoe UI" w:eastAsia="Calibri" w:hAnsi="Segoe UI" w:cs="Segoe UI"/>
                <w:b/>
                <w:bCs/>
                <w:color w:val="FFFFFF"/>
                <w:sz w:val="17"/>
                <w:szCs w:val="17"/>
              </w:rPr>
              <w:t>Funded Institution</w:t>
            </w:r>
          </w:p>
        </w:tc>
        <w:tc>
          <w:tcPr>
            <w:tcW w:w="2382" w:type="pct"/>
            <w:shd w:val="clear" w:color="000000" w:fill="1F4E78"/>
            <w:tcMar>
              <w:top w:w="15" w:type="dxa"/>
              <w:left w:w="15" w:type="dxa"/>
              <w:bottom w:w="0" w:type="dxa"/>
              <w:right w:w="15" w:type="dxa"/>
            </w:tcMar>
            <w:vAlign w:val="center"/>
            <w:hideMark/>
          </w:tcPr>
          <w:p w14:paraId="42A4740C" w14:textId="77777777" w:rsidR="003E5907" w:rsidRPr="00652AA2" w:rsidRDefault="003E5907" w:rsidP="00966BA6">
            <w:pPr>
              <w:spacing w:before="20" w:after="20" w:line="240" w:lineRule="auto"/>
              <w:jc w:val="center"/>
              <w:rPr>
                <w:rFonts w:ascii="Segoe UI" w:eastAsia="Calibri" w:hAnsi="Segoe UI" w:cs="Segoe UI"/>
                <w:b/>
                <w:bCs/>
                <w:color w:val="FFFFFF"/>
                <w:sz w:val="17"/>
                <w:szCs w:val="17"/>
              </w:rPr>
            </w:pPr>
            <w:r w:rsidRPr="00652AA2">
              <w:rPr>
                <w:rFonts w:ascii="Segoe UI" w:eastAsia="Calibri" w:hAnsi="Segoe UI" w:cs="Segoe UI"/>
                <w:b/>
                <w:bCs/>
                <w:color w:val="FFFFFF"/>
                <w:sz w:val="17"/>
                <w:szCs w:val="17"/>
              </w:rPr>
              <w:t>Project Name</w:t>
            </w:r>
          </w:p>
        </w:tc>
        <w:tc>
          <w:tcPr>
            <w:tcW w:w="694" w:type="pct"/>
            <w:shd w:val="clear" w:color="000000" w:fill="1F4E78"/>
            <w:tcMar>
              <w:top w:w="15" w:type="dxa"/>
              <w:left w:w="15" w:type="dxa"/>
              <w:bottom w:w="0" w:type="dxa"/>
              <w:right w:w="15" w:type="dxa"/>
            </w:tcMar>
            <w:vAlign w:val="center"/>
            <w:hideMark/>
          </w:tcPr>
          <w:p w14:paraId="3A04D045" w14:textId="77777777" w:rsidR="003E5907" w:rsidRPr="00652AA2" w:rsidRDefault="003E5907" w:rsidP="00966BA6">
            <w:pPr>
              <w:spacing w:before="20" w:after="20" w:line="240" w:lineRule="auto"/>
              <w:jc w:val="center"/>
              <w:rPr>
                <w:rFonts w:ascii="Segoe UI" w:eastAsia="Calibri" w:hAnsi="Segoe UI" w:cs="Segoe UI"/>
                <w:b/>
                <w:bCs/>
                <w:color w:val="FFFFFF"/>
                <w:sz w:val="17"/>
                <w:szCs w:val="17"/>
              </w:rPr>
            </w:pPr>
            <w:r w:rsidRPr="00652AA2">
              <w:rPr>
                <w:rFonts w:ascii="Segoe UI" w:eastAsia="Calibri" w:hAnsi="Segoe UI" w:cs="Segoe UI"/>
                <w:b/>
                <w:bCs/>
                <w:color w:val="FFFFFF"/>
                <w:sz w:val="17"/>
                <w:szCs w:val="17"/>
              </w:rPr>
              <w:t>Funding Amount</w:t>
            </w:r>
          </w:p>
        </w:tc>
      </w:tr>
      <w:tr w:rsidR="003E5907" w:rsidRPr="00652AA2" w14:paraId="5CA403BC" w14:textId="77777777" w:rsidTr="00CF2C5B">
        <w:trPr>
          <w:trHeight w:val="450"/>
        </w:trPr>
        <w:tc>
          <w:tcPr>
            <w:tcW w:w="794" w:type="pct"/>
            <w:shd w:val="clear" w:color="auto" w:fill="auto"/>
            <w:tcMar>
              <w:top w:w="15" w:type="dxa"/>
              <w:left w:w="15" w:type="dxa"/>
              <w:bottom w:w="0" w:type="dxa"/>
              <w:right w:w="15" w:type="dxa"/>
            </w:tcMar>
            <w:vAlign w:val="center"/>
            <w:hideMark/>
          </w:tcPr>
          <w:p w14:paraId="2C337710" w14:textId="11F080FC" w:rsidR="003E5907" w:rsidRPr="00652AA2" w:rsidRDefault="003E5907" w:rsidP="005009A8">
            <w:pPr>
              <w:spacing w:before="20" w:after="20" w:line="240" w:lineRule="auto"/>
              <w:rPr>
                <w:rFonts w:ascii="Segoe UI" w:eastAsia="Calibri" w:hAnsi="Segoe UI" w:cs="Segoe UI"/>
                <w:color w:val="000000"/>
                <w:sz w:val="17"/>
                <w:szCs w:val="17"/>
              </w:rPr>
            </w:pPr>
            <w:r>
              <w:rPr>
                <w:rFonts w:ascii="Segoe UI" w:eastAsia="Calibri" w:hAnsi="Segoe UI" w:cs="Segoe UI"/>
                <w:color w:val="000000"/>
                <w:sz w:val="17"/>
                <w:szCs w:val="17"/>
              </w:rPr>
              <w:t>Accelerated Research</w:t>
            </w:r>
          </w:p>
        </w:tc>
        <w:tc>
          <w:tcPr>
            <w:tcW w:w="1130" w:type="pct"/>
            <w:shd w:val="clear" w:color="auto" w:fill="auto"/>
            <w:tcMar>
              <w:top w:w="15" w:type="dxa"/>
              <w:left w:w="15" w:type="dxa"/>
              <w:bottom w:w="0" w:type="dxa"/>
              <w:right w:w="15" w:type="dxa"/>
            </w:tcMar>
            <w:vAlign w:val="center"/>
            <w:hideMark/>
          </w:tcPr>
          <w:p w14:paraId="4D6B6705" w14:textId="333BAB5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Leukaemia and Lymphoma Group</w:t>
            </w:r>
            <w:r>
              <w:rPr>
                <w:rFonts w:ascii="Segoe UI" w:eastAsia="Calibri" w:hAnsi="Segoe UI" w:cs="Segoe UI"/>
                <w:color w:val="000000"/>
                <w:sz w:val="17"/>
                <w:szCs w:val="17"/>
              </w:rPr>
              <w:t>, through</w:t>
            </w:r>
            <w:r w:rsidRPr="00652AA2">
              <w:rPr>
                <w:rFonts w:ascii="Segoe UI" w:eastAsia="Calibri" w:hAnsi="Segoe UI" w:cs="Segoe UI"/>
                <w:color w:val="000000"/>
                <w:sz w:val="17"/>
                <w:szCs w:val="17"/>
              </w:rPr>
              <w:t xml:space="preserve"> Teencancer - Canteen (NSW)</w:t>
            </w:r>
          </w:p>
        </w:tc>
        <w:tc>
          <w:tcPr>
            <w:tcW w:w="2382" w:type="pct"/>
            <w:shd w:val="clear" w:color="auto" w:fill="auto"/>
            <w:tcMar>
              <w:top w:w="15" w:type="dxa"/>
              <w:left w:w="15" w:type="dxa"/>
              <w:bottom w:w="0" w:type="dxa"/>
              <w:right w:w="15" w:type="dxa"/>
            </w:tcMar>
            <w:vAlign w:val="center"/>
            <w:hideMark/>
          </w:tcPr>
          <w:p w14:paraId="2C5C0C3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Improving the Treatment of Australian Adolescents and Young Adults with Acute Lymphoblastic Leukaemia </w:t>
            </w:r>
          </w:p>
        </w:tc>
        <w:tc>
          <w:tcPr>
            <w:tcW w:w="694" w:type="pct"/>
            <w:shd w:val="clear" w:color="auto" w:fill="auto"/>
            <w:tcMar>
              <w:top w:w="15" w:type="dxa"/>
              <w:left w:w="15" w:type="dxa"/>
              <w:bottom w:w="0" w:type="dxa"/>
              <w:right w:w="15" w:type="dxa"/>
            </w:tcMar>
            <w:vAlign w:val="center"/>
            <w:hideMark/>
          </w:tcPr>
          <w:p w14:paraId="624DC5A4"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$748,769</w:t>
            </w:r>
          </w:p>
        </w:tc>
      </w:tr>
      <w:tr w:rsidR="003E5907" w:rsidRPr="00652AA2" w14:paraId="3C1BA06C" w14:textId="77777777" w:rsidTr="00CF2C5B">
        <w:trPr>
          <w:trHeight w:val="300"/>
        </w:trPr>
        <w:tc>
          <w:tcPr>
            <w:tcW w:w="794" w:type="pct"/>
            <w:shd w:val="clear" w:color="auto" w:fill="auto"/>
            <w:tcMar>
              <w:top w:w="15" w:type="dxa"/>
              <w:left w:w="15" w:type="dxa"/>
              <w:bottom w:w="0" w:type="dxa"/>
              <w:right w:w="15" w:type="dxa"/>
            </w:tcMar>
            <w:vAlign w:val="center"/>
            <w:hideMark/>
          </w:tcPr>
          <w:p w14:paraId="1B30375D" w14:textId="70B9FADD" w:rsidR="003E5907" w:rsidRPr="00652AA2" w:rsidRDefault="003E5907" w:rsidP="005009A8">
            <w:pPr>
              <w:spacing w:before="20" w:after="20" w:line="240" w:lineRule="auto"/>
              <w:rPr>
                <w:rFonts w:ascii="Segoe UI" w:eastAsia="Calibri" w:hAnsi="Segoe UI" w:cs="Segoe UI"/>
                <w:color w:val="000000"/>
                <w:sz w:val="17"/>
                <w:szCs w:val="17"/>
              </w:rPr>
            </w:pPr>
            <w:r>
              <w:rPr>
                <w:rFonts w:ascii="Segoe UI" w:eastAsia="Calibri" w:hAnsi="Segoe UI" w:cs="Segoe UI"/>
                <w:color w:val="000000"/>
                <w:sz w:val="17"/>
                <w:szCs w:val="17"/>
              </w:rPr>
              <w:t>Accelerated Research</w:t>
            </w:r>
          </w:p>
        </w:tc>
        <w:tc>
          <w:tcPr>
            <w:tcW w:w="1130" w:type="pct"/>
            <w:shd w:val="clear" w:color="auto" w:fill="auto"/>
            <w:tcMar>
              <w:top w:w="15" w:type="dxa"/>
              <w:left w:w="15" w:type="dxa"/>
              <w:bottom w:w="0" w:type="dxa"/>
              <w:right w:w="15" w:type="dxa"/>
            </w:tcMar>
            <w:vAlign w:val="center"/>
            <w:hideMark/>
          </w:tcPr>
          <w:p w14:paraId="23C8AC20" w14:textId="6655A6B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Canteen (NSW)</w:t>
            </w:r>
          </w:p>
        </w:tc>
        <w:tc>
          <w:tcPr>
            <w:tcW w:w="2382" w:type="pct"/>
            <w:shd w:val="clear" w:color="auto" w:fill="auto"/>
            <w:tcMar>
              <w:top w:w="15" w:type="dxa"/>
              <w:left w:w="15" w:type="dxa"/>
              <w:bottom w:w="0" w:type="dxa"/>
              <w:right w:w="15" w:type="dxa"/>
            </w:tcMar>
            <w:vAlign w:val="center"/>
            <w:hideMark/>
          </w:tcPr>
          <w:p w14:paraId="64800A1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Support new clinical trials for adolescents and young adults with cancer.</w:t>
            </w:r>
          </w:p>
        </w:tc>
        <w:tc>
          <w:tcPr>
            <w:tcW w:w="694" w:type="pct"/>
            <w:shd w:val="clear" w:color="auto" w:fill="auto"/>
            <w:tcMar>
              <w:top w:w="15" w:type="dxa"/>
              <w:left w:w="15" w:type="dxa"/>
              <w:bottom w:w="0" w:type="dxa"/>
              <w:right w:w="15" w:type="dxa"/>
            </w:tcMar>
            <w:vAlign w:val="center"/>
            <w:hideMark/>
          </w:tcPr>
          <w:p w14:paraId="1F0FCC41"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$1,400,000</w:t>
            </w:r>
          </w:p>
        </w:tc>
      </w:tr>
      <w:tr w:rsidR="003E5907" w:rsidRPr="00652AA2" w14:paraId="722BE528" w14:textId="77777777" w:rsidTr="00CF2C5B">
        <w:trPr>
          <w:trHeight w:val="675"/>
        </w:trPr>
        <w:tc>
          <w:tcPr>
            <w:tcW w:w="794" w:type="pct"/>
            <w:shd w:val="clear" w:color="auto" w:fill="auto"/>
            <w:tcMar>
              <w:top w:w="15" w:type="dxa"/>
              <w:left w:w="15" w:type="dxa"/>
              <w:bottom w:w="0" w:type="dxa"/>
              <w:right w:w="15" w:type="dxa"/>
            </w:tcMar>
            <w:vAlign w:val="center"/>
            <w:hideMark/>
          </w:tcPr>
          <w:p w14:paraId="0AE61BA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38C006B9" w14:textId="51C3798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Cerebral Palsy Alliance (NSW)</w:t>
            </w:r>
          </w:p>
        </w:tc>
        <w:tc>
          <w:tcPr>
            <w:tcW w:w="2382" w:type="pct"/>
            <w:shd w:val="clear" w:color="auto" w:fill="auto"/>
            <w:tcMar>
              <w:top w:w="15" w:type="dxa"/>
              <w:left w:w="15" w:type="dxa"/>
              <w:bottom w:w="0" w:type="dxa"/>
              <w:right w:w="15" w:type="dxa"/>
            </w:tcMar>
            <w:vAlign w:val="center"/>
            <w:hideMark/>
          </w:tcPr>
          <w:p w14:paraId="39CEC95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Funding to drive research to support the treatment of Cerebral Palsy sponsored by the Cerebral Palsy Alliance. Includes a clinical trial to test the validity of the TheraSuit conducted by the Hudson Medical Research Institute.</w:t>
            </w:r>
          </w:p>
        </w:tc>
        <w:tc>
          <w:tcPr>
            <w:tcW w:w="694" w:type="pct"/>
            <w:shd w:val="clear" w:color="auto" w:fill="auto"/>
            <w:tcMar>
              <w:top w:w="15" w:type="dxa"/>
              <w:left w:w="15" w:type="dxa"/>
              <w:bottom w:w="0" w:type="dxa"/>
              <w:right w:w="15" w:type="dxa"/>
            </w:tcMar>
            <w:vAlign w:val="center"/>
            <w:hideMark/>
          </w:tcPr>
          <w:p w14:paraId="4D0FCCAD"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$2,000,000</w:t>
            </w:r>
          </w:p>
        </w:tc>
      </w:tr>
      <w:tr w:rsidR="003E5907" w:rsidRPr="00652AA2" w14:paraId="6691020E" w14:textId="77777777" w:rsidTr="00CF2C5B">
        <w:trPr>
          <w:trHeight w:val="900"/>
        </w:trPr>
        <w:tc>
          <w:tcPr>
            <w:tcW w:w="794" w:type="pct"/>
            <w:shd w:val="clear" w:color="auto" w:fill="auto"/>
            <w:tcMar>
              <w:top w:w="15" w:type="dxa"/>
              <w:left w:w="15" w:type="dxa"/>
              <w:bottom w:w="0" w:type="dxa"/>
              <w:right w:w="15" w:type="dxa"/>
            </w:tcMar>
            <w:vAlign w:val="center"/>
            <w:hideMark/>
          </w:tcPr>
          <w:p w14:paraId="1903275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29091F88" w14:textId="5A3F3D4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Cure for MND Foundation (Vic)</w:t>
            </w:r>
          </w:p>
        </w:tc>
        <w:tc>
          <w:tcPr>
            <w:tcW w:w="2382" w:type="pct"/>
            <w:shd w:val="clear" w:color="auto" w:fill="auto"/>
            <w:tcMar>
              <w:top w:w="15" w:type="dxa"/>
              <w:left w:w="15" w:type="dxa"/>
              <w:bottom w:w="0" w:type="dxa"/>
              <w:right w:w="15" w:type="dxa"/>
            </w:tcMar>
            <w:vAlign w:val="center"/>
            <w:hideMark/>
          </w:tcPr>
          <w:p w14:paraId="5E0B5F9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Extended investment via Cure4MND Foundation who previously received $2m under the MRFF Accelerated Research program in 2016-17, and prior to that $2.8m as part of a 2016 Coalition Election Commitment. Investment will support clinical trials and related research activities and project continuity.</w:t>
            </w:r>
          </w:p>
        </w:tc>
        <w:tc>
          <w:tcPr>
            <w:tcW w:w="694" w:type="pct"/>
            <w:shd w:val="clear" w:color="auto" w:fill="auto"/>
            <w:tcMar>
              <w:top w:w="15" w:type="dxa"/>
              <w:left w:w="15" w:type="dxa"/>
              <w:bottom w:w="0" w:type="dxa"/>
              <w:right w:w="15" w:type="dxa"/>
            </w:tcMar>
            <w:vAlign w:val="center"/>
            <w:hideMark/>
          </w:tcPr>
          <w:p w14:paraId="755F5D73"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$6,000,000</w:t>
            </w:r>
          </w:p>
        </w:tc>
      </w:tr>
      <w:tr w:rsidR="003E5907" w:rsidRPr="00652AA2" w14:paraId="674BB406" w14:textId="77777777" w:rsidTr="00CF2C5B">
        <w:trPr>
          <w:trHeight w:val="900"/>
        </w:trPr>
        <w:tc>
          <w:tcPr>
            <w:tcW w:w="794" w:type="pct"/>
            <w:shd w:val="clear" w:color="auto" w:fill="auto"/>
            <w:tcMar>
              <w:top w:w="15" w:type="dxa"/>
              <w:left w:w="15" w:type="dxa"/>
              <w:bottom w:w="0" w:type="dxa"/>
              <w:right w:w="15" w:type="dxa"/>
            </w:tcMar>
            <w:vAlign w:val="center"/>
            <w:hideMark/>
          </w:tcPr>
          <w:p w14:paraId="6408C7E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3FE9A336" w14:textId="12BCB6C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Cure for MND Foundation (Vic)</w:t>
            </w:r>
          </w:p>
        </w:tc>
        <w:tc>
          <w:tcPr>
            <w:tcW w:w="2382" w:type="pct"/>
            <w:shd w:val="clear" w:color="auto" w:fill="auto"/>
            <w:tcMar>
              <w:top w:w="15" w:type="dxa"/>
              <w:left w:w="15" w:type="dxa"/>
              <w:bottom w:w="0" w:type="dxa"/>
              <w:right w:w="15" w:type="dxa"/>
            </w:tcMar>
            <w:vAlign w:val="center"/>
            <w:hideMark/>
          </w:tcPr>
          <w:p w14:paraId="0127349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Extended investment via Cure4MND Foundation who previously received $2m under the MRFF Accelerated Research program in 2016-17, and prior to that $2.8m as part of a 2016 Coalition Election Commitment. Investment will support clinical trials and related research activities and project continuity.</w:t>
            </w:r>
          </w:p>
        </w:tc>
        <w:tc>
          <w:tcPr>
            <w:tcW w:w="694" w:type="pct"/>
            <w:shd w:val="clear" w:color="auto" w:fill="auto"/>
            <w:noWrap/>
            <w:tcMar>
              <w:top w:w="15" w:type="dxa"/>
              <w:left w:w="15" w:type="dxa"/>
              <w:bottom w:w="0" w:type="dxa"/>
              <w:right w:w="15" w:type="dxa"/>
            </w:tcMar>
            <w:vAlign w:val="center"/>
            <w:hideMark/>
          </w:tcPr>
          <w:p w14:paraId="58198D39"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$2,156,000</w:t>
            </w:r>
          </w:p>
        </w:tc>
      </w:tr>
      <w:tr w:rsidR="003E5907" w:rsidRPr="00652AA2" w14:paraId="752EBF00" w14:textId="77777777" w:rsidTr="00CF2C5B">
        <w:trPr>
          <w:trHeight w:val="675"/>
        </w:trPr>
        <w:tc>
          <w:tcPr>
            <w:tcW w:w="794" w:type="pct"/>
            <w:shd w:val="clear" w:color="auto" w:fill="auto"/>
            <w:tcMar>
              <w:top w:w="15" w:type="dxa"/>
              <w:left w:w="15" w:type="dxa"/>
              <w:bottom w:w="0" w:type="dxa"/>
              <w:right w:w="15" w:type="dxa"/>
            </w:tcMar>
            <w:vAlign w:val="center"/>
            <w:hideMark/>
          </w:tcPr>
          <w:p w14:paraId="5E463A3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47337F35" w14:textId="7E27E4B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Epilepsy Foundation (Vic)</w:t>
            </w:r>
          </w:p>
        </w:tc>
        <w:tc>
          <w:tcPr>
            <w:tcW w:w="2382" w:type="pct"/>
            <w:shd w:val="clear" w:color="auto" w:fill="auto"/>
            <w:tcMar>
              <w:top w:w="15" w:type="dxa"/>
              <w:left w:w="15" w:type="dxa"/>
              <w:bottom w:w="0" w:type="dxa"/>
              <w:right w:w="15" w:type="dxa"/>
            </w:tcMar>
            <w:vAlign w:val="center"/>
            <w:hideMark/>
          </w:tcPr>
          <w:p w14:paraId="1DA3F57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Funding for the Epilepsy Foundation to advance research into treatments including a proof-of-concept study to demonstrate how gene therapy can correct SYNGAP mutations to be conducted by the Florey Institute.</w:t>
            </w:r>
          </w:p>
        </w:tc>
        <w:tc>
          <w:tcPr>
            <w:tcW w:w="694" w:type="pct"/>
            <w:shd w:val="clear" w:color="auto" w:fill="auto"/>
            <w:tcMar>
              <w:top w:w="15" w:type="dxa"/>
              <w:left w:w="15" w:type="dxa"/>
              <w:bottom w:w="0" w:type="dxa"/>
              <w:right w:w="15" w:type="dxa"/>
            </w:tcMar>
            <w:vAlign w:val="center"/>
            <w:hideMark/>
          </w:tcPr>
          <w:p w14:paraId="360B93B8"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$2,000,000</w:t>
            </w:r>
          </w:p>
        </w:tc>
      </w:tr>
      <w:tr w:rsidR="003E5907" w:rsidRPr="00652AA2" w14:paraId="0574F040" w14:textId="77777777" w:rsidTr="00CF2C5B">
        <w:trPr>
          <w:trHeight w:val="450"/>
        </w:trPr>
        <w:tc>
          <w:tcPr>
            <w:tcW w:w="794" w:type="pct"/>
            <w:shd w:val="clear" w:color="auto" w:fill="auto"/>
            <w:tcMar>
              <w:top w:w="15" w:type="dxa"/>
              <w:left w:w="15" w:type="dxa"/>
              <w:bottom w:w="0" w:type="dxa"/>
              <w:right w:w="15" w:type="dxa"/>
            </w:tcMar>
            <w:vAlign w:val="center"/>
            <w:hideMark/>
          </w:tcPr>
          <w:p w14:paraId="1D6255F1" w14:textId="105BA90D" w:rsidR="003E5907" w:rsidRPr="00652AA2" w:rsidRDefault="003E5907" w:rsidP="005009A8">
            <w:pPr>
              <w:spacing w:before="20" w:after="20" w:line="240" w:lineRule="auto"/>
              <w:rPr>
                <w:rFonts w:ascii="Segoe UI" w:eastAsia="Calibri" w:hAnsi="Segoe UI" w:cs="Segoe UI"/>
                <w:color w:val="000000"/>
                <w:sz w:val="17"/>
                <w:szCs w:val="17"/>
              </w:rPr>
            </w:pPr>
            <w:r>
              <w:rPr>
                <w:rFonts w:ascii="Segoe UI" w:eastAsia="Calibri" w:hAnsi="Segoe UI" w:cs="Segoe UI"/>
                <w:color w:val="000000"/>
                <w:sz w:val="17"/>
                <w:szCs w:val="17"/>
              </w:rPr>
              <w:t>Accelerated Research</w:t>
            </w:r>
            <w:r w:rsidRPr="00652AA2">
              <w:rPr>
                <w:rFonts w:ascii="Segoe UI" w:eastAsia="Calibri" w:hAnsi="Segoe UI" w:cs="Segoe UI"/>
                <w:color w:val="000000"/>
                <w:sz w:val="17"/>
                <w:szCs w:val="17"/>
              </w:rPr>
              <w:t>)</w:t>
            </w:r>
          </w:p>
        </w:tc>
        <w:tc>
          <w:tcPr>
            <w:tcW w:w="1130" w:type="pct"/>
            <w:shd w:val="clear" w:color="auto" w:fill="auto"/>
            <w:tcMar>
              <w:top w:w="15" w:type="dxa"/>
              <w:left w:w="15" w:type="dxa"/>
              <w:bottom w:w="0" w:type="dxa"/>
              <w:right w:w="15" w:type="dxa"/>
            </w:tcMar>
            <w:vAlign w:val="center"/>
            <w:hideMark/>
          </w:tcPr>
          <w:p w14:paraId="6087CA9A" w14:textId="326C5DB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Garvan Institute of Medical Research</w:t>
            </w:r>
            <w:r>
              <w:rPr>
                <w:rFonts w:ascii="Segoe UI" w:eastAsia="Calibri" w:hAnsi="Segoe UI" w:cs="Segoe UI"/>
                <w:color w:val="000000"/>
                <w:sz w:val="17"/>
                <w:szCs w:val="17"/>
              </w:rPr>
              <w:t>, through</w:t>
            </w:r>
            <w:r w:rsidRPr="00652AA2">
              <w:rPr>
                <w:rFonts w:ascii="Segoe UI" w:eastAsia="Calibri" w:hAnsi="Segoe UI" w:cs="Segoe UI"/>
                <w:color w:val="000000"/>
                <w:sz w:val="17"/>
                <w:szCs w:val="17"/>
              </w:rPr>
              <w:t xml:space="preserve"> Teencancer - Canteen (NSW)</w:t>
            </w:r>
          </w:p>
        </w:tc>
        <w:tc>
          <w:tcPr>
            <w:tcW w:w="2382" w:type="pct"/>
            <w:shd w:val="clear" w:color="auto" w:fill="auto"/>
            <w:tcMar>
              <w:top w:w="15" w:type="dxa"/>
              <w:left w:w="15" w:type="dxa"/>
              <w:bottom w:w="0" w:type="dxa"/>
              <w:right w:w="15" w:type="dxa"/>
            </w:tcMar>
            <w:vAlign w:val="center"/>
            <w:hideMark/>
          </w:tcPr>
          <w:p w14:paraId="54745DC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AYA-MoST: A Molecular Screening and Therapeutics trial for Australian Adolescents and Young Adults with advanced cancer</w:t>
            </w:r>
          </w:p>
        </w:tc>
        <w:tc>
          <w:tcPr>
            <w:tcW w:w="694" w:type="pct"/>
            <w:shd w:val="clear" w:color="auto" w:fill="auto"/>
            <w:tcMar>
              <w:top w:w="15" w:type="dxa"/>
              <w:left w:w="15" w:type="dxa"/>
              <w:bottom w:w="0" w:type="dxa"/>
              <w:right w:w="15" w:type="dxa"/>
            </w:tcMar>
            <w:vAlign w:val="center"/>
            <w:hideMark/>
          </w:tcPr>
          <w:p w14:paraId="0F3F2B83"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$950,000</w:t>
            </w:r>
          </w:p>
        </w:tc>
      </w:tr>
      <w:tr w:rsidR="003E5907" w:rsidRPr="00652AA2" w14:paraId="729CC42A" w14:textId="77777777" w:rsidTr="00CF2C5B">
        <w:trPr>
          <w:trHeight w:val="675"/>
        </w:trPr>
        <w:tc>
          <w:tcPr>
            <w:tcW w:w="794" w:type="pct"/>
            <w:shd w:val="clear" w:color="auto" w:fill="auto"/>
            <w:tcMar>
              <w:top w:w="15" w:type="dxa"/>
              <w:left w:w="15" w:type="dxa"/>
              <w:bottom w:w="0" w:type="dxa"/>
              <w:right w:w="15" w:type="dxa"/>
            </w:tcMar>
            <w:vAlign w:val="center"/>
            <w:hideMark/>
          </w:tcPr>
          <w:p w14:paraId="7231687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6C80A2CC" w14:textId="7845389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Jean Hailes Foundation (VIC)</w:t>
            </w:r>
          </w:p>
        </w:tc>
        <w:tc>
          <w:tcPr>
            <w:tcW w:w="2382" w:type="pct"/>
            <w:shd w:val="clear" w:color="auto" w:fill="auto"/>
            <w:tcMar>
              <w:top w:w="15" w:type="dxa"/>
              <w:left w:w="15" w:type="dxa"/>
              <w:bottom w:w="0" w:type="dxa"/>
              <w:right w:w="15" w:type="dxa"/>
            </w:tcMar>
            <w:vAlign w:val="center"/>
            <w:hideMark/>
          </w:tcPr>
          <w:p w14:paraId="1DF24DB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Investment to support research priorities identified under a National Endometriosis Action Plan. Research is likely to focus on the prevention and treatment of the condition. Awaiting outcome of a 19 February 2018 Endometriosis Roundtable to better understand priorities for investment.</w:t>
            </w:r>
          </w:p>
        </w:tc>
        <w:tc>
          <w:tcPr>
            <w:tcW w:w="694" w:type="pct"/>
            <w:shd w:val="clear" w:color="auto" w:fill="auto"/>
            <w:tcMar>
              <w:top w:w="15" w:type="dxa"/>
              <w:left w:w="15" w:type="dxa"/>
              <w:bottom w:w="0" w:type="dxa"/>
              <w:right w:w="15" w:type="dxa"/>
            </w:tcMar>
            <w:vAlign w:val="center"/>
            <w:hideMark/>
          </w:tcPr>
          <w:p w14:paraId="739D3F92"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$2,500,000</w:t>
            </w:r>
          </w:p>
        </w:tc>
      </w:tr>
      <w:tr w:rsidR="003E5907" w:rsidRPr="00652AA2" w14:paraId="04595EBD" w14:textId="77777777" w:rsidTr="00CF2C5B">
        <w:trPr>
          <w:trHeight w:val="903"/>
        </w:trPr>
        <w:tc>
          <w:tcPr>
            <w:tcW w:w="794" w:type="pct"/>
            <w:shd w:val="clear" w:color="auto" w:fill="auto"/>
            <w:tcMar>
              <w:top w:w="15" w:type="dxa"/>
              <w:left w:w="15" w:type="dxa"/>
              <w:bottom w:w="0" w:type="dxa"/>
              <w:right w:w="15" w:type="dxa"/>
            </w:tcMar>
            <w:vAlign w:val="center"/>
            <w:hideMark/>
          </w:tcPr>
          <w:p w14:paraId="031E707A" w14:textId="246CD898" w:rsidR="003E5907" w:rsidRPr="00652AA2" w:rsidRDefault="003E5907" w:rsidP="005009A8">
            <w:pPr>
              <w:spacing w:before="20" w:after="20" w:line="240" w:lineRule="auto"/>
              <w:rPr>
                <w:rFonts w:ascii="Segoe UI" w:eastAsia="Calibri" w:hAnsi="Segoe UI" w:cs="Segoe UI"/>
                <w:color w:val="000000"/>
                <w:sz w:val="17"/>
                <w:szCs w:val="17"/>
              </w:rPr>
            </w:pPr>
            <w:r>
              <w:rPr>
                <w:rFonts w:ascii="Segoe UI" w:eastAsia="Calibri" w:hAnsi="Segoe UI" w:cs="Segoe UI"/>
                <w:color w:val="000000"/>
                <w:sz w:val="17"/>
                <w:szCs w:val="17"/>
              </w:rPr>
              <w:t>Accelerated Research</w:t>
            </w:r>
          </w:p>
        </w:tc>
        <w:tc>
          <w:tcPr>
            <w:tcW w:w="1130" w:type="pct"/>
            <w:shd w:val="clear" w:color="auto" w:fill="auto"/>
            <w:tcMar>
              <w:top w:w="15" w:type="dxa"/>
              <w:left w:w="15" w:type="dxa"/>
              <w:bottom w:w="0" w:type="dxa"/>
              <w:right w:w="15" w:type="dxa"/>
            </w:tcMar>
            <w:vAlign w:val="center"/>
            <w:hideMark/>
          </w:tcPr>
          <w:p w14:paraId="41CDBD7B" w14:textId="5AF7911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Kids Cancer Centre, Sydney Children’s Hospital Sydney</w:t>
            </w:r>
            <w:r>
              <w:rPr>
                <w:rFonts w:ascii="Segoe UI" w:eastAsia="Calibri" w:hAnsi="Segoe UI" w:cs="Segoe UI"/>
                <w:color w:val="000000"/>
                <w:sz w:val="17"/>
                <w:szCs w:val="17"/>
              </w:rPr>
              <w:t>, through</w:t>
            </w:r>
            <w:r w:rsidRPr="00652AA2">
              <w:rPr>
                <w:rFonts w:ascii="Segoe UI" w:eastAsia="Calibri" w:hAnsi="Segoe UI" w:cs="Segoe UI"/>
                <w:color w:val="000000"/>
                <w:sz w:val="17"/>
                <w:szCs w:val="17"/>
              </w:rPr>
              <w:t xml:space="preserve"> Teencancer - Canteen (NSW)</w:t>
            </w:r>
          </w:p>
        </w:tc>
        <w:tc>
          <w:tcPr>
            <w:tcW w:w="2382" w:type="pct"/>
            <w:shd w:val="clear" w:color="auto" w:fill="auto"/>
            <w:tcMar>
              <w:top w:w="15" w:type="dxa"/>
              <w:left w:w="15" w:type="dxa"/>
              <w:bottom w:w="0" w:type="dxa"/>
              <w:right w:w="15" w:type="dxa"/>
            </w:tcMar>
            <w:vAlign w:val="center"/>
            <w:hideMark/>
          </w:tcPr>
          <w:p w14:paraId="0CEAE44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Personalised targeted therapy for adolescent and young adult medulloblastoma patients</w:t>
            </w:r>
          </w:p>
        </w:tc>
        <w:tc>
          <w:tcPr>
            <w:tcW w:w="694" w:type="pct"/>
            <w:shd w:val="clear" w:color="auto" w:fill="auto"/>
            <w:tcMar>
              <w:top w:w="15" w:type="dxa"/>
              <w:left w:w="15" w:type="dxa"/>
              <w:bottom w:w="0" w:type="dxa"/>
              <w:right w:w="15" w:type="dxa"/>
            </w:tcMar>
            <w:vAlign w:val="center"/>
            <w:hideMark/>
          </w:tcPr>
          <w:p w14:paraId="2A43C13F"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$964,883</w:t>
            </w:r>
          </w:p>
        </w:tc>
      </w:tr>
      <w:tr w:rsidR="003E5907" w:rsidRPr="00652AA2" w14:paraId="4510A151" w14:textId="77777777" w:rsidTr="00CF2C5B">
        <w:trPr>
          <w:trHeight w:val="450"/>
        </w:trPr>
        <w:tc>
          <w:tcPr>
            <w:tcW w:w="794" w:type="pct"/>
            <w:shd w:val="clear" w:color="auto" w:fill="auto"/>
            <w:tcMar>
              <w:top w:w="15" w:type="dxa"/>
              <w:left w:w="15" w:type="dxa"/>
              <w:bottom w:w="0" w:type="dxa"/>
              <w:right w:w="15" w:type="dxa"/>
            </w:tcMar>
            <w:vAlign w:val="center"/>
            <w:hideMark/>
          </w:tcPr>
          <w:p w14:paraId="73942BC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165FAD09" w14:textId="282BBBF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Movember Foundation (VIC)</w:t>
            </w:r>
          </w:p>
        </w:tc>
        <w:tc>
          <w:tcPr>
            <w:tcW w:w="2382" w:type="pct"/>
            <w:shd w:val="clear" w:color="auto" w:fill="auto"/>
            <w:tcMar>
              <w:top w:w="15" w:type="dxa"/>
              <w:left w:w="15" w:type="dxa"/>
              <w:bottom w:w="0" w:type="dxa"/>
              <w:right w:w="15" w:type="dxa"/>
            </w:tcMar>
            <w:vAlign w:val="center"/>
            <w:hideMark/>
          </w:tcPr>
          <w:p w14:paraId="6F7DF9F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Australian Prostate Cancer Research Centres will be funded to build prostate cancer research capacity in Australia.</w:t>
            </w:r>
          </w:p>
        </w:tc>
        <w:tc>
          <w:tcPr>
            <w:tcW w:w="694" w:type="pct"/>
            <w:shd w:val="clear" w:color="auto" w:fill="auto"/>
            <w:tcMar>
              <w:top w:w="15" w:type="dxa"/>
              <w:left w:w="15" w:type="dxa"/>
              <w:bottom w:w="0" w:type="dxa"/>
              <w:right w:w="15" w:type="dxa"/>
            </w:tcMar>
            <w:vAlign w:val="center"/>
            <w:hideMark/>
          </w:tcPr>
          <w:p w14:paraId="4EEBBF24"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$6,000,000</w:t>
            </w:r>
          </w:p>
        </w:tc>
      </w:tr>
      <w:tr w:rsidR="003E5907" w:rsidRPr="00652AA2" w14:paraId="7A32584F" w14:textId="77777777" w:rsidTr="00CF2C5B">
        <w:trPr>
          <w:trHeight w:val="450"/>
        </w:trPr>
        <w:tc>
          <w:tcPr>
            <w:tcW w:w="794" w:type="pct"/>
            <w:shd w:val="clear" w:color="auto" w:fill="auto"/>
            <w:tcMar>
              <w:top w:w="15" w:type="dxa"/>
              <w:left w:w="15" w:type="dxa"/>
              <w:bottom w:w="0" w:type="dxa"/>
              <w:right w:w="15" w:type="dxa"/>
            </w:tcMar>
            <w:vAlign w:val="center"/>
            <w:hideMark/>
          </w:tcPr>
          <w:p w14:paraId="2A098714" w14:textId="20096321" w:rsidR="003E5907" w:rsidRPr="00652AA2" w:rsidRDefault="003E5907" w:rsidP="005009A8">
            <w:pPr>
              <w:spacing w:before="20" w:after="20" w:line="240" w:lineRule="auto"/>
              <w:rPr>
                <w:rFonts w:ascii="Segoe UI" w:eastAsia="Calibri" w:hAnsi="Segoe UI" w:cs="Segoe UI"/>
                <w:color w:val="000000"/>
                <w:sz w:val="17"/>
                <w:szCs w:val="17"/>
              </w:rPr>
            </w:pPr>
            <w:r>
              <w:rPr>
                <w:rFonts w:ascii="Segoe UI" w:eastAsia="Calibri" w:hAnsi="Segoe UI" w:cs="Segoe UI"/>
                <w:color w:val="000000"/>
                <w:sz w:val="17"/>
                <w:szCs w:val="17"/>
              </w:rPr>
              <w:t>Accelerated Research</w:t>
            </w:r>
          </w:p>
        </w:tc>
        <w:tc>
          <w:tcPr>
            <w:tcW w:w="1130" w:type="pct"/>
            <w:shd w:val="clear" w:color="auto" w:fill="auto"/>
            <w:tcMar>
              <w:top w:w="15" w:type="dxa"/>
              <w:left w:w="15" w:type="dxa"/>
              <w:bottom w:w="0" w:type="dxa"/>
              <w:right w:w="15" w:type="dxa"/>
            </w:tcMar>
            <w:vAlign w:val="center"/>
            <w:hideMark/>
          </w:tcPr>
          <w:p w14:paraId="4A8FDE43" w14:textId="3171449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Peter MacCallum Cancer Centre Victoria Australasian Sarcoma Study Group</w:t>
            </w:r>
            <w:r>
              <w:rPr>
                <w:rFonts w:ascii="Segoe UI" w:eastAsia="Calibri" w:hAnsi="Segoe UI" w:cs="Segoe UI"/>
                <w:color w:val="000000"/>
                <w:sz w:val="17"/>
                <w:szCs w:val="17"/>
              </w:rPr>
              <w:t>, through</w:t>
            </w:r>
            <w:r w:rsidRPr="00652AA2">
              <w:rPr>
                <w:rFonts w:ascii="Segoe UI" w:eastAsia="Calibri" w:hAnsi="Segoe UI" w:cs="Segoe UI"/>
                <w:color w:val="000000"/>
                <w:sz w:val="17"/>
                <w:szCs w:val="17"/>
              </w:rPr>
              <w:t xml:space="preserve"> Teencancer - Canteen (NSW)</w:t>
            </w:r>
          </w:p>
        </w:tc>
        <w:tc>
          <w:tcPr>
            <w:tcW w:w="2382" w:type="pct"/>
            <w:shd w:val="clear" w:color="auto" w:fill="auto"/>
            <w:tcMar>
              <w:top w:w="15" w:type="dxa"/>
              <w:left w:w="15" w:type="dxa"/>
              <w:bottom w:w="0" w:type="dxa"/>
              <w:right w:w="15" w:type="dxa"/>
            </w:tcMar>
            <w:vAlign w:val="center"/>
            <w:hideMark/>
          </w:tcPr>
          <w:p w14:paraId="0C4E7B9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Ewing Sarcoma Clinical Trials Programme in AYA Population</w:t>
            </w:r>
          </w:p>
        </w:tc>
        <w:tc>
          <w:tcPr>
            <w:tcW w:w="694" w:type="pct"/>
            <w:shd w:val="clear" w:color="auto" w:fill="auto"/>
            <w:tcMar>
              <w:top w:w="15" w:type="dxa"/>
              <w:left w:w="15" w:type="dxa"/>
              <w:bottom w:w="0" w:type="dxa"/>
              <w:right w:w="15" w:type="dxa"/>
            </w:tcMar>
            <w:vAlign w:val="center"/>
            <w:hideMark/>
          </w:tcPr>
          <w:p w14:paraId="39E7519A"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$930,000</w:t>
            </w:r>
          </w:p>
        </w:tc>
      </w:tr>
      <w:tr w:rsidR="003E5907" w:rsidRPr="00652AA2" w14:paraId="52A7B744" w14:textId="77777777" w:rsidTr="00CF2C5B">
        <w:trPr>
          <w:trHeight w:val="675"/>
        </w:trPr>
        <w:tc>
          <w:tcPr>
            <w:tcW w:w="794" w:type="pct"/>
            <w:shd w:val="clear" w:color="auto" w:fill="auto"/>
            <w:tcMar>
              <w:top w:w="15" w:type="dxa"/>
              <w:left w:w="15" w:type="dxa"/>
              <w:bottom w:w="0" w:type="dxa"/>
              <w:right w:w="15" w:type="dxa"/>
            </w:tcMar>
            <w:vAlign w:val="center"/>
            <w:hideMark/>
          </w:tcPr>
          <w:p w14:paraId="7872C6F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lastRenderedPageBreak/>
              <w:t xml:space="preserve">Accelerated Research </w:t>
            </w:r>
          </w:p>
        </w:tc>
        <w:tc>
          <w:tcPr>
            <w:tcW w:w="1130" w:type="pct"/>
            <w:shd w:val="clear" w:color="auto" w:fill="auto"/>
            <w:tcMar>
              <w:top w:w="15" w:type="dxa"/>
              <w:left w:w="15" w:type="dxa"/>
              <w:bottom w:w="0" w:type="dxa"/>
              <w:right w:w="15" w:type="dxa"/>
            </w:tcMar>
            <w:vAlign w:val="center"/>
            <w:hideMark/>
          </w:tcPr>
          <w:p w14:paraId="6647935F" w14:textId="2D2CC58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Stem Cells Australia (VIC)</w:t>
            </w:r>
          </w:p>
        </w:tc>
        <w:tc>
          <w:tcPr>
            <w:tcW w:w="2382" w:type="pct"/>
            <w:shd w:val="clear" w:color="auto" w:fill="auto"/>
            <w:tcMar>
              <w:top w:w="15" w:type="dxa"/>
              <w:left w:w="15" w:type="dxa"/>
              <w:bottom w:w="0" w:type="dxa"/>
              <w:right w:w="15" w:type="dxa"/>
            </w:tcMar>
            <w:vAlign w:val="center"/>
            <w:hideMark/>
          </w:tcPr>
          <w:p w14:paraId="62ED92C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Investment in important research projects in the stem cell / generative medicine space where Stem Cells Australia is providing a filter in terms of evaluation of scientific merit and ensuring the appropriate use of the funds.</w:t>
            </w:r>
          </w:p>
        </w:tc>
        <w:tc>
          <w:tcPr>
            <w:tcW w:w="694" w:type="pct"/>
            <w:shd w:val="clear" w:color="auto" w:fill="auto"/>
            <w:tcMar>
              <w:top w:w="15" w:type="dxa"/>
              <w:left w:w="15" w:type="dxa"/>
              <w:bottom w:w="0" w:type="dxa"/>
              <w:right w:w="15" w:type="dxa"/>
            </w:tcMar>
            <w:vAlign w:val="center"/>
            <w:hideMark/>
          </w:tcPr>
          <w:p w14:paraId="4F24D261"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$3,000,000</w:t>
            </w:r>
          </w:p>
        </w:tc>
      </w:tr>
      <w:tr w:rsidR="003E5907" w:rsidRPr="00652AA2" w14:paraId="339D6BCC" w14:textId="77777777" w:rsidTr="00CF2C5B">
        <w:trPr>
          <w:trHeight w:val="675"/>
        </w:trPr>
        <w:tc>
          <w:tcPr>
            <w:tcW w:w="794" w:type="pct"/>
            <w:shd w:val="clear" w:color="auto" w:fill="auto"/>
            <w:tcMar>
              <w:top w:w="15" w:type="dxa"/>
              <w:left w:w="15" w:type="dxa"/>
              <w:bottom w:w="0" w:type="dxa"/>
              <w:right w:w="15" w:type="dxa"/>
            </w:tcMar>
            <w:vAlign w:val="center"/>
            <w:hideMark/>
          </w:tcPr>
          <w:p w14:paraId="072E985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8401CD">
              <w:rPr>
                <w:rFonts w:ascii="Segoe UI" w:eastAsia="Calibri" w:hAnsi="Segoe UI" w:cs="Segoe UI"/>
                <w:color w:val="000000"/>
                <w:sz w:val="17"/>
                <w:szCs w:val="17"/>
              </w:rPr>
              <w:t xml:space="preserve">Accelerated Research </w:t>
            </w:r>
          </w:p>
        </w:tc>
        <w:tc>
          <w:tcPr>
            <w:tcW w:w="1130" w:type="pct"/>
            <w:shd w:val="clear" w:color="auto" w:fill="auto"/>
            <w:tcMar>
              <w:top w:w="15" w:type="dxa"/>
              <w:left w:w="15" w:type="dxa"/>
              <w:bottom w:w="0" w:type="dxa"/>
              <w:right w:w="15" w:type="dxa"/>
            </w:tcMar>
            <w:vAlign w:val="center"/>
            <w:hideMark/>
          </w:tcPr>
          <w:p w14:paraId="219776B6" w14:textId="47DDB3F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Stroke Foundation (Vic)</w:t>
            </w:r>
          </w:p>
        </w:tc>
        <w:tc>
          <w:tcPr>
            <w:tcW w:w="2382" w:type="pct"/>
            <w:shd w:val="clear" w:color="auto" w:fill="auto"/>
            <w:tcMar>
              <w:top w:w="15" w:type="dxa"/>
              <w:left w:w="15" w:type="dxa"/>
              <w:bottom w:w="0" w:type="dxa"/>
              <w:right w:w="15" w:type="dxa"/>
            </w:tcMar>
            <w:vAlign w:val="center"/>
            <w:hideMark/>
          </w:tcPr>
          <w:p w14:paraId="4AB1D89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Funding is being utilised to develop the Australia Living Guidelines for Stroke Management and a targeted clinical research investment in stroke recovery for young survivors titled "return to life, return to work".</w:t>
            </w:r>
          </w:p>
        </w:tc>
        <w:tc>
          <w:tcPr>
            <w:tcW w:w="694" w:type="pct"/>
            <w:shd w:val="clear" w:color="auto" w:fill="auto"/>
            <w:tcMar>
              <w:top w:w="15" w:type="dxa"/>
              <w:left w:w="15" w:type="dxa"/>
              <w:bottom w:w="0" w:type="dxa"/>
              <w:right w:w="15" w:type="dxa"/>
            </w:tcMar>
            <w:vAlign w:val="center"/>
            <w:hideMark/>
          </w:tcPr>
          <w:p w14:paraId="23CE1236"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$2,500,000</w:t>
            </w:r>
          </w:p>
        </w:tc>
      </w:tr>
      <w:tr w:rsidR="003E5907" w:rsidRPr="00652AA2" w14:paraId="4FDD6CD2" w14:textId="77777777" w:rsidTr="00CF2C5B">
        <w:trPr>
          <w:trHeight w:val="450"/>
        </w:trPr>
        <w:tc>
          <w:tcPr>
            <w:tcW w:w="794" w:type="pct"/>
            <w:shd w:val="clear" w:color="auto" w:fill="auto"/>
            <w:tcMar>
              <w:top w:w="15" w:type="dxa"/>
              <w:left w:w="15" w:type="dxa"/>
              <w:bottom w:w="0" w:type="dxa"/>
              <w:right w:w="15" w:type="dxa"/>
            </w:tcMar>
            <w:vAlign w:val="center"/>
            <w:hideMark/>
          </w:tcPr>
          <w:p w14:paraId="393D443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Brain Cancer Mission</w:t>
            </w:r>
          </w:p>
        </w:tc>
        <w:tc>
          <w:tcPr>
            <w:tcW w:w="1130" w:type="pct"/>
            <w:shd w:val="clear" w:color="auto" w:fill="auto"/>
            <w:tcMar>
              <w:top w:w="15" w:type="dxa"/>
              <w:left w:w="15" w:type="dxa"/>
              <w:bottom w:w="0" w:type="dxa"/>
              <w:right w:w="15" w:type="dxa"/>
            </w:tcMar>
            <w:vAlign w:val="center"/>
            <w:hideMark/>
          </w:tcPr>
          <w:p w14:paraId="7E6E6996" w14:textId="1EDE598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6CD5928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Zero Childhood Cancer - Personalised medicine program for children who have less than a 30% 5 year survival rate</w:t>
            </w:r>
          </w:p>
        </w:tc>
        <w:tc>
          <w:tcPr>
            <w:tcW w:w="694" w:type="pct"/>
            <w:shd w:val="clear" w:color="auto" w:fill="auto"/>
            <w:tcMar>
              <w:top w:w="15" w:type="dxa"/>
              <w:left w:w="15" w:type="dxa"/>
              <w:bottom w:w="0" w:type="dxa"/>
              <w:right w:w="15" w:type="dxa"/>
            </w:tcMar>
            <w:vAlign w:val="center"/>
            <w:hideMark/>
          </w:tcPr>
          <w:p w14:paraId="5862582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$5,002,023</w:t>
            </w:r>
          </w:p>
        </w:tc>
      </w:tr>
      <w:tr w:rsidR="003E5907" w:rsidRPr="00652AA2" w14:paraId="25B8BF7F" w14:textId="77777777" w:rsidTr="00CF2C5B">
        <w:trPr>
          <w:trHeight w:val="300"/>
        </w:trPr>
        <w:tc>
          <w:tcPr>
            <w:tcW w:w="794" w:type="pct"/>
            <w:shd w:val="clear" w:color="auto" w:fill="auto"/>
            <w:tcMar>
              <w:top w:w="15" w:type="dxa"/>
              <w:left w:w="15" w:type="dxa"/>
              <w:bottom w:w="0" w:type="dxa"/>
              <w:right w:w="15" w:type="dxa"/>
            </w:tcMar>
            <w:vAlign w:val="center"/>
            <w:hideMark/>
          </w:tcPr>
          <w:p w14:paraId="7CA4902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Brain Cancer Mission</w:t>
            </w:r>
          </w:p>
        </w:tc>
        <w:tc>
          <w:tcPr>
            <w:tcW w:w="1130" w:type="pct"/>
            <w:shd w:val="clear" w:color="auto" w:fill="auto"/>
            <w:tcMar>
              <w:top w:w="15" w:type="dxa"/>
              <w:left w:w="15" w:type="dxa"/>
              <w:bottom w:w="0" w:type="dxa"/>
              <w:right w:w="15" w:type="dxa"/>
            </w:tcMar>
            <w:vAlign w:val="center"/>
            <w:hideMark/>
          </w:tcPr>
          <w:p w14:paraId="503AF62B" w14:textId="2A51565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0102ACE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Cooperative Trials Group for Neuro-Oncology</w:t>
            </w:r>
          </w:p>
        </w:tc>
        <w:tc>
          <w:tcPr>
            <w:tcW w:w="694" w:type="pct"/>
            <w:shd w:val="clear" w:color="auto" w:fill="auto"/>
            <w:tcMar>
              <w:top w:w="15" w:type="dxa"/>
              <w:left w:w="15" w:type="dxa"/>
              <w:bottom w:w="0" w:type="dxa"/>
              <w:right w:w="15" w:type="dxa"/>
            </w:tcMar>
            <w:vAlign w:val="center"/>
            <w:hideMark/>
          </w:tcPr>
          <w:p w14:paraId="5EB01F97"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$2,500,000</w:t>
            </w:r>
          </w:p>
        </w:tc>
      </w:tr>
      <w:tr w:rsidR="003E5907" w:rsidRPr="00652AA2" w14:paraId="55654801" w14:textId="77777777" w:rsidTr="00CF2C5B">
        <w:trPr>
          <w:trHeight w:val="300"/>
        </w:trPr>
        <w:tc>
          <w:tcPr>
            <w:tcW w:w="794" w:type="pct"/>
            <w:shd w:val="clear" w:color="auto" w:fill="auto"/>
            <w:tcMar>
              <w:top w:w="15" w:type="dxa"/>
              <w:left w:w="15" w:type="dxa"/>
              <w:bottom w:w="0" w:type="dxa"/>
              <w:right w:w="15" w:type="dxa"/>
            </w:tcMar>
            <w:vAlign w:val="center"/>
            <w:hideMark/>
          </w:tcPr>
          <w:p w14:paraId="3B972FB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Brain Cancer Mission</w:t>
            </w:r>
          </w:p>
        </w:tc>
        <w:tc>
          <w:tcPr>
            <w:tcW w:w="1130" w:type="pct"/>
            <w:shd w:val="clear" w:color="auto" w:fill="auto"/>
            <w:tcMar>
              <w:top w:w="15" w:type="dxa"/>
              <w:left w:w="15" w:type="dxa"/>
              <w:bottom w:w="0" w:type="dxa"/>
              <w:right w:w="15" w:type="dxa"/>
            </w:tcMar>
            <w:vAlign w:val="center"/>
            <w:hideMark/>
          </w:tcPr>
          <w:p w14:paraId="320DA139" w14:textId="262B1A9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4FEECE3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and New Zealand  Children's Haematology/ Oncology Group</w:t>
            </w:r>
          </w:p>
        </w:tc>
        <w:tc>
          <w:tcPr>
            <w:tcW w:w="694" w:type="pct"/>
            <w:shd w:val="clear" w:color="auto" w:fill="auto"/>
            <w:tcMar>
              <w:top w:w="15" w:type="dxa"/>
              <w:left w:w="15" w:type="dxa"/>
              <w:bottom w:w="0" w:type="dxa"/>
              <w:right w:w="15" w:type="dxa"/>
            </w:tcMar>
            <w:vAlign w:val="center"/>
            <w:hideMark/>
          </w:tcPr>
          <w:p w14:paraId="1769EAE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$2,500,000</w:t>
            </w:r>
          </w:p>
        </w:tc>
      </w:tr>
      <w:tr w:rsidR="003E5907" w:rsidRPr="00652AA2" w14:paraId="2C569BBB" w14:textId="77777777" w:rsidTr="00CF2C5B">
        <w:trPr>
          <w:trHeight w:val="450"/>
        </w:trPr>
        <w:tc>
          <w:tcPr>
            <w:tcW w:w="794" w:type="pct"/>
            <w:shd w:val="clear" w:color="auto" w:fill="auto"/>
            <w:tcMar>
              <w:top w:w="15" w:type="dxa"/>
              <w:left w:w="15" w:type="dxa"/>
              <w:bottom w:w="0" w:type="dxa"/>
              <w:right w:w="15" w:type="dxa"/>
            </w:tcMar>
            <w:vAlign w:val="center"/>
            <w:hideMark/>
          </w:tcPr>
          <w:p w14:paraId="29882F0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Biomedical Translation Bridge</w:t>
            </w:r>
          </w:p>
        </w:tc>
        <w:tc>
          <w:tcPr>
            <w:tcW w:w="1130" w:type="pct"/>
            <w:shd w:val="clear" w:color="auto" w:fill="auto"/>
            <w:tcMar>
              <w:top w:w="15" w:type="dxa"/>
              <w:left w:w="15" w:type="dxa"/>
              <w:bottom w:w="0" w:type="dxa"/>
              <w:right w:w="15" w:type="dxa"/>
            </w:tcMar>
            <w:vAlign w:val="center"/>
            <w:hideMark/>
          </w:tcPr>
          <w:p w14:paraId="6880B8CB" w14:textId="5E29D05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MTP Connect</w:t>
            </w:r>
          </w:p>
        </w:tc>
        <w:tc>
          <w:tcPr>
            <w:tcW w:w="2382" w:type="pct"/>
            <w:shd w:val="clear" w:color="auto" w:fill="auto"/>
            <w:tcMar>
              <w:top w:w="15" w:type="dxa"/>
              <w:left w:w="15" w:type="dxa"/>
              <w:bottom w:w="0" w:type="dxa"/>
              <w:right w:w="15" w:type="dxa"/>
            </w:tcMar>
            <w:vAlign w:val="center"/>
            <w:hideMark/>
          </w:tcPr>
          <w:p w14:paraId="2D3E25C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Grant awarded to MTPConnect, in partnership with BioCurate, UniQuest and the Medical Device Partnering Program.</w:t>
            </w:r>
          </w:p>
        </w:tc>
        <w:tc>
          <w:tcPr>
            <w:tcW w:w="694" w:type="pct"/>
            <w:shd w:val="clear" w:color="auto" w:fill="auto"/>
            <w:tcMar>
              <w:top w:w="15" w:type="dxa"/>
              <w:left w:w="15" w:type="dxa"/>
              <w:bottom w:w="0" w:type="dxa"/>
              <w:right w:w="15" w:type="dxa"/>
            </w:tcMar>
            <w:vAlign w:val="center"/>
            <w:hideMark/>
          </w:tcPr>
          <w:p w14:paraId="443B2711"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$22,300,000</w:t>
            </w:r>
          </w:p>
        </w:tc>
      </w:tr>
      <w:tr w:rsidR="003E5907" w:rsidRPr="00652AA2" w14:paraId="01D96534" w14:textId="77777777" w:rsidTr="00CF2C5B">
        <w:trPr>
          <w:trHeight w:val="300"/>
        </w:trPr>
        <w:tc>
          <w:tcPr>
            <w:tcW w:w="794" w:type="pct"/>
            <w:shd w:val="clear" w:color="auto" w:fill="auto"/>
            <w:tcMar>
              <w:top w:w="15" w:type="dxa"/>
              <w:left w:w="15" w:type="dxa"/>
              <w:bottom w:w="0" w:type="dxa"/>
              <w:right w:w="15" w:type="dxa"/>
            </w:tcMar>
            <w:vAlign w:val="center"/>
            <w:hideMark/>
          </w:tcPr>
          <w:p w14:paraId="11A125A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BioMedTech Horizons </w:t>
            </w:r>
          </w:p>
        </w:tc>
        <w:tc>
          <w:tcPr>
            <w:tcW w:w="1130" w:type="pct"/>
            <w:shd w:val="clear" w:color="auto" w:fill="auto"/>
            <w:tcMar>
              <w:top w:w="15" w:type="dxa"/>
              <w:left w:w="15" w:type="dxa"/>
              <w:bottom w:w="0" w:type="dxa"/>
              <w:right w:w="15" w:type="dxa"/>
            </w:tcMar>
            <w:vAlign w:val="center"/>
            <w:hideMark/>
          </w:tcPr>
          <w:p w14:paraId="6E2D8360" w14:textId="5D4A7FD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MTP Connect</w:t>
            </w:r>
          </w:p>
        </w:tc>
        <w:tc>
          <w:tcPr>
            <w:tcW w:w="2382" w:type="pct"/>
            <w:shd w:val="clear" w:color="auto" w:fill="auto"/>
            <w:tcMar>
              <w:top w:w="15" w:type="dxa"/>
              <w:left w:w="15" w:type="dxa"/>
              <w:bottom w:w="0" w:type="dxa"/>
              <w:right w:w="15" w:type="dxa"/>
            </w:tcMar>
            <w:vAlign w:val="center"/>
            <w:hideMark/>
          </w:tcPr>
          <w:p w14:paraId="6315FDA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BioMedTech Horizons </w:t>
            </w:r>
          </w:p>
        </w:tc>
        <w:tc>
          <w:tcPr>
            <w:tcW w:w="694" w:type="pct"/>
            <w:shd w:val="clear" w:color="auto" w:fill="auto"/>
            <w:tcMar>
              <w:top w:w="15" w:type="dxa"/>
              <w:left w:w="15" w:type="dxa"/>
              <w:bottom w:w="0" w:type="dxa"/>
              <w:right w:w="15" w:type="dxa"/>
            </w:tcMar>
            <w:vAlign w:val="center"/>
            <w:hideMark/>
          </w:tcPr>
          <w:p w14:paraId="5DB19CCE" w14:textId="4189D1B5" w:rsidR="003E5907" w:rsidRPr="00652AA2" w:rsidRDefault="003E5907" w:rsidP="005009A8">
            <w:pPr>
              <w:spacing w:before="20" w:after="20" w:line="240" w:lineRule="auto"/>
              <w:jc w:val="center"/>
              <w:rPr>
                <w:rFonts w:ascii="Segoe UI" w:eastAsia="Calibri" w:hAnsi="Segoe UI" w:cs="Segoe UI"/>
                <w:color w:val="000000"/>
                <w:sz w:val="17"/>
                <w:szCs w:val="17"/>
              </w:rPr>
            </w:pPr>
            <w:r>
              <w:rPr>
                <w:rFonts w:ascii="Segoe UI" w:eastAsia="Calibri" w:hAnsi="Segoe UI" w:cs="Segoe UI"/>
                <w:color w:val="000000"/>
                <w:sz w:val="17"/>
                <w:szCs w:val="17"/>
              </w:rPr>
              <w:t>$10</w:t>
            </w:r>
            <w:r w:rsidRPr="00652AA2">
              <w:rPr>
                <w:rFonts w:ascii="Segoe UI" w:eastAsia="Calibri" w:hAnsi="Segoe UI" w:cs="Segoe UI"/>
                <w:color w:val="000000"/>
                <w:sz w:val="17"/>
                <w:szCs w:val="17"/>
              </w:rPr>
              <w:t>,000,000</w:t>
            </w:r>
          </w:p>
        </w:tc>
      </w:tr>
      <w:tr w:rsidR="003E5907" w:rsidRPr="00652AA2" w14:paraId="3F9624C2" w14:textId="77777777" w:rsidTr="00CF2C5B">
        <w:trPr>
          <w:trHeight w:val="450"/>
        </w:trPr>
        <w:tc>
          <w:tcPr>
            <w:tcW w:w="794" w:type="pct"/>
            <w:shd w:val="clear" w:color="auto" w:fill="auto"/>
            <w:tcMar>
              <w:top w:w="15" w:type="dxa"/>
              <w:left w:w="15" w:type="dxa"/>
              <w:bottom w:w="0" w:type="dxa"/>
              <w:right w:w="15" w:type="dxa"/>
            </w:tcMar>
            <w:vAlign w:val="center"/>
            <w:hideMark/>
          </w:tcPr>
          <w:p w14:paraId="0C0C319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Boosting Preventive Health Research </w:t>
            </w:r>
          </w:p>
        </w:tc>
        <w:tc>
          <w:tcPr>
            <w:tcW w:w="1130" w:type="pct"/>
            <w:shd w:val="clear" w:color="auto" w:fill="auto"/>
            <w:tcMar>
              <w:top w:w="15" w:type="dxa"/>
              <w:left w:w="15" w:type="dxa"/>
              <w:bottom w:w="0" w:type="dxa"/>
              <w:right w:w="15" w:type="dxa"/>
            </w:tcMar>
            <w:vAlign w:val="center"/>
            <w:hideMark/>
          </w:tcPr>
          <w:p w14:paraId="4AD836F1" w14:textId="5441A25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Sax Institute</w:t>
            </w:r>
          </w:p>
        </w:tc>
        <w:tc>
          <w:tcPr>
            <w:tcW w:w="2382" w:type="pct"/>
            <w:shd w:val="clear" w:color="auto" w:fill="auto"/>
            <w:tcMar>
              <w:top w:w="15" w:type="dxa"/>
              <w:left w:w="15" w:type="dxa"/>
              <w:bottom w:w="0" w:type="dxa"/>
              <w:right w:w="15" w:type="dxa"/>
            </w:tcMar>
            <w:vAlign w:val="center"/>
            <w:hideMark/>
          </w:tcPr>
          <w:p w14:paraId="63C0A36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Australian Prevention Partnership Centre (TAPPC)</w:t>
            </w:r>
          </w:p>
        </w:tc>
        <w:tc>
          <w:tcPr>
            <w:tcW w:w="694" w:type="pct"/>
            <w:shd w:val="clear" w:color="auto" w:fill="auto"/>
            <w:tcMar>
              <w:top w:w="15" w:type="dxa"/>
              <w:left w:w="15" w:type="dxa"/>
              <w:bottom w:w="0" w:type="dxa"/>
              <w:right w:w="15" w:type="dxa"/>
            </w:tcMar>
            <w:vAlign w:val="center"/>
            <w:hideMark/>
          </w:tcPr>
          <w:p w14:paraId="70491AC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$10,000,000</w:t>
            </w:r>
          </w:p>
        </w:tc>
      </w:tr>
      <w:tr w:rsidR="003E5907" w:rsidRPr="00652AA2" w14:paraId="764CB156" w14:textId="77777777" w:rsidTr="00CF2C5B">
        <w:trPr>
          <w:trHeight w:val="450"/>
        </w:trPr>
        <w:tc>
          <w:tcPr>
            <w:tcW w:w="794" w:type="pct"/>
            <w:shd w:val="clear" w:color="auto" w:fill="auto"/>
            <w:tcMar>
              <w:top w:w="15" w:type="dxa"/>
              <w:left w:w="15" w:type="dxa"/>
              <w:bottom w:w="0" w:type="dxa"/>
              <w:right w:w="15" w:type="dxa"/>
            </w:tcMar>
            <w:vAlign w:val="center"/>
            <w:hideMark/>
          </w:tcPr>
          <w:p w14:paraId="7E0CEAB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Genomics Health Futures Mission</w:t>
            </w:r>
          </w:p>
        </w:tc>
        <w:tc>
          <w:tcPr>
            <w:tcW w:w="1130" w:type="pct"/>
            <w:shd w:val="clear" w:color="auto" w:fill="auto"/>
            <w:tcMar>
              <w:top w:w="15" w:type="dxa"/>
              <w:left w:w="15" w:type="dxa"/>
              <w:bottom w:w="0" w:type="dxa"/>
              <w:right w:w="15" w:type="dxa"/>
            </w:tcMar>
            <w:vAlign w:val="center"/>
            <w:hideMark/>
          </w:tcPr>
          <w:p w14:paraId="50961A58" w14:textId="2BB9F73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Murdoch Children’s Research Institute (leveraging Australian Genomics)</w:t>
            </w:r>
          </w:p>
        </w:tc>
        <w:tc>
          <w:tcPr>
            <w:tcW w:w="2382" w:type="pct"/>
            <w:shd w:val="clear" w:color="auto" w:fill="auto"/>
            <w:tcMar>
              <w:top w:w="15" w:type="dxa"/>
              <w:left w:w="15" w:type="dxa"/>
              <w:bottom w:w="0" w:type="dxa"/>
              <w:right w:w="15" w:type="dxa"/>
            </w:tcMar>
            <w:vAlign w:val="center"/>
            <w:hideMark/>
          </w:tcPr>
          <w:p w14:paraId="297D791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Mackenzie's Mission: The Australian Reproductive Carrier Screening Project</w:t>
            </w:r>
          </w:p>
        </w:tc>
        <w:tc>
          <w:tcPr>
            <w:tcW w:w="694" w:type="pct"/>
            <w:shd w:val="clear" w:color="auto" w:fill="auto"/>
            <w:tcMar>
              <w:top w:w="15" w:type="dxa"/>
              <w:left w:w="15" w:type="dxa"/>
              <w:bottom w:w="0" w:type="dxa"/>
              <w:right w:w="15" w:type="dxa"/>
            </w:tcMar>
            <w:vAlign w:val="center"/>
            <w:hideMark/>
          </w:tcPr>
          <w:p w14:paraId="4D9C0A87"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$19,982,540</w:t>
            </w:r>
          </w:p>
        </w:tc>
      </w:tr>
      <w:tr w:rsidR="003E5907" w:rsidRPr="00652AA2" w14:paraId="69024F31" w14:textId="77777777" w:rsidTr="00CF2C5B">
        <w:trPr>
          <w:trHeight w:val="450"/>
        </w:trPr>
        <w:tc>
          <w:tcPr>
            <w:tcW w:w="794" w:type="pct"/>
            <w:shd w:val="clear" w:color="auto" w:fill="auto"/>
            <w:tcMar>
              <w:top w:w="15" w:type="dxa"/>
              <w:left w:w="15" w:type="dxa"/>
              <w:bottom w:w="0" w:type="dxa"/>
              <w:right w:w="15" w:type="dxa"/>
            </w:tcMar>
            <w:vAlign w:val="center"/>
            <w:hideMark/>
          </w:tcPr>
          <w:p w14:paraId="773C175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Genomics Health Futures Mission</w:t>
            </w:r>
          </w:p>
        </w:tc>
        <w:tc>
          <w:tcPr>
            <w:tcW w:w="1130" w:type="pct"/>
            <w:shd w:val="clear" w:color="auto" w:fill="auto"/>
            <w:tcMar>
              <w:top w:w="15" w:type="dxa"/>
              <w:left w:w="15" w:type="dxa"/>
              <w:bottom w:w="0" w:type="dxa"/>
              <w:right w:w="15" w:type="dxa"/>
            </w:tcMar>
            <w:vAlign w:val="center"/>
            <w:hideMark/>
          </w:tcPr>
          <w:p w14:paraId="57586269" w14:textId="71D6101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 (administering for the Children's Medical Research Institute</w:t>
            </w:r>
          </w:p>
        </w:tc>
        <w:tc>
          <w:tcPr>
            <w:tcW w:w="2382" w:type="pct"/>
            <w:shd w:val="clear" w:color="auto" w:fill="auto"/>
            <w:tcMar>
              <w:top w:w="15" w:type="dxa"/>
              <w:left w:w="15" w:type="dxa"/>
              <w:bottom w:w="0" w:type="dxa"/>
              <w:right w:w="15" w:type="dxa"/>
            </w:tcMar>
            <w:vAlign w:val="center"/>
            <w:hideMark/>
          </w:tcPr>
          <w:p w14:paraId="74C42F1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ProCan: The human cancer proteome project</w:t>
            </w:r>
          </w:p>
        </w:tc>
        <w:tc>
          <w:tcPr>
            <w:tcW w:w="694" w:type="pct"/>
            <w:shd w:val="clear" w:color="auto" w:fill="auto"/>
            <w:tcMar>
              <w:top w:w="15" w:type="dxa"/>
              <w:left w:w="15" w:type="dxa"/>
              <w:bottom w:w="0" w:type="dxa"/>
              <w:right w:w="15" w:type="dxa"/>
            </w:tcMar>
            <w:vAlign w:val="center"/>
            <w:hideMark/>
          </w:tcPr>
          <w:p w14:paraId="254F29C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$10,700,000</w:t>
            </w:r>
          </w:p>
        </w:tc>
      </w:tr>
      <w:tr w:rsidR="003E5907" w:rsidRPr="00652AA2" w14:paraId="5EE74BD0" w14:textId="77777777" w:rsidTr="00CF2C5B">
        <w:trPr>
          <w:trHeight w:val="450"/>
        </w:trPr>
        <w:tc>
          <w:tcPr>
            <w:tcW w:w="794" w:type="pct"/>
            <w:shd w:val="clear" w:color="auto" w:fill="auto"/>
            <w:tcMar>
              <w:top w:w="15" w:type="dxa"/>
              <w:left w:w="15" w:type="dxa"/>
              <w:bottom w:w="0" w:type="dxa"/>
              <w:right w:w="15" w:type="dxa"/>
            </w:tcMar>
            <w:vAlign w:val="center"/>
            <w:hideMark/>
          </w:tcPr>
          <w:p w14:paraId="18A508D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Trials Networks</w:t>
            </w:r>
          </w:p>
        </w:tc>
        <w:tc>
          <w:tcPr>
            <w:tcW w:w="1130" w:type="pct"/>
            <w:shd w:val="clear" w:color="auto" w:fill="auto"/>
            <w:tcMar>
              <w:top w:w="15" w:type="dxa"/>
              <w:left w:w="15" w:type="dxa"/>
              <w:bottom w:w="0" w:type="dxa"/>
              <w:right w:w="15" w:type="dxa"/>
            </w:tcMar>
            <w:vAlign w:val="center"/>
            <w:hideMark/>
          </w:tcPr>
          <w:p w14:paraId="0E509ACA" w14:textId="594FA71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Clinical Trials Alliance</w:t>
            </w:r>
          </w:p>
        </w:tc>
        <w:tc>
          <w:tcPr>
            <w:tcW w:w="2382" w:type="pct"/>
            <w:shd w:val="clear" w:color="auto" w:fill="auto"/>
            <w:tcMar>
              <w:top w:w="15" w:type="dxa"/>
              <w:left w:w="15" w:type="dxa"/>
              <w:bottom w:w="0" w:type="dxa"/>
              <w:right w:w="15" w:type="dxa"/>
            </w:tcMar>
            <w:vAlign w:val="center"/>
            <w:hideMark/>
          </w:tcPr>
          <w:p w14:paraId="454EEED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Strengthening the capacity, efficiency and effectiveness of Clinical trials networks through the Australian Clinical Trial Alliance</w:t>
            </w:r>
          </w:p>
        </w:tc>
        <w:tc>
          <w:tcPr>
            <w:tcW w:w="694" w:type="pct"/>
            <w:shd w:val="clear" w:color="auto" w:fill="auto"/>
            <w:tcMar>
              <w:top w:w="15" w:type="dxa"/>
              <w:left w:w="15" w:type="dxa"/>
              <w:bottom w:w="0" w:type="dxa"/>
              <w:right w:w="15" w:type="dxa"/>
            </w:tcMar>
            <w:vAlign w:val="center"/>
            <w:hideMark/>
          </w:tcPr>
          <w:p w14:paraId="002D24BE"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$5,000,000</w:t>
            </w:r>
          </w:p>
        </w:tc>
      </w:tr>
      <w:tr w:rsidR="003E5907" w:rsidRPr="00652AA2" w14:paraId="115E4976" w14:textId="77777777" w:rsidTr="00CF2C5B">
        <w:trPr>
          <w:trHeight w:val="450"/>
        </w:trPr>
        <w:tc>
          <w:tcPr>
            <w:tcW w:w="794" w:type="pct"/>
            <w:shd w:val="clear" w:color="auto" w:fill="auto"/>
            <w:tcMar>
              <w:top w:w="15" w:type="dxa"/>
              <w:left w:w="15" w:type="dxa"/>
              <w:bottom w:w="0" w:type="dxa"/>
              <w:right w:w="15" w:type="dxa"/>
            </w:tcMar>
            <w:vAlign w:val="center"/>
            <w:hideMark/>
          </w:tcPr>
          <w:p w14:paraId="6A544CA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National Security Against Pandemic Risk</w:t>
            </w:r>
          </w:p>
        </w:tc>
        <w:tc>
          <w:tcPr>
            <w:tcW w:w="1130" w:type="pct"/>
            <w:shd w:val="clear" w:color="auto" w:fill="auto"/>
            <w:tcMar>
              <w:top w:w="15" w:type="dxa"/>
              <w:left w:w="15" w:type="dxa"/>
              <w:bottom w:w="0" w:type="dxa"/>
              <w:right w:w="15" w:type="dxa"/>
            </w:tcMar>
            <w:vAlign w:val="center"/>
            <w:hideMark/>
          </w:tcPr>
          <w:p w14:paraId="3F0D3540" w14:textId="0FC1DD2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Coalition for Epidemic Preparedness Innovations (CEPI)</w:t>
            </w:r>
          </w:p>
        </w:tc>
        <w:tc>
          <w:tcPr>
            <w:tcW w:w="2382" w:type="pct"/>
            <w:shd w:val="clear" w:color="auto" w:fill="auto"/>
            <w:tcMar>
              <w:top w:w="15" w:type="dxa"/>
              <w:left w:w="15" w:type="dxa"/>
              <w:bottom w:w="0" w:type="dxa"/>
              <w:right w:w="15" w:type="dxa"/>
            </w:tcMar>
            <w:vAlign w:val="center"/>
            <w:hideMark/>
          </w:tcPr>
          <w:p w14:paraId="78C0B3E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National Security Against Pandemic Risk project</w:t>
            </w:r>
          </w:p>
        </w:tc>
        <w:tc>
          <w:tcPr>
            <w:tcW w:w="694" w:type="pct"/>
            <w:shd w:val="clear" w:color="auto" w:fill="auto"/>
            <w:tcMar>
              <w:top w:w="15" w:type="dxa"/>
              <w:left w:w="15" w:type="dxa"/>
              <w:bottom w:w="0" w:type="dxa"/>
              <w:right w:w="15" w:type="dxa"/>
            </w:tcMar>
            <w:vAlign w:val="center"/>
            <w:hideMark/>
          </w:tcPr>
          <w:p w14:paraId="13C1EAE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$2,000,000</w:t>
            </w:r>
          </w:p>
        </w:tc>
      </w:tr>
      <w:tr w:rsidR="003E5907" w:rsidRPr="00652AA2" w14:paraId="0D789E43" w14:textId="77777777" w:rsidTr="00CF2C5B">
        <w:trPr>
          <w:trHeight w:val="450"/>
        </w:trPr>
        <w:tc>
          <w:tcPr>
            <w:tcW w:w="794" w:type="pct"/>
            <w:shd w:val="clear" w:color="auto" w:fill="auto"/>
            <w:tcMar>
              <w:top w:w="15" w:type="dxa"/>
              <w:left w:w="15" w:type="dxa"/>
              <w:bottom w:w="0" w:type="dxa"/>
              <w:right w:w="15" w:type="dxa"/>
            </w:tcMar>
            <w:vAlign w:val="center"/>
            <w:hideMark/>
          </w:tcPr>
          <w:p w14:paraId="6934F2A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Next Generation Clinical Researchers</w:t>
            </w:r>
          </w:p>
        </w:tc>
        <w:tc>
          <w:tcPr>
            <w:tcW w:w="1130" w:type="pct"/>
            <w:shd w:val="clear" w:color="auto" w:fill="auto"/>
            <w:tcMar>
              <w:top w:w="15" w:type="dxa"/>
              <w:left w:w="15" w:type="dxa"/>
              <w:bottom w:w="0" w:type="dxa"/>
              <w:right w:w="15" w:type="dxa"/>
            </w:tcMar>
            <w:vAlign w:val="center"/>
            <w:hideMark/>
          </w:tcPr>
          <w:p w14:paraId="2F4DF91D" w14:textId="7339A7D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University of Adelaide</w:t>
            </w:r>
          </w:p>
        </w:tc>
        <w:tc>
          <w:tcPr>
            <w:tcW w:w="2382" w:type="pct"/>
            <w:shd w:val="clear" w:color="auto" w:fill="auto"/>
            <w:tcMar>
              <w:top w:w="15" w:type="dxa"/>
              <w:left w:w="15" w:type="dxa"/>
              <w:bottom w:w="0" w:type="dxa"/>
              <w:right w:w="15" w:type="dxa"/>
            </w:tcMar>
            <w:vAlign w:val="center"/>
            <w:hideMark/>
          </w:tcPr>
          <w:p w14:paraId="5D5A9E7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Sleep apnea and atrial fibrillation</w:t>
            </w:r>
          </w:p>
        </w:tc>
        <w:tc>
          <w:tcPr>
            <w:tcW w:w="694" w:type="pct"/>
            <w:shd w:val="clear" w:color="auto" w:fill="auto"/>
            <w:tcMar>
              <w:top w:w="15" w:type="dxa"/>
              <w:left w:w="15" w:type="dxa"/>
              <w:bottom w:w="0" w:type="dxa"/>
              <w:right w:w="15" w:type="dxa"/>
            </w:tcMar>
            <w:vAlign w:val="center"/>
            <w:hideMark/>
          </w:tcPr>
          <w:p w14:paraId="787DCEE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34FED52C" w14:textId="77777777" w:rsidTr="00CF2C5B">
        <w:trPr>
          <w:trHeight w:val="450"/>
        </w:trPr>
        <w:tc>
          <w:tcPr>
            <w:tcW w:w="794" w:type="pct"/>
            <w:shd w:val="clear" w:color="auto" w:fill="auto"/>
            <w:tcMar>
              <w:top w:w="15" w:type="dxa"/>
              <w:left w:w="15" w:type="dxa"/>
              <w:bottom w:w="0" w:type="dxa"/>
              <w:right w:w="15" w:type="dxa"/>
            </w:tcMar>
            <w:vAlign w:val="center"/>
            <w:hideMark/>
          </w:tcPr>
          <w:p w14:paraId="675C387E" w14:textId="30AFD62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7F036E7" w14:textId="32A6ECF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Western Sydney Local Health District</w:t>
            </w:r>
          </w:p>
        </w:tc>
        <w:tc>
          <w:tcPr>
            <w:tcW w:w="2382" w:type="pct"/>
            <w:shd w:val="clear" w:color="auto" w:fill="auto"/>
            <w:tcMar>
              <w:top w:w="15" w:type="dxa"/>
              <w:left w:w="15" w:type="dxa"/>
              <w:bottom w:w="0" w:type="dxa"/>
              <w:right w:w="15" w:type="dxa"/>
            </w:tcMar>
            <w:vAlign w:val="center"/>
            <w:hideMark/>
          </w:tcPr>
          <w:p w14:paraId="357722C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Role of Non-Invasive Imaging using Speckle Tracking Echocardiography in the Identification and Treatment of Patients At Risk of Arrhythmias and Consequent Sudden Cardiac Arrest</w:t>
            </w:r>
          </w:p>
        </w:tc>
        <w:tc>
          <w:tcPr>
            <w:tcW w:w="694" w:type="pct"/>
            <w:shd w:val="clear" w:color="auto" w:fill="auto"/>
            <w:tcMar>
              <w:top w:w="15" w:type="dxa"/>
              <w:left w:w="15" w:type="dxa"/>
              <w:bottom w:w="0" w:type="dxa"/>
              <w:right w:w="15" w:type="dxa"/>
            </w:tcMar>
            <w:vAlign w:val="center"/>
            <w:hideMark/>
          </w:tcPr>
          <w:p w14:paraId="367EAEA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74135CF0" w14:textId="77777777" w:rsidTr="00CF2C5B">
        <w:trPr>
          <w:trHeight w:val="450"/>
        </w:trPr>
        <w:tc>
          <w:tcPr>
            <w:tcW w:w="794" w:type="pct"/>
            <w:shd w:val="clear" w:color="auto" w:fill="auto"/>
            <w:tcMar>
              <w:top w:w="15" w:type="dxa"/>
              <w:left w:w="15" w:type="dxa"/>
              <w:bottom w:w="0" w:type="dxa"/>
              <w:right w:w="15" w:type="dxa"/>
            </w:tcMar>
            <w:vAlign w:val="center"/>
            <w:hideMark/>
          </w:tcPr>
          <w:p w14:paraId="2F44BBA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AE08248" w14:textId="07B2B6E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University of Newcastle </w:t>
            </w:r>
          </w:p>
        </w:tc>
        <w:tc>
          <w:tcPr>
            <w:tcW w:w="2382" w:type="pct"/>
            <w:shd w:val="clear" w:color="auto" w:fill="auto"/>
            <w:tcMar>
              <w:top w:w="15" w:type="dxa"/>
              <w:left w:w="15" w:type="dxa"/>
              <w:bottom w:w="0" w:type="dxa"/>
              <w:right w:w="15" w:type="dxa"/>
            </w:tcMar>
            <w:vAlign w:val="center"/>
            <w:hideMark/>
          </w:tcPr>
          <w:p w14:paraId="11F30B5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Translation of preventive care for chronic disease risk behaviours into community mental health service delivery</w:t>
            </w:r>
          </w:p>
        </w:tc>
        <w:tc>
          <w:tcPr>
            <w:tcW w:w="694" w:type="pct"/>
            <w:shd w:val="clear" w:color="auto" w:fill="auto"/>
            <w:tcMar>
              <w:top w:w="15" w:type="dxa"/>
              <w:left w:w="15" w:type="dxa"/>
              <w:bottom w:w="0" w:type="dxa"/>
              <w:right w:w="15" w:type="dxa"/>
            </w:tcMar>
            <w:vAlign w:val="center"/>
            <w:hideMark/>
          </w:tcPr>
          <w:p w14:paraId="34066311"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03360F02" w14:textId="77777777" w:rsidTr="00CF2C5B">
        <w:trPr>
          <w:trHeight w:val="450"/>
        </w:trPr>
        <w:tc>
          <w:tcPr>
            <w:tcW w:w="794" w:type="pct"/>
            <w:shd w:val="clear" w:color="auto" w:fill="auto"/>
            <w:tcMar>
              <w:top w:w="15" w:type="dxa"/>
              <w:left w:w="15" w:type="dxa"/>
              <w:bottom w:w="0" w:type="dxa"/>
              <w:right w:w="15" w:type="dxa"/>
            </w:tcMar>
            <w:vAlign w:val="center"/>
            <w:hideMark/>
          </w:tcPr>
          <w:p w14:paraId="25E1544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06A1F33" w14:textId="6A5190A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123BBC5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Closing the evidence-practice gap with a highly innovative, patient-centred, decision-support program to guide narcotic use in chronic low back pain</w:t>
            </w:r>
          </w:p>
        </w:tc>
        <w:tc>
          <w:tcPr>
            <w:tcW w:w="694" w:type="pct"/>
            <w:shd w:val="clear" w:color="auto" w:fill="auto"/>
            <w:tcMar>
              <w:top w:w="15" w:type="dxa"/>
              <w:left w:w="15" w:type="dxa"/>
              <w:bottom w:w="0" w:type="dxa"/>
              <w:right w:w="15" w:type="dxa"/>
            </w:tcMar>
            <w:vAlign w:val="center"/>
            <w:hideMark/>
          </w:tcPr>
          <w:p w14:paraId="18B56D7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1FDF8685" w14:textId="77777777" w:rsidTr="00CF2C5B">
        <w:trPr>
          <w:trHeight w:val="450"/>
        </w:trPr>
        <w:tc>
          <w:tcPr>
            <w:tcW w:w="794" w:type="pct"/>
            <w:shd w:val="clear" w:color="auto" w:fill="auto"/>
            <w:tcMar>
              <w:top w:w="15" w:type="dxa"/>
              <w:left w:w="15" w:type="dxa"/>
              <w:bottom w:w="0" w:type="dxa"/>
              <w:right w:w="15" w:type="dxa"/>
            </w:tcMar>
            <w:vAlign w:val="center"/>
            <w:hideMark/>
          </w:tcPr>
          <w:p w14:paraId="4BEA74D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C91A0B7" w14:textId="1C987E2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79CF954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Pragmatic implementation trial to reduce evidence practice gap in chronic kidney disease and diabetes</w:t>
            </w:r>
          </w:p>
        </w:tc>
        <w:tc>
          <w:tcPr>
            <w:tcW w:w="694" w:type="pct"/>
            <w:shd w:val="clear" w:color="auto" w:fill="auto"/>
            <w:tcMar>
              <w:top w:w="15" w:type="dxa"/>
              <w:left w:w="15" w:type="dxa"/>
              <w:bottom w:w="0" w:type="dxa"/>
              <w:right w:w="15" w:type="dxa"/>
            </w:tcMar>
            <w:vAlign w:val="center"/>
            <w:hideMark/>
          </w:tcPr>
          <w:p w14:paraId="2B9F788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Pr>
                <w:rFonts w:ascii="Segoe UI" w:eastAsia="Calibri" w:hAnsi="Segoe UI" w:cs="Segoe UI"/>
                <w:color w:val="000000"/>
                <w:sz w:val="17"/>
                <w:szCs w:val="17"/>
              </w:rPr>
              <w:t>$</w:t>
            </w:r>
            <w:r w:rsidRPr="00652AA2">
              <w:rPr>
                <w:rFonts w:ascii="Segoe UI" w:eastAsia="Calibri" w:hAnsi="Segoe UI" w:cs="Segoe UI"/>
                <w:color w:val="000000"/>
                <w:sz w:val="17"/>
                <w:szCs w:val="17"/>
              </w:rPr>
              <w:t>179</w:t>
            </w:r>
            <w:r>
              <w:rPr>
                <w:rFonts w:ascii="Segoe UI" w:eastAsia="Calibri" w:hAnsi="Segoe UI" w:cs="Segoe UI"/>
                <w:color w:val="000000"/>
                <w:sz w:val="17"/>
                <w:szCs w:val="17"/>
              </w:rPr>
              <w:t>,</w:t>
            </w:r>
            <w:r w:rsidRPr="00652AA2">
              <w:rPr>
                <w:rFonts w:ascii="Segoe UI" w:eastAsia="Calibri" w:hAnsi="Segoe UI" w:cs="Segoe UI"/>
                <w:color w:val="000000"/>
                <w:sz w:val="17"/>
                <w:szCs w:val="17"/>
              </w:rPr>
              <w:t>118*</w:t>
            </w:r>
          </w:p>
        </w:tc>
      </w:tr>
      <w:tr w:rsidR="003E5907" w:rsidRPr="00652AA2" w14:paraId="397B2A22" w14:textId="77777777" w:rsidTr="00CF2C5B">
        <w:trPr>
          <w:trHeight w:val="450"/>
        </w:trPr>
        <w:tc>
          <w:tcPr>
            <w:tcW w:w="794" w:type="pct"/>
            <w:shd w:val="clear" w:color="auto" w:fill="auto"/>
            <w:tcMar>
              <w:top w:w="15" w:type="dxa"/>
              <w:left w:w="15" w:type="dxa"/>
              <w:bottom w:w="0" w:type="dxa"/>
              <w:right w:w="15" w:type="dxa"/>
            </w:tcMar>
            <w:vAlign w:val="center"/>
            <w:hideMark/>
          </w:tcPr>
          <w:p w14:paraId="5D386DF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8E05C4C" w14:textId="3582867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3241C433"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role of cortical dysfunction in Amyotrophic Lateral Sclerosis (ALS) pathophysiology</w:t>
            </w:r>
          </w:p>
        </w:tc>
        <w:tc>
          <w:tcPr>
            <w:tcW w:w="694" w:type="pct"/>
            <w:shd w:val="clear" w:color="auto" w:fill="auto"/>
            <w:tcMar>
              <w:top w:w="15" w:type="dxa"/>
              <w:left w:w="15" w:type="dxa"/>
              <w:bottom w:w="0" w:type="dxa"/>
              <w:right w:w="15" w:type="dxa"/>
            </w:tcMar>
            <w:vAlign w:val="center"/>
            <w:hideMark/>
          </w:tcPr>
          <w:p w14:paraId="2010A448"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$585,270</w:t>
            </w:r>
          </w:p>
        </w:tc>
      </w:tr>
      <w:tr w:rsidR="003E5907" w:rsidRPr="00652AA2" w14:paraId="0DF9C1EE" w14:textId="77777777" w:rsidTr="00CF2C5B">
        <w:trPr>
          <w:trHeight w:val="450"/>
        </w:trPr>
        <w:tc>
          <w:tcPr>
            <w:tcW w:w="794" w:type="pct"/>
            <w:shd w:val="clear" w:color="auto" w:fill="auto"/>
            <w:tcMar>
              <w:top w:w="15" w:type="dxa"/>
              <w:left w:w="15" w:type="dxa"/>
              <w:bottom w:w="0" w:type="dxa"/>
              <w:right w:w="15" w:type="dxa"/>
            </w:tcMar>
            <w:vAlign w:val="center"/>
            <w:hideMark/>
          </w:tcPr>
          <w:p w14:paraId="450C3B3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01494152" w14:textId="615E21C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Western Australia</w:t>
            </w:r>
          </w:p>
        </w:tc>
        <w:tc>
          <w:tcPr>
            <w:tcW w:w="2382" w:type="pct"/>
            <w:shd w:val="clear" w:color="auto" w:fill="auto"/>
            <w:tcMar>
              <w:top w:w="15" w:type="dxa"/>
              <w:left w:w="15" w:type="dxa"/>
              <w:bottom w:w="0" w:type="dxa"/>
              <w:right w:w="15" w:type="dxa"/>
            </w:tcMar>
            <w:vAlign w:val="center"/>
            <w:hideMark/>
          </w:tcPr>
          <w:p w14:paraId="725B961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Maximising health for older Australians</w:t>
            </w:r>
          </w:p>
        </w:tc>
        <w:tc>
          <w:tcPr>
            <w:tcW w:w="694" w:type="pct"/>
            <w:shd w:val="clear" w:color="auto" w:fill="auto"/>
            <w:tcMar>
              <w:top w:w="15" w:type="dxa"/>
              <w:left w:w="15" w:type="dxa"/>
              <w:bottom w:w="0" w:type="dxa"/>
              <w:right w:w="15" w:type="dxa"/>
            </w:tcMar>
            <w:vAlign w:val="center"/>
            <w:hideMark/>
          </w:tcPr>
          <w:p w14:paraId="3E98FB9E"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$585,270</w:t>
            </w:r>
          </w:p>
        </w:tc>
      </w:tr>
      <w:tr w:rsidR="003E5907" w:rsidRPr="00652AA2" w14:paraId="28253CE2" w14:textId="77777777" w:rsidTr="00CF2C5B">
        <w:trPr>
          <w:trHeight w:val="450"/>
        </w:trPr>
        <w:tc>
          <w:tcPr>
            <w:tcW w:w="794" w:type="pct"/>
            <w:shd w:val="clear" w:color="auto" w:fill="auto"/>
            <w:tcMar>
              <w:top w:w="15" w:type="dxa"/>
              <w:left w:w="15" w:type="dxa"/>
              <w:bottom w:w="0" w:type="dxa"/>
              <w:right w:w="15" w:type="dxa"/>
            </w:tcMar>
            <w:vAlign w:val="center"/>
            <w:hideMark/>
          </w:tcPr>
          <w:p w14:paraId="41917FA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lastRenderedPageBreak/>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05DB32B7" w14:textId="420B20D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Western Australia</w:t>
            </w:r>
          </w:p>
        </w:tc>
        <w:tc>
          <w:tcPr>
            <w:tcW w:w="2382" w:type="pct"/>
            <w:shd w:val="clear" w:color="auto" w:fill="auto"/>
            <w:tcMar>
              <w:top w:w="15" w:type="dxa"/>
              <w:left w:w="15" w:type="dxa"/>
              <w:bottom w:w="0" w:type="dxa"/>
              <w:right w:w="15" w:type="dxa"/>
            </w:tcMar>
            <w:vAlign w:val="center"/>
            <w:hideMark/>
          </w:tcPr>
          <w:p w14:paraId="4535526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Community-based studies of diabetes and infectious diseases</w:t>
            </w:r>
          </w:p>
        </w:tc>
        <w:tc>
          <w:tcPr>
            <w:tcW w:w="694" w:type="pct"/>
            <w:shd w:val="clear" w:color="auto" w:fill="auto"/>
            <w:tcMar>
              <w:top w:w="15" w:type="dxa"/>
              <w:left w:w="15" w:type="dxa"/>
              <w:bottom w:w="0" w:type="dxa"/>
              <w:right w:w="15" w:type="dxa"/>
            </w:tcMar>
            <w:vAlign w:val="center"/>
            <w:hideMark/>
          </w:tcPr>
          <w:p w14:paraId="29A7DF10"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$585,270</w:t>
            </w:r>
          </w:p>
        </w:tc>
      </w:tr>
      <w:tr w:rsidR="003E5907" w:rsidRPr="00652AA2" w14:paraId="528D2DD1" w14:textId="77777777" w:rsidTr="00CF2C5B">
        <w:trPr>
          <w:trHeight w:val="450"/>
        </w:trPr>
        <w:tc>
          <w:tcPr>
            <w:tcW w:w="794" w:type="pct"/>
            <w:shd w:val="clear" w:color="auto" w:fill="auto"/>
            <w:tcMar>
              <w:top w:w="15" w:type="dxa"/>
              <w:left w:w="15" w:type="dxa"/>
              <w:bottom w:w="0" w:type="dxa"/>
              <w:right w:w="15" w:type="dxa"/>
            </w:tcMar>
            <w:vAlign w:val="center"/>
            <w:hideMark/>
          </w:tcPr>
          <w:p w14:paraId="379D7C4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Next Generation Clinica</w:t>
            </w:r>
            <w:r>
              <w:rPr>
                <w:rFonts w:ascii="Segoe UI" w:eastAsia="Calibri" w:hAnsi="Segoe UI" w:cs="Segoe UI"/>
                <w:color w:val="000000"/>
                <w:sz w:val="17"/>
                <w:szCs w:val="17"/>
              </w:rPr>
              <w:t>l Researchers</w:t>
            </w:r>
          </w:p>
        </w:tc>
        <w:tc>
          <w:tcPr>
            <w:tcW w:w="1130" w:type="pct"/>
            <w:shd w:val="clear" w:color="auto" w:fill="auto"/>
            <w:tcMar>
              <w:top w:w="15" w:type="dxa"/>
              <w:left w:w="15" w:type="dxa"/>
              <w:bottom w:w="0" w:type="dxa"/>
              <w:right w:w="15" w:type="dxa"/>
            </w:tcMar>
            <w:vAlign w:val="center"/>
            <w:hideMark/>
          </w:tcPr>
          <w:p w14:paraId="2FB6536A" w14:textId="0306876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00AAE14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Personalised early detection of melanoma</w:t>
            </w:r>
          </w:p>
        </w:tc>
        <w:tc>
          <w:tcPr>
            <w:tcW w:w="694" w:type="pct"/>
            <w:shd w:val="clear" w:color="auto" w:fill="auto"/>
            <w:tcMar>
              <w:top w:w="15" w:type="dxa"/>
              <w:left w:w="15" w:type="dxa"/>
              <w:bottom w:w="0" w:type="dxa"/>
              <w:right w:w="15" w:type="dxa"/>
            </w:tcMar>
            <w:vAlign w:val="center"/>
            <w:hideMark/>
          </w:tcPr>
          <w:p w14:paraId="369022A0"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$577,189</w:t>
            </w:r>
          </w:p>
        </w:tc>
      </w:tr>
      <w:tr w:rsidR="003E5907" w:rsidRPr="00652AA2" w14:paraId="52071851" w14:textId="77777777" w:rsidTr="00CF2C5B">
        <w:trPr>
          <w:trHeight w:val="450"/>
        </w:trPr>
        <w:tc>
          <w:tcPr>
            <w:tcW w:w="794" w:type="pct"/>
            <w:shd w:val="clear" w:color="auto" w:fill="auto"/>
            <w:tcMar>
              <w:top w:w="15" w:type="dxa"/>
              <w:left w:w="15" w:type="dxa"/>
              <w:bottom w:w="0" w:type="dxa"/>
              <w:right w:w="15" w:type="dxa"/>
            </w:tcMar>
            <w:vAlign w:val="center"/>
            <w:hideMark/>
          </w:tcPr>
          <w:p w14:paraId="0D237A2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2510F73E" w14:textId="70997A4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16E9C24B"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Determinants of the outcomes from infectious diseases</w:t>
            </w:r>
          </w:p>
        </w:tc>
        <w:tc>
          <w:tcPr>
            <w:tcW w:w="694" w:type="pct"/>
            <w:shd w:val="clear" w:color="auto" w:fill="auto"/>
            <w:tcMar>
              <w:top w:w="15" w:type="dxa"/>
              <w:left w:w="15" w:type="dxa"/>
              <w:bottom w:w="0" w:type="dxa"/>
              <w:right w:w="15" w:type="dxa"/>
            </w:tcMar>
            <w:vAlign w:val="center"/>
            <w:hideMark/>
          </w:tcPr>
          <w:p w14:paraId="20CF76A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$577,189</w:t>
            </w:r>
          </w:p>
        </w:tc>
      </w:tr>
      <w:tr w:rsidR="003E5907" w:rsidRPr="00652AA2" w14:paraId="251186C3" w14:textId="77777777" w:rsidTr="00CF2C5B">
        <w:trPr>
          <w:trHeight w:val="450"/>
        </w:trPr>
        <w:tc>
          <w:tcPr>
            <w:tcW w:w="794" w:type="pct"/>
            <w:shd w:val="clear" w:color="auto" w:fill="auto"/>
            <w:tcMar>
              <w:top w:w="15" w:type="dxa"/>
              <w:left w:w="15" w:type="dxa"/>
              <w:bottom w:w="0" w:type="dxa"/>
              <w:right w:w="15" w:type="dxa"/>
            </w:tcMar>
            <w:vAlign w:val="center"/>
            <w:hideMark/>
          </w:tcPr>
          <w:p w14:paraId="753CB1BE" w14:textId="7D7CC1B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47BA974" w14:textId="1BE82E5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0720A27B"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health outcomes for disadvantaged children</w:t>
            </w:r>
          </w:p>
        </w:tc>
        <w:tc>
          <w:tcPr>
            <w:tcW w:w="694" w:type="pct"/>
            <w:shd w:val="clear" w:color="auto" w:fill="auto"/>
            <w:tcMar>
              <w:top w:w="15" w:type="dxa"/>
              <w:left w:w="15" w:type="dxa"/>
              <w:bottom w:w="0" w:type="dxa"/>
              <w:right w:w="15" w:type="dxa"/>
            </w:tcMar>
            <w:vAlign w:val="center"/>
            <w:hideMark/>
          </w:tcPr>
          <w:p w14:paraId="0A060C4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$577,189</w:t>
            </w:r>
          </w:p>
        </w:tc>
      </w:tr>
      <w:tr w:rsidR="003E5907" w:rsidRPr="00652AA2" w14:paraId="0F045976" w14:textId="77777777" w:rsidTr="00CF2C5B">
        <w:trPr>
          <w:trHeight w:val="450"/>
        </w:trPr>
        <w:tc>
          <w:tcPr>
            <w:tcW w:w="794" w:type="pct"/>
            <w:shd w:val="clear" w:color="auto" w:fill="auto"/>
            <w:tcMar>
              <w:top w:w="15" w:type="dxa"/>
              <w:left w:w="15" w:type="dxa"/>
              <w:bottom w:w="0" w:type="dxa"/>
              <w:right w:w="15" w:type="dxa"/>
            </w:tcMar>
            <w:vAlign w:val="center"/>
            <w:hideMark/>
          </w:tcPr>
          <w:p w14:paraId="2C6BBC8F" w14:textId="13F9D4F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C2D8BFF" w14:textId="429B2C6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3A608B8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Discovery to therapy implementation in acute stroke</w:t>
            </w:r>
          </w:p>
        </w:tc>
        <w:tc>
          <w:tcPr>
            <w:tcW w:w="694" w:type="pct"/>
            <w:shd w:val="clear" w:color="auto" w:fill="auto"/>
            <w:tcMar>
              <w:top w:w="15" w:type="dxa"/>
              <w:left w:w="15" w:type="dxa"/>
              <w:bottom w:w="0" w:type="dxa"/>
              <w:right w:w="15" w:type="dxa"/>
            </w:tcMar>
            <w:vAlign w:val="center"/>
            <w:hideMark/>
          </w:tcPr>
          <w:p w14:paraId="24D4B3D9"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$577,189</w:t>
            </w:r>
          </w:p>
        </w:tc>
      </w:tr>
      <w:tr w:rsidR="003E5907" w:rsidRPr="00652AA2" w14:paraId="2CE3CB7E" w14:textId="77777777" w:rsidTr="00CF2C5B">
        <w:trPr>
          <w:trHeight w:val="450"/>
        </w:trPr>
        <w:tc>
          <w:tcPr>
            <w:tcW w:w="794" w:type="pct"/>
            <w:shd w:val="clear" w:color="auto" w:fill="auto"/>
            <w:tcMar>
              <w:top w:w="15" w:type="dxa"/>
              <w:left w:w="15" w:type="dxa"/>
              <w:bottom w:w="0" w:type="dxa"/>
              <w:right w:w="15" w:type="dxa"/>
            </w:tcMar>
            <w:vAlign w:val="center"/>
            <w:hideMark/>
          </w:tcPr>
          <w:p w14:paraId="34E8BE3D" w14:textId="1FFC762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FD6F0BE" w14:textId="38A97E8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Florey Institute of Neuro-science and Mental Health</w:t>
            </w:r>
          </w:p>
        </w:tc>
        <w:tc>
          <w:tcPr>
            <w:tcW w:w="2382" w:type="pct"/>
            <w:shd w:val="clear" w:color="auto" w:fill="auto"/>
            <w:tcMar>
              <w:top w:w="15" w:type="dxa"/>
              <w:left w:w="15" w:type="dxa"/>
              <w:bottom w:w="0" w:type="dxa"/>
              <w:right w:w="15" w:type="dxa"/>
            </w:tcMar>
            <w:vAlign w:val="center"/>
            <w:hideMark/>
          </w:tcPr>
          <w:p w14:paraId="53DE86E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Mild traumatic brain injury and the risk of long-term neurodegenerative and neurobehavioural disease</w:t>
            </w:r>
          </w:p>
        </w:tc>
        <w:tc>
          <w:tcPr>
            <w:tcW w:w="694" w:type="pct"/>
            <w:shd w:val="clear" w:color="auto" w:fill="auto"/>
            <w:tcMar>
              <w:top w:w="15" w:type="dxa"/>
              <w:left w:w="15" w:type="dxa"/>
              <w:bottom w:w="0" w:type="dxa"/>
              <w:right w:w="15" w:type="dxa"/>
            </w:tcMar>
            <w:vAlign w:val="center"/>
            <w:hideMark/>
          </w:tcPr>
          <w:p w14:paraId="1AEA62FA"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$577,189</w:t>
            </w:r>
          </w:p>
        </w:tc>
      </w:tr>
      <w:tr w:rsidR="003E5907" w:rsidRPr="00652AA2" w14:paraId="0E619663" w14:textId="77777777" w:rsidTr="00CF2C5B">
        <w:trPr>
          <w:trHeight w:val="450"/>
        </w:trPr>
        <w:tc>
          <w:tcPr>
            <w:tcW w:w="794" w:type="pct"/>
            <w:shd w:val="clear" w:color="auto" w:fill="auto"/>
            <w:tcMar>
              <w:top w:w="15" w:type="dxa"/>
              <w:left w:w="15" w:type="dxa"/>
              <w:bottom w:w="0" w:type="dxa"/>
              <w:right w:w="15" w:type="dxa"/>
            </w:tcMar>
            <w:vAlign w:val="center"/>
            <w:hideMark/>
          </w:tcPr>
          <w:p w14:paraId="3A025CDE" w14:textId="6979CE6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07B17E0E" w14:textId="7E1A1AB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3F3D848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Generating and translating evidence into practice in women’s health and beyond</w:t>
            </w:r>
          </w:p>
        </w:tc>
        <w:tc>
          <w:tcPr>
            <w:tcW w:w="694" w:type="pct"/>
            <w:shd w:val="clear" w:color="auto" w:fill="auto"/>
            <w:tcMar>
              <w:top w:w="15" w:type="dxa"/>
              <w:left w:w="15" w:type="dxa"/>
              <w:bottom w:w="0" w:type="dxa"/>
              <w:right w:w="15" w:type="dxa"/>
            </w:tcMar>
            <w:vAlign w:val="center"/>
            <w:hideMark/>
          </w:tcPr>
          <w:p w14:paraId="3612E82B"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$494,733</w:t>
            </w:r>
          </w:p>
        </w:tc>
      </w:tr>
      <w:tr w:rsidR="003E5907" w:rsidRPr="00652AA2" w14:paraId="0DC452C0" w14:textId="77777777" w:rsidTr="00CF2C5B">
        <w:trPr>
          <w:trHeight w:val="450"/>
        </w:trPr>
        <w:tc>
          <w:tcPr>
            <w:tcW w:w="794" w:type="pct"/>
            <w:shd w:val="clear" w:color="auto" w:fill="auto"/>
            <w:tcMar>
              <w:top w:w="15" w:type="dxa"/>
              <w:left w:w="15" w:type="dxa"/>
              <w:bottom w:w="0" w:type="dxa"/>
              <w:right w:w="15" w:type="dxa"/>
            </w:tcMar>
            <w:vAlign w:val="center"/>
            <w:hideMark/>
          </w:tcPr>
          <w:p w14:paraId="50D3027F" w14:textId="1BB27C8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4A139442" w14:textId="3BF29AE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6C2B84CF"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Early diagnosis and treatment of lung cancer</w:t>
            </w:r>
          </w:p>
        </w:tc>
        <w:tc>
          <w:tcPr>
            <w:tcW w:w="694" w:type="pct"/>
            <w:shd w:val="clear" w:color="auto" w:fill="auto"/>
            <w:tcMar>
              <w:top w:w="15" w:type="dxa"/>
              <w:left w:w="15" w:type="dxa"/>
              <w:bottom w:w="0" w:type="dxa"/>
              <w:right w:w="15" w:type="dxa"/>
            </w:tcMar>
            <w:vAlign w:val="center"/>
            <w:hideMark/>
          </w:tcPr>
          <w:p w14:paraId="5C92FB6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$487,893</w:t>
            </w:r>
          </w:p>
        </w:tc>
      </w:tr>
      <w:tr w:rsidR="003E5907" w:rsidRPr="00652AA2" w14:paraId="5350DD49" w14:textId="77777777" w:rsidTr="00CF2C5B">
        <w:trPr>
          <w:trHeight w:val="450"/>
        </w:trPr>
        <w:tc>
          <w:tcPr>
            <w:tcW w:w="794" w:type="pct"/>
            <w:shd w:val="clear" w:color="auto" w:fill="auto"/>
            <w:tcMar>
              <w:top w:w="15" w:type="dxa"/>
              <w:left w:w="15" w:type="dxa"/>
              <w:bottom w:w="0" w:type="dxa"/>
              <w:right w:w="15" w:type="dxa"/>
            </w:tcMar>
            <w:vAlign w:val="center"/>
            <w:hideMark/>
          </w:tcPr>
          <w:p w14:paraId="3FA75489" w14:textId="573D911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1162DBDF" w14:textId="79C31F4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1899B42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national cancer outcome strategy</w:t>
            </w:r>
          </w:p>
        </w:tc>
        <w:tc>
          <w:tcPr>
            <w:tcW w:w="694" w:type="pct"/>
            <w:shd w:val="clear" w:color="auto" w:fill="auto"/>
            <w:tcMar>
              <w:top w:w="15" w:type="dxa"/>
              <w:left w:w="15" w:type="dxa"/>
              <w:bottom w:w="0" w:type="dxa"/>
              <w:right w:w="15" w:type="dxa"/>
            </w:tcMar>
            <w:vAlign w:val="center"/>
            <w:hideMark/>
          </w:tcPr>
          <w:p w14:paraId="5BA13A92"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$487,893</w:t>
            </w:r>
          </w:p>
        </w:tc>
      </w:tr>
      <w:tr w:rsidR="003E5907" w:rsidRPr="00652AA2" w14:paraId="270AF9B0" w14:textId="77777777" w:rsidTr="00CF2C5B">
        <w:trPr>
          <w:trHeight w:val="450"/>
        </w:trPr>
        <w:tc>
          <w:tcPr>
            <w:tcW w:w="794" w:type="pct"/>
            <w:shd w:val="clear" w:color="auto" w:fill="auto"/>
            <w:tcMar>
              <w:top w:w="15" w:type="dxa"/>
              <w:left w:w="15" w:type="dxa"/>
              <w:bottom w:w="0" w:type="dxa"/>
              <w:right w:w="15" w:type="dxa"/>
            </w:tcMar>
            <w:vAlign w:val="center"/>
            <w:hideMark/>
          </w:tcPr>
          <w:p w14:paraId="60462916" w14:textId="4D41D9A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EA31C96" w14:textId="482F81C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Baker Heart and Diabetes Institute</w:t>
            </w:r>
          </w:p>
        </w:tc>
        <w:tc>
          <w:tcPr>
            <w:tcW w:w="2382" w:type="pct"/>
            <w:shd w:val="clear" w:color="auto" w:fill="auto"/>
            <w:tcMar>
              <w:top w:w="15" w:type="dxa"/>
              <w:left w:w="15" w:type="dxa"/>
              <w:bottom w:w="0" w:type="dxa"/>
              <w:right w:w="15" w:type="dxa"/>
            </w:tcMar>
            <w:vAlign w:val="center"/>
            <w:hideMark/>
          </w:tcPr>
          <w:p w14:paraId="528CA06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Utility of novel exercise imaging to identify sub-clinical cardiovascular disease</w:t>
            </w:r>
          </w:p>
        </w:tc>
        <w:tc>
          <w:tcPr>
            <w:tcW w:w="694" w:type="pct"/>
            <w:shd w:val="clear" w:color="auto" w:fill="auto"/>
            <w:tcMar>
              <w:top w:w="15" w:type="dxa"/>
              <w:left w:w="15" w:type="dxa"/>
              <w:bottom w:w="0" w:type="dxa"/>
              <w:right w:w="15" w:type="dxa"/>
            </w:tcMar>
            <w:vAlign w:val="center"/>
            <w:hideMark/>
          </w:tcPr>
          <w:p w14:paraId="77F2574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$483,404</w:t>
            </w:r>
          </w:p>
        </w:tc>
      </w:tr>
      <w:tr w:rsidR="003E5907" w:rsidRPr="00652AA2" w14:paraId="25A94D24" w14:textId="77777777" w:rsidTr="00CF2C5B">
        <w:trPr>
          <w:trHeight w:val="450"/>
        </w:trPr>
        <w:tc>
          <w:tcPr>
            <w:tcW w:w="794" w:type="pct"/>
            <w:shd w:val="clear" w:color="auto" w:fill="auto"/>
            <w:tcMar>
              <w:top w:w="15" w:type="dxa"/>
              <w:left w:w="15" w:type="dxa"/>
              <w:bottom w:w="0" w:type="dxa"/>
              <w:right w:w="15" w:type="dxa"/>
            </w:tcMar>
            <w:vAlign w:val="center"/>
            <w:hideMark/>
          </w:tcPr>
          <w:p w14:paraId="6B19A615" w14:textId="4A90BC7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20568F7" w14:textId="5A4B3D4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Queensland University of Technology</w:t>
            </w:r>
          </w:p>
        </w:tc>
        <w:tc>
          <w:tcPr>
            <w:tcW w:w="2382" w:type="pct"/>
            <w:shd w:val="clear" w:color="auto" w:fill="auto"/>
            <w:tcMar>
              <w:top w:w="15" w:type="dxa"/>
              <w:left w:w="15" w:type="dxa"/>
              <w:bottom w:w="0" w:type="dxa"/>
              <w:right w:w="15" w:type="dxa"/>
            </w:tcMar>
            <w:vAlign w:val="center"/>
            <w:hideMark/>
          </w:tcPr>
          <w:p w14:paraId="3498B6F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Embracing digital disruption in hospitals to improve outcomes among vulnerable people</w:t>
            </w:r>
          </w:p>
        </w:tc>
        <w:tc>
          <w:tcPr>
            <w:tcW w:w="694" w:type="pct"/>
            <w:shd w:val="clear" w:color="auto" w:fill="auto"/>
            <w:tcMar>
              <w:top w:w="15" w:type="dxa"/>
              <w:left w:w="15" w:type="dxa"/>
              <w:bottom w:w="0" w:type="dxa"/>
              <w:right w:w="15" w:type="dxa"/>
            </w:tcMar>
            <w:vAlign w:val="center"/>
            <w:hideMark/>
          </w:tcPr>
          <w:p w14:paraId="61AF85B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$483,404</w:t>
            </w:r>
          </w:p>
        </w:tc>
      </w:tr>
      <w:tr w:rsidR="003E5907" w:rsidRPr="00652AA2" w14:paraId="6508F06E" w14:textId="77777777" w:rsidTr="00CF2C5B">
        <w:trPr>
          <w:trHeight w:val="450"/>
        </w:trPr>
        <w:tc>
          <w:tcPr>
            <w:tcW w:w="794" w:type="pct"/>
            <w:shd w:val="clear" w:color="auto" w:fill="auto"/>
            <w:tcMar>
              <w:top w:w="15" w:type="dxa"/>
              <w:left w:w="15" w:type="dxa"/>
              <w:bottom w:w="0" w:type="dxa"/>
              <w:right w:w="15" w:type="dxa"/>
            </w:tcMar>
            <w:vAlign w:val="center"/>
            <w:hideMark/>
          </w:tcPr>
          <w:p w14:paraId="6B01367E" w14:textId="597F6C8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28946680" w14:textId="5D278DC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La Trobe University</w:t>
            </w:r>
          </w:p>
        </w:tc>
        <w:tc>
          <w:tcPr>
            <w:tcW w:w="2382" w:type="pct"/>
            <w:shd w:val="clear" w:color="auto" w:fill="auto"/>
            <w:tcMar>
              <w:top w:w="15" w:type="dxa"/>
              <w:left w:w="15" w:type="dxa"/>
              <w:bottom w:w="0" w:type="dxa"/>
              <w:right w:w="15" w:type="dxa"/>
            </w:tcMar>
            <w:vAlign w:val="center"/>
            <w:hideMark/>
          </w:tcPr>
          <w:p w14:paraId="602D178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Development and implementation of evidence-based stroke rehabilitation</w:t>
            </w:r>
          </w:p>
        </w:tc>
        <w:tc>
          <w:tcPr>
            <w:tcW w:w="694" w:type="pct"/>
            <w:shd w:val="clear" w:color="auto" w:fill="auto"/>
            <w:tcMar>
              <w:top w:w="15" w:type="dxa"/>
              <w:left w:w="15" w:type="dxa"/>
              <w:bottom w:w="0" w:type="dxa"/>
              <w:right w:w="15" w:type="dxa"/>
            </w:tcMar>
            <w:vAlign w:val="center"/>
            <w:hideMark/>
          </w:tcPr>
          <w:p w14:paraId="3CECD73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$483,404</w:t>
            </w:r>
          </w:p>
        </w:tc>
      </w:tr>
      <w:tr w:rsidR="003E5907" w:rsidRPr="00652AA2" w14:paraId="7302AA4F" w14:textId="77777777" w:rsidTr="00CF2C5B">
        <w:trPr>
          <w:trHeight w:val="450"/>
        </w:trPr>
        <w:tc>
          <w:tcPr>
            <w:tcW w:w="794" w:type="pct"/>
            <w:shd w:val="clear" w:color="auto" w:fill="auto"/>
            <w:tcMar>
              <w:top w:w="15" w:type="dxa"/>
              <w:left w:w="15" w:type="dxa"/>
              <w:bottom w:w="0" w:type="dxa"/>
              <w:right w:w="15" w:type="dxa"/>
            </w:tcMar>
            <w:vAlign w:val="center"/>
            <w:hideMark/>
          </w:tcPr>
          <w:p w14:paraId="22FCA68C" w14:textId="27AA10A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18E02A1" w14:textId="60066D0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5007B60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Trials To Improve Outcome of Cancer Patients</w:t>
            </w:r>
          </w:p>
        </w:tc>
        <w:tc>
          <w:tcPr>
            <w:tcW w:w="694" w:type="pct"/>
            <w:shd w:val="clear" w:color="auto" w:fill="auto"/>
            <w:tcMar>
              <w:top w:w="15" w:type="dxa"/>
              <w:left w:w="15" w:type="dxa"/>
              <w:bottom w:w="0" w:type="dxa"/>
              <w:right w:w="15" w:type="dxa"/>
            </w:tcMar>
            <w:vAlign w:val="center"/>
            <w:hideMark/>
          </w:tcPr>
          <w:p w14:paraId="52DFE93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$483,404</w:t>
            </w:r>
          </w:p>
        </w:tc>
      </w:tr>
      <w:tr w:rsidR="003E5907" w:rsidRPr="00652AA2" w14:paraId="2AECBDBC" w14:textId="77777777" w:rsidTr="00CF2C5B">
        <w:trPr>
          <w:trHeight w:val="450"/>
        </w:trPr>
        <w:tc>
          <w:tcPr>
            <w:tcW w:w="794" w:type="pct"/>
            <w:shd w:val="clear" w:color="auto" w:fill="auto"/>
            <w:tcMar>
              <w:top w:w="15" w:type="dxa"/>
              <w:left w:w="15" w:type="dxa"/>
              <w:bottom w:w="0" w:type="dxa"/>
              <w:right w:w="15" w:type="dxa"/>
            </w:tcMar>
            <w:vAlign w:val="center"/>
            <w:hideMark/>
          </w:tcPr>
          <w:p w14:paraId="484C95E7" w14:textId="4A8366D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D1FACD7" w14:textId="08492F8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0336797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Precision medicine for epilepsy and beyond: from discovery to implementation and evaluation</w:t>
            </w:r>
          </w:p>
        </w:tc>
        <w:tc>
          <w:tcPr>
            <w:tcW w:w="694" w:type="pct"/>
            <w:shd w:val="clear" w:color="auto" w:fill="auto"/>
            <w:tcMar>
              <w:top w:w="15" w:type="dxa"/>
              <w:left w:w="15" w:type="dxa"/>
              <w:bottom w:w="0" w:type="dxa"/>
              <w:right w:w="15" w:type="dxa"/>
            </w:tcMar>
            <w:vAlign w:val="center"/>
            <w:hideMark/>
          </w:tcPr>
          <w:p w14:paraId="5BDF91E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$481,156</w:t>
            </w:r>
          </w:p>
        </w:tc>
      </w:tr>
      <w:tr w:rsidR="003E5907" w:rsidRPr="00652AA2" w14:paraId="15625E89" w14:textId="77777777" w:rsidTr="00CF2C5B">
        <w:trPr>
          <w:trHeight w:val="450"/>
        </w:trPr>
        <w:tc>
          <w:tcPr>
            <w:tcW w:w="794" w:type="pct"/>
            <w:shd w:val="clear" w:color="auto" w:fill="auto"/>
            <w:tcMar>
              <w:top w:w="15" w:type="dxa"/>
              <w:left w:w="15" w:type="dxa"/>
              <w:bottom w:w="0" w:type="dxa"/>
              <w:right w:w="15" w:type="dxa"/>
            </w:tcMar>
            <w:vAlign w:val="center"/>
            <w:hideMark/>
          </w:tcPr>
          <w:p w14:paraId="5737A0F9" w14:textId="6B497D9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0C275BD5" w14:textId="00B185F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5CFAB90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diagnosis, treatment and prevention of mitochondrial disease</w:t>
            </w:r>
          </w:p>
        </w:tc>
        <w:tc>
          <w:tcPr>
            <w:tcW w:w="694" w:type="pct"/>
            <w:shd w:val="clear" w:color="auto" w:fill="auto"/>
            <w:tcMar>
              <w:top w:w="15" w:type="dxa"/>
              <w:left w:w="15" w:type="dxa"/>
              <w:bottom w:w="0" w:type="dxa"/>
              <w:right w:w="15" w:type="dxa"/>
            </w:tcMar>
            <w:vAlign w:val="center"/>
            <w:hideMark/>
          </w:tcPr>
          <w:p w14:paraId="1998C8F7"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$481,156</w:t>
            </w:r>
          </w:p>
        </w:tc>
      </w:tr>
      <w:tr w:rsidR="003E5907" w:rsidRPr="00652AA2" w14:paraId="06C98ADD" w14:textId="77777777" w:rsidTr="00CF2C5B">
        <w:trPr>
          <w:trHeight w:val="450"/>
        </w:trPr>
        <w:tc>
          <w:tcPr>
            <w:tcW w:w="794" w:type="pct"/>
            <w:shd w:val="clear" w:color="auto" w:fill="auto"/>
            <w:tcMar>
              <w:top w:w="15" w:type="dxa"/>
              <w:left w:w="15" w:type="dxa"/>
              <w:bottom w:w="0" w:type="dxa"/>
              <w:right w:w="15" w:type="dxa"/>
            </w:tcMar>
            <w:vAlign w:val="center"/>
            <w:hideMark/>
          </w:tcPr>
          <w:p w14:paraId="79D16716" w14:textId="2244560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Generation </w:t>
            </w:r>
            <w:r>
              <w:rPr>
                <w:rFonts w:ascii="Segoe UI" w:eastAsia="Calibri" w:hAnsi="Segoe UI" w:cs="Segoe UI"/>
                <w:color w:val="000000"/>
                <w:sz w:val="17"/>
                <w:szCs w:val="17"/>
              </w:rPr>
              <w:t>Clinical Researchers</w:t>
            </w:r>
          </w:p>
        </w:tc>
        <w:tc>
          <w:tcPr>
            <w:tcW w:w="1130" w:type="pct"/>
            <w:shd w:val="clear" w:color="auto" w:fill="auto"/>
            <w:tcMar>
              <w:top w:w="15" w:type="dxa"/>
              <w:left w:w="15" w:type="dxa"/>
              <w:bottom w:w="0" w:type="dxa"/>
              <w:right w:w="15" w:type="dxa"/>
            </w:tcMar>
            <w:vAlign w:val="center"/>
            <w:hideMark/>
          </w:tcPr>
          <w:p w14:paraId="716CB578" w14:textId="0DA4D7C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Western Australia</w:t>
            </w:r>
          </w:p>
        </w:tc>
        <w:tc>
          <w:tcPr>
            <w:tcW w:w="2382" w:type="pct"/>
            <w:shd w:val="clear" w:color="auto" w:fill="auto"/>
            <w:tcMar>
              <w:top w:w="15" w:type="dxa"/>
              <w:left w:w="15" w:type="dxa"/>
              <w:bottom w:w="0" w:type="dxa"/>
              <w:right w:w="15" w:type="dxa"/>
            </w:tcMar>
            <w:vAlign w:val="center"/>
            <w:hideMark/>
          </w:tcPr>
          <w:p w14:paraId="727AADCF"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Translational Research on Malignant Pleural Effusion and Pleural Infection</w:t>
            </w:r>
          </w:p>
        </w:tc>
        <w:tc>
          <w:tcPr>
            <w:tcW w:w="694" w:type="pct"/>
            <w:shd w:val="clear" w:color="auto" w:fill="auto"/>
            <w:tcMar>
              <w:top w:w="15" w:type="dxa"/>
              <w:left w:w="15" w:type="dxa"/>
              <w:bottom w:w="0" w:type="dxa"/>
              <w:right w:w="15" w:type="dxa"/>
            </w:tcMar>
            <w:vAlign w:val="center"/>
            <w:hideMark/>
          </w:tcPr>
          <w:p w14:paraId="676AC9B8"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$481,156</w:t>
            </w:r>
          </w:p>
        </w:tc>
      </w:tr>
      <w:tr w:rsidR="003E5907" w:rsidRPr="00652AA2" w14:paraId="3DC6F279" w14:textId="77777777" w:rsidTr="00CF2C5B">
        <w:trPr>
          <w:trHeight w:val="450"/>
        </w:trPr>
        <w:tc>
          <w:tcPr>
            <w:tcW w:w="794" w:type="pct"/>
            <w:shd w:val="clear" w:color="auto" w:fill="auto"/>
            <w:tcMar>
              <w:top w:w="15" w:type="dxa"/>
              <w:left w:w="15" w:type="dxa"/>
              <w:bottom w:w="0" w:type="dxa"/>
              <w:right w:w="15" w:type="dxa"/>
            </w:tcMar>
            <w:vAlign w:val="center"/>
            <w:hideMark/>
          </w:tcPr>
          <w:p w14:paraId="7CE0ECCA" w14:textId="5619172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BE8FD8A" w14:textId="189FB87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1453703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Elimination of HCV as a Public Health Threat</w:t>
            </w:r>
          </w:p>
        </w:tc>
        <w:tc>
          <w:tcPr>
            <w:tcW w:w="694" w:type="pct"/>
            <w:shd w:val="clear" w:color="auto" w:fill="auto"/>
            <w:tcMar>
              <w:top w:w="15" w:type="dxa"/>
              <w:left w:w="15" w:type="dxa"/>
              <w:bottom w:w="0" w:type="dxa"/>
              <w:right w:w="15" w:type="dxa"/>
            </w:tcMar>
            <w:vAlign w:val="center"/>
            <w:hideMark/>
          </w:tcPr>
          <w:p w14:paraId="6005136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$481,156</w:t>
            </w:r>
          </w:p>
        </w:tc>
      </w:tr>
      <w:tr w:rsidR="003E5907" w:rsidRPr="00652AA2" w14:paraId="3388879A" w14:textId="77777777" w:rsidTr="00CF2C5B">
        <w:trPr>
          <w:trHeight w:val="450"/>
        </w:trPr>
        <w:tc>
          <w:tcPr>
            <w:tcW w:w="794" w:type="pct"/>
            <w:shd w:val="clear" w:color="auto" w:fill="auto"/>
            <w:tcMar>
              <w:top w:w="15" w:type="dxa"/>
              <w:left w:w="15" w:type="dxa"/>
              <w:bottom w:w="0" w:type="dxa"/>
              <w:right w:w="15" w:type="dxa"/>
            </w:tcMar>
            <w:vAlign w:val="center"/>
            <w:hideMark/>
          </w:tcPr>
          <w:p w14:paraId="1450D670" w14:textId="36AE658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C3F4F4A" w14:textId="1A5AC35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23D1CA7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Precision therapy for neurological diseases</w:t>
            </w:r>
          </w:p>
        </w:tc>
        <w:tc>
          <w:tcPr>
            <w:tcW w:w="694" w:type="pct"/>
            <w:shd w:val="clear" w:color="auto" w:fill="auto"/>
            <w:tcMar>
              <w:top w:w="15" w:type="dxa"/>
              <w:left w:w="15" w:type="dxa"/>
              <w:bottom w:w="0" w:type="dxa"/>
              <w:right w:w="15" w:type="dxa"/>
            </w:tcMar>
            <w:vAlign w:val="center"/>
            <w:hideMark/>
          </w:tcPr>
          <w:p w14:paraId="4250DF0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$476,728</w:t>
            </w:r>
          </w:p>
        </w:tc>
      </w:tr>
      <w:tr w:rsidR="003E5907" w:rsidRPr="00652AA2" w14:paraId="0FD0EBFB" w14:textId="77777777" w:rsidTr="00CF2C5B">
        <w:trPr>
          <w:trHeight w:val="450"/>
        </w:trPr>
        <w:tc>
          <w:tcPr>
            <w:tcW w:w="794" w:type="pct"/>
            <w:shd w:val="clear" w:color="auto" w:fill="auto"/>
            <w:tcMar>
              <w:top w:w="15" w:type="dxa"/>
              <w:left w:w="15" w:type="dxa"/>
              <w:bottom w:w="0" w:type="dxa"/>
              <w:right w:w="15" w:type="dxa"/>
            </w:tcMar>
            <w:vAlign w:val="center"/>
            <w:hideMark/>
          </w:tcPr>
          <w:p w14:paraId="17C6EF0C" w14:textId="63B76DB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45CD5981" w14:textId="76FC4C6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71EF81E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Decreasing unnecessary surgery for low back pain</w:t>
            </w:r>
          </w:p>
        </w:tc>
        <w:tc>
          <w:tcPr>
            <w:tcW w:w="694" w:type="pct"/>
            <w:shd w:val="clear" w:color="auto" w:fill="auto"/>
            <w:tcMar>
              <w:top w:w="15" w:type="dxa"/>
              <w:left w:w="15" w:type="dxa"/>
              <w:bottom w:w="0" w:type="dxa"/>
              <w:right w:w="15" w:type="dxa"/>
            </w:tcMar>
            <w:vAlign w:val="center"/>
            <w:hideMark/>
          </w:tcPr>
          <w:p w14:paraId="0C57652B"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$476,728</w:t>
            </w:r>
          </w:p>
        </w:tc>
      </w:tr>
      <w:tr w:rsidR="003E5907" w:rsidRPr="00652AA2" w14:paraId="518ED6D4" w14:textId="77777777" w:rsidTr="00CF2C5B">
        <w:trPr>
          <w:trHeight w:val="450"/>
        </w:trPr>
        <w:tc>
          <w:tcPr>
            <w:tcW w:w="794" w:type="pct"/>
            <w:shd w:val="clear" w:color="auto" w:fill="auto"/>
            <w:tcMar>
              <w:top w:w="15" w:type="dxa"/>
              <w:left w:w="15" w:type="dxa"/>
              <w:bottom w:w="0" w:type="dxa"/>
              <w:right w:w="15" w:type="dxa"/>
            </w:tcMar>
            <w:vAlign w:val="center"/>
            <w:hideMark/>
          </w:tcPr>
          <w:p w14:paraId="5CF9A8FD" w14:textId="1E30E29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lastRenderedPageBreak/>
              <w:t>Next Generation Clinic</w:t>
            </w:r>
            <w:r>
              <w:rPr>
                <w:rFonts w:ascii="Segoe UI" w:eastAsia="Calibri" w:hAnsi="Segoe UI" w:cs="Segoe UI"/>
                <w:color w:val="000000"/>
                <w:sz w:val="17"/>
                <w:szCs w:val="17"/>
              </w:rPr>
              <w:t>al Researchers</w:t>
            </w:r>
          </w:p>
        </w:tc>
        <w:tc>
          <w:tcPr>
            <w:tcW w:w="1130" w:type="pct"/>
            <w:shd w:val="clear" w:color="auto" w:fill="auto"/>
            <w:tcMar>
              <w:top w:w="15" w:type="dxa"/>
              <w:left w:w="15" w:type="dxa"/>
              <w:bottom w:w="0" w:type="dxa"/>
              <w:right w:w="15" w:type="dxa"/>
            </w:tcMar>
            <w:vAlign w:val="center"/>
            <w:hideMark/>
          </w:tcPr>
          <w:p w14:paraId="70D4E393" w14:textId="318B8F5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322B6D4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Cognitive Phenotyping and Personalised Treatment for Methamphetamine Addiction</w:t>
            </w:r>
          </w:p>
        </w:tc>
        <w:tc>
          <w:tcPr>
            <w:tcW w:w="694" w:type="pct"/>
            <w:shd w:val="clear" w:color="auto" w:fill="auto"/>
            <w:tcMar>
              <w:top w:w="15" w:type="dxa"/>
              <w:left w:w="15" w:type="dxa"/>
              <w:bottom w:w="0" w:type="dxa"/>
              <w:right w:w="15" w:type="dxa"/>
            </w:tcMar>
            <w:vAlign w:val="center"/>
            <w:hideMark/>
          </w:tcPr>
          <w:p w14:paraId="470CCFDB"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$476,728</w:t>
            </w:r>
          </w:p>
        </w:tc>
      </w:tr>
      <w:tr w:rsidR="003E5907" w:rsidRPr="00652AA2" w14:paraId="48EE5BE2" w14:textId="77777777" w:rsidTr="00CF2C5B">
        <w:trPr>
          <w:trHeight w:val="450"/>
        </w:trPr>
        <w:tc>
          <w:tcPr>
            <w:tcW w:w="794" w:type="pct"/>
            <w:shd w:val="clear" w:color="auto" w:fill="auto"/>
            <w:tcMar>
              <w:top w:w="15" w:type="dxa"/>
              <w:left w:w="15" w:type="dxa"/>
              <w:bottom w:w="0" w:type="dxa"/>
              <w:right w:w="15" w:type="dxa"/>
            </w:tcMar>
            <w:vAlign w:val="center"/>
            <w:hideMark/>
          </w:tcPr>
          <w:p w14:paraId="6FD46DC9" w14:textId="6B4CF9B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4384B201" w14:textId="5A8E86A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54AD9F1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Understanding and optimising the delivery of chronic disease care for better cardiovascular outcomes</w:t>
            </w:r>
          </w:p>
        </w:tc>
        <w:tc>
          <w:tcPr>
            <w:tcW w:w="694" w:type="pct"/>
            <w:shd w:val="clear" w:color="auto" w:fill="auto"/>
            <w:tcMar>
              <w:top w:w="15" w:type="dxa"/>
              <w:left w:w="15" w:type="dxa"/>
              <w:bottom w:w="0" w:type="dxa"/>
              <w:right w:w="15" w:type="dxa"/>
            </w:tcMar>
            <w:vAlign w:val="center"/>
            <w:hideMark/>
          </w:tcPr>
          <w:p w14:paraId="23BDF1B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$476,728</w:t>
            </w:r>
          </w:p>
        </w:tc>
      </w:tr>
      <w:tr w:rsidR="003E5907" w:rsidRPr="00652AA2" w14:paraId="5AEBA0F1" w14:textId="77777777" w:rsidTr="00CF2C5B">
        <w:trPr>
          <w:trHeight w:val="450"/>
        </w:trPr>
        <w:tc>
          <w:tcPr>
            <w:tcW w:w="794" w:type="pct"/>
            <w:shd w:val="clear" w:color="auto" w:fill="auto"/>
            <w:tcMar>
              <w:top w:w="15" w:type="dxa"/>
              <w:left w:w="15" w:type="dxa"/>
              <w:bottom w:w="0" w:type="dxa"/>
              <w:right w:w="15" w:type="dxa"/>
            </w:tcMar>
            <w:vAlign w:val="center"/>
            <w:hideMark/>
          </w:tcPr>
          <w:p w14:paraId="7B47D09A" w14:textId="28F6697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0D1AAC8B" w14:textId="168D7C4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Murdoch Children’s Research Institute</w:t>
            </w:r>
          </w:p>
        </w:tc>
        <w:tc>
          <w:tcPr>
            <w:tcW w:w="2382" w:type="pct"/>
            <w:shd w:val="clear" w:color="auto" w:fill="auto"/>
            <w:tcMar>
              <w:top w:w="15" w:type="dxa"/>
              <w:left w:w="15" w:type="dxa"/>
              <w:bottom w:w="0" w:type="dxa"/>
              <w:right w:w="15" w:type="dxa"/>
            </w:tcMar>
            <w:vAlign w:val="center"/>
            <w:hideMark/>
          </w:tcPr>
          <w:p w14:paraId="535A091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Significance of low-level mosaicism to intellectual disability in paediatric disorders</w:t>
            </w:r>
          </w:p>
        </w:tc>
        <w:tc>
          <w:tcPr>
            <w:tcW w:w="694" w:type="pct"/>
            <w:shd w:val="clear" w:color="auto" w:fill="auto"/>
            <w:tcMar>
              <w:top w:w="15" w:type="dxa"/>
              <w:left w:w="15" w:type="dxa"/>
              <w:bottom w:w="0" w:type="dxa"/>
              <w:right w:w="15" w:type="dxa"/>
            </w:tcMar>
            <w:vAlign w:val="center"/>
            <w:hideMark/>
          </w:tcPr>
          <w:p w14:paraId="401AB05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$476,728</w:t>
            </w:r>
          </w:p>
        </w:tc>
      </w:tr>
      <w:tr w:rsidR="003E5907" w:rsidRPr="00652AA2" w14:paraId="453C0658" w14:textId="77777777" w:rsidTr="00CF2C5B">
        <w:trPr>
          <w:trHeight w:val="450"/>
        </w:trPr>
        <w:tc>
          <w:tcPr>
            <w:tcW w:w="794" w:type="pct"/>
            <w:shd w:val="clear" w:color="auto" w:fill="auto"/>
            <w:tcMar>
              <w:top w:w="15" w:type="dxa"/>
              <w:left w:w="15" w:type="dxa"/>
              <w:bottom w:w="0" w:type="dxa"/>
              <w:right w:w="15" w:type="dxa"/>
            </w:tcMar>
            <w:vAlign w:val="center"/>
            <w:hideMark/>
          </w:tcPr>
          <w:p w14:paraId="1C8A2541" w14:textId="7349AFC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AC3F112" w14:textId="28AAF59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Burnet Institute</w:t>
            </w:r>
          </w:p>
        </w:tc>
        <w:tc>
          <w:tcPr>
            <w:tcW w:w="2382" w:type="pct"/>
            <w:shd w:val="clear" w:color="auto" w:fill="auto"/>
            <w:tcMar>
              <w:top w:w="15" w:type="dxa"/>
              <w:left w:w="15" w:type="dxa"/>
              <w:bottom w:w="0" w:type="dxa"/>
              <w:right w:w="15" w:type="dxa"/>
            </w:tcMar>
            <w:vAlign w:val="center"/>
            <w:hideMark/>
          </w:tcPr>
          <w:p w14:paraId="4A04442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Advancing diagnostics and vaccines for malaria elimination</w:t>
            </w:r>
          </w:p>
        </w:tc>
        <w:tc>
          <w:tcPr>
            <w:tcW w:w="694" w:type="pct"/>
            <w:shd w:val="clear" w:color="auto" w:fill="auto"/>
            <w:tcMar>
              <w:top w:w="15" w:type="dxa"/>
              <w:left w:w="15" w:type="dxa"/>
              <w:bottom w:w="0" w:type="dxa"/>
              <w:right w:w="15" w:type="dxa"/>
            </w:tcMar>
            <w:vAlign w:val="center"/>
            <w:hideMark/>
          </w:tcPr>
          <w:p w14:paraId="20B7C638"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$437,036</w:t>
            </w:r>
          </w:p>
        </w:tc>
      </w:tr>
      <w:tr w:rsidR="003E5907" w:rsidRPr="00652AA2" w14:paraId="4BBE44A2" w14:textId="77777777" w:rsidTr="00CF2C5B">
        <w:trPr>
          <w:trHeight w:val="450"/>
        </w:trPr>
        <w:tc>
          <w:tcPr>
            <w:tcW w:w="794" w:type="pct"/>
            <w:shd w:val="clear" w:color="auto" w:fill="auto"/>
            <w:tcMar>
              <w:top w:w="15" w:type="dxa"/>
              <w:left w:w="15" w:type="dxa"/>
              <w:bottom w:w="0" w:type="dxa"/>
              <w:right w:w="15" w:type="dxa"/>
            </w:tcMar>
            <w:vAlign w:val="center"/>
            <w:hideMark/>
          </w:tcPr>
          <w:p w14:paraId="2ACC3A0F" w14:textId="02575AA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7DC0DFD" w14:textId="3D02C0D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50119A1F"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Novel targeted onco-theranostic nanoparticles for personalised therapy and real-time monitoring</w:t>
            </w:r>
          </w:p>
        </w:tc>
        <w:tc>
          <w:tcPr>
            <w:tcW w:w="694" w:type="pct"/>
            <w:shd w:val="clear" w:color="auto" w:fill="auto"/>
            <w:tcMar>
              <w:top w:w="15" w:type="dxa"/>
              <w:left w:w="15" w:type="dxa"/>
              <w:bottom w:w="0" w:type="dxa"/>
              <w:right w:w="15" w:type="dxa"/>
            </w:tcMar>
            <w:vAlign w:val="center"/>
            <w:hideMark/>
          </w:tcPr>
          <w:p w14:paraId="4E5270C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5BF4332A" w14:textId="77777777" w:rsidTr="00CF2C5B">
        <w:trPr>
          <w:trHeight w:val="450"/>
        </w:trPr>
        <w:tc>
          <w:tcPr>
            <w:tcW w:w="794" w:type="pct"/>
            <w:shd w:val="clear" w:color="auto" w:fill="auto"/>
            <w:tcMar>
              <w:top w:w="15" w:type="dxa"/>
              <w:left w:w="15" w:type="dxa"/>
              <w:bottom w:w="0" w:type="dxa"/>
              <w:right w:w="15" w:type="dxa"/>
            </w:tcMar>
            <w:vAlign w:val="center"/>
            <w:hideMark/>
          </w:tcPr>
          <w:p w14:paraId="5D5BE4B9" w14:textId="0822721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Next Ge</w:t>
            </w:r>
            <w:r>
              <w:rPr>
                <w:rFonts w:ascii="Segoe UI" w:eastAsia="Calibri" w:hAnsi="Segoe UI" w:cs="Segoe UI"/>
                <w:color w:val="000000"/>
                <w:sz w:val="17"/>
                <w:szCs w:val="17"/>
              </w:rPr>
              <w:t>neration Clinical Researchers</w:t>
            </w:r>
          </w:p>
        </w:tc>
        <w:tc>
          <w:tcPr>
            <w:tcW w:w="1130" w:type="pct"/>
            <w:shd w:val="clear" w:color="auto" w:fill="auto"/>
            <w:tcMar>
              <w:top w:w="15" w:type="dxa"/>
              <w:left w:w="15" w:type="dxa"/>
              <w:bottom w:w="0" w:type="dxa"/>
              <w:right w:w="15" w:type="dxa"/>
            </w:tcMar>
            <w:vAlign w:val="center"/>
            <w:hideMark/>
          </w:tcPr>
          <w:p w14:paraId="2962804C" w14:textId="08E006A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Western Australia</w:t>
            </w:r>
          </w:p>
        </w:tc>
        <w:tc>
          <w:tcPr>
            <w:tcW w:w="2382" w:type="pct"/>
            <w:shd w:val="clear" w:color="auto" w:fill="auto"/>
            <w:tcMar>
              <w:top w:w="15" w:type="dxa"/>
              <w:left w:w="15" w:type="dxa"/>
              <w:bottom w:w="0" w:type="dxa"/>
              <w:right w:w="15" w:type="dxa"/>
            </w:tcMar>
            <w:vAlign w:val="center"/>
            <w:hideMark/>
          </w:tcPr>
          <w:p w14:paraId="42E0BD73"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Nutritional strategies for allergy prevention</w:t>
            </w:r>
          </w:p>
        </w:tc>
        <w:tc>
          <w:tcPr>
            <w:tcW w:w="694" w:type="pct"/>
            <w:shd w:val="clear" w:color="auto" w:fill="auto"/>
            <w:tcMar>
              <w:top w:w="15" w:type="dxa"/>
              <w:left w:w="15" w:type="dxa"/>
              <w:bottom w:w="0" w:type="dxa"/>
              <w:right w:w="15" w:type="dxa"/>
            </w:tcMar>
            <w:vAlign w:val="center"/>
            <w:hideMark/>
          </w:tcPr>
          <w:p w14:paraId="42D0B67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555634D7" w14:textId="77777777" w:rsidTr="00CF2C5B">
        <w:trPr>
          <w:trHeight w:val="450"/>
        </w:trPr>
        <w:tc>
          <w:tcPr>
            <w:tcW w:w="794" w:type="pct"/>
            <w:shd w:val="clear" w:color="auto" w:fill="auto"/>
            <w:tcMar>
              <w:top w:w="15" w:type="dxa"/>
              <w:left w:w="15" w:type="dxa"/>
              <w:bottom w:w="0" w:type="dxa"/>
              <w:right w:w="15" w:type="dxa"/>
            </w:tcMar>
            <w:vAlign w:val="center"/>
            <w:hideMark/>
          </w:tcPr>
          <w:p w14:paraId="425BC6D9" w14:textId="0B43694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5E83E95" w14:textId="6A9863E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49B5CC7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Neuroimaging in mental health: the quest for clinically useful biomarkers</w:t>
            </w:r>
          </w:p>
        </w:tc>
        <w:tc>
          <w:tcPr>
            <w:tcW w:w="694" w:type="pct"/>
            <w:shd w:val="clear" w:color="auto" w:fill="auto"/>
            <w:tcMar>
              <w:top w:w="15" w:type="dxa"/>
              <w:left w:w="15" w:type="dxa"/>
              <w:bottom w:w="0" w:type="dxa"/>
              <w:right w:w="15" w:type="dxa"/>
            </w:tcMar>
            <w:vAlign w:val="center"/>
            <w:hideMark/>
          </w:tcPr>
          <w:p w14:paraId="5E71F879"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0D675A9C" w14:textId="77777777" w:rsidTr="00CF2C5B">
        <w:trPr>
          <w:trHeight w:val="450"/>
        </w:trPr>
        <w:tc>
          <w:tcPr>
            <w:tcW w:w="794" w:type="pct"/>
            <w:shd w:val="clear" w:color="auto" w:fill="auto"/>
            <w:tcMar>
              <w:top w:w="15" w:type="dxa"/>
              <w:left w:w="15" w:type="dxa"/>
              <w:bottom w:w="0" w:type="dxa"/>
              <w:right w:w="15" w:type="dxa"/>
            </w:tcMar>
            <w:vAlign w:val="center"/>
            <w:hideMark/>
          </w:tcPr>
          <w:p w14:paraId="6735F1BF" w14:textId="77A37F4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1B881DD5" w14:textId="70C1306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4FED280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internet-delivered psychological therapies for depression and anxiety</w:t>
            </w:r>
          </w:p>
        </w:tc>
        <w:tc>
          <w:tcPr>
            <w:tcW w:w="694" w:type="pct"/>
            <w:shd w:val="clear" w:color="auto" w:fill="auto"/>
            <w:tcMar>
              <w:top w:w="15" w:type="dxa"/>
              <w:left w:w="15" w:type="dxa"/>
              <w:bottom w:w="0" w:type="dxa"/>
              <w:right w:w="15" w:type="dxa"/>
            </w:tcMar>
            <w:vAlign w:val="center"/>
            <w:hideMark/>
          </w:tcPr>
          <w:p w14:paraId="58248DF8"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2E506138" w14:textId="77777777" w:rsidTr="00CF2C5B">
        <w:trPr>
          <w:trHeight w:val="450"/>
        </w:trPr>
        <w:tc>
          <w:tcPr>
            <w:tcW w:w="794" w:type="pct"/>
            <w:shd w:val="clear" w:color="auto" w:fill="auto"/>
            <w:tcMar>
              <w:top w:w="15" w:type="dxa"/>
              <w:left w:w="15" w:type="dxa"/>
              <w:bottom w:w="0" w:type="dxa"/>
              <w:right w:w="15" w:type="dxa"/>
            </w:tcMar>
            <w:vAlign w:val="center"/>
            <w:hideMark/>
          </w:tcPr>
          <w:p w14:paraId="510BBB48" w14:textId="54CF72A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4A1CA43A" w14:textId="4D8F162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Murdoch Children’s Research Institute</w:t>
            </w:r>
          </w:p>
        </w:tc>
        <w:tc>
          <w:tcPr>
            <w:tcW w:w="2382" w:type="pct"/>
            <w:shd w:val="clear" w:color="auto" w:fill="auto"/>
            <w:tcMar>
              <w:top w:w="15" w:type="dxa"/>
              <w:left w:w="15" w:type="dxa"/>
              <w:bottom w:w="0" w:type="dxa"/>
              <w:right w:w="15" w:type="dxa"/>
            </w:tcMar>
            <w:vAlign w:val="center"/>
            <w:hideMark/>
          </w:tcPr>
          <w:p w14:paraId="47D5349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upper limb function in Hereditary Cerebellar Ataxia</w:t>
            </w:r>
          </w:p>
        </w:tc>
        <w:tc>
          <w:tcPr>
            <w:tcW w:w="694" w:type="pct"/>
            <w:shd w:val="clear" w:color="auto" w:fill="auto"/>
            <w:tcMar>
              <w:top w:w="15" w:type="dxa"/>
              <w:left w:w="15" w:type="dxa"/>
              <w:bottom w:w="0" w:type="dxa"/>
              <w:right w:w="15" w:type="dxa"/>
            </w:tcMar>
            <w:vAlign w:val="center"/>
            <w:hideMark/>
          </w:tcPr>
          <w:p w14:paraId="594E5CF1"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0527D44D" w14:textId="77777777" w:rsidTr="00CF2C5B">
        <w:trPr>
          <w:trHeight w:val="450"/>
        </w:trPr>
        <w:tc>
          <w:tcPr>
            <w:tcW w:w="794" w:type="pct"/>
            <w:shd w:val="clear" w:color="auto" w:fill="auto"/>
            <w:tcMar>
              <w:top w:w="15" w:type="dxa"/>
              <w:left w:w="15" w:type="dxa"/>
              <w:bottom w:w="0" w:type="dxa"/>
              <w:right w:w="15" w:type="dxa"/>
            </w:tcMar>
            <w:vAlign w:val="center"/>
            <w:hideMark/>
          </w:tcPr>
          <w:p w14:paraId="5CAE68C0" w14:textId="2594455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29F56B90" w14:textId="343CF6C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Tasmania</w:t>
            </w:r>
          </w:p>
        </w:tc>
        <w:tc>
          <w:tcPr>
            <w:tcW w:w="2382" w:type="pct"/>
            <w:shd w:val="clear" w:color="auto" w:fill="auto"/>
            <w:tcMar>
              <w:top w:w="15" w:type="dxa"/>
              <w:left w:w="15" w:type="dxa"/>
              <w:bottom w:w="0" w:type="dxa"/>
              <w:right w:w="15" w:type="dxa"/>
            </w:tcMar>
            <w:vAlign w:val="center"/>
            <w:hideMark/>
          </w:tcPr>
          <w:p w14:paraId="472C36A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musculoskeletal pain by matching the right treatment with the right patient</w:t>
            </w:r>
          </w:p>
        </w:tc>
        <w:tc>
          <w:tcPr>
            <w:tcW w:w="694" w:type="pct"/>
            <w:shd w:val="clear" w:color="auto" w:fill="auto"/>
            <w:tcMar>
              <w:top w:w="15" w:type="dxa"/>
              <w:left w:w="15" w:type="dxa"/>
              <w:bottom w:w="0" w:type="dxa"/>
              <w:right w:w="15" w:type="dxa"/>
            </w:tcMar>
            <w:vAlign w:val="center"/>
            <w:hideMark/>
          </w:tcPr>
          <w:p w14:paraId="063A49A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$431,000</w:t>
            </w:r>
          </w:p>
        </w:tc>
      </w:tr>
      <w:tr w:rsidR="003E5907" w:rsidRPr="00652AA2" w14:paraId="3882E5AD" w14:textId="77777777" w:rsidTr="00CF2C5B">
        <w:trPr>
          <w:trHeight w:val="450"/>
        </w:trPr>
        <w:tc>
          <w:tcPr>
            <w:tcW w:w="794" w:type="pct"/>
            <w:shd w:val="clear" w:color="auto" w:fill="auto"/>
            <w:tcMar>
              <w:top w:w="15" w:type="dxa"/>
              <w:left w:w="15" w:type="dxa"/>
              <w:bottom w:w="0" w:type="dxa"/>
              <w:right w:w="15" w:type="dxa"/>
            </w:tcMar>
            <w:vAlign w:val="center"/>
            <w:hideMark/>
          </w:tcPr>
          <w:p w14:paraId="64083888" w14:textId="74D1F14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2A6D99D7" w14:textId="56AB073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49B39E2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outcomes in low back pain: Targeting specific therapies to patient subgroups</w:t>
            </w:r>
          </w:p>
        </w:tc>
        <w:tc>
          <w:tcPr>
            <w:tcW w:w="694" w:type="pct"/>
            <w:shd w:val="clear" w:color="auto" w:fill="auto"/>
            <w:tcMar>
              <w:top w:w="15" w:type="dxa"/>
              <w:left w:w="15" w:type="dxa"/>
              <w:bottom w:w="0" w:type="dxa"/>
              <w:right w:w="15" w:type="dxa"/>
            </w:tcMar>
            <w:vAlign w:val="center"/>
            <w:hideMark/>
          </w:tcPr>
          <w:p w14:paraId="0AC812B8"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$429,055</w:t>
            </w:r>
          </w:p>
        </w:tc>
      </w:tr>
      <w:tr w:rsidR="003E5907" w:rsidRPr="00652AA2" w14:paraId="43078541" w14:textId="77777777" w:rsidTr="00CF2C5B">
        <w:trPr>
          <w:trHeight w:val="450"/>
        </w:trPr>
        <w:tc>
          <w:tcPr>
            <w:tcW w:w="794" w:type="pct"/>
            <w:shd w:val="clear" w:color="auto" w:fill="auto"/>
            <w:tcMar>
              <w:top w:w="15" w:type="dxa"/>
              <w:left w:w="15" w:type="dxa"/>
              <w:bottom w:w="0" w:type="dxa"/>
              <w:right w:w="15" w:type="dxa"/>
            </w:tcMar>
            <w:vAlign w:val="center"/>
            <w:hideMark/>
          </w:tcPr>
          <w:p w14:paraId="10B1E69B" w14:textId="3E7E86E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13E88A19" w14:textId="04191F5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Walter and Eliza Hall Institute of Medical Research</w:t>
            </w:r>
          </w:p>
        </w:tc>
        <w:tc>
          <w:tcPr>
            <w:tcW w:w="2382" w:type="pct"/>
            <w:shd w:val="clear" w:color="auto" w:fill="auto"/>
            <w:tcMar>
              <w:top w:w="15" w:type="dxa"/>
              <w:left w:w="15" w:type="dxa"/>
              <w:bottom w:w="0" w:type="dxa"/>
              <w:right w:w="15" w:type="dxa"/>
            </w:tcMar>
            <w:vAlign w:val="center"/>
            <w:hideMark/>
          </w:tcPr>
          <w:p w14:paraId="5B06A6F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Translational research to drive improved diagnosis and treatment of inflammatory diseases</w:t>
            </w:r>
          </w:p>
        </w:tc>
        <w:tc>
          <w:tcPr>
            <w:tcW w:w="694" w:type="pct"/>
            <w:shd w:val="clear" w:color="auto" w:fill="auto"/>
            <w:tcMar>
              <w:top w:w="15" w:type="dxa"/>
              <w:left w:w="15" w:type="dxa"/>
              <w:bottom w:w="0" w:type="dxa"/>
              <w:right w:w="15" w:type="dxa"/>
            </w:tcMar>
            <w:vAlign w:val="center"/>
            <w:hideMark/>
          </w:tcPr>
          <w:p w14:paraId="294123C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$418,050</w:t>
            </w:r>
          </w:p>
        </w:tc>
      </w:tr>
      <w:tr w:rsidR="003E5907" w:rsidRPr="00652AA2" w14:paraId="28E2A939" w14:textId="77777777" w:rsidTr="00CF2C5B">
        <w:trPr>
          <w:trHeight w:val="450"/>
        </w:trPr>
        <w:tc>
          <w:tcPr>
            <w:tcW w:w="794" w:type="pct"/>
            <w:shd w:val="clear" w:color="auto" w:fill="auto"/>
            <w:tcMar>
              <w:top w:w="15" w:type="dxa"/>
              <w:left w:w="15" w:type="dxa"/>
              <w:bottom w:w="0" w:type="dxa"/>
              <w:right w:w="15" w:type="dxa"/>
            </w:tcMar>
            <w:vAlign w:val="center"/>
            <w:hideMark/>
          </w:tcPr>
          <w:p w14:paraId="128FEC47" w14:textId="3E9F833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6681538" w14:textId="099AED5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5202CC6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New approaches for treatment of alcohol use disorder</w:t>
            </w:r>
          </w:p>
        </w:tc>
        <w:tc>
          <w:tcPr>
            <w:tcW w:w="694" w:type="pct"/>
            <w:shd w:val="clear" w:color="auto" w:fill="auto"/>
            <w:tcMar>
              <w:top w:w="15" w:type="dxa"/>
              <w:left w:w="15" w:type="dxa"/>
              <w:bottom w:w="0" w:type="dxa"/>
              <w:right w:w="15" w:type="dxa"/>
            </w:tcMar>
            <w:vAlign w:val="center"/>
            <w:hideMark/>
          </w:tcPr>
          <w:p w14:paraId="5067603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$418,050</w:t>
            </w:r>
          </w:p>
        </w:tc>
      </w:tr>
      <w:tr w:rsidR="003E5907" w:rsidRPr="00652AA2" w14:paraId="7D2D718F" w14:textId="77777777" w:rsidTr="00CF2C5B">
        <w:trPr>
          <w:trHeight w:val="450"/>
        </w:trPr>
        <w:tc>
          <w:tcPr>
            <w:tcW w:w="794" w:type="pct"/>
            <w:shd w:val="clear" w:color="auto" w:fill="auto"/>
            <w:tcMar>
              <w:top w:w="15" w:type="dxa"/>
              <w:left w:w="15" w:type="dxa"/>
              <w:bottom w:w="0" w:type="dxa"/>
              <w:right w:w="15" w:type="dxa"/>
            </w:tcMar>
            <w:vAlign w:val="center"/>
            <w:hideMark/>
          </w:tcPr>
          <w:p w14:paraId="1A82ACA0" w14:textId="4B916E0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22254374" w14:textId="5F96999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0A997E0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Translational Research Program to Advance Clinical Outcomes in Acute Myeloid Leukaemia</w:t>
            </w:r>
          </w:p>
        </w:tc>
        <w:tc>
          <w:tcPr>
            <w:tcW w:w="694" w:type="pct"/>
            <w:shd w:val="clear" w:color="auto" w:fill="auto"/>
            <w:tcMar>
              <w:top w:w="15" w:type="dxa"/>
              <w:left w:w="15" w:type="dxa"/>
              <w:bottom w:w="0" w:type="dxa"/>
              <w:right w:w="15" w:type="dxa"/>
            </w:tcMar>
            <w:vAlign w:val="center"/>
            <w:hideMark/>
          </w:tcPr>
          <w:p w14:paraId="3D839D11"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$412,419</w:t>
            </w:r>
          </w:p>
        </w:tc>
      </w:tr>
      <w:tr w:rsidR="003E5907" w:rsidRPr="00652AA2" w14:paraId="343F8E87" w14:textId="77777777" w:rsidTr="00CF2C5B">
        <w:trPr>
          <w:trHeight w:val="450"/>
        </w:trPr>
        <w:tc>
          <w:tcPr>
            <w:tcW w:w="794" w:type="pct"/>
            <w:shd w:val="clear" w:color="auto" w:fill="auto"/>
            <w:tcMar>
              <w:top w:w="15" w:type="dxa"/>
              <w:left w:w="15" w:type="dxa"/>
              <w:bottom w:w="0" w:type="dxa"/>
              <w:right w:w="15" w:type="dxa"/>
            </w:tcMar>
            <w:vAlign w:val="center"/>
            <w:hideMark/>
          </w:tcPr>
          <w:p w14:paraId="536A79BA" w14:textId="612B823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6CCBB4C" w14:textId="3BB99F0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673A2D9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outcomes for critically ill patients after traumatic brain injury and blood transfusion</w:t>
            </w:r>
          </w:p>
        </w:tc>
        <w:tc>
          <w:tcPr>
            <w:tcW w:w="694" w:type="pct"/>
            <w:shd w:val="clear" w:color="auto" w:fill="auto"/>
            <w:tcMar>
              <w:top w:w="15" w:type="dxa"/>
              <w:left w:w="15" w:type="dxa"/>
              <w:bottom w:w="0" w:type="dxa"/>
              <w:right w:w="15" w:type="dxa"/>
            </w:tcMar>
            <w:vAlign w:val="center"/>
            <w:hideMark/>
          </w:tcPr>
          <w:p w14:paraId="3DF32782"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$412,278</w:t>
            </w:r>
          </w:p>
        </w:tc>
      </w:tr>
      <w:tr w:rsidR="003E5907" w:rsidRPr="00652AA2" w14:paraId="4FD871AF" w14:textId="77777777" w:rsidTr="00CF2C5B">
        <w:trPr>
          <w:trHeight w:val="450"/>
        </w:trPr>
        <w:tc>
          <w:tcPr>
            <w:tcW w:w="794" w:type="pct"/>
            <w:shd w:val="clear" w:color="auto" w:fill="auto"/>
            <w:tcMar>
              <w:top w:w="15" w:type="dxa"/>
              <w:left w:w="15" w:type="dxa"/>
              <w:bottom w:w="0" w:type="dxa"/>
              <w:right w:w="15" w:type="dxa"/>
            </w:tcMar>
            <w:vAlign w:val="center"/>
            <w:hideMark/>
          </w:tcPr>
          <w:p w14:paraId="054BA4E4" w14:textId="0E09C07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Next Generation Clinical R</w:t>
            </w:r>
            <w:r>
              <w:rPr>
                <w:rFonts w:ascii="Segoe UI" w:eastAsia="Calibri" w:hAnsi="Segoe UI" w:cs="Segoe UI"/>
                <w:color w:val="000000"/>
                <w:sz w:val="17"/>
                <w:szCs w:val="17"/>
              </w:rPr>
              <w:t>esearchers</w:t>
            </w:r>
          </w:p>
        </w:tc>
        <w:tc>
          <w:tcPr>
            <w:tcW w:w="1130" w:type="pct"/>
            <w:shd w:val="clear" w:color="auto" w:fill="auto"/>
            <w:tcMar>
              <w:top w:w="15" w:type="dxa"/>
              <w:left w:w="15" w:type="dxa"/>
              <w:bottom w:w="0" w:type="dxa"/>
              <w:right w:w="15" w:type="dxa"/>
            </w:tcMar>
            <w:vAlign w:val="center"/>
            <w:hideMark/>
          </w:tcPr>
          <w:p w14:paraId="42017C1F" w14:textId="03C52C8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4E037B1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Optimising Emergency and Trauma Systems through evidence based pathways</w:t>
            </w:r>
          </w:p>
        </w:tc>
        <w:tc>
          <w:tcPr>
            <w:tcW w:w="694" w:type="pct"/>
            <w:shd w:val="clear" w:color="auto" w:fill="auto"/>
            <w:tcMar>
              <w:top w:w="15" w:type="dxa"/>
              <w:left w:w="15" w:type="dxa"/>
              <w:bottom w:w="0" w:type="dxa"/>
              <w:right w:w="15" w:type="dxa"/>
            </w:tcMar>
            <w:vAlign w:val="center"/>
            <w:hideMark/>
          </w:tcPr>
          <w:p w14:paraId="769511CA"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$412,278</w:t>
            </w:r>
          </w:p>
        </w:tc>
      </w:tr>
      <w:tr w:rsidR="003E5907" w:rsidRPr="00652AA2" w14:paraId="56ADE65D" w14:textId="77777777" w:rsidTr="00CF2C5B">
        <w:trPr>
          <w:trHeight w:val="450"/>
        </w:trPr>
        <w:tc>
          <w:tcPr>
            <w:tcW w:w="794" w:type="pct"/>
            <w:shd w:val="clear" w:color="auto" w:fill="auto"/>
            <w:tcMar>
              <w:top w:w="15" w:type="dxa"/>
              <w:left w:w="15" w:type="dxa"/>
              <w:bottom w:w="0" w:type="dxa"/>
              <w:right w:w="15" w:type="dxa"/>
            </w:tcMar>
            <w:vAlign w:val="center"/>
            <w:hideMark/>
          </w:tcPr>
          <w:p w14:paraId="3D8E37CB" w14:textId="0CA2AE9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13FF2BD5" w14:textId="264BE80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3F414FFD"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Complex depression and anxiety in youth: Innovative e-therapy and biotherapy clinical trials</w:t>
            </w:r>
          </w:p>
        </w:tc>
        <w:tc>
          <w:tcPr>
            <w:tcW w:w="694" w:type="pct"/>
            <w:shd w:val="clear" w:color="auto" w:fill="auto"/>
            <w:tcMar>
              <w:top w:w="15" w:type="dxa"/>
              <w:left w:w="15" w:type="dxa"/>
              <w:bottom w:w="0" w:type="dxa"/>
              <w:right w:w="15" w:type="dxa"/>
            </w:tcMar>
            <w:vAlign w:val="center"/>
            <w:hideMark/>
          </w:tcPr>
          <w:p w14:paraId="47A66CE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$349,629</w:t>
            </w:r>
          </w:p>
        </w:tc>
      </w:tr>
      <w:tr w:rsidR="003E5907" w:rsidRPr="00652AA2" w14:paraId="21B24CD7" w14:textId="77777777" w:rsidTr="00CF2C5B">
        <w:trPr>
          <w:trHeight w:val="450"/>
        </w:trPr>
        <w:tc>
          <w:tcPr>
            <w:tcW w:w="794" w:type="pct"/>
            <w:shd w:val="clear" w:color="auto" w:fill="auto"/>
            <w:tcMar>
              <w:top w:w="15" w:type="dxa"/>
              <w:left w:w="15" w:type="dxa"/>
              <w:bottom w:w="0" w:type="dxa"/>
              <w:right w:w="15" w:type="dxa"/>
            </w:tcMar>
            <w:vAlign w:val="center"/>
            <w:hideMark/>
          </w:tcPr>
          <w:p w14:paraId="686B59F2" w14:textId="2BEC006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96682C9" w14:textId="49B373D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6CB44C1B"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paediatric critical care outcome</w:t>
            </w:r>
          </w:p>
        </w:tc>
        <w:tc>
          <w:tcPr>
            <w:tcW w:w="694" w:type="pct"/>
            <w:shd w:val="clear" w:color="auto" w:fill="auto"/>
            <w:tcMar>
              <w:top w:w="15" w:type="dxa"/>
              <w:left w:w="15" w:type="dxa"/>
              <w:bottom w:w="0" w:type="dxa"/>
              <w:right w:w="15" w:type="dxa"/>
            </w:tcMar>
            <w:vAlign w:val="center"/>
            <w:hideMark/>
          </w:tcPr>
          <w:p w14:paraId="5BD8A802"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$348,495</w:t>
            </w:r>
          </w:p>
        </w:tc>
      </w:tr>
      <w:tr w:rsidR="003E5907" w:rsidRPr="00652AA2" w14:paraId="22732372" w14:textId="77777777" w:rsidTr="00CF2C5B">
        <w:trPr>
          <w:trHeight w:val="450"/>
        </w:trPr>
        <w:tc>
          <w:tcPr>
            <w:tcW w:w="794" w:type="pct"/>
            <w:shd w:val="clear" w:color="auto" w:fill="auto"/>
            <w:tcMar>
              <w:top w:w="15" w:type="dxa"/>
              <w:left w:w="15" w:type="dxa"/>
              <w:bottom w:w="0" w:type="dxa"/>
              <w:right w:w="15" w:type="dxa"/>
            </w:tcMar>
            <w:vAlign w:val="center"/>
            <w:hideMark/>
          </w:tcPr>
          <w:p w14:paraId="503A8E19" w14:textId="04523AE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16A458C" w14:textId="5A822A4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Garvan Institute of Medical Research</w:t>
            </w:r>
          </w:p>
        </w:tc>
        <w:tc>
          <w:tcPr>
            <w:tcW w:w="2382" w:type="pct"/>
            <w:shd w:val="clear" w:color="auto" w:fill="auto"/>
            <w:tcMar>
              <w:top w:w="15" w:type="dxa"/>
              <w:left w:w="15" w:type="dxa"/>
              <w:bottom w:w="0" w:type="dxa"/>
              <w:right w:w="15" w:type="dxa"/>
            </w:tcMar>
            <w:vAlign w:val="center"/>
            <w:hideMark/>
          </w:tcPr>
          <w:p w14:paraId="14FAFE5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outcomes in osteoporosis and bone health</w:t>
            </w:r>
          </w:p>
        </w:tc>
        <w:tc>
          <w:tcPr>
            <w:tcW w:w="694" w:type="pct"/>
            <w:shd w:val="clear" w:color="auto" w:fill="auto"/>
            <w:tcMar>
              <w:top w:w="15" w:type="dxa"/>
              <w:left w:w="15" w:type="dxa"/>
              <w:bottom w:w="0" w:type="dxa"/>
              <w:right w:w="15" w:type="dxa"/>
            </w:tcMar>
            <w:vAlign w:val="center"/>
            <w:hideMark/>
          </w:tcPr>
          <w:p w14:paraId="7BFC8B2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$343,683</w:t>
            </w:r>
          </w:p>
        </w:tc>
      </w:tr>
      <w:tr w:rsidR="003E5907" w:rsidRPr="00652AA2" w14:paraId="084E2C88" w14:textId="77777777" w:rsidTr="00CF2C5B">
        <w:trPr>
          <w:trHeight w:val="450"/>
        </w:trPr>
        <w:tc>
          <w:tcPr>
            <w:tcW w:w="794" w:type="pct"/>
            <w:shd w:val="clear" w:color="auto" w:fill="auto"/>
            <w:tcMar>
              <w:top w:w="15" w:type="dxa"/>
              <w:left w:w="15" w:type="dxa"/>
              <w:bottom w:w="0" w:type="dxa"/>
              <w:right w:w="15" w:type="dxa"/>
            </w:tcMar>
            <w:vAlign w:val="center"/>
            <w:hideMark/>
          </w:tcPr>
          <w:p w14:paraId="3623A2F5" w14:textId="12D2DFA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lastRenderedPageBreak/>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102F62FB" w14:textId="5A40240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Murdoch Children’s Research Institute</w:t>
            </w:r>
          </w:p>
        </w:tc>
        <w:tc>
          <w:tcPr>
            <w:tcW w:w="2382" w:type="pct"/>
            <w:shd w:val="clear" w:color="auto" w:fill="auto"/>
            <w:tcMar>
              <w:top w:w="15" w:type="dxa"/>
              <w:left w:w="15" w:type="dxa"/>
              <w:bottom w:w="0" w:type="dxa"/>
              <w:right w:w="15" w:type="dxa"/>
            </w:tcMar>
            <w:vAlign w:val="center"/>
            <w:hideMark/>
          </w:tcPr>
          <w:p w14:paraId="04F4DFB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the health and development of high risk preterm newborns</w:t>
            </w:r>
          </w:p>
        </w:tc>
        <w:tc>
          <w:tcPr>
            <w:tcW w:w="694" w:type="pct"/>
            <w:shd w:val="clear" w:color="auto" w:fill="auto"/>
            <w:tcMar>
              <w:top w:w="15" w:type="dxa"/>
              <w:left w:w="15" w:type="dxa"/>
              <w:bottom w:w="0" w:type="dxa"/>
              <w:right w:w="15" w:type="dxa"/>
            </w:tcMar>
            <w:vAlign w:val="center"/>
            <w:hideMark/>
          </w:tcPr>
          <w:p w14:paraId="413779F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$333,710</w:t>
            </w:r>
          </w:p>
        </w:tc>
      </w:tr>
      <w:tr w:rsidR="003E5907" w:rsidRPr="00652AA2" w14:paraId="6D00F592" w14:textId="77777777" w:rsidTr="00CF2C5B">
        <w:trPr>
          <w:trHeight w:val="450"/>
        </w:trPr>
        <w:tc>
          <w:tcPr>
            <w:tcW w:w="794" w:type="pct"/>
            <w:shd w:val="clear" w:color="auto" w:fill="auto"/>
            <w:tcMar>
              <w:top w:w="15" w:type="dxa"/>
              <w:left w:w="15" w:type="dxa"/>
              <w:bottom w:w="0" w:type="dxa"/>
              <w:right w:w="15" w:type="dxa"/>
            </w:tcMar>
            <w:vAlign w:val="center"/>
            <w:hideMark/>
          </w:tcPr>
          <w:p w14:paraId="3A0F1B4C" w14:textId="13E3116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0970DCB" w14:textId="357E3D3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6DF9271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Optimising interventions for Staphylococcus aureus and skin infections</w:t>
            </w:r>
          </w:p>
        </w:tc>
        <w:tc>
          <w:tcPr>
            <w:tcW w:w="694" w:type="pct"/>
            <w:shd w:val="clear" w:color="auto" w:fill="auto"/>
            <w:tcMar>
              <w:top w:w="15" w:type="dxa"/>
              <w:left w:w="15" w:type="dxa"/>
              <w:bottom w:w="0" w:type="dxa"/>
              <w:right w:w="15" w:type="dxa"/>
            </w:tcMar>
            <w:vAlign w:val="center"/>
            <w:hideMark/>
          </w:tcPr>
          <w:p w14:paraId="0A5EAC3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$333,710</w:t>
            </w:r>
          </w:p>
        </w:tc>
      </w:tr>
      <w:tr w:rsidR="003E5907" w:rsidRPr="00652AA2" w14:paraId="760CAC6B" w14:textId="77777777" w:rsidTr="00CF2C5B">
        <w:trPr>
          <w:trHeight w:val="450"/>
        </w:trPr>
        <w:tc>
          <w:tcPr>
            <w:tcW w:w="794" w:type="pct"/>
            <w:shd w:val="clear" w:color="auto" w:fill="auto"/>
            <w:tcMar>
              <w:top w:w="15" w:type="dxa"/>
              <w:left w:w="15" w:type="dxa"/>
              <w:bottom w:w="0" w:type="dxa"/>
              <w:right w:w="15" w:type="dxa"/>
            </w:tcMar>
            <w:vAlign w:val="center"/>
            <w:hideMark/>
          </w:tcPr>
          <w:p w14:paraId="58D9C219" w14:textId="6DEAFF7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4F80DD4" w14:textId="25166C3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2B37423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Examining new treatments and developing new treatment biomarkers for youth with severe depression</w:t>
            </w:r>
          </w:p>
        </w:tc>
        <w:tc>
          <w:tcPr>
            <w:tcW w:w="694" w:type="pct"/>
            <w:shd w:val="clear" w:color="auto" w:fill="auto"/>
            <w:tcMar>
              <w:top w:w="15" w:type="dxa"/>
              <w:left w:w="15" w:type="dxa"/>
              <w:bottom w:w="0" w:type="dxa"/>
              <w:right w:w="15" w:type="dxa"/>
            </w:tcMar>
            <w:vAlign w:val="center"/>
            <w:hideMark/>
          </w:tcPr>
          <w:p w14:paraId="01F3839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$333,710</w:t>
            </w:r>
          </w:p>
        </w:tc>
      </w:tr>
      <w:tr w:rsidR="003E5907" w:rsidRPr="00652AA2" w14:paraId="31E8EED8" w14:textId="77777777" w:rsidTr="00CF2C5B">
        <w:trPr>
          <w:trHeight w:val="450"/>
        </w:trPr>
        <w:tc>
          <w:tcPr>
            <w:tcW w:w="794" w:type="pct"/>
            <w:shd w:val="clear" w:color="auto" w:fill="auto"/>
            <w:tcMar>
              <w:top w:w="15" w:type="dxa"/>
              <w:left w:w="15" w:type="dxa"/>
              <w:bottom w:w="0" w:type="dxa"/>
              <w:right w:w="15" w:type="dxa"/>
            </w:tcMar>
            <w:vAlign w:val="center"/>
            <w:hideMark/>
          </w:tcPr>
          <w:p w14:paraId="5F3F8047" w14:textId="09ECEE6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Next Generation Clinical Rese</w:t>
            </w:r>
            <w:r>
              <w:rPr>
                <w:rFonts w:ascii="Segoe UI" w:eastAsia="Calibri" w:hAnsi="Segoe UI" w:cs="Segoe UI"/>
                <w:color w:val="000000"/>
                <w:sz w:val="17"/>
                <w:szCs w:val="17"/>
              </w:rPr>
              <w:t>archers</w:t>
            </w:r>
          </w:p>
        </w:tc>
        <w:tc>
          <w:tcPr>
            <w:tcW w:w="1130" w:type="pct"/>
            <w:shd w:val="clear" w:color="auto" w:fill="auto"/>
            <w:tcMar>
              <w:top w:w="15" w:type="dxa"/>
              <w:left w:w="15" w:type="dxa"/>
              <w:bottom w:w="0" w:type="dxa"/>
              <w:right w:w="15" w:type="dxa"/>
            </w:tcMar>
            <w:vAlign w:val="center"/>
            <w:hideMark/>
          </w:tcPr>
          <w:p w14:paraId="22291ADB" w14:textId="3ED65FF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1DF80F1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Optimising Respiratory Therapies to Improve Outcomes for Preterm Infants</w:t>
            </w:r>
          </w:p>
        </w:tc>
        <w:tc>
          <w:tcPr>
            <w:tcW w:w="694" w:type="pct"/>
            <w:shd w:val="clear" w:color="auto" w:fill="auto"/>
            <w:tcMar>
              <w:top w:w="15" w:type="dxa"/>
              <w:left w:w="15" w:type="dxa"/>
              <w:bottom w:w="0" w:type="dxa"/>
              <w:right w:w="15" w:type="dxa"/>
            </w:tcMar>
            <w:vAlign w:val="center"/>
            <w:hideMark/>
          </w:tcPr>
          <w:p w14:paraId="50679C6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$305,925</w:t>
            </w:r>
          </w:p>
        </w:tc>
      </w:tr>
      <w:tr w:rsidR="003E5907" w:rsidRPr="00652AA2" w14:paraId="68AB0C75" w14:textId="77777777" w:rsidTr="00CF2C5B">
        <w:trPr>
          <w:trHeight w:val="450"/>
        </w:trPr>
        <w:tc>
          <w:tcPr>
            <w:tcW w:w="794" w:type="pct"/>
            <w:shd w:val="clear" w:color="auto" w:fill="auto"/>
            <w:tcMar>
              <w:top w:w="15" w:type="dxa"/>
              <w:left w:w="15" w:type="dxa"/>
              <w:bottom w:w="0" w:type="dxa"/>
              <w:right w:w="15" w:type="dxa"/>
            </w:tcMar>
            <w:vAlign w:val="center"/>
            <w:hideMark/>
          </w:tcPr>
          <w:p w14:paraId="501FA7DD" w14:textId="5A067B2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6977A97E" w14:textId="5027F7F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2EAE294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Vaccine safety research in understudied and at risk groups: critical knowledge to inform practice and policy</w:t>
            </w:r>
          </w:p>
        </w:tc>
        <w:tc>
          <w:tcPr>
            <w:tcW w:w="694" w:type="pct"/>
            <w:shd w:val="clear" w:color="auto" w:fill="auto"/>
            <w:tcMar>
              <w:top w:w="15" w:type="dxa"/>
              <w:left w:w="15" w:type="dxa"/>
              <w:bottom w:w="0" w:type="dxa"/>
              <w:right w:w="15" w:type="dxa"/>
            </w:tcMar>
            <w:vAlign w:val="center"/>
            <w:hideMark/>
          </w:tcPr>
          <w:p w14:paraId="6A7369B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$286,037</w:t>
            </w:r>
          </w:p>
        </w:tc>
      </w:tr>
      <w:tr w:rsidR="003E5907" w:rsidRPr="00652AA2" w14:paraId="60E3A85D" w14:textId="77777777" w:rsidTr="00CF2C5B">
        <w:trPr>
          <w:trHeight w:val="450"/>
        </w:trPr>
        <w:tc>
          <w:tcPr>
            <w:tcW w:w="794" w:type="pct"/>
            <w:shd w:val="clear" w:color="auto" w:fill="auto"/>
            <w:tcMar>
              <w:top w:w="15" w:type="dxa"/>
              <w:left w:w="15" w:type="dxa"/>
              <w:bottom w:w="0" w:type="dxa"/>
              <w:right w:w="15" w:type="dxa"/>
            </w:tcMar>
            <w:vAlign w:val="center"/>
            <w:hideMark/>
          </w:tcPr>
          <w:p w14:paraId="0509DE31" w14:textId="3213AFE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669DB0AD" w14:textId="40DACB5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George Institute for Global Health</w:t>
            </w:r>
          </w:p>
        </w:tc>
        <w:tc>
          <w:tcPr>
            <w:tcW w:w="2382" w:type="pct"/>
            <w:shd w:val="clear" w:color="auto" w:fill="auto"/>
            <w:tcMar>
              <w:top w:w="15" w:type="dxa"/>
              <w:left w:w="15" w:type="dxa"/>
              <w:bottom w:w="0" w:type="dxa"/>
              <w:right w:w="15" w:type="dxa"/>
            </w:tcMar>
            <w:vAlign w:val="center"/>
            <w:hideMark/>
          </w:tcPr>
          <w:p w14:paraId="4A8FC38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Sepsis Outcomes Research</w:t>
            </w:r>
          </w:p>
        </w:tc>
        <w:tc>
          <w:tcPr>
            <w:tcW w:w="694" w:type="pct"/>
            <w:shd w:val="clear" w:color="auto" w:fill="auto"/>
            <w:tcMar>
              <w:top w:w="15" w:type="dxa"/>
              <w:left w:w="15" w:type="dxa"/>
              <w:bottom w:w="0" w:type="dxa"/>
              <w:right w:w="15" w:type="dxa"/>
            </w:tcMar>
            <w:vAlign w:val="center"/>
            <w:hideMark/>
          </w:tcPr>
          <w:p w14:paraId="084BD980"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$274,946</w:t>
            </w:r>
          </w:p>
        </w:tc>
      </w:tr>
      <w:tr w:rsidR="003E5907" w:rsidRPr="00652AA2" w14:paraId="7C95DB90" w14:textId="77777777" w:rsidTr="00CF2C5B">
        <w:trPr>
          <w:trHeight w:val="450"/>
        </w:trPr>
        <w:tc>
          <w:tcPr>
            <w:tcW w:w="794" w:type="pct"/>
            <w:shd w:val="clear" w:color="auto" w:fill="auto"/>
            <w:tcMar>
              <w:top w:w="15" w:type="dxa"/>
              <w:left w:w="15" w:type="dxa"/>
              <w:bottom w:w="0" w:type="dxa"/>
              <w:right w:w="15" w:type="dxa"/>
            </w:tcMar>
            <w:vAlign w:val="center"/>
            <w:hideMark/>
          </w:tcPr>
          <w:p w14:paraId="18BEDFB7" w14:textId="00B28C0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6D99207B" w14:textId="111691B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Western Australia</w:t>
            </w:r>
          </w:p>
        </w:tc>
        <w:tc>
          <w:tcPr>
            <w:tcW w:w="2382" w:type="pct"/>
            <w:shd w:val="clear" w:color="auto" w:fill="auto"/>
            <w:tcMar>
              <w:top w:w="15" w:type="dxa"/>
              <w:left w:w="15" w:type="dxa"/>
              <w:bottom w:w="0" w:type="dxa"/>
              <w:right w:w="15" w:type="dxa"/>
            </w:tcMar>
            <w:vAlign w:val="center"/>
            <w:hideMark/>
          </w:tcPr>
          <w:p w14:paraId="268006F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Developing personalised treatment for retinal degeneration</w:t>
            </w:r>
          </w:p>
        </w:tc>
        <w:tc>
          <w:tcPr>
            <w:tcW w:w="694" w:type="pct"/>
            <w:shd w:val="clear" w:color="auto" w:fill="auto"/>
            <w:tcMar>
              <w:top w:w="15" w:type="dxa"/>
              <w:left w:w="15" w:type="dxa"/>
              <w:bottom w:w="0" w:type="dxa"/>
              <w:right w:w="15" w:type="dxa"/>
            </w:tcMar>
            <w:vAlign w:val="center"/>
            <w:hideMark/>
          </w:tcPr>
          <w:p w14:paraId="189739E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$258,600</w:t>
            </w:r>
          </w:p>
        </w:tc>
      </w:tr>
      <w:tr w:rsidR="003E5907" w:rsidRPr="00652AA2" w14:paraId="3D72A947" w14:textId="77777777" w:rsidTr="00CF2C5B">
        <w:trPr>
          <w:trHeight w:val="450"/>
        </w:trPr>
        <w:tc>
          <w:tcPr>
            <w:tcW w:w="794" w:type="pct"/>
            <w:shd w:val="clear" w:color="auto" w:fill="auto"/>
            <w:tcMar>
              <w:top w:w="15" w:type="dxa"/>
              <w:left w:w="15" w:type="dxa"/>
              <w:bottom w:w="0" w:type="dxa"/>
              <w:right w:w="15" w:type="dxa"/>
            </w:tcMar>
            <w:vAlign w:val="center"/>
            <w:hideMark/>
          </w:tcPr>
          <w:p w14:paraId="1C15126F" w14:textId="41F8DED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6F70EE2F" w14:textId="571FE3A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5A6E745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Reducing Brain Injury and Improving The Care Of High-Risk Newborn Infants</w:t>
            </w:r>
          </w:p>
        </w:tc>
        <w:tc>
          <w:tcPr>
            <w:tcW w:w="694" w:type="pct"/>
            <w:shd w:val="clear" w:color="auto" w:fill="auto"/>
            <w:tcMar>
              <w:top w:w="15" w:type="dxa"/>
              <w:left w:w="15" w:type="dxa"/>
              <w:bottom w:w="0" w:type="dxa"/>
              <w:right w:w="15" w:type="dxa"/>
            </w:tcMar>
            <w:vAlign w:val="center"/>
            <w:hideMark/>
          </w:tcPr>
          <w:p w14:paraId="5A7108F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$241,702</w:t>
            </w:r>
          </w:p>
        </w:tc>
      </w:tr>
      <w:tr w:rsidR="003E5907" w:rsidRPr="00652AA2" w14:paraId="1DFA35B7" w14:textId="77777777" w:rsidTr="00CF2C5B">
        <w:trPr>
          <w:trHeight w:val="450"/>
        </w:trPr>
        <w:tc>
          <w:tcPr>
            <w:tcW w:w="794" w:type="pct"/>
            <w:shd w:val="clear" w:color="auto" w:fill="auto"/>
            <w:tcMar>
              <w:top w:w="15" w:type="dxa"/>
              <w:left w:w="15" w:type="dxa"/>
              <w:bottom w:w="0" w:type="dxa"/>
              <w:right w:w="15" w:type="dxa"/>
            </w:tcMar>
            <w:vAlign w:val="center"/>
            <w:hideMark/>
          </w:tcPr>
          <w:p w14:paraId="72D4DAB0" w14:textId="7275965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6AD6803B" w14:textId="6C9F646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42023FA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Next Generation Targeting of DNA-Methylation in Poor Risk Lymphoid Cancer</w:t>
            </w:r>
          </w:p>
        </w:tc>
        <w:tc>
          <w:tcPr>
            <w:tcW w:w="694" w:type="pct"/>
            <w:shd w:val="clear" w:color="auto" w:fill="auto"/>
            <w:tcMar>
              <w:top w:w="15" w:type="dxa"/>
              <w:left w:w="15" w:type="dxa"/>
              <w:bottom w:w="0" w:type="dxa"/>
              <w:right w:w="15" w:type="dxa"/>
            </w:tcMar>
            <w:vAlign w:val="center"/>
            <w:hideMark/>
          </w:tcPr>
          <w:p w14:paraId="6B510358"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$218,518</w:t>
            </w:r>
          </w:p>
        </w:tc>
      </w:tr>
      <w:tr w:rsidR="003E5907" w:rsidRPr="00652AA2" w14:paraId="1E6AF247" w14:textId="77777777" w:rsidTr="00CF2C5B">
        <w:trPr>
          <w:trHeight w:val="450"/>
        </w:trPr>
        <w:tc>
          <w:tcPr>
            <w:tcW w:w="794" w:type="pct"/>
            <w:shd w:val="clear" w:color="auto" w:fill="auto"/>
            <w:tcMar>
              <w:top w:w="15" w:type="dxa"/>
              <w:left w:w="15" w:type="dxa"/>
              <w:bottom w:w="0" w:type="dxa"/>
              <w:right w:w="15" w:type="dxa"/>
            </w:tcMar>
            <w:vAlign w:val="center"/>
            <w:hideMark/>
          </w:tcPr>
          <w:p w14:paraId="22EB72F1" w14:textId="12D3F02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DA549A3" w14:textId="276F0B0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National University</w:t>
            </w:r>
          </w:p>
        </w:tc>
        <w:tc>
          <w:tcPr>
            <w:tcW w:w="2382" w:type="pct"/>
            <w:shd w:val="clear" w:color="auto" w:fill="auto"/>
            <w:tcMar>
              <w:top w:w="15" w:type="dxa"/>
              <w:left w:w="15" w:type="dxa"/>
              <w:bottom w:w="0" w:type="dxa"/>
              <w:right w:w="15" w:type="dxa"/>
            </w:tcMar>
            <w:vAlign w:val="center"/>
            <w:hideMark/>
          </w:tcPr>
          <w:p w14:paraId="0906D40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Implementation of a peer worker-led mental health recovery program</w:t>
            </w:r>
          </w:p>
        </w:tc>
        <w:tc>
          <w:tcPr>
            <w:tcW w:w="694" w:type="pct"/>
            <w:shd w:val="clear" w:color="auto" w:fill="auto"/>
            <w:tcMar>
              <w:top w:w="15" w:type="dxa"/>
              <w:left w:w="15" w:type="dxa"/>
              <w:bottom w:w="0" w:type="dxa"/>
              <w:right w:w="15" w:type="dxa"/>
            </w:tcMar>
            <w:vAlign w:val="center"/>
            <w:hideMark/>
          </w:tcPr>
          <w:p w14:paraId="65FFB90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09F4D67B" w14:textId="77777777" w:rsidTr="00CF2C5B">
        <w:trPr>
          <w:trHeight w:val="450"/>
        </w:trPr>
        <w:tc>
          <w:tcPr>
            <w:tcW w:w="794" w:type="pct"/>
            <w:shd w:val="clear" w:color="auto" w:fill="auto"/>
            <w:tcMar>
              <w:top w:w="15" w:type="dxa"/>
              <w:left w:w="15" w:type="dxa"/>
              <w:bottom w:w="0" w:type="dxa"/>
              <w:right w:w="15" w:type="dxa"/>
            </w:tcMar>
            <w:vAlign w:val="center"/>
            <w:hideMark/>
          </w:tcPr>
          <w:p w14:paraId="07DD5D5F" w14:textId="5B81B2B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253B53E" w14:textId="5300476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Wollongong</w:t>
            </w:r>
          </w:p>
        </w:tc>
        <w:tc>
          <w:tcPr>
            <w:tcW w:w="2382" w:type="pct"/>
            <w:shd w:val="clear" w:color="auto" w:fill="auto"/>
            <w:tcMar>
              <w:top w:w="15" w:type="dxa"/>
              <w:left w:w="15" w:type="dxa"/>
              <w:bottom w:w="0" w:type="dxa"/>
              <w:right w:w="15" w:type="dxa"/>
            </w:tcMar>
            <w:vAlign w:val="center"/>
            <w:hideMark/>
          </w:tcPr>
          <w:p w14:paraId="705CDA0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Implementing a health literacy focused dietetic outpatient model of care for people with chronic kidney disease</w:t>
            </w:r>
          </w:p>
        </w:tc>
        <w:tc>
          <w:tcPr>
            <w:tcW w:w="694" w:type="pct"/>
            <w:shd w:val="clear" w:color="auto" w:fill="auto"/>
            <w:tcMar>
              <w:top w:w="15" w:type="dxa"/>
              <w:left w:w="15" w:type="dxa"/>
              <w:bottom w:w="0" w:type="dxa"/>
              <w:right w:w="15" w:type="dxa"/>
            </w:tcMar>
            <w:vAlign w:val="center"/>
            <w:hideMark/>
          </w:tcPr>
          <w:p w14:paraId="3525E5F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51FDF4A0" w14:textId="77777777" w:rsidTr="00CF2C5B">
        <w:trPr>
          <w:trHeight w:val="450"/>
        </w:trPr>
        <w:tc>
          <w:tcPr>
            <w:tcW w:w="794" w:type="pct"/>
            <w:shd w:val="clear" w:color="auto" w:fill="auto"/>
            <w:tcMar>
              <w:top w:w="15" w:type="dxa"/>
              <w:left w:w="15" w:type="dxa"/>
              <w:bottom w:w="0" w:type="dxa"/>
              <w:right w:w="15" w:type="dxa"/>
            </w:tcMar>
            <w:vAlign w:val="center"/>
            <w:hideMark/>
          </w:tcPr>
          <w:p w14:paraId="10D4EFAC" w14:textId="1D130D5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3FB5BCC" w14:textId="0980EA4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Flinders University of South Australia</w:t>
            </w:r>
          </w:p>
        </w:tc>
        <w:tc>
          <w:tcPr>
            <w:tcW w:w="2382" w:type="pct"/>
            <w:shd w:val="clear" w:color="auto" w:fill="auto"/>
            <w:tcMar>
              <w:top w:w="15" w:type="dxa"/>
              <w:left w:w="15" w:type="dxa"/>
              <w:bottom w:w="0" w:type="dxa"/>
              <w:right w:w="15" w:type="dxa"/>
            </w:tcMar>
            <w:vAlign w:val="center"/>
            <w:hideMark/>
          </w:tcPr>
          <w:p w14:paraId="6CFD716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Enhancing the capacity of mental health services to review, personalise and intervene early through implementation of real-time outcome monitoring</w:t>
            </w:r>
          </w:p>
        </w:tc>
        <w:tc>
          <w:tcPr>
            <w:tcW w:w="694" w:type="pct"/>
            <w:shd w:val="clear" w:color="auto" w:fill="auto"/>
            <w:tcMar>
              <w:top w:w="15" w:type="dxa"/>
              <w:left w:w="15" w:type="dxa"/>
              <w:bottom w:w="0" w:type="dxa"/>
              <w:right w:w="15" w:type="dxa"/>
            </w:tcMar>
            <w:vAlign w:val="center"/>
            <w:hideMark/>
          </w:tcPr>
          <w:p w14:paraId="51F57E5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73CBBA02" w14:textId="77777777" w:rsidTr="00CF2C5B">
        <w:trPr>
          <w:trHeight w:val="450"/>
        </w:trPr>
        <w:tc>
          <w:tcPr>
            <w:tcW w:w="794" w:type="pct"/>
            <w:shd w:val="clear" w:color="auto" w:fill="auto"/>
            <w:tcMar>
              <w:top w:w="15" w:type="dxa"/>
              <w:left w:w="15" w:type="dxa"/>
              <w:bottom w:w="0" w:type="dxa"/>
              <w:right w:w="15" w:type="dxa"/>
            </w:tcMar>
            <w:vAlign w:val="center"/>
            <w:hideMark/>
          </w:tcPr>
          <w:p w14:paraId="169E9078" w14:textId="5C890F5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5C19061D" w14:textId="47D0EF7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Tasmania</w:t>
            </w:r>
          </w:p>
        </w:tc>
        <w:tc>
          <w:tcPr>
            <w:tcW w:w="2382" w:type="pct"/>
            <w:shd w:val="clear" w:color="auto" w:fill="auto"/>
            <w:tcMar>
              <w:top w:w="15" w:type="dxa"/>
              <w:left w:w="15" w:type="dxa"/>
              <w:bottom w:w="0" w:type="dxa"/>
              <w:right w:w="15" w:type="dxa"/>
            </w:tcMar>
            <w:vAlign w:val="center"/>
            <w:hideMark/>
          </w:tcPr>
          <w:p w14:paraId="470C5B0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Sustaining oral and systemic health in Residential Aged Care Facilities</w:t>
            </w:r>
          </w:p>
        </w:tc>
        <w:tc>
          <w:tcPr>
            <w:tcW w:w="694" w:type="pct"/>
            <w:shd w:val="clear" w:color="auto" w:fill="auto"/>
            <w:tcMar>
              <w:top w:w="15" w:type="dxa"/>
              <w:left w:w="15" w:type="dxa"/>
              <w:bottom w:w="0" w:type="dxa"/>
              <w:right w:w="15" w:type="dxa"/>
            </w:tcMar>
            <w:vAlign w:val="center"/>
            <w:hideMark/>
          </w:tcPr>
          <w:p w14:paraId="400DFDBB"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41A51B72" w14:textId="77777777" w:rsidTr="00CF2C5B">
        <w:trPr>
          <w:trHeight w:val="450"/>
        </w:trPr>
        <w:tc>
          <w:tcPr>
            <w:tcW w:w="794" w:type="pct"/>
            <w:shd w:val="clear" w:color="auto" w:fill="auto"/>
            <w:tcMar>
              <w:top w:w="15" w:type="dxa"/>
              <w:left w:w="15" w:type="dxa"/>
              <w:bottom w:w="0" w:type="dxa"/>
              <w:right w:w="15" w:type="dxa"/>
            </w:tcMar>
            <w:vAlign w:val="center"/>
            <w:hideMark/>
          </w:tcPr>
          <w:p w14:paraId="69ABDF14" w14:textId="049FC88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0199E1F4" w14:textId="00DA348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La Trobe University</w:t>
            </w:r>
          </w:p>
        </w:tc>
        <w:tc>
          <w:tcPr>
            <w:tcW w:w="2382" w:type="pct"/>
            <w:shd w:val="clear" w:color="auto" w:fill="auto"/>
            <w:tcMar>
              <w:top w:w="15" w:type="dxa"/>
              <w:left w:w="15" w:type="dxa"/>
              <w:bottom w:w="0" w:type="dxa"/>
              <w:right w:w="15" w:type="dxa"/>
            </w:tcMar>
            <w:vAlign w:val="center"/>
            <w:hideMark/>
          </w:tcPr>
          <w:p w14:paraId="077DFF6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Implementing appropriate exercise and education for Australians with knee osteoarthritis</w:t>
            </w:r>
          </w:p>
        </w:tc>
        <w:tc>
          <w:tcPr>
            <w:tcW w:w="694" w:type="pct"/>
            <w:shd w:val="clear" w:color="auto" w:fill="auto"/>
            <w:tcMar>
              <w:top w:w="15" w:type="dxa"/>
              <w:left w:w="15" w:type="dxa"/>
              <w:bottom w:w="0" w:type="dxa"/>
              <w:right w:w="15" w:type="dxa"/>
            </w:tcMar>
            <w:vAlign w:val="center"/>
            <w:hideMark/>
          </w:tcPr>
          <w:p w14:paraId="07BB908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7FBCF799" w14:textId="77777777" w:rsidTr="00CF2C5B">
        <w:trPr>
          <w:trHeight w:val="450"/>
        </w:trPr>
        <w:tc>
          <w:tcPr>
            <w:tcW w:w="794" w:type="pct"/>
            <w:shd w:val="clear" w:color="auto" w:fill="auto"/>
            <w:tcMar>
              <w:top w:w="15" w:type="dxa"/>
              <w:left w:w="15" w:type="dxa"/>
              <w:bottom w:w="0" w:type="dxa"/>
              <w:right w:w="15" w:type="dxa"/>
            </w:tcMar>
            <w:vAlign w:val="center"/>
            <w:hideMark/>
          </w:tcPr>
          <w:p w14:paraId="761AB8AB" w14:textId="13A4DC2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7A2B6EF4" w14:textId="12AACB9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6F4C8A23"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Closing the communication gap in chronic disease</w:t>
            </w:r>
          </w:p>
        </w:tc>
        <w:tc>
          <w:tcPr>
            <w:tcW w:w="694" w:type="pct"/>
            <w:shd w:val="clear" w:color="auto" w:fill="auto"/>
            <w:tcMar>
              <w:top w:w="15" w:type="dxa"/>
              <w:left w:w="15" w:type="dxa"/>
              <w:bottom w:w="0" w:type="dxa"/>
              <w:right w:w="15" w:type="dxa"/>
            </w:tcMar>
            <w:vAlign w:val="center"/>
            <w:hideMark/>
          </w:tcPr>
          <w:p w14:paraId="665C588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4D994135" w14:textId="77777777" w:rsidTr="00CF2C5B">
        <w:trPr>
          <w:trHeight w:val="450"/>
        </w:trPr>
        <w:tc>
          <w:tcPr>
            <w:tcW w:w="794" w:type="pct"/>
            <w:shd w:val="clear" w:color="auto" w:fill="auto"/>
            <w:tcMar>
              <w:top w:w="15" w:type="dxa"/>
              <w:left w:w="15" w:type="dxa"/>
              <w:bottom w:w="0" w:type="dxa"/>
              <w:right w:w="15" w:type="dxa"/>
            </w:tcMar>
            <w:vAlign w:val="center"/>
            <w:hideMark/>
          </w:tcPr>
          <w:p w14:paraId="0F73B081" w14:textId="79C5B6C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64470B85" w14:textId="123BEA7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1491D22C"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Reducing the burden of dialysis catheter complications - a national approach</w:t>
            </w:r>
          </w:p>
        </w:tc>
        <w:tc>
          <w:tcPr>
            <w:tcW w:w="694" w:type="pct"/>
            <w:shd w:val="clear" w:color="auto" w:fill="auto"/>
            <w:tcMar>
              <w:top w:w="15" w:type="dxa"/>
              <w:left w:w="15" w:type="dxa"/>
              <w:bottom w:w="0" w:type="dxa"/>
              <w:right w:w="15" w:type="dxa"/>
            </w:tcMar>
            <w:vAlign w:val="center"/>
            <w:hideMark/>
          </w:tcPr>
          <w:p w14:paraId="3938A831"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1C5B2763" w14:textId="77777777" w:rsidTr="00CF2C5B">
        <w:trPr>
          <w:trHeight w:val="450"/>
        </w:trPr>
        <w:tc>
          <w:tcPr>
            <w:tcW w:w="794" w:type="pct"/>
            <w:shd w:val="clear" w:color="auto" w:fill="auto"/>
            <w:tcMar>
              <w:top w:w="15" w:type="dxa"/>
              <w:left w:w="15" w:type="dxa"/>
              <w:bottom w:w="0" w:type="dxa"/>
              <w:right w:w="15" w:type="dxa"/>
            </w:tcMar>
            <w:vAlign w:val="center"/>
            <w:hideMark/>
          </w:tcPr>
          <w:p w14:paraId="0B676D31" w14:textId="2C71FB0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19D4A999" w14:textId="072C341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0E7B204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Catch them when they fall: Providing best evidence care after a suicide attempt</w:t>
            </w:r>
          </w:p>
        </w:tc>
        <w:tc>
          <w:tcPr>
            <w:tcW w:w="694" w:type="pct"/>
            <w:shd w:val="clear" w:color="auto" w:fill="auto"/>
            <w:tcMar>
              <w:top w:w="15" w:type="dxa"/>
              <w:left w:w="15" w:type="dxa"/>
              <w:bottom w:w="0" w:type="dxa"/>
              <w:right w:w="15" w:type="dxa"/>
            </w:tcMar>
            <w:vAlign w:val="center"/>
            <w:hideMark/>
          </w:tcPr>
          <w:p w14:paraId="249251DC"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7D1B229C" w14:textId="77777777" w:rsidTr="00CF2C5B">
        <w:trPr>
          <w:trHeight w:val="450"/>
        </w:trPr>
        <w:tc>
          <w:tcPr>
            <w:tcW w:w="794" w:type="pct"/>
            <w:shd w:val="clear" w:color="auto" w:fill="auto"/>
            <w:tcMar>
              <w:top w:w="15" w:type="dxa"/>
              <w:left w:w="15" w:type="dxa"/>
              <w:bottom w:w="0" w:type="dxa"/>
              <w:right w:w="15" w:type="dxa"/>
            </w:tcMar>
            <w:vAlign w:val="center"/>
            <w:hideMark/>
          </w:tcPr>
          <w:p w14:paraId="7002B8DC" w14:textId="2EA539D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Next </w:t>
            </w:r>
            <w:r>
              <w:rPr>
                <w:rFonts w:ascii="Segoe UI" w:eastAsia="Calibri" w:hAnsi="Segoe UI" w:cs="Segoe UI"/>
                <w:color w:val="000000"/>
                <w:sz w:val="17"/>
                <w:szCs w:val="17"/>
              </w:rPr>
              <w:t>Generation Clinical Researchers</w:t>
            </w:r>
          </w:p>
        </w:tc>
        <w:tc>
          <w:tcPr>
            <w:tcW w:w="1130" w:type="pct"/>
            <w:shd w:val="clear" w:color="auto" w:fill="auto"/>
            <w:tcMar>
              <w:top w:w="15" w:type="dxa"/>
              <w:left w:w="15" w:type="dxa"/>
              <w:bottom w:w="0" w:type="dxa"/>
              <w:right w:w="15" w:type="dxa"/>
            </w:tcMar>
            <w:vAlign w:val="center"/>
            <w:hideMark/>
          </w:tcPr>
          <w:p w14:paraId="337ABD18" w14:textId="5E77148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Centre for Eye Research Australia Limited</w:t>
            </w:r>
          </w:p>
        </w:tc>
        <w:tc>
          <w:tcPr>
            <w:tcW w:w="2382" w:type="pct"/>
            <w:shd w:val="clear" w:color="auto" w:fill="auto"/>
            <w:tcMar>
              <w:top w:w="15" w:type="dxa"/>
              <w:left w:w="15" w:type="dxa"/>
              <w:bottom w:w="0" w:type="dxa"/>
              <w:right w:w="15" w:type="dxa"/>
            </w:tcMar>
            <w:vAlign w:val="center"/>
            <w:hideMark/>
          </w:tcPr>
          <w:p w14:paraId="06B50E3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patient management pathways in age-related macular degeneration</w:t>
            </w:r>
          </w:p>
        </w:tc>
        <w:tc>
          <w:tcPr>
            <w:tcW w:w="694" w:type="pct"/>
            <w:shd w:val="clear" w:color="auto" w:fill="auto"/>
            <w:tcMar>
              <w:top w:w="15" w:type="dxa"/>
              <w:left w:w="15" w:type="dxa"/>
              <w:bottom w:w="0" w:type="dxa"/>
              <w:right w:w="15" w:type="dxa"/>
            </w:tcMar>
            <w:vAlign w:val="center"/>
            <w:hideMark/>
          </w:tcPr>
          <w:p w14:paraId="6AEF65A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$179,118</w:t>
            </w:r>
          </w:p>
        </w:tc>
      </w:tr>
      <w:tr w:rsidR="003E5907" w:rsidRPr="00652AA2" w14:paraId="15E4E767" w14:textId="77777777" w:rsidTr="00CF2C5B">
        <w:trPr>
          <w:trHeight w:val="55"/>
        </w:trPr>
        <w:tc>
          <w:tcPr>
            <w:tcW w:w="794" w:type="pct"/>
            <w:shd w:val="clear" w:color="auto" w:fill="auto"/>
            <w:tcMar>
              <w:top w:w="15" w:type="dxa"/>
              <w:left w:w="15" w:type="dxa"/>
              <w:bottom w:w="0" w:type="dxa"/>
              <w:right w:w="15" w:type="dxa"/>
            </w:tcMar>
            <w:vAlign w:val="center"/>
            <w:hideMark/>
          </w:tcPr>
          <w:p w14:paraId="150BB961" w14:textId="734AE52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Rapid Applied Re</w:t>
            </w:r>
            <w:r>
              <w:rPr>
                <w:rFonts w:ascii="Segoe UI" w:eastAsia="Calibri" w:hAnsi="Segoe UI" w:cs="Segoe UI"/>
                <w:color w:val="000000"/>
                <w:sz w:val="17"/>
                <w:szCs w:val="17"/>
              </w:rPr>
              <w:t>search Translation</w:t>
            </w:r>
          </w:p>
        </w:tc>
        <w:tc>
          <w:tcPr>
            <w:tcW w:w="1130" w:type="pct"/>
            <w:shd w:val="clear" w:color="auto" w:fill="auto"/>
            <w:tcMar>
              <w:top w:w="15" w:type="dxa"/>
              <w:left w:w="15" w:type="dxa"/>
              <w:bottom w:w="0" w:type="dxa"/>
              <w:right w:w="15" w:type="dxa"/>
            </w:tcMar>
            <w:vAlign w:val="center"/>
            <w:hideMark/>
          </w:tcPr>
          <w:p w14:paraId="7DD377B4" w14:textId="116DF366"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1C5707F6" w14:textId="39CEB3A2" w:rsidR="003E5907" w:rsidRPr="00544312"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4F2030">
              <w:rPr>
                <w:rFonts w:ascii="Segoe UI" w:eastAsia="Calibri" w:hAnsi="Segoe UI" w:cs="Segoe UI"/>
                <w:i/>
                <w:sz w:val="17"/>
                <w:szCs w:val="17"/>
              </w:rPr>
              <w:t>Australian Medical Research and Innovation Priorities 2016-18.</w:t>
            </w:r>
          </w:p>
        </w:tc>
        <w:tc>
          <w:tcPr>
            <w:tcW w:w="694" w:type="pct"/>
            <w:shd w:val="clear" w:color="auto" w:fill="auto"/>
            <w:tcMar>
              <w:top w:w="15" w:type="dxa"/>
              <w:left w:w="15" w:type="dxa"/>
              <w:bottom w:w="0" w:type="dxa"/>
              <w:right w:w="15" w:type="dxa"/>
            </w:tcMar>
            <w:vAlign w:val="center"/>
            <w:hideMark/>
          </w:tcPr>
          <w:p w14:paraId="51D93C23"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$4,200,783</w:t>
            </w:r>
          </w:p>
        </w:tc>
      </w:tr>
      <w:tr w:rsidR="003E5907" w:rsidRPr="00652AA2" w14:paraId="73BB3FFB" w14:textId="77777777" w:rsidTr="00CF2C5B">
        <w:trPr>
          <w:trHeight w:val="676"/>
        </w:trPr>
        <w:tc>
          <w:tcPr>
            <w:tcW w:w="794" w:type="pct"/>
            <w:shd w:val="clear" w:color="auto" w:fill="auto"/>
            <w:tcMar>
              <w:top w:w="15" w:type="dxa"/>
              <w:left w:w="15" w:type="dxa"/>
              <w:bottom w:w="0" w:type="dxa"/>
              <w:right w:w="15" w:type="dxa"/>
            </w:tcMar>
            <w:vAlign w:val="center"/>
            <w:hideMark/>
          </w:tcPr>
          <w:p w14:paraId="098E285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lastRenderedPageBreak/>
              <w:t xml:space="preserve">Rapid Applied Research Translation </w:t>
            </w:r>
          </w:p>
        </w:tc>
        <w:tc>
          <w:tcPr>
            <w:tcW w:w="1130" w:type="pct"/>
            <w:shd w:val="clear" w:color="auto" w:fill="auto"/>
            <w:tcMar>
              <w:top w:w="15" w:type="dxa"/>
              <w:left w:w="15" w:type="dxa"/>
              <w:bottom w:w="0" w:type="dxa"/>
              <w:right w:w="15" w:type="dxa"/>
            </w:tcMar>
            <w:vAlign w:val="center"/>
            <w:hideMark/>
          </w:tcPr>
          <w:p w14:paraId="2DAE8E36" w14:textId="4593BCE3" w:rsidR="003E5907" w:rsidRPr="00652AA2" w:rsidRDefault="003E5907" w:rsidP="005009A8">
            <w:pPr>
              <w:spacing w:before="20" w:after="20" w:line="240" w:lineRule="auto"/>
              <w:rPr>
                <w:rFonts w:ascii="Segoe UI" w:eastAsia="Calibri" w:hAnsi="Segoe UI" w:cs="Segoe UI"/>
                <w:color w:val="000000"/>
                <w:sz w:val="17"/>
                <w:szCs w:val="17"/>
              </w:rPr>
            </w:pPr>
            <w:r>
              <w:rPr>
                <w:rFonts w:ascii="Segoe UI" w:eastAsia="Calibri" w:hAnsi="Segoe UI" w:cs="Segoe UI"/>
                <w:color w:val="000000"/>
                <w:sz w:val="17"/>
                <w:szCs w:val="17"/>
              </w:rPr>
              <w:t>Melbourne Academic</w:t>
            </w:r>
            <w:r w:rsidRPr="00652AA2">
              <w:rPr>
                <w:rFonts w:ascii="Segoe UI" w:eastAsia="Calibri" w:hAnsi="Segoe UI" w:cs="Segoe UI"/>
                <w:color w:val="000000"/>
                <w:sz w:val="17"/>
                <w:szCs w:val="17"/>
              </w:rPr>
              <w:t xml:space="preserve"> Centre for Health (MACH)</w:t>
            </w:r>
          </w:p>
        </w:tc>
        <w:tc>
          <w:tcPr>
            <w:tcW w:w="2382" w:type="pct"/>
            <w:shd w:val="clear" w:color="auto" w:fill="auto"/>
            <w:tcMar>
              <w:top w:w="15" w:type="dxa"/>
              <w:left w:w="15" w:type="dxa"/>
              <w:bottom w:w="0" w:type="dxa"/>
              <w:right w:w="15" w:type="dxa"/>
            </w:tcMar>
            <w:vAlign w:val="center"/>
            <w:hideMark/>
          </w:tcPr>
          <w:p w14:paraId="3CC800A6" w14:textId="60E5069D" w:rsidR="003E5907" w:rsidRPr="00544312"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5FCDC2E9"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$3,900,322</w:t>
            </w:r>
          </w:p>
        </w:tc>
      </w:tr>
      <w:tr w:rsidR="003E5907" w:rsidRPr="00652AA2" w14:paraId="107FA421" w14:textId="77777777" w:rsidTr="00CF2C5B">
        <w:trPr>
          <w:trHeight w:val="55"/>
        </w:trPr>
        <w:tc>
          <w:tcPr>
            <w:tcW w:w="794" w:type="pct"/>
            <w:shd w:val="clear" w:color="auto" w:fill="auto"/>
            <w:tcMar>
              <w:top w:w="15" w:type="dxa"/>
              <w:left w:w="15" w:type="dxa"/>
              <w:bottom w:w="0" w:type="dxa"/>
              <w:right w:w="15" w:type="dxa"/>
            </w:tcMar>
            <w:vAlign w:val="center"/>
            <w:hideMark/>
          </w:tcPr>
          <w:p w14:paraId="71926A2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18FE6E33" w14:textId="670BC1F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South Australian Health and Medical Research Institute</w:t>
            </w:r>
          </w:p>
        </w:tc>
        <w:tc>
          <w:tcPr>
            <w:tcW w:w="2382" w:type="pct"/>
            <w:shd w:val="clear" w:color="auto" w:fill="auto"/>
            <w:tcMar>
              <w:top w:w="15" w:type="dxa"/>
              <w:left w:w="15" w:type="dxa"/>
              <w:bottom w:w="0" w:type="dxa"/>
              <w:right w:w="15" w:type="dxa"/>
            </w:tcMar>
            <w:vAlign w:val="center"/>
            <w:hideMark/>
          </w:tcPr>
          <w:p w14:paraId="00F6BCF8" w14:textId="58DDAD6C"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14BC2261"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$4,222,222</w:t>
            </w:r>
          </w:p>
        </w:tc>
      </w:tr>
      <w:tr w:rsidR="003E5907" w:rsidRPr="00652AA2" w14:paraId="0CA3E9E8" w14:textId="77777777" w:rsidTr="00CF2C5B">
        <w:trPr>
          <w:trHeight w:val="630"/>
        </w:trPr>
        <w:tc>
          <w:tcPr>
            <w:tcW w:w="794" w:type="pct"/>
            <w:shd w:val="clear" w:color="auto" w:fill="auto"/>
            <w:tcMar>
              <w:top w:w="15" w:type="dxa"/>
              <w:left w:w="15" w:type="dxa"/>
              <w:bottom w:w="0" w:type="dxa"/>
              <w:right w:w="15" w:type="dxa"/>
            </w:tcMar>
            <w:vAlign w:val="center"/>
            <w:hideMark/>
          </w:tcPr>
          <w:p w14:paraId="0BC8508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1EC54423" w14:textId="5114025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Sydney Health Partners</w:t>
            </w:r>
          </w:p>
        </w:tc>
        <w:tc>
          <w:tcPr>
            <w:tcW w:w="2382" w:type="pct"/>
            <w:shd w:val="clear" w:color="auto" w:fill="auto"/>
            <w:tcMar>
              <w:top w:w="15" w:type="dxa"/>
              <w:left w:w="15" w:type="dxa"/>
              <w:bottom w:w="0" w:type="dxa"/>
              <w:right w:w="15" w:type="dxa"/>
            </w:tcMar>
            <w:vAlign w:val="center"/>
            <w:hideMark/>
          </w:tcPr>
          <w:p w14:paraId="253AA947" w14:textId="21728801"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567CCBD1"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$4,214,222</w:t>
            </w:r>
          </w:p>
        </w:tc>
      </w:tr>
      <w:tr w:rsidR="003E5907" w:rsidRPr="00652AA2" w14:paraId="12C67229" w14:textId="77777777" w:rsidTr="00CF2C5B">
        <w:trPr>
          <w:trHeight w:val="135"/>
        </w:trPr>
        <w:tc>
          <w:tcPr>
            <w:tcW w:w="794" w:type="pct"/>
            <w:shd w:val="clear" w:color="auto" w:fill="auto"/>
            <w:tcMar>
              <w:top w:w="15" w:type="dxa"/>
              <w:left w:w="15" w:type="dxa"/>
              <w:bottom w:w="0" w:type="dxa"/>
              <w:right w:w="15" w:type="dxa"/>
            </w:tcMar>
            <w:vAlign w:val="center"/>
            <w:hideMark/>
          </w:tcPr>
          <w:p w14:paraId="0751245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4EEB6316" w14:textId="609695B8"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Western Australian Health Translation Network (WAHTN)</w:t>
            </w:r>
          </w:p>
        </w:tc>
        <w:tc>
          <w:tcPr>
            <w:tcW w:w="2382" w:type="pct"/>
            <w:shd w:val="clear" w:color="auto" w:fill="auto"/>
            <w:tcMar>
              <w:top w:w="15" w:type="dxa"/>
              <w:left w:w="15" w:type="dxa"/>
              <w:bottom w:w="0" w:type="dxa"/>
              <w:right w:w="15" w:type="dxa"/>
            </w:tcMar>
            <w:vAlign w:val="center"/>
            <w:hideMark/>
          </w:tcPr>
          <w:p w14:paraId="723BFFDE" w14:textId="47A054CF"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02D3CF5A"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$2,194,222</w:t>
            </w:r>
          </w:p>
        </w:tc>
      </w:tr>
      <w:tr w:rsidR="003E5907" w:rsidRPr="00652AA2" w14:paraId="62BADCB7" w14:textId="77777777" w:rsidTr="00CF2C5B">
        <w:trPr>
          <w:trHeight w:val="55"/>
        </w:trPr>
        <w:tc>
          <w:tcPr>
            <w:tcW w:w="794" w:type="pct"/>
            <w:shd w:val="clear" w:color="auto" w:fill="auto"/>
            <w:tcMar>
              <w:top w:w="15" w:type="dxa"/>
              <w:left w:w="15" w:type="dxa"/>
              <w:bottom w:w="0" w:type="dxa"/>
              <w:right w:w="15" w:type="dxa"/>
            </w:tcMar>
            <w:vAlign w:val="center"/>
            <w:hideMark/>
          </w:tcPr>
          <w:p w14:paraId="621646CB"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0BA6B78F" w14:textId="25E6869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Brisbane Diamantina Health Partners</w:t>
            </w:r>
          </w:p>
        </w:tc>
        <w:tc>
          <w:tcPr>
            <w:tcW w:w="2382" w:type="pct"/>
            <w:shd w:val="clear" w:color="auto" w:fill="auto"/>
            <w:tcMar>
              <w:top w:w="15" w:type="dxa"/>
              <w:left w:w="15" w:type="dxa"/>
              <w:bottom w:w="0" w:type="dxa"/>
              <w:right w:w="15" w:type="dxa"/>
            </w:tcMar>
            <w:vAlign w:val="center"/>
            <w:hideMark/>
          </w:tcPr>
          <w:p w14:paraId="4DCB37DA" w14:textId="568C681E"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082A8848"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$2,222,222</w:t>
            </w:r>
          </w:p>
        </w:tc>
      </w:tr>
      <w:tr w:rsidR="003E5907" w:rsidRPr="00652AA2" w14:paraId="592BC2AF" w14:textId="77777777" w:rsidTr="00CF2C5B">
        <w:trPr>
          <w:trHeight w:val="675"/>
        </w:trPr>
        <w:tc>
          <w:tcPr>
            <w:tcW w:w="794" w:type="pct"/>
            <w:shd w:val="clear" w:color="auto" w:fill="auto"/>
            <w:tcMar>
              <w:top w:w="15" w:type="dxa"/>
              <w:left w:w="15" w:type="dxa"/>
              <w:bottom w:w="0" w:type="dxa"/>
              <w:right w:w="15" w:type="dxa"/>
            </w:tcMar>
            <w:vAlign w:val="center"/>
            <w:hideMark/>
          </w:tcPr>
          <w:p w14:paraId="35B238E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113E3A15" w14:textId="10A2145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Sydney Partnership for Health Education Research and Enterprise (SPHERE) - University of New South Wales.</w:t>
            </w:r>
          </w:p>
        </w:tc>
        <w:tc>
          <w:tcPr>
            <w:tcW w:w="2382" w:type="pct"/>
            <w:shd w:val="clear" w:color="auto" w:fill="auto"/>
            <w:tcMar>
              <w:top w:w="15" w:type="dxa"/>
              <w:left w:w="15" w:type="dxa"/>
              <w:bottom w:w="0" w:type="dxa"/>
              <w:right w:w="15" w:type="dxa"/>
            </w:tcMar>
            <w:vAlign w:val="center"/>
            <w:hideMark/>
          </w:tcPr>
          <w:p w14:paraId="0DC9D90C" w14:textId="257B4B06"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13986A1E"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$2,222,222</w:t>
            </w:r>
          </w:p>
        </w:tc>
      </w:tr>
      <w:tr w:rsidR="003E5907" w:rsidRPr="00652AA2" w14:paraId="6E01031F" w14:textId="77777777" w:rsidTr="00CF2C5B">
        <w:trPr>
          <w:trHeight w:val="346"/>
        </w:trPr>
        <w:tc>
          <w:tcPr>
            <w:tcW w:w="794" w:type="pct"/>
            <w:shd w:val="clear" w:color="auto" w:fill="auto"/>
            <w:tcMar>
              <w:top w:w="15" w:type="dxa"/>
              <w:left w:w="15" w:type="dxa"/>
              <w:bottom w:w="0" w:type="dxa"/>
              <w:right w:w="15" w:type="dxa"/>
            </w:tcMar>
            <w:vAlign w:val="center"/>
            <w:hideMark/>
          </w:tcPr>
          <w:p w14:paraId="7ED89FD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57790D5D" w14:textId="191EEFB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Central Australia Academic Health Science Centre</w:t>
            </w:r>
          </w:p>
        </w:tc>
        <w:tc>
          <w:tcPr>
            <w:tcW w:w="2382" w:type="pct"/>
            <w:shd w:val="clear" w:color="auto" w:fill="auto"/>
            <w:tcMar>
              <w:top w:w="15" w:type="dxa"/>
              <w:left w:w="15" w:type="dxa"/>
              <w:bottom w:w="0" w:type="dxa"/>
              <w:right w:w="15" w:type="dxa"/>
            </w:tcMar>
            <w:vAlign w:val="center"/>
            <w:hideMark/>
          </w:tcPr>
          <w:p w14:paraId="3095E08D" w14:textId="04768CFC"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00D45D04"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$2,222,222</w:t>
            </w:r>
          </w:p>
        </w:tc>
      </w:tr>
      <w:tr w:rsidR="003E5907" w:rsidRPr="00652AA2" w14:paraId="2E6F8BEA" w14:textId="77777777" w:rsidTr="00CF2C5B">
        <w:trPr>
          <w:trHeight w:val="55"/>
        </w:trPr>
        <w:tc>
          <w:tcPr>
            <w:tcW w:w="794" w:type="pct"/>
            <w:shd w:val="clear" w:color="auto" w:fill="auto"/>
            <w:tcMar>
              <w:top w:w="15" w:type="dxa"/>
              <w:left w:w="15" w:type="dxa"/>
              <w:bottom w:w="0" w:type="dxa"/>
              <w:right w:w="15" w:type="dxa"/>
            </w:tcMar>
            <w:vAlign w:val="center"/>
            <w:hideMark/>
          </w:tcPr>
          <w:p w14:paraId="37E19D9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Rapid Applied Research Translation </w:t>
            </w:r>
          </w:p>
        </w:tc>
        <w:tc>
          <w:tcPr>
            <w:tcW w:w="1130" w:type="pct"/>
            <w:shd w:val="clear" w:color="auto" w:fill="auto"/>
            <w:tcMar>
              <w:top w:w="15" w:type="dxa"/>
              <w:left w:w="15" w:type="dxa"/>
              <w:bottom w:w="0" w:type="dxa"/>
              <w:right w:w="15" w:type="dxa"/>
            </w:tcMar>
            <w:vAlign w:val="center"/>
            <w:hideMark/>
          </w:tcPr>
          <w:p w14:paraId="6567B3CC" w14:textId="3E9CA52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NSW Regional Health Partners</w:t>
            </w:r>
          </w:p>
        </w:tc>
        <w:tc>
          <w:tcPr>
            <w:tcW w:w="2382" w:type="pct"/>
            <w:shd w:val="clear" w:color="auto" w:fill="auto"/>
            <w:tcMar>
              <w:top w:w="15" w:type="dxa"/>
              <w:left w:w="15" w:type="dxa"/>
              <w:bottom w:w="0" w:type="dxa"/>
              <w:right w:w="15" w:type="dxa"/>
            </w:tcMar>
            <w:vAlign w:val="center"/>
            <w:hideMark/>
          </w:tcPr>
          <w:p w14:paraId="28B8EB70" w14:textId="0253EB4B" w:rsidR="003E5907" w:rsidRPr="00A83B06" w:rsidRDefault="003E5907" w:rsidP="005009A8">
            <w:pPr>
              <w:pStyle w:val="Default"/>
              <w:rPr>
                <w:rFonts w:ascii="Segoe UI" w:eastAsia="Calibri" w:hAnsi="Segoe UI" w:cs="Segoe UI"/>
                <w:sz w:val="17"/>
                <w:szCs w:val="17"/>
              </w:rPr>
            </w:pPr>
            <w:r w:rsidRPr="00544312">
              <w:rPr>
                <w:rFonts w:ascii="Segoe UI" w:eastAsia="Calibri" w:hAnsi="Segoe UI" w:cs="Segoe UI"/>
                <w:sz w:val="17"/>
                <w:szCs w:val="17"/>
              </w:rPr>
              <w:t xml:space="preserve">A range of projects have been funded under this initiative guided by the </w:t>
            </w:r>
            <w:r w:rsidRPr="00544312">
              <w:rPr>
                <w:rFonts w:ascii="Segoe UI" w:eastAsia="Calibri" w:hAnsi="Segoe UI" w:cs="Segoe UI"/>
                <w:i/>
                <w:sz w:val="17"/>
                <w:szCs w:val="17"/>
              </w:rPr>
              <w:t>Australian Medical Research and Innovation Priorities 2016-18</w:t>
            </w:r>
            <w:r>
              <w:rPr>
                <w:rFonts w:ascii="Segoe UI" w:eastAsia="Calibri" w:hAnsi="Segoe UI" w:cs="Segoe UI"/>
                <w:sz w:val="17"/>
                <w:szCs w:val="17"/>
              </w:rPr>
              <w:t>.</w:t>
            </w:r>
          </w:p>
        </w:tc>
        <w:tc>
          <w:tcPr>
            <w:tcW w:w="694" w:type="pct"/>
            <w:shd w:val="clear" w:color="auto" w:fill="auto"/>
            <w:tcMar>
              <w:top w:w="15" w:type="dxa"/>
              <w:left w:w="15" w:type="dxa"/>
              <w:bottom w:w="0" w:type="dxa"/>
              <w:right w:w="15" w:type="dxa"/>
            </w:tcMar>
            <w:vAlign w:val="center"/>
            <w:hideMark/>
          </w:tcPr>
          <w:p w14:paraId="592D0040" w14:textId="77777777" w:rsidR="003E5907" w:rsidRPr="00652AA2" w:rsidRDefault="003E5907" w:rsidP="005009A8">
            <w:pPr>
              <w:pStyle w:val="Default"/>
              <w:jc w:val="center"/>
              <w:rPr>
                <w:rFonts w:ascii="Segoe UI" w:eastAsia="Calibri" w:hAnsi="Segoe UI" w:cs="Segoe UI"/>
                <w:sz w:val="17"/>
                <w:szCs w:val="17"/>
              </w:rPr>
            </w:pPr>
            <w:r w:rsidRPr="00544312">
              <w:rPr>
                <w:rFonts w:ascii="Segoe UI" w:eastAsia="Calibri" w:hAnsi="Segoe UI" w:cs="Segoe UI"/>
                <w:sz w:val="17"/>
                <w:szCs w:val="17"/>
              </w:rPr>
              <w:t>$2,222,222</w:t>
            </w:r>
          </w:p>
        </w:tc>
      </w:tr>
      <w:tr w:rsidR="003E5907" w:rsidRPr="00652AA2" w14:paraId="25381BCE" w14:textId="77777777" w:rsidTr="00CF2C5B">
        <w:trPr>
          <w:trHeight w:val="675"/>
        </w:trPr>
        <w:tc>
          <w:tcPr>
            <w:tcW w:w="794" w:type="pct"/>
            <w:shd w:val="clear" w:color="auto" w:fill="auto"/>
            <w:tcMar>
              <w:top w:w="15" w:type="dxa"/>
              <w:left w:w="15" w:type="dxa"/>
              <w:bottom w:w="0" w:type="dxa"/>
              <w:right w:w="15" w:type="dxa"/>
            </w:tcMar>
            <w:vAlign w:val="center"/>
            <w:hideMark/>
          </w:tcPr>
          <w:p w14:paraId="085762BB" w14:textId="4B6908A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1B7367CB" w14:textId="16E60A9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University of Western Australia</w:t>
            </w:r>
          </w:p>
        </w:tc>
        <w:tc>
          <w:tcPr>
            <w:tcW w:w="2382" w:type="pct"/>
            <w:shd w:val="clear" w:color="auto" w:fill="auto"/>
            <w:tcMar>
              <w:top w:w="15" w:type="dxa"/>
              <w:left w:w="15" w:type="dxa"/>
              <w:bottom w:w="0" w:type="dxa"/>
              <w:right w:w="15" w:type="dxa"/>
            </w:tcMar>
            <w:vAlign w:val="center"/>
            <w:hideMark/>
          </w:tcPr>
          <w:p w14:paraId="356191A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BEAT-CF: Bayesian Evidence-Adaptive Trial to optimise management of Cystic Fibrosis</w:t>
            </w:r>
          </w:p>
        </w:tc>
        <w:tc>
          <w:tcPr>
            <w:tcW w:w="694" w:type="pct"/>
            <w:shd w:val="clear" w:color="auto" w:fill="auto"/>
            <w:tcMar>
              <w:top w:w="15" w:type="dxa"/>
              <w:left w:w="15" w:type="dxa"/>
              <w:bottom w:w="0" w:type="dxa"/>
              <w:right w:w="15" w:type="dxa"/>
            </w:tcMar>
            <w:vAlign w:val="center"/>
            <w:hideMark/>
          </w:tcPr>
          <w:p w14:paraId="7B1D119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$3,545,905</w:t>
            </w:r>
          </w:p>
        </w:tc>
      </w:tr>
      <w:tr w:rsidR="003E5907" w:rsidRPr="00652AA2" w14:paraId="75B4CE3F" w14:textId="77777777" w:rsidTr="00CF2C5B">
        <w:trPr>
          <w:trHeight w:val="675"/>
        </w:trPr>
        <w:tc>
          <w:tcPr>
            <w:tcW w:w="794" w:type="pct"/>
            <w:shd w:val="clear" w:color="auto" w:fill="auto"/>
            <w:tcMar>
              <w:top w:w="15" w:type="dxa"/>
              <w:left w:w="15" w:type="dxa"/>
              <w:bottom w:w="0" w:type="dxa"/>
              <w:right w:w="15" w:type="dxa"/>
            </w:tcMar>
            <w:vAlign w:val="center"/>
            <w:hideMark/>
          </w:tcPr>
          <w:p w14:paraId="748F7AC9" w14:textId="177F0FD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3F665FC4" w14:textId="607422E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5574A7A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platform clinical trial approach to the management of Mycobacterium abscessus complex (MABSC)</w:t>
            </w:r>
          </w:p>
        </w:tc>
        <w:tc>
          <w:tcPr>
            <w:tcW w:w="694" w:type="pct"/>
            <w:shd w:val="clear" w:color="auto" w:fill="auto"/>
            <w:tcMar>
              <w:top w:w="15" w:type="dxa"/>
              <w:left w:w="15" w:type="dxa"/>
              <w:bottom w:w="0" w:type="dxa"/>
              <w:right w:w="15" w:type="dxa"/>
            </w:tcMar>
            <w:vAlign w:val="center"/>
            <w:hideMark/>
          </w:tcPr>
          <w:p w14:paraId="7750E6D7"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$2,091,178</w:t>
            </w:r>
          </w:p>
        </w:tc>
      </w:tr>
      <w:tr w:rsidR="003E5907" w:rsidRPr="00652AA2" w14:paraId="74506BCB" w14:textId="77777777" w:rsidTr="00CF2C5B">
        <w:trPr>
          <w:trHeight w:val="250"/>
        </w:trPr>
        <w:tc>
          <w:tcPr>
            <w:tcW w:w="794" w:type="pct"/>
            <w:shd w:val="clear" w:color="auto" w:fill="auto"/>
            <w:tcMar>
              <w:top w:w="15" w:type="dxa"/>
              <w:left w:w="15" w:type="dxa"/>
              <w:bottom w:w="0" w:type="dxa"/>
              <w:right w:w="15" w:type="dxa"/>
            </w:tcMar>
            <w:vAlign w:val="center"/>
            <w:hideMark/>
          </w:tcPr>
          <w:p w14:paraId="345948BD" w14:textId="00909FE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60484C41" w14:textId="0A338CA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50A25266"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randomised controlled trial, of N-Acetyl Cysteine, for premanifest Huntington gene expansion carriers (NAC-preHD)</w:t>
            </w:r>
          </w:p>
        </w:tc>
        <w:tc>
          <w:tcPr>
            <w:tcW w:w="694" w:type="pct"/>
            <w:shd w:val="clear" w:color="auto" w:fill="auto"/>
            <w:tcMar>
              <w:top w:w="15" w:type="dxa"/>
              <w:left w:w="15" w:type="dxa"/>
              <w:bottom w:w="0" w:type="dxa"/>
              <w:right w:w="15" w:type="dxa"/>
            </w:tcMar>
            <w:vAlign w:val="center"/>
            <w:hideMark/>
          </w:tcPr>
          <w:p w14:paraId="7E3FE56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$1,905,227</w:t>
            </w:r>
          </w:p>
        </w:tc>
      </w:tr>
      <w:tr w:rsidR="003E5907" w:rsidRPr="00652AA2" w14:paraId="7BFCE9D8" w14:textId="77777777" w:rsidTr="00CF2C5B">
        <w:trPr>
          <w:trHeight w:val="675"/>
        </w:trPr>
        <w:tc>
          <w:tcPr>
            <w:tcW w:w="794" w:type="pct"/>
            <w:shd w:val="clear" w:color="auto" w:fill="auto"/>
            <w:tcMar>
              <w:top w:w="15" w:type="dxa"/>
              <w:left w:w="15" w:type="dxa"/>
              <w:bottom w:w="0" w:type="dxa"/>
              <w:right w:w="15" w:type="dxa"/>
            </w:tcMar>
            <w:vAlign w:val="center"/>
            <w:hideMark/>
          </w:tcPr>
          <w:p w14:paraId="4C4440C2" w14:textId="4752214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Rd2</w:t>
            </w:r>
          </w:p>
        </w:tc>
        <w:tc>
          <w:tcPr>
            <w:tcW w:w="1130" w:type="pct"/>
            <w:shd w:val="clear" w:color="auto" w:fill="auto"/>
            <w:tcMar>
              <w:top w:w="15" w:type="dxa"/>
              <w:left w:w="15" w:type="dxa"/>
              <w:bottom w:w="0" w:type="dxa"/>
              <w:right w:w="15" w:type="dxa"/>
            </w:tcMar>
            <w:vAlign w:val="center"/>
            <w:hideMark/>
          </w:tcPr>
          <w:p w14:paraId="71752F9C" w14:textId="6DA92E3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37B06B6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Combination of Avelumab with Peptide Receptor Radionuclide Therapy (PRRT) or Conventional Fractionated Radiotherapy (RT) in Metastatic Merkel Cell Carcinoma (MCC)</w:t>
            </w:r>
          </w:p>
        </w:tc>
        <w:tc>
          <w:tcPr>
            <w:tcW w:w="694" w:type="pct"/>
            <w:shd w:val="clear" w:color="auto" w:fill="auto"/>
            <w:tcMar>
              <w:top w:w="15" w:type="dxa"/>
              <w:left w:w="15" w:type="dxa"/>
              <w:bottom w:w="0" w:type="dxa"/>
              <w:right w:w="15" w:type="dxa"/>
            </w:tcMar>
            <w:vAlign w:val="center"/>
            <w:hideMark/>
          </w:tcPr>
          <w:p w14:paraId="061558D0"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$1,812,005</w:t>
            </w:r>
          </w:p>
        </w:tc>
      </w:tr>
      <w:tr w:rsidR="003E5907" w:rsidRPr="00652AA2" w14:paraId="06B64AFC" w14:textId="77777777" w:rsidTr="00CF2C5B">
        <w:trPr>
          <w:trHeight w:val="675"/>
        </w:trPr>
        <w:tc>
          <w:tcPr>
            <w:tcW w:w="794" w:type="pct"/>
            <w:shd w:val="clear" w:color="auto" w:fill="auto"/>
            <w:tcMar>
              <w:top w:w="15" w:type="dxa"/>
              <w:left w:w="15" w:type="dxa"/>
              <w:bottom w:w="0" w:type="dxa"/>
              <w:right w:w="15" w:type="dxa"/>
            </w:tcMar>
            <w:vAlign w:val="center"/>
            <w:hideMark/>
          </w:tcPr>
          <w:p w14:paraId="30A3EBD8" w14:textId="34D27C0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1B9B985C" w14:textId="088935C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3B30C19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DIAAMOND study: Diagnosis of aplastic anaemia, management, and outcomes utilising a national dataset</w:t>
            </w:r>
          </w:p>
        </w:tc>
        <w:tc>
          <w:tcPr>
            <w:tcW w:w="694" w:type="pct"/>
            <w:shd w:val="clear" w:color="auto" w:fill="auto"/>
            <w:tcMar>
              <w:top w:w="15" w:type="dxa"/>
              <w:left w:w="15" w:type="dxa"/>
              <w:bottom w:w="0" w:type="dxa"/>
              <w:right w:w="15" w:type="dxa"/>
            </w:tcMar>
            <w:vAlign w:val="center"/>
            <w:hideMark/>
          </w:tcPr>
          <w:p w14:paraId="587E775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$1,750,726</w:t>
            </w:r>
          </w:p>
        </w:tc>
      </w:tr>
      <w:tr w:rsidR="003E5907" w:rsidRPr="00652AA2" w14:paraId="131B2648" w14:textId="77777777" w:rsidTr="00CF2C5B">
        <w:trPr>
          <w:trHeight w:val="675"/>
        </w:trPr>
        <w:tc>
          <w:tcPr>
            <w:tcW w:w="794" w:type="pct"/>
            <w:shd w:val="clear" w:color="auto" w:fill="auto"/>
            <w:tcMar>
              <w:top w:w="15" w:type="dxa"/>
              <w:left w:w="15" w:type="dxa"/>
              <w:bottom w:w="0" w:type="dxa"/>
              <w:right w:w="15" w:type="dxa"/>
            </w:tcMar>
            <w:vAlign w:val="center"/>
            <w:hideMark/>
          </w:tcPr>
          <w:p w14:paraId="1A67665D" w14:textId="09ECED7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Rd2</w:t>
            </w:r>
          </w:p>
        </w:tc>
        <w:tc>
          <w:tcPr>
            <w:tcW w:w="1130" w:type="pct"/>
            <w:shd w:val="clear" w:color="auto" w:fill="auto"/>
            <w:tcMar>
              <w:top w:w="15" w:type="dxa"/>
              <w:left w:w="15" w:type="dxa"/>
              <w:bottom w:w="0" w:type="dxa"/>
              <w:right w:w="15" w:type="dxa"/>
            </w:tcMar>
            <w:vAlign w:val="center"/>
            <w:hideMark/>
          </w:tcPr>
          <w:p w14:paraId="0BCEB5D6" w14:textId="2CF2297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1422812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Improving survival in myelofibrosis</w:t>
            </w:r>
          </w:p>
        </w:tc>
        <w:tc>
          <w:tcPr>
            <w:tcW w:w="694" w:type="pct"/>
            <w:shd w:val="clear" w:color="auto" w:fill="auto"/>
            <w:tcMar>
              <w:top w:w="15" w:type="dxa"/>
              <w:left w:w="15" w:type="dxa"/>
              <w:bottom w:w="0" w:type="dxa"/>
              <w:right w:w="15" w:type="dxa"/>
            </w:tcMar>
            <w:vAlign w:val="center"/>
            <w:hideMark/>
          </w:tcPr>
          <w:p w14:paraId="0AC06CD0"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$1,733,327</w:t>
            </w:r>
          </w:p>
        </w:tc>
      </w:tr>
      <w:tr w:rsidR="003E5907" w:rsidRPr="00652AA2" w14:paraId="4C06893A" w14:textId="77777777" w:rsidTr="00CF2C5B">
        <w:trPr>
          <w:trHeight w:val="675"/>
        </w:trPr>
        <w:tc>
          <w:tcPr>
            <w:tcW w:w="794" w:type="pct"/>
            <w:shd w:val="clear" w:color="auto" w:fill="auto"/>
            <w:tcMar>
              <w:top w:w="15" w:type="dxa"/>
              <w:left w:w="15" w:type="dxa"/>
              <w:bottom w:w="0" w:type="dxa"/>
              <w:right w:w="15" w:type="dxa"/>
            </w:tcMar>
            <w:vAlign w:val="center"/>
            <w:hideMark/>
          </w:tcPr>
          <w:p w14:paraId="13984CE9" w14:textId="615DB3C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w:t>
            </w:r>
            <w:r>
              <w:rPr>
                <w:rFonts w:ascii="Segoe UI" w:eastAsia="Calibri" w:hAnsi="Segoe UI" w:cs="Segoe UI"/>
                <w:color w:val="000000"/>
                <w:sz w:val="17"/>
                <w:szCs w:val="17"/>
              </w:rPr>
              <w:lastRenderedPageBreak/>
              <w:t>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Rd2</w:t>
            </w:r>
          </w:p>
        </w:tc>
        <w:tc>
          <w:tcPr>
            <w:tcW w:w="1130" w:type="pct"/>
            <w:shd w:val="clear" w:color="auto" w:fill="auto"/>
            <w:tcMar>
              <w:top w:w="15" w:type="dxa"/>
              <w:left w:w="15" w:type="dxa"/>
              <w:bottom w:w="0" w:type="dxa"/>
              <w:right w:w="15" w:type="dxa"/>
            </w:tcMar>
            <w:vAlign w:val="center"/>
            <w:hideMark/>
          </w:tcPr>
          <w:p w14:paraId="54CB3553" w14:textId="52C6705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lastRenderedPageBreak/>
              <w:t>Monash University</w:t>
            </w:r>
          </w:p>
        </w:tc>
        <w:tc>
          <w:tcPr>
            <w:tcW w:w="2382" w:type="pct"/>
            <w:shd w:val="clear" w:color="auto" w:fill="auto"/>
            <w:tcMar>
              <w:top w:w="15" w:type="dxa"/>
              <w:left w:w="15" w:type="dxa"/>
              <w:bottom w:w="0" w:type="dxa"/>
              <w:right w:w="15" w:type="dxa"/>
            </w:tcMar>
            <w:vAlign w:val="center"/>
            <w:hideMark/>
          </w:tcPr>
          <w:p w14:paraId="12C9913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Frailty-stratified randomised controlled bayesian adaptive trial of bortezomib versus lenalidomide in transplant-ineligible myeloma - the FRAIL-M study</w:t>
            </w:r>
          </w:p>
        </w:tc>
        <w:tc>
          <w:tcPr>
            <w:tcW w:w="694" w:type="pct"/>
            <w:shd w:val="clear" w:color="auto" w:fill="auto"/>
            <w:tcMar>
              <w:top w:w="15" w:type="dxa"/>
              <w:left w:w="15" w:type="dxa"/>
              <w:bottom w:w="0" w:type="dxa"/>
              <w:right w:w="15" w:type="dxa"/>
            </w:tcMar>
            <w:vAlign w:val="center"/>
            <w:hideMark/>
          </w:tcPr>
          <w:p w14:paraId="59D4993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$1,682,836</w:t>
            </w:r>
          </w:p>
        </w:tc>
      </w:tr>
      <w:tr w:rsidR="003E5907" w:rsidRPr="00652AA2" w14:paraId="197206DD" w14:textId="77777777" w:rsidTr="00CF2C5B">
        <w:trPr>
          <w:trHeight w:val="675"/>
        </w:trPr>
        <w:tc>
          <w:tcPr>
            <w:tcW w:w="794" w:type="pct"/>
            <w:shd w:val="clear" w:color="auto" w:fill="auto"/>
            <w:tcMar>
              <w:top w:w="15" w:type="dxa"/>
              <w:left w:w="15" w:type="dxa"/>
              <w:bottom w:w="0" w:type="dxa"/>
              <w:right w:w="15" w:type="dxa"/>
            </w:tcMar>
            <w:vAlign w:val="center"/>
            <w:hideMark/>
          </w:tcPr>
          <w:p w14:paraId="31CB6364" w14:textId="62C7E90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Rd2</w:t>
            </w:r>
          </w:p>
        </w:tc>
        <w:tc>
          <w:tcPr>
            <w:tcW w:w="1130" w:type="pct"/>
            <w:shd w:val="clear" w:color="auto" w:fill="auto"/>
            <w:tcMar>
              <w:top w:w="15" w:type="dxa"/>
              <w:left w:w="15" w:type="dxa"/>
              <w:bottom w:w="0" w:type="dxa"/>
              <w:right w:w="15" w:type="dxa"/>
            </w:tcMar>
            <w:vAlign w:val="center"/>
            <w:hideMark/>
          </w:tcPr>
          <w:p w14:paraId="62B0CDB1" w14:textId="0B6AB19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La Trobe University / Olivia Newton-John Cancer Research</w:t>
            </w:r>
          </w:p>
        </w:tc>
        <w:tc>
          <w:tcPr>
            <w:tcW w:w="2382" w:type="pct"/>
            <w:shd w:val="clear" w:color="auto" w:fill="auto"/>
            <w:tcMar>
              <w:top w:w="15" w:type="dxa"/>
              <w:left w:w="15" w:type="dxa"/>
              <w:bottom w:w="0" w:type="dxa"/>
              <w:right w:w="15" w:type="dxa"/>
            </w:tcMar>
            <w:vAlign w:val="center"/>
            <w:hideMark/>
          </w:tcPr>
          <w:p w14:paraId="33CFDB6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Basket Study of Low Survival Cancers Treated with EGFR-ADCs</w:t>
            </w:r>
          </w:p>
        </w:tc>
        <w:tc>
          <w:tcPr>
            <w:tcW w:w="694" w:type="pct"/>
            <w:shd w:val="clear" w:color="auto" w:fill="auto"/>
            <w:tcMar>
              <w:top w:w="15" w:type="dxa"/>
              <w:left w:w="15" w:type="dxa"/>
              <w:bottom w:w="0" w:type="dxa"/>
              <w:right w:w="15" w:type="dxa"/>
            </w:tcMar>
            <w:vAlign w:val="center"/>
            <w:hideMark/>
          </w:tcPr>
          <w:p w14:paraId="482047D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$1,658,626</w:t>
            </w:r>
          </w:p>
        </w:tc>
      </w:tr>
      <w:tr w:rsidR="003E5907" w:rsidRPr="00652AA2" w14:paraId="5FD55D0D" w14:textId="77777777" w:rsidTr="00CF2C5B">
        <w:trPr>
          <w:trHeight w:val="675"/>
        </w:trPr>
        <w:tc>
          <w:tcPr>
            <w:tcW w:w="794" w:type="pct"/>
            <w:shd w:val="clear" w:color="auto" w:fill="auto"/>
            <w:tcMar>
              <w:top w:w="15" w:type="dxa"/>
              <w:left w:w="15" w:type="dxa"/>
              <w:bottom w:w="0" w:type="dxa"/>
              <w:right w:w="15" w:type="dxa"/>
            </w:tcMar>
            <w:vAlign w:val="center"/>
            <w:hideMark/>
          </w:tcPr>
          <w:p w14:paraId="467DFF63" w14:textId="2A43DA2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6ABB4E28" w14:textId="5A161E7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2EB2428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An Open label, Multicentre, Phase I study of Ibrutinib, Rituximab and EBV specific T-cells in Patients with EBV-positive Primary or Secondary CNS Lymphoma unsuitable for standard therapies</w:t>
            </w:r>
          </w:p>
        </w:tc>
        <w:tc>
          <w:tcPr>
            <w:tcW w:w="694" w:type="pct"/>
            <w:shd w:val="clear" w:color="auto" w:fill="auto"/>
            <w:tcMar>
              <w:top w:w="15" w:type="dxa"/>
              <w:left w:w="15" w:type="dxa"/>
              <w:bottom w:w="0" w:type="dxa"/>
              <w:right w:w="15" w:type="dxa"/>
            </w:tcMar>
            <w:vAlign w:val="center"/>
            <w:hideMark/>
          </w:tcPr>
          <w:p w14:paraId="07AF0166"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$1,642,389</w:t>
            </w:r>
          </w:p>
        </w:tc>
      </w:tr>
      <w:tr w:rsidR="003E5907" w:rsidRPr="00652AA2" w14:paraId="70D60083" w14:textId="77777777" w:rsidTr="00CF2C5B">
        <w:trPr>
          <w:trHeight w:val="675"/>
        </w:trPr>
        <w:tc>
          <w:tcPr>
            <w:tcW w:w="794" w:type="pct"/>
            <w:shd w:val="clear" w:color="auto" w:fill="auto"/>
            <w:tcMar>
              <w:top w:w="15" w:type="dxa"/>
              <w:left w:w="15" w:type="dxa"/>
              <w:bottom w:w="0" w:type="dxa"/>
              <w:right w:w="15" w:type="dxa"/>
            </w:tcMar>
            <w:vAlign w:val="center"/>
            <w:hideMark/>
          </w:tcPr>
          <w:p w14:paraId="175FA201" w14:textId="0814185B"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4AD6B184" w14:textId="019F305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2964F4C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CAST – A Randomised Phase 3 Trial of Cyclophosphamide after Sibling Allogeneic Haematopoietic Stem Cell Transplant</w:t>
            </w:r>
          </w:p>
        </w:tc>
        <w:tc>
          <w:tcPr>
            <w:tcW w:w="694" w:type="pct"/>
            <w:shd w:val="clear" w:color="auto" w:fill="auto"/>
            <w:tcMar>
              <w:top w:w="15" w:type="dxa"/>
              <w:left w:w="15" w:type="dxa"/>
              <w:bottom w:w="0" w:type="dxa"/>
              <w:right w:w="15" w:type="dxa"/>
            </w:tcMar>
            <w:vAlign w:val="center"/>
            <w:hideMark/>
          </w:tcPr>
          <w:p w14:paraId="210FA91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$1,570,198</w:t>
            </w:r>
          </w:p>
        </w:tc>
      </w:tr>
      <w:tr w:rsidR="003E5907" w:rsidRPr="00652AA2" w14:paraId="424E72E8" w14:textId="77777777" w:rsidTr="00CF2C5B">
        <w:trPr>
          <w:trHeight w:val="675"/>
        </w:trPr>
        <w:tc>
          <w:tcPr>
            <w:tcW w:w="794" w:type="pct"/>
            <w:shd w:val="clear" w:color="auto" w:fill="auto"/>
            <w:tcMar>
              <w:top w:w="15" w:type="dxa"/>
              <w:left w:w="15" w:type="dxa"/>
              <w:bottom w:w="0" w:type="dxa"/>
              <w:right w:w="15" w:type="dxa"/>
            </w:tcMar>
            <w:vAlign w:val="center"/>
            <w:hideMark/>
          </w:tcPr>
          <w:p w14:paraId="5CDE8DC9" w14:textId="05F711E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60F23CF2" w14:textId="009FCE5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La Trobe University</w:t>
            </w:r>
          </w:p>
        </w:tc>
        <w:tc>
          <w:tcPr>
            <w:tcW w:w="2382" w:type="pct"/>
            <w:shd w:val="clear" w:color="auto" w:fill="auto"/>
            <w:tcMar>
              <w:top w:w="15" w:type="dxa"/>
              <w:left w:w="15" w:type="dxa"/>
              <w:bottom w:w="0" w:type="dxa"/>
              <w:right w:w="15" w:type="dxa"/>
            </w:tcMar>
            <w:vAlign w:val="center"/>
            <w:hideMark/>
          </w:tcPr>
          <w:p w14:paraId="4819037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Prospective, multicentre trial evaluating FET-PET in high grade glioma</w:t>
            </w:r>
          </w:p>
        </w:tc>
        <w:tc>
          <w:tcPr>
            <w:tcW w:w="694" w:type="pct"/>
            <w:shd w:val="clear" w:color="auto" w:fill="auto"/>
            <w:tcMar>
              <w:top w:w="15" w:type="dxa"/>
              <w:left w:w="15" w:type="dxa"/>
              <w:bottom w:w="0" w:type="dxa"/>
              <w:right w:w="15" w:type="dxa"/>
            </w:tcMar>
            <w:vAlign w:val="center"/>
            <w:hideMark/>
          </w:tcPr>
          <w:p w14:paraId="02A6566E"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$1,564,188</w:t>
            </w:r>
          </w:p>
        </w:tc>
      </w:tr>
      <w:tr w:rsidR="003E5907" w:rsidRPr="00652AA2" w14:paraId="4422C81D" w14:textId="77777777" w:rsidTr="00CF2C5B">
        <w:trPr>
          <w:trHeight w:val="675"/>
        </w:trPr>
        <w:tc>
          <w:tcPr>
            <w:tcW w:w="794" w:type="pct"/>
            <w:shd w:val="clear" w:color="auto" w:fill="auto"/>
            <w:tcMar>
              <w:top w:w="15" w:type="dxa"/>
              <w:left w:w="15" w:type="dxa"/>
              <w:bottom w:w="0" w:type="dxa"/>
              <w:right w:w="15" w:type="dxa"/>
            </w:tcMar>
            <w:vAlign w:val="center"/>
            <w:hideMark/>
          </w:tcPr>
          <w:p w14:paraId="569B09EB" w14:textId="7276C99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Rd2</w:t>
            </w:r>
          </w:p>
        </w:tc>
        <w:tc>
          <w:tcPr>
            <w:tcW w:w="1130" w:type="pct"/>
            <w:shd w:val="clear" w:color="auto" w:fill="auto"/>
            <w:tcMar>
              <w:top w:w="15" w:type="dxa"/>
              <w:left w:w="15" w:type="dxa"/>
              <w:bottom w:w="0" w:type="dxa"/>
              <w:right w:w="15" w:type="dxa"/>
            </w:tcMar>
            <w:vAlign w:val="center"/>
            <w:hideMark/>
          </w:tcPr>
          <w:p w14:paraId="14D872D6" w14:textId="7198CC3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4EBA35E3"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mFOLFIRINOX and STEreotactic body radiotherapy (SBRT) for pancreatic cancer with high-risk and Locally  AdvaNced disease (MASTERPLAN): a multicentre, randomised phase II study of the Australian Gastrointestinal Trials Group (AGITG)</w:t>
            </w:r>
          </w:p>
        </w:tc>
        <w:tc>
          <w:tcPr>
            <w:tcW w:w="694" w:type="pct"/>
            <w:shd w:val="clear" w:color="auto" w:fill="auto"/>
            <w:tcMar>
              <w:top w:w="15" w:type="dxa"/>
              <w:left w:w="15" w:type="dxa"/>
              <w:bottom w:w="0" w:type="dxa"/>
              <w:right w:w="15" w:type="dxa"/>
            </w:tcMar>
            <w:vAlign w:val="center"/>
            <w:hideMark/>
          </w:tcPr>
          <w:p w14:paraId="58B21D81"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$1,512,808</w:t>
            </w:r>
          </w:p>
        </w:tc>
      </w:tr>
      <w:tr w:rsidR="003E5907" w:rsidRPr="00652AA2" w14:paraId="703B734E" w14:textId="77777777" w:rsidTr="00CF2C5B">
        <w:trPr>
          <w:trHeight w:val="675"/>
        </w:trPr>
        <w:tc>
          <w:tcPr>
            <w:tcW w:w="794" w:type="pct"/>
            <w:shd w:val="clear" w:color="auto" w:fill="auto"/>
            <w:tcMar>
              <w:top w:w="15" w:type="dxa"/>
              <w:left w:w="15" w:type="dxa"/>
              <w:bottom w:w="0" w:type="dxa"/>
              <w:right w:w="15" w:type="dxa"/>
            </w:tcMar>
            <w:vAlign w:val="center"/>
            <w:hideMark/>
          </w:tcPr>
          <w:p w14:paraId="0563C9BE" w14:textId="5221B885"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603F4341" w14:textId="2B839BA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76040E8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registry-linked national platform trial to improve precision-based outcomes using novel therapies in acute myeloid leukaemia (AML)</w:t>
            </w:r>
          </w:p>
        </w:tc>
        <w:tc>
          <w:tcPr>
            <w:tcW w:w="694" w:type="pct"/>
            <w:shd w:val="clear" w:color="auto" w:fill="auto"/>
            <w:tcMar>
              <w:top w:w="15" w:type="dxa"/>
              <w:left w:w="15" w:type="dxa"/>
              <w:bottom w:w="0" w:type="dxa"/>
              <w:right w:w="15" w:type="dxa"/>
            </w:tcMar>
            <w:vAlign w:val="center"/>
            <w:hideMark/>
          </w:tcPr>
          <w:p w14:paraId="14ADF277"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$1,507,785</w:t>
            </w:r>
          </w:p>
        </w:tc>
      </w:tr>
      <w:tr w:rsidR="003E5907" w:rsidRPr="00652AA2" w14:paraId="2272CA3B" w14:textId="77777777" w:rsidTr="00CF2C5B">
        <w:trPr>
          <w:trHeight w:val="55"/>
        </w:trPr>
        <w:tc>
          <w:tcPr>
            <w:tcW w:w="794" w:type="pct"/>
            <w:shd w:val="clear" w:color="auto" w:fill="auto"/>
            <w:tcMar>
              <w:top w:w="15" w:type="dxa"/>
              <w:left w:w="15" w:type="dxa"/>
              <w:bottom w:w="0" w:type="dxa"/>
              <w:right w:w="15" w:type="dxa"/>
            </w:tcMar>
            <w:vAlign w:val="center"/>
            <w:hideMark/>
          </w:tcPr>
          <w:p w14:paraId="33C35A64" w14:textId="72B0A58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686F8D43" w14:textId="18E4D85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1A8B2280"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Immunotherapy Targeting of Cytomegalovirus antigens in Glioblastoma: INTERROGATE-GBM</w:t>
            </w:r>
          </w:p>
        </w:tc>
        <w:tc>
          <w:tcPr>
            <w:tcW w:w="694" w:type="pct"/>
            <w:shd w:val="clear" w:color="auto" w:fill="auto"/>
            <w:tcMar>
              <w:top w:w="15" w:type="dxa"/>
              <w:left w:w="15" w:type="dxa"/>
              <w:bottom w:w="0" w:type="dxa"/>
              <w:right w:w="15" w:type="dxa"/>
            </w:tcMar>
            <w:vAlign w:val="center"/>
            <w:hideMark/>
          </w:tcPr>
          <w:p w14:paraId="66B7563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$1,446,002</w:t>
            </w:r>
          </w:p>
        </w:tc>
      </w:tr>
      <w:tr w:rsidR="003E5907" w:rsidRPr="00652AA2" w14:paraId="3BB3B9B8" w14:textId="77777777" w:rsidTr="00CF2C5B">
        <w:trPr>
          <w:trHeight w:val="675"/>
        </w:trPr>
        <w:tc>
          <w:tcPr>
            <w:tcW w:w="794" w:type="pct"/>
            <w:shd w:val="clear" w:color="auto" w:fill="auto"/>
            <w:tcMar>
              <w:top w:w="15" w:type="dxa"/>
              <w:left w:w="15" w:type="dxa"/>
              <w:bottom w:w="0" w:type="dxa"/>
              <w:right w:w="15" w:type="dxa"/>
            </w:tcMar>
            <w:vAlign w:val="center"/>
            <w:hideMark/>
          </w:tcPr>
          <w:p w14:paraId="28C4FBE6" w14:textId="7DCBE6E3"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28005E74" w14:textId="440E8B6D"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31344EF3"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Medicinal Cannabinoids to Relieve Symptom Burden in the Palliative Care of Patients with Advanced Cancer</w:t>
            </w:r>
          </w:p>
        </w:tc>
        <w:tc>
          <w:tcPr>
            <w:tcW w:w="694" w:type="pct"/>
            <w:shd w:val="clear" w:color="auto" w:fill="auto"/>
            <w:tcMar>
              <w:top w:w="15" w:type="dxa"/>
              <w:left w:w="15" w:type="dxa"/>
              <w:bottom w:w="0" w:type="dxa"/>
              <w:right w:w="15" w:type="dxa"/>
            </w:tcMar>
            <w:vAlign w:val="center"/>
            <w:hideMark/>
          </w:tcPr>
          <w:p w14:paraId="3EC58CB4"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$1,363,040</w:t>
            </w:r>
          </w:p>
        </w:tc>
      </w:tr>
      <w:tr w:rsidR="003E5907" w:rsidRPr="00652AA2" w14:paraId="32B1836B" w14:textId="77777777" w:rsidTr="00CF2C5B">
        <w:trPr>
          <w:trHeight w:val="675"/>
        </w:trPr>
        <w:tc>
          <w:tcPr>
            <w:tcW w:w="794" w:type="pct"/>
            <w:shd w:val="clear" w:color="auto" w:fill="auto"/>
            <w:tcMar>
              <w:top w:w="15" w:type="dxa"/>
              <w:left w:w="15" w:type="dxa"/>
              <w:bottom w:w="0" w:type="dxa"/>
              <w:right w:w="15" w:type="dxa"/>
            </w:tcMar>
            <w:vAlign w:val="center"/>
            <w:hideMark/>
          </w:tcPr>
          <w:p w14:paraId="78E8A9FF" w14:textId="12659C9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10CE99E5" w14:textId="2AB6109F"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60F29C37"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STOP-MSU: Stopping haemorrhage with Tranexamic acid commenced Prehospital in a Mobile Stroke Unit</w:t>
            </w:r>
          </w:p>
        </w:tc>
        <w:tc>
          <w:tcPr>
            <w:tcW w:w="694" w:type="pct"/>
            <w:shd w:val="clear" w:color="auto" w:fill="auto"/>
            <w:tcMar>
              <w:top w:w="15" w:type="dxa"/>
              <w:left w:w="15" w:type="dxa"/>
              <w:bottom w:w="0" w:type="dxa"/>
              <w:right w:w="15" w:type="dxa"/>
            </w:tcMar>
            <w:vAlign w:val="center"/>
            <w:hideMark/>
          </w:tcPr>
          <w:p w14:paraId="565FC26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$1,285,820</w:t>
            </w:r>
          </w:p>
        </w:tc>
      </w:tr>
      <w:tr w:rsidR="003E5907" w:rsidRPr="00652AA2" w14:paraId="5BD784D1" w14:textId="77777777" w:rsidTr="00CF2C5B">
        <w:trPr>
          <w:trHeight w:val="675"/>
        </w:trPr>
        <w:tc>
          <w:tcPr>
            <w:tcW w:w="794" w:type="pct"/>
            <w:shd w:val="clear" w:color="auto" w:fill="auto"/>
            <w:tcMar>
              <w:top w:w="15" w:type="dxa"/>
              <w:left w:w="15" w:type="dxa"/>
              <w:bottom w:w="0" w:type="dxa"/>
              <w:right w:w="15" w:type="dxa"/>
            </w:tcMar>
            <w:vAlign w:val="center"/>
            <w:hideMark/>
          </w:tcPr>
          <w:p w14:paraId="5F0B7AD5" w14:textId="5F33EAC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56742AD9" w14:textId="4752836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Murdoch Children’s Research Institute</w:t>
            </w:r>
          </w:p>
        </w:tc>
        <w:tc>
          <w:tcPr>
            <w:tcW w:w="2382" w:type="pct"/>
            <w:shd w:val="clear" w:color="auto" w:fill="auto"/>
            <w:tcMar>
              <w:top w:w="15" w:type="dxa"/>
              <w:left w:w="15" w:type="dxa"/>
              <w:bottom w:w="0" w:type="dxa"/>
              <w:right w:w="15" w:type="dxa"/>
            </w:tcMar>
            <w:vAlign w:val="center"/>
            <w:hideMark/>
          </w:tcPr>
          <w:p w14:paraId="419CAF2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efficacy of rehabilitation for hereditary ataxias- a randomised controlled trial</w:t>
            </w:r>
          </w:p>
        </w:tc>
        <w:tc>
          <w:tcPr>
            <w:tcW w:w="694" w:type="pct"/>
            <w:shd w:val="clear" w:color="auto" w:fill="auto"/>
            <w:tcMar>
              <w:top w:w="15" w:type="dxa"/>
              <w:left w:w="15" w:type="dxa"/>
              <w:bottom w:w="0" w:type="dxa"/>
              <w:right w:w="15" w:type="dxa"/>
            </w:tcMar>
            <w:vAlign w:val="center"/>
            <w:hideMark/>
          </w:tcPr>
          <w:p w14:paraId="32F77F3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$1,227,418</w:t>
            </w:r>
          </w:p>
        </w:tc>
      </w:tr>
      <w:tr w:rsidR="003E5907" w:rsidRPr="00652AA2" w14:paraId="0A2FCDAE" w14:textId="77777777" w:rsidTr="00CF2C5B">
        <w:trPr>
          <w:trHeight w:val="675"/>
        </w:trPr>
        <w:tc>
          <w:tcPr>
            <w:tcW w:w="794" w:type="pct"/>
            <w:shd w:val="clear" w:color="auto" w:fill="auto"/>
            <w:tcMar>
              <w:top w:w="15" w:type="dxa"/>
              <w:left w:w="15" w:type="dxa"/>
              <w:bottom w:w="0" w:type="dxa"/>
              <w:right w:w="15" w:type="dxa"/>
            </w:tcMar>
            <w:vAlign w:val="center"/>
            <w:hideMark/>
          </w:tcPr>
          <w:p w14:paraId="760F3617" w14:textId="65C36D9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409B0D56" w14:textId="30E62CE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University of Adelaide</w:t>
            </w:r>
          </w:p>
        </w:tc>
        <w:tc>
          <w:tcPr>
            <w:tcW w:w="2382" w:type="pct"/>
            <w:shd w:val="clear" w:color="auto" w:fill="auto"/>
            <w:tcMar>
              <w:top w:w="15" w:type="dxa"/>
              <w:left w:w="15" w:type="dxa"/>
              <w:bottom w:w="0" w:type="dxa"/>
              <w:right w:w="15" w:type="dxa"/>
            </w:tcMar>
            <w:vAlign w:val="center"/>
            <w:hideMark/>
          </w:tcPr>
          <w:p w14:paraId="175B752F"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Treatment of Severe Early Onset Intrahepatic Cholestasis of Pregnancy</w:t>
            </w:r>
          </w:p>
        </w:tc>
        <w:tc>
          <w:tcPr>
            <w:tcW w:w="694" w:type="pct"/>
            <w:shd w:val="clear" w:color="auto" w:fill="auto"/>
            <w:tcMar>
              <w:top w:w="15" w:type="dxa"/>
              <w:left w:w="15" w:type="dxa"/>
              <w:bottom w:w="0" w:type="dxa"/>
              <w:right w:w="15" w:type="dxa"/>
            </w:tcMar>
            <w:vAlign w:val="center"/>
            <w:hideMark/>
          </w:tcPr>
          <w:p w14:paraId="2AAB56DB"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$1,191,769</w:t>
            </w:r>
          </w:p>
        </w:tc>
      </w:tr>
      <w:tr w:rsidR="003E5907" w:rsidRPr="00652AA2" w14:paraId="60AAFCCA" w14:textId="77777777" w:rsidTr="00CF2C5B">
        <w:trPr>
          <w:trHeight w:val="675"/>
        </w:trPr>
        <w:tc>
          <w:tcPr>
            <w:tcW w:w="794" w:type="pct"/>
            <w:shd w:val="clear" w:color="auto" w:fill="auto"/>
            <w:tcMar>
              <w:top w:w="15" w:type="dxa"/>
              <w:left w:w="15" w:type="dxa"/>
              <w:bottom w:w="0" w:type="dxa"/>
              <w:right w:w="15" w:type="dxa"/>
            </w:tcMar>
            <w:vAlign w:val="center"/>
            <w:hideMark/>
          </w:tcPr>
          <w:p w14:paraId="66F22F93" w14:textId="154F759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lastRenderedPageBreak/>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74181069" w14:textId="0C46B2C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Sydney</w:t>
            </w:r>
          </w:p>
        </w:tc>
        <w:tc>
          <w:tcPr>
            <w:tcW w:w="2382" w:type="pct"/>
            <w:shd w:val="clear" w:color="auto" w:fill="auto"/>
            <w:tcMar>
              <w:top w:w="15" w:type="dxa"/>
              <w:left w:w="15" w:type="dxa"/>
              <w:bottom w:w="0" w:type="dxa"/>
              <w:right w:w="15" w:type="dxa"/>
            </w:tcMar>
            <w:vAlign w:val="center"/>
            <w:hideMark/>
          </w:tcPr>
          <w:p w14:paraId="5A3A8F91"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BEST-Fluids study: Better Evidence for Selecting Transplant Fluids</w:t>
            </w:r>
          </w:p>
        </w:tc>
        <w:tc>
          <w:tcPr>
            <w:tcW w:w="694" w:type="pct"/>
            <w:shd w:val="clear" w:color="auto" w:fill="auto"/>
            <w:tcMar>
              <w:top w:w="15" w:type="dxa"/>
              <w:left w:w="15" w:type="dxa"/>
              <w:bottom w:w="0" w:type="dxa"/>
              <w:right w:w="15" w:type="dxa"/>
            </w:tcMar>
            <w:vAlign w:val="center"/>
            <w:hideMark/>
          </w:tcPr>
          <w:p w14:paraId="13A29E99"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$1,117,150</w:t>
            </w:r>
          </w:p>
        </w:tc>
      </w:tr>
      <w:tr w:rsidR="003E5907" w:rsidRPr="00652AA2" w14:paraId="5158B3B5" w14:textId="77777777" w:rsidTr="00CF2C5B">
        <w:trPr>
          <w:trHeight w:val="675"/>
        </w:trPr>
        <w:tc>
          <w:tcPr>
            <w:tcW w:w="794" w:type="pct"/>
            <w:shd w:val="clear" w:color="auto" w:fill="auto"/>
            <w:tcMar>
              <w:top w:w="15" w:type="dxa"/>
              <w:left w:w="15" w:type="dxa"/>
              <w:bottom w:w="0" w:type="dxa"/>
              <w:right w:w="15" w:type="dxa"/>
            </w:tcMar>
            <w:vAlign w:val="center"/>
            <w:hideMark/>
          </w:tcPr>
          <w:p w14:paraId="1AB0CDD7" w14:textId="245F363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Rd2</w:t>
            </w:r>
          </w:p>
        </w:tc>
        <w:tc>
          <w:tcPr>
            <w:tcW w:w="1130" w:type="pct"/>
            <w:shd w:val="clear" w:color="auto" w:fill="auto"/>
            <w:tcMar>
              <w:top w:w="15" w:type="dxa"/>
              <w:left w:w="15" w:type="dxa"/>
              <w:bottom w:w="0" w:type="dxa"/>
              <w:right w:w="15" w:type="dxa"/>
            </w:tcMar>
            <w:vAlign w:val="center"/>
            <w:hideMark/>
          </w:tcPr>
          <w:p w14:paraId="0BD57FA2" w14:textId="4589686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188E2B1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Brain Oxygen Neuromonitoring In Australia And New Zealand Assessment (BONANZA) Trial </w:t>
            </w:r>
          </w:p>
        </w:tc>
        <w:tc>
          <w:tcPr>
            <w:tcW w:w="694" w:type="pct"/>
            <w:shd w:val="clear" w:color="auto" w:fill="auto"/>
            <w:tcMar>
              <w:top w:w="15" w:type="dxa"/>
              <w:left w:w="15" w:type="dxa"/>
              <w:bottom w:w="0" w:type="dxa"/>
              <w:right w:w="15" w:type="dxa"/>
            </w:tcMar>
            <w:vAlign w:val="center"/>
            <w:hideMark/>
          </w:tcPr>
          <w:p w14:paraId="2118D96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$1,084,852</w:t>
            </w:r>
          </w:p>
        </w:tc>
      </w:tr>
      <w:tr w:rsidR="003E5907" w:rsidRPr="00652AA2" w14:paraId="49E9CB26" w14:textId="77777777" w:rsidTr="00CF2C5B">
        <w:trPr>
          <w:trHeight w:val="675"/>
        </w:trPr>
        <w:tc>
          <w:tcPr>
            <w:tcW w:w="794" w:type="pct"/>
            <w:shd w:val="clear" w:color="auto" w:fill="auto"/>
            <w:tcMar>
              <w:top w:w="15" w:type="dxa"/>
              <w:left w:w="15" w:type="dxa"/>
              <w:bottom w:w="0" w:type="dxa"/>
              <w:right w:w="15" w:type="dxa"/>
            </w:tcMar>
            <w:vAlign w:val="center"/>
            <w:hideMark/>
          </w:tcPr>
          <w:p w14:paraId="52F3138D" w14:textId="73AFA854"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5241D82C" w14:textId="58C736E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New South Wales</w:t>
            </w:r>
          </w:p>
        </w:tc>
        <w:tc>
          <w:tcPr>
            <w:tcW w:w="2382" w:type="pct"/>
            <w:shd w:val="clear" w:color="auto" w:fill="auto"/>
            <w:tcMar>
              <w:top w:w="15" w:type="dxa"/>
              <w:left w:w="15" w:type="dxa"/>
              <w:bottom w:w="0" w:type="dxa"/>
              <w:right w:w="15" w:type="dxa"/>
            </w:tcMar>
            <w:vAlign w:val="center"/>
            <w:hideMark/>
          </w:tcPr>
          <w:p w14:paraId="430EE28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CRISTAL: Cluster Randomised Trial of Aspirin versus Low molecular weight heparin for venous thromboembolism prophylaxis in joint replacement surgery, a registry-nested study</w:t>
            </w:r>
          </w:p>
        </w:tc>
        <w:tc>
          <w:tcPr>
            <w:tcW w:w="694" w:type="pct"/>
            <w:shd w:val="clear" w:color="auto" w:fill="auto"/>
            <w:tcMar>
              <w:top w:w="15" w:type="dxa"/>
              <w:left w:w="15" w:type="dxa"/>
              <w:bottom w:w="0" w:type="dxa"/>
              <w:right w:w="15" w:type="dxa"/>
            </w:tcMar>
            <w:vAlign w:val="center"/>
            <w:hideMark/>
          </w:tcPr>
          <w:p w14:paraId="2D1641DF"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$934,848</w:t>
            </w:r>
          </w:p>
        </w:tc>
      </w:tr>
      <w:tr w:rsidR="003E5907" w:rsidRPr="00652AA2" w14:paraId="37E0F32D" w14:textId="77777777" w:rsidTr="00CF2C5B">
        <w:trPr>
          <w:cantSplit/>
          <w:trHeight w:val="675"/>
        </w:trPr>
        <w:tc>
          <w:tcPr>
            <w:tcW w:w="794" w:type="pct"/>
            <w:shd w:val="clear" w:color="auto" w:fill="auto"/>
            <w:tcMar>
              <w:top w:w="15" w:type="dxa"/>
              <w:left w:w="15" w:type="dxa"/>
              <w:bottom w:w="0" w:type="dxa"/>
              <w:right w:w="15" w:type="dxa"/>
            </w:tcMar>
            <w:vAlign w:val="center"/>
            <w:hideMark/>
          </w:tcPr>
          <w:p w14:paraId="2923410E" w14:textId="34D9A23E"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48837E2B" w14:textId="1A422F2A"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Australian National University</w:t>
            </w:r>
          </w:p>
        </w:tc>
        <w:tc>
          <w:tcPr>
            <w:tcW w:w="2382" w:type="pct"/>
            <w:shd w:val="clear" w:color="auto" w:fill="auto"/>
            <w:tcMar>
              <w:top w:w="15" w:type="dxa"/>
              <w:left w:w="15" w:type="dxa"/>
              <w:bottom w:w="0" w:type="dxa"/>
              <w:right w:w="15" w:type="dxa"/>
            </w:tcMar>
            <w:vAlign w:val="center"/>
            <w:hideMark/>
          </w:tcPr>
          <w:p w14:paraId="778C076B"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randomised placebo-controlled trial of combined mitochondrial agents for the treatment of fatigue and depression in multiple sclerosis with an assessment of the impact on kynurenine pathway metabolomics.</w:t>
            </w:r>
          </w:p>
        </w:tc>
        <w:tc>
          <w:tcPr>
            <w:tcW w:w="694" w:type="pct"/>
            <w:shd w:val="clear" w:color="auto" w:fill="auto"/>
            <w:tcMar>
              <w:top w:w="15" w:type="dxa"/>
              <w:left w:w="15" w:type="dxa"/>
              <w:bottom w:w="0" w:type="dxa"/>
              <w:right w:w="15" w:type="dxa"/>
            </w:tcMar>
            <w:vAlign w:val="center"/>
            <w:hideMark/>
          </w:tcPr>
          <w:p w14:paraId="52057EDE"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$887,072</w:t>
            </w:r>
          </w:p>
        </w:tc>
      </w:tr>
      <w:tr w:rsidR="003E5907" w:rsidRPr="00652AA2" w14:paraId="389C8264" w14:textId="77777777" w:rsidTr="00CF2C5B">
        <w:trPr>
          <w:cantSplit/>
          <w:trHeight w:val="317"/>
        </w:trPr>
        <w:tc>
          <w:tcPr>
            <w:tcW w:w="794" w:type="pct"/>
            <w:shd w:val="clear" w:color="auto" w:fill="auto"/>
            <w:tcMar>
              <w:top w:w="15" w:type="dxa"/>
              <w:left w:w="15" w:type="dxa"/>
              <w:bottom w:w="0" w:type="dxa"/>
              <w:right w:w="15" w:type="dxa"/>
            </w:tcMar>
            <w:vAlign w:val="center"/>
            <w:hideMark/>
          </w:tcPr>
          <w:p w14:paraId="4BDDC7BC" w14:textId="1C31E49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16444E97" w14:textId="529A7AD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5587C1C8"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The BLENDER Trial – Blend to Limit Oxygen in ECMO: A randomised Controlled Registry Trial</w:t>
            </w:r>
          </w:p>
        </w:tc>
        <w:tc>
          <w:tcPr>
            <w:tcW w:w="694" w:type="pct"/>
            <w:shd w:val="clear" w:color="auto" w:fill="auto"/>
            <w:tcMar>
              <w:top w:w="15" w:type="dxa"/>
              <w:left w:w="15" w:type="dxa"/>
              <w:bottom w:w="0" w:type="dxa"/>
              <w:right w:w="15" w:type="dxa"/>
            </w:tcMar>
            <w:vAlign w:val="center"/>
            <w:hideMark/>
          </w:tcPr>
          <w:p w14:paraId="54220812"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$753,355</w:t>
            </w:r>
          </w:p>
        </w:tc>
      </w:tr>
      <w:tr w:rsidR="003E5907" w:rsidRPr="00652AA2" w14:paraId="494BCE4F" w14:textId="77777777" w:rsidTr="00CF2C5B">
        <w:trPr>
          <w:cantSplit/>
          <w:trHeight w:val="675"/>
        </w:trPr>
        <w:tc>
          <w:tcPr>
            <w:tcW w:w="794" w:type="pct"/>
            <w:shd w:val="clear" w:color="auto" w:fill="auto"/>
            <w:tcMar>
              <w:top w:w="15" w:type="dxa"/>
              <w:left w:w="15" w:type="dxa"/>
              <w:bottom w:w="0" w:type="dxa"/>
              <w:right w:w="15" w:type="dxa"/>
            </w:tcMar>
            <w:vAlign w:val="center"/>
            <w:hideMark/>
          </w:tcPr>
          <w:p w14:paraId="674306B9" w14:textId="411B33F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1165E397" w14:textId="355EBF72"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Melbourne</w:t>
            </w:r>
          </w:p>
        </w:tc>
        <w:tc>
          <w:tcPr>
            <w:tcW w:w="2382" w:type="pct"/>
            <w:shd w:val="clear" w:color="auto" w:fill="auto"/>
            <w:tcMar>
              <w:top w:w="15" w:type="dxa"/>
              <w:left w:w="15" w:type="dxa"/>
              <w:bottom w:w="0" w:type="dxa"/>
              <w:right w:w="15" w:type="dxa"/>
            </w:tcMar>
            <w:vAlign w:val="center"/>
            <w:hideMark/>
          </w:tcPr>
          <w:p w14:paraId="0CD8DF6A"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SpeechAtax: A rated-blinded randomised controlled trial of intensive home-based speech treatment for ataxia</w:t>
            </w:r>
          </w:p>
        </w:tc>
        <w:tc>
          <w:tcPr>
            <w:tcW w:w="694" w:type="pct"/>
            <w:shd w:val="clear" w:color="auto" w:fill="auto"/>
            <w:tcMar>
              <w:top w:w="15" w:type="dxa"/>
              <w:left w:w="15" w:type="dxa"/>
              <w:bottom w:w="0" w:type="dxa"/>
              <w:right w:w="15" w:type="dxa"/>
            </w:tcMar>
            <w:vAlign w:val="center"/>
            <w:hideMark/>
          </w:tcPr>
          <w:p w14:paraId="76FFAAE3"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$498,627</w:t>
            </w:r>
          </w:p>
        </w:tc>
      </w:tr>
      <w:tr w:rsidR="003E5907" w:rsidRPr="00652AA2" w14:paraId="3101F54A" w14:textId="77777777" w:rsidTr="00CF2C5B">
        <w:trPr>
          <w:cantSplit/>
          <w:trHeight w:val="675"/>
        </w:trPr>
        <w:tc>
          <w:tcPr>
            <w:tcW w:w="794" w:type="pct"/>
            <w:shd w:val="clear" w:color="auto" w:fill="auto"/>
            <w:tcMar>
              <w:top w:w="15" w:type="dxa"/>
              <w:left w:w="15" w:type="dxa"/>
              <w:bottom w:w="0" w:type="dxa"/>
              <w:right w:w="15" w:type="dxa"/>
            </w:tcMar>
            <w:vAlign w:val="center"/>
            <w:hideMark/>
          </w:tcPr>
          <w:p w14:paraId="7C3692AC" w14:textId="4BA4A281"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Clinical Trial</w:t>
            </w:r>
            <w:r>
              <w:rPr>
                <w:rFonts w:ascii="Segoe UI" w:eastAsia="Calibri" w:hAnsi="Segoe UI" w:cs="Segoe UI"/>
                <w:color w:val="000000"/>
                <w:sz w:val="17"/>
                <w:szCs w:val="17"/>
              </w:rPr>
              <w:t xml:space="preserve"> Activity - Rare Cancers, Rare Diseases and Unmet Need</w:t>
            </w:r>
            <w:r w:rsidRPr="00652AA2" w:rsidDel="00966BA6">
              <w:rPr>
                <w:rFonts w:ascii="Segoe UI" w:eastAsia="Calibri" w:hAnsi="Segoe UI" w:cs="Segoe UI"/>
                <w:color w:val="000000"/>
                <w:sz w:val="17"/>
                <w:szCs w:val="17"/>
              </w:rPr>
              <w:t xml:space="preserve"> </w:t>
            </w:r>
            <w:r>
              <w:rPr>
                <w:rFonts w:ascii="Segoe UI" w:eastAsia="Calibri" w:hAnsi="Segoe UI" w:cs="Segoe UI"/>
                <w:color w:val="000000"/>
                <w:sz w:val="17"/>
                <w:szCs w:val="17"/>
              </w:rPr>
              <w:t xml:space="preserve"> Rd1</w:t>
            </w:r>
          </w:p>
        </w:tc>
        <w:tc>
          <w:tcPr>
            <w:tcW w:w="1130" w:type="pct"/>
            <w:shd w:val="clear" w:color="auto" w:fill="auto"/>
            <w:tcMar>
              <w:top w:w="15" w:type="dxa"/>
              <w:left w:w="15" w:type="dxa"/>
              <w:bottom w:w="0" w:type="dxa"/>
              <w:right w:w="15" w:type="dxa"/>
            </w:tcMar>
            <w:vAlign w:val="center"/>
            <w:hideMark/>
          </w:tcPr>
          <w:p w14:paraId="54A5D8DA" w14:textId="3DA449A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797D1382"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A collaborative study of the Interfant network (Australian sites): the feasibility, safety and efficacy of the addition of Blinatumomab to the Interfant-06 backbone in infants with MLL-rearranged Acute Lymphoblastic Leukaemia (The Blin-fant Study)</w:t>
            </w:r>
          </w:p>
        </w:tc>
        <w:tc>
          <w:tcPr>
            <w:tcW w:w="694" w:type="pct"/>
            <w:shd w:val="clear" w:color="auto" w:fill="auto"/>
            <w:tcMar>
              <w:top w:w="15" w:type="dxa"/>
              <w:left w:w="15" w:type="dxa"/>
              <w:bottom w:w="0" w:type="dxa"/>
              <w:right w:w="15" w:type="dxa"/>
            </w:tcMar>
            <w:vAlign w:val="center"/>
            <w:hideMark/>
          </w:tcPr>
          <w:p w14:paraId="4E626D25"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$314,772</w:t>
            </w:r>
          </w:p>
        </w:tc>
      </w:tr>
      <w:tr w:rsidR="003E5907" w:rsidRPr="00652AA2" w14:paraId="5FF1E0E3" w14:textId="77777777" w:rsidTr="00CF2C5B">
        <w:trPr>
          <w:trHeight w:val="450"/>
        </w:trPr>
        <w:tc>
          <w:tcPr>
            <w:tcW w:w="794" w:type="pct"/>
            <w:shd w:val="clear" w:color="auto" w:fill="auto"/>
            <w:tcMar>
              <w:top w:w="15" w:type="dxa"/>
              <w:left w:w="15" w:type="dxa"/>
              <w:bottom w:w="0" w:type="dxa"/>
              <w:right w:w="15" w:type="dxa"/>
            </w:tcMar>
            <w:vAlign w:val="center"/>
            <w:hideMark/>
          </w:tcPr>
          <w:p w14:paraId="332BF159"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Tackling Antimicrobial Resistance </w:t>
            </w:r>
          </w:p>
        </w:tc>
        <w:tc>
          <w:tcPr>
            <w:tcW w:w="1130" w:type="pct"/>
            <w:shd w:val="clear" w:color="auto" w:fill="auto"/>
            <w:tcMar>
              <w:top w:w="15" w:type="dxa"/>
              <w:left w:w="15" w:type="dxa"/>
              <w:bottom w:w="0" w:type="dxa"/>
              <w:right w:w="15" w:type="dxa"/>
            </w:tcMar>
            <w:vAlign w:val="center"/>
            <w:hideMark/>
          </w:tcPr>
          <w:p w14:paraId="37D6B887" w14:textId="3EF67309"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Monash University</w:t>
            </w:r>
          </w:p>
        </w:tc>
        <w:tc>
          <w:tcPr>
            <w:tcW w:w="2382" w:type="pct"/>
            <w:shd w:val="clear" w:color="auto" w:fill="auto"/>
            <w:tcMar>
              <w:top w:w="15" w:type="dxa"/>
              <w:left w:w="15" w:type="dxa"/>
              <w:bottom w:w="0" w:type="dxa"/>
              <w:right w:w="15" w:type="dxa"/>
            </w:tcMar>
            <w:vAlign w:val="center"/>
            <w:hideMark/>
          </w:tcPr>
          <w:p w14:paraId="4371DAAD" w14:textId="77777777" w:rsidR="003E5907" w:rsidRPr="00652AA2" w:rsidRDefault="003E5907" w:rsidP="005009A8">
            <w:pPr>
              <w:spacing w:before="20" w:after="20" w:line="240" w:lineRule="auto"/>
              <w:rPr>
                <w:rFonts w:ascii="Segoe UI" w:eastAsia="Calibri" w:hAnsi="Segoe UI" w:cs="Segoe UI"/>
                <w:color w:val="222222"/>
                <w:sz w:val="17"/>
                <w:szCs w:val="17"/>
              </w:rPr>
            </w:pPr>
            <w:r w:rsidRPr="00652AA2">
              <w:rPr>
                <w:rFonts w:ascii="Segoe UI" w:eastAsia="Calibri" w:hAnsi="Segoe UI" w:cs="Segoe UI"/>
                <w:color w:val="222222"/>
                <w:sz w:val="17"/>
                <w:szCs w:val="17"/>
              </w:rPr>
              <w:t>Stepped-wedge Trial to increase antibiotic Appropriateness in Residential aged care facilities and model Transmission of antimicrobial resistance (The START Research Program)</w:t>
            </w:r>
          </w:p>
        </w:tc>
        <w:tc>
          <w:tcPr>
            <w:tcW w:w="694" w:type="pct"/>
            <w:shd w:val="clear" w:color="auto" w:fill="auto"/>
            <w:tcMar>
              <w:top w:w="15" w:type="dxa"/>
              <w:left w:w="15" w:type="dxa"/>
              <w:bottom w:w="0" w:type="dxa"/>
              <w:right w:w="15" w:type="dxa"/>
            </w:tcMar>
            <w:vAlign w:val="center"/>
            <w:hideMark/>
          </w:tcPr>
          <w:p w14:paraId="01DEEB34"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$1,826,399</w:t>
            </w:r>
          </w:p>
        </w:tc>
      </w:tr>
      <w:tr w:rsidR="003E5907" w:rsidRPr="00652AA2" w14:paraId="620B239F" w14:textId="77777777" w:rsidTr="00CF2C5B">
        <w:trPr>
          <w:trHeight w:val="450"/>
        </w:trPr>
        <w:tc>
          <w:tcPr>
            <w:tcW w:w="794" w:type="pct"/>
            <w:shd w:val="clear" w:color="auto" w:fill="auto"/>
            <w:tcMar>
              <w:top w:w="15" w:type="dxa"/>
              <w:left w:w="15" w:type="dxa"/>
              <w:bottom w:w="0" w:type="dxa"/>
              <w:right w:w="15" w:type="dxa"/>
            </w:tcMar>
            <w:vAlign w:val="center"/>
            <w:hideMark/>
          </w:tcPr>
          <w:p w14:paraId="5D4D4ABE"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Tackling Antimicrobial Resistance </w:t>
            </w:r>
          </w:p>
        </w:tc>
        <w:tc>
          <w:tcPr>
            <w:tcW w:w="1130" w:type="pct"/>
            <w:shd w:val="clear" w:color="auto" w:fill="auto"/>
            <w:tcMar>
              <w:top w:w="15" w:type="dxa"/>
              <w:left w:w="15" w:type="dxa"/>
              <w:bottom w:w="0" w:type="dxa"/>
              <w:right w:w="15" w:type="dxa"/>
            </w:tcMar>
            <w:vAlign w:val="center"/>
            <w:hideMark/>
          </w:tcPr>
          <w:p w14:paraId="7939498A" w14:textId="39FF182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South Australian Medical Research institute</w:t>
            </w:r>
          </w:p>
        </w:tc>
        <w:tc>
          <w:tcPr>
            <w:tcW w:w="2382" w:type="pct"/>
            <w:shd w:val="clear" w:color="auto" w:fill="auto"/>
            <w:tcMar>
              <w:top w:w="15" w:type="dxa"/>
              <w:left w:w="15" w:type="dxa"/>
              <w:bottom w:w="0" w:type="dxa"/>
              <w:right w:w="15" w:type="dxa"/>
            </w:tcMar>
            <w:vAlign w:val="center"/>
            <w:hideMark/>
          </w:tcPr>
          <w:p w14:paraId="25C73044"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Using metagenomics and the Registry of Ageing South Australians to understand carriage and transmission of antimicrobial resistance in the elderly</w:t>
            </w:r>
          </w:p>
        </w:tc>
        <w:tc>
          <w:tcPr>
            <w:tcW w:w="694" w:type="pct"/>
            <w:shd w:val="clear" w:color="auto" w:fill="auto"/>
            <w:tcMar>
              <w:top w:w="15" w:type="dxa"/>
              <w:left w:w="15" w:type="dxa"/>
              <w:bottom w:w="0" w:type="dxa"/>
              <w:right w:w="15" w:type="dxa"/>
            </w:tcMar>
            <w:vAlign w:val="center"/>
            <w:hideMark/>
          </w:tcPr>
          <w:p w14:paraId="6593615D" w14:textId="77777777" w:rsidR="003E5907" w:rsidRPr="00652AA2" w:rsidRDefault="003E5907" w:rsidP="005009A8">
            <w:pPr>
              <w:spacing w:before="20" w:after="20" w:line="240" w:lineRule="auto"/>
              <w:jc w:val="center"/>
              <w:rPr>
                <w:rFonts w:ascii="Segoe UI" w:eastAsia="Calibri" w:hAnsi="Segoe UI" w:cs="Segoe UI"/>
                <w:color w:val="000000"/>
                <w:sz w:val="17"/>
                <w:szCs w:val="17"/>
              </w:rPr>
            </w:pPr>
            <w:r w:rsidRPr="00652AA2">
              <w:rPr>
                <w:rFonts w:ascii="Segoe UI" w:eastAsia="Calibri" w:hAnsi="Segoe UI" w:cs="Segoe UI"/>
                <w:color w:val="000000"/>
                <w:sz w:val="17"/>
                <w:szCs w:val="17"/>
              </w:rPr>
              <w:t>$1,731,374</w:t>
            </w:r>
          </w:p>
        </w:tc>
      </w:tr>
      <w:tr w:rsidR="003E5907" w:rsidRPr="00652AA2" w14:paraId="4DC5BBEC" w14:textId="77777777" w:rsidTr="00CF2C5B">
        <w:trPr>
          <w:trHeight w:val="450"/>
        </w:trPr>
        <w:tc>
          <w:tcPr>
            <w:tcW w:w="794" w:type="pct"/>
            <w:shd w:val="clear" w:color="auto" w:fill="auto"/>
            <w:tcMar>
              <w:top w:w="15" w:type="dxa"/>
              <w:left w:w="15" w:type="dxa"/>
              <w:bottom w:w="0" w:type="dxa"/>
              <w:right w:w="15" w:type="dxa"/>
            </w:tcMar>
            <w:vAlign w:val="center"/>
            <w:hideMark/>
          </w:tcPr>
          <w:p w14:paraId="606267BF"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Tackling Antimicrobial Resistance </w:t>
            </w:r>
          </w:p>
        </w:tc>
        <w:tc>
          <w:tcPr>
            <w:tcW w:w="1130" w:type="pct"/>
            <w:shd w:val="clear" w:color="auto" w:fill="auto"/>
            <w:tcMar>
              <w:top w:w="15" w:type="dxa"/>
              <w:left w:w="15" w:type="dxa"/>
              <w:bottom w:w="0" w:type="dxa"/>
              <w:right w:w="15" w:type="dxa"/>
            </w:tcMar>
            <w:vAlign w:val="center"/>
            <w:hideMark/>
          </w:tcPr>
          <w:p w14:paraId="3A32F430" w14:textId="19915A80"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Queensland</w:t>
            </w:r>
          </w:p>
        </w:tc>
        <w:tc>
          <w:tcPr>
            <w:tcW w:w="2382" w:type="pct"/>
            <w:shd w:val="clear" w:color="auto" w:fill="auto"/>
            <w:tcMar>
              <w:top w:w="15" w:type="dxa"/>
              <w:left w:w="15" w:type="dxa"/>
              <w:bottom w:w="0" w:type="dxa"/>
              <w:right w:w="15" w:type="dxa"/>
            </w:tcMar>
            <w:vAlign w:val="center"/>
            <w:hideMark/>
          </w:tcPr>
          <w:p w14:paraId="4FCE9B32" w14:textId="77777777" w:rsidR="003E5907" w:rsidRPr="00652AA2" w:rsidRDefault="003E5907" w:rsidP="005009A8">
            <w:pPr>
              <w:spacing w:before="20" w:after="20" w:line="240" w:lineRule="auto"/>
              <w:rPr>
                <w:rFonts w:ascii="Segoe UI" w:eastAsia="Calibri" w:hAnsi="Segoe UI" w:cs="Segoe UI"/>
                <w:color w:val="222222"/>
                <w:sz w:val="17"/>
                <w:szCs w:val="17"/>
              </w:rPr>
            </w:pPr>
            <w:r w:rsidRPr="00652AA2">
              <w:rPr>
                <w:rFonts w:ascii="Segoe UI" w:eastAsia="Calibri" w:hAnsi="Segoe UI" w:cs="Segoe UI"/>
                <w:color w:val="222222"/>
                <w:sz w:val="17"/>
                <w:szCs w:val="17"/>
              </w:rPr>
              <w:t>Cluster randomised trial of a multimodal intervention to reduce antimicrobial use in residential aged care facilities</w:t>
            </w:r>
          </w:p>
        </w:tc>
        <w:tc>
          <w:tcPr>
            <w:tcW w:w="694" w:type="pct"/>
            <w:shd w:val="clear" w:color="auto" w:fill="auto"/>
            <w:tcMar>
              <w:top w:w="15" w:type="dxa"/>
              <w:left w:w="15" w:type="dxa"/>
              <w:bottom w:w="0" w:type="dxa"/>
              <w:right w:w="15" w:type="dxa"/>
            </w:tcMar>
            <w:vAlign w:val="center"/>
            <w:hideMark/>
          </w:tcPr>
          <w:p w14:paraId="4424AB20"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$1,199,976</w:t>
            </w:r>
          </w:p>
        </w:tc>
      </w:tr>
      <w:tr w:rsidR="003E5907" w:rsidRPr="00652AA2" w14:paraId="1C126FD7" w14:textId="77777777" w:rsidTr="00CF2C5B">
        <w:trPr>
          <w:trHeight w:val="450"/>
        </w:trPr>
        <w:tc>
          <w:tcPr>
            <w:tcW w:w="794" w:type="pct"/>
            <w:shd w:val="clear" w:color="auto" w:fill="auto"/>
            <w:tcMar>
              <w:top w:w="15" w:type="dxa"/>
              <w:left w:w="15" w:type="dxa"/>
              <w:bottom w:w="0" w:type="dxa"/>
              <w:right w:w="15" w:type="dxa"/>
            </w:tcMar>
            <w:vAlign w:val="center"/>
            <w:hideMark/>
          </w:tcPr>
          <w:p w14:paraId="35C729A5" w14:textId="77777777"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 xml:space="preserve">Tackling Antimicrobial Resistance </w:t>
            </w:r>
          </w:p>
        </w:tc>
        <w:tc>
          <w:tcPr>
            <w:tcW w:w="1130" w:type="pct"/>
            <w:shd w:val="clear" w:color="auto" w:fill="auto"/>
            <w:tcMar>
              <w:top w:w="15" w:type="dxa"/>
              <w:left w:w="15" w:type="dxa"/>
              <w:bottom w:w="0" w:type="dxa"/>
              <w:right w:w="15" w:type="dxa"/>
            </w:tcMar>
            <w:vAlign w:val="center"/>
            <w:hideMark/>
          </w:tcPr>
          <w:p w14:paraId="349581C6" w14:textId="3B625C9C" w:rsidR="003E5907" w:rsidRPr="00652AA2" w:rsidRDefault="003E5907" w:rsidP="005009A8">
            <w:pPr>
              <w:spacing w:before="20" w:after="20" w:line="240" w:lineRule="auto"/>
              <w:rPr>
                <w:rFonts w:ascii="Segoe UI" w:eastAsia="Calibri" w:hAnsi="Segoe UI" w:cs="Segoe UI"/>
                <w:color w:val="000000"/>
                <w:sz w:val="17"/>
                <w:szCs w:val="17"/>
              </w:rPr>
            </w:pPr>
            <w:r w:rsidRPr="00652AA2">
              <w:rPr>
                <w:rFonts w:ascii="Segoe UI" w:eastAsia="Calibri" w:hAnsi="Segoe UI" w:cs="Segoe UI"/>
                <w:color w:val="000000"/>
                <w:sz w:val="17"/>
                <w:szCs w:val="17"/>
              </w:rPr>
              <w:t>University of South Australia</w:t>
            </w:r>
          </w:p>
        </w:tc>
        <w:tc>
          <w:tcPr>
            <w:tcW w:w="2382" w:type="pct"/>
            <w:shd w:val="clear" w:color="auto" w:fill="auto"/>
            <w:tcMar>
              <w:top w:w="15" w:type="dxa"/>
              <w:left w:w="15" w:type="dxa"/>
              <w:bottom w:w="0" w:type="dxa"/>
              <w:right w:w="15" w:type="dxa"/>
            </w:tcMar>
            <w:vAlign w:val="center"/>
            <w:hideMark/>
          </w:tcPr>
          <w:p w14:paraId="66A052CF" w14:textId="77777777" w:rsidR="003E5907" w:rsidRPr="00652AA2" w:rsidRDefault="003E5907" w:rsidP="005009A8">
            <w:pPr>
              <w:spacing w:before="20" w:after="20" w:line="240" w:lineRule="auto"/>
              <w:rPr>
                <w:rFonts w:ascii="Segoe UI" w:eastAsia="Calibri" w:hAnsi="Segoe UI" w:cs="Segoe UI"/>
                <w:color w:val="222222"/>
                <w:sz w:val="17"/>
                <w:szCs w:val="17"/>
              </w:rPr>
            </w:pPr>
            <w:r w:rsidRPr="00652AA2">
              <w:rPr>
                <w:rFonts w:ascii="Segoe UI" w:eastAsia="Calibri" w:hAnsi="Segoe UI" w:cs="Segoe UI"/>
                <w:color w:val="222222"/>
                <w:sz w:val="17"/>
                <w:szCs w:val="17"/>
              </w:rPr>
              <w:t>Turning antimicrobial resistance in residential aged care inside-out from the patient to facility level</w:t>
            </w:r>
          </w:p>
        </w:tc>
        <w:tc>
          <w:tcPr>
            <w:tcW w:w="694" w:type="pct"/>
            <w:shd w:val="clear" w:color="auto" w:fill="auto"/>
            <w:tcMar>
              <w:top w:w="15" w:type="dxa"/>
              <w:left w:w="15" w:type="dxa"/>
              <w:bottom w:w="0" w:type="dxa"/>
              <w:right w:w="15" w:type="dxa"/>
            </w:tcMar>
            <w:vAlign w:val="center"/>
            <w:hideMark/>
          </w:tcPr>
          <w:p w14:paraId="2F95ACC9" w14:textId="77777777" w:rsidR="003E5907" w:rsidRPr="00652AA2" w:rsidRDefault="003E5907" w:rsidP="005009A8">
            <w:pPr>
              <w:spacing w:before="20" w:after="20" w:line="240" w:lineRule="auto"/>
              <w:jc w:val="center"/>
              <w:rPr>
                <w:rFonts w:ascii="Segoe UI" w:eastAsia="Calibri" w:hAnsi="Segoe UI" w:cs="Segoe UI"/>
                <w:color w:val="222222"/>
                <w:sz w:val="17"/>
                <w:szCs w:val="17"/>
              </w:rPr>
            </w:pPr>
            <w:r w:rsidRPr="00652AA2">
              <w:rPr>
                <w:rFonts w:ascii="Segoe UI" w:eastAsia="Calibri" w:hAnsi="Segoe UI" w:cs="Segoe UI"/>
                <w:color w:val="222222"/>
                <w:sz w:val="17"/>
                <w:szCs w:val="17"/>
              </w:rPr>
              <w:t>$1,142,252</w:t>
            </w:r>
          </w:p>
        </w:tc>
      </w:tr>
      <w:tr w:rsidR="00CF2C5B" w:rsidRPr="00CF2C5B" w14:paraId="5CCADE47" w14:textId="77777777" w:rsidTr="00CF2C5B">
        <w:tc>
          <w:tcPr>
            <w:tcW w:w="4306" w:type="pct"/>
            <w:gridSpan w:val="3"/>
            <w:shd w:val="clear" w:color="auto" w:fill="2F527D"/>
            <w:tcMar>
              <w:top w:w="15" w:type="dxa"/>
              <w:left w:w="15" w:type="dxa"/>
              <w:bottom w:w="0" w:type="dxa"/>
              <w:right w:w="15" w:type="dxa"/>
            </w:tcMar>
            <w:vAlign w:val="center"/>
          </w:tcPr>
          <w:p w14:paraId="1216B239" w14:textId="0DD8BA6F" w:rsidR="00CF2C5B" w:rsidRPr="00CF2C5B" w:rsidRDefault="00CF2C5B" w:rsidP="00CF2C5B">
            <w:pPr>
              <w:spacing w:before="20" w:after="20" w:line="240" w:lineRule="auto"/>
              <w:jc w:val="right"/>
              <w:rPr>
                <w:rFonts w:ascii="Segoe UI" w:eastAsia="Calibri" w:hAnsi="Segoe UI" w:cs="Segoe UI"/>
                <w:b/>
                <w:color w:val="FFFFFF" w:themeColor="background1"/>
                <w:sz w:val="17"/>
                <w:szCs w:val="17"/>
              </w:rPr>
            </w:pPr>
            <w:r w:rsidRPr="00CF2C5B">
              <w:rPr>
                <w:rFonts w:ascii="Segoe UI" w:eastAsia="Calibri" w:hAnsi="Segoe UI" w:cs="Segoe UI"/>
                <w:b/>
                <w:color w:val="FFFFFF" w:themeColor="background1"/>
                <w:sz w:val="17"/>
                <w:szCs w:val="17"/>
              </w:rPr>
              <w:t xml:space="preserve"> Total   </w:t>
            </w:r>
          </w:p>
        </w:tc>
        <w:tc>
          <w:tcPr>
            <w:tcW w:w="694" w:type="pct"/>
            <w:shd w:val="clear" w:color="auto" w:fill="2F527D"/>
            <w:tcMar>
              <w:top w:w="15" w:type="dxa"/>
              <w:left w:w="15" w:type="dxa"/>
              <w:bottom w:w="0" w:type="dxa"/>
              <w:right w:w="15" w:type="dxa"/>
            </w:tcMar>
            <w:vAlign w:val="center"/>
          </w:tcPr>
          <w:p w14:paraId="0BBFEBEF" w14:textId="1A935EC0" w:rsidR="00CF2C5B" w:rsidRPr="00CF2C5B" w:rsidRDefault="00CF2C5B" w:rsidP="00CF2C5B">
            <w:pPr>
              <w:spacing w:before="20" w:after="20" w:line="240" w:lineRule="auto"/>
              <w:jc w:val="right"/>
              <w:rPr>
                <w:rFonts w:ascii="Segoe UI" w:eastAsia="Calibri" w:hAnsi="Segoe UI" w:cs="Segoe UI"/>
                <w:b/>
                <w:color w:val="FFFFFF" w:themeColor="background1"/>
                <w:sz w:val="17"/>
                <w:szCs w:val="17"/>
              </w:rPr>
            </w:pPr>
            <w:r w:rsidRPr="00CF2C5B">
              <w:rPr>
                <w:rFonts w:ascii="Segoe UI" w:eastAsia="Calibri" w:hAnsi="Segoe UI" w:cs="Segoe UI"/>
                <w:b/>
                <w:color w:val="FFFFFF" w:themeColor="background1"/>
                <w:sz w:val="17"/>
                <w:szCs w:val="17"/>
              </w:rPr>
              <w:t>$213,856,845</w:t>
            </w:r>
          </w:p>
        </w:tc>
      </w:tr>
    </w:tbl>
    <w:p w14:paraId="5FA041B3" w14:textId="2E4EA8EE" w:rsidR="00592519" w:rsidRDefault="00592519" w:rsidP="00592519">
      <w:pPr>
        <w:spacing w:before="120" w:line="240" w:lineRule="auto"/>
        <w:ind w:left="-425"/>
        <w:rPr>
          <w:rFonts w:ascii="Arial" w:hAnsi="Arial" w:cs="Arial"/>
          <w:sz w:val="17"/>
          <w:szCs w:val="17"/>
        </w:rPr>
      </w:pPr>
      <w:r>
        <w:rPr>
          <w:rFonts w:ascii="Arial" w:hAnsi="Arial" w:cs="Arial"/>
          <w:sz w:val="17"/>
          <w:szCs w:val="17"/>
        </w:rPr>
        <w:t xml:space="preserve">^Grant Connect ID has been provided where available. </w:t>
      </w:r>
      <w:r w:rsidR="00DE57E6">
        <w:rPr>
          <w:rFonts w:ascii="Arial" w:hAnsi="Arial" w:cs="Arial"/>
          <w:sz w:val="17"/>
          <w:szCs w:val="17"/>
        </w:rPr>
        <w:t xml:space="preserve">A Grant Connect ID may not be available for </w:t>
      </w:r>
      <w:r>
        <w:rPr>
          <w:rFonts w:ascii="Arial" w:hAnsi="Arial" w:cs="Arial"/>
          <w:sz w:val="17"/>
          <w:szCs w:val="17"/>
        </w:rPr>
        <w:t xml:space="preserve">one off/ad hoc grant opportunities, or </w:t>
      </w:r>
      <w:r w:rsidR="00DE57E6">
        <w:rPr>
          <w:rFonts w:ascii="Arial" w:hAnsi="Arial" w:cs="Arial"/>
          <w:sz w:val="17"/>
          <w:szCs w:val="17"/>
        </w:rPr>
        <w:t xml:space="preserve">those </w:t>
      </w:r>
      <w:r>
        <w:rPr>
          <w:rFonts w:ascii="Arial" w:hAnsi="Arial" w:cs="Arial"/>
          <w:sz w:val="17"/>
          <w:szCs w:val="17"/>
        </w:rPr>
        <w:t xml:space="preserve">involving </w:t>
      </w:r>
      <w:r w:rsidR="00DE57E6">
        <w:rPr>
          <w:rFonts w:ascii="Arial" w:hAnsi="Arial" w:cs="Arial"/>
          <w:sz w:val="17"/>
          <w:szCs w:val="17"/>
        </w:rPr>
        <w:t xml:space="preserve">certain </w:t>
      </w:r>
      <w:r>
        <w:rPr>
          <w:rFonts w:ascii="Arial" w:hAnsi="Arial" w:cs="Arial"/>
          <w:sz w:val="17"/>
          <w:szCs w:val="17"/>
        </w:rPr>
        <w:t>NHMRC</w:t>
      </w:r>
      <w:r w:rsidRPr="00592519">
        <w:rPr>
          <w:rFonts w:ascii="Arial" w:hAnsi="Arial" w:cs="Arial"/>
          <w:sz w:val="17"/>
          <w:szCs w:val="17"/>
        </w:rPr>
        <w:t xml:space="preserve"> </w:t>
      </w:r>
      <w:r>
        <w:rPr>
          <w:rFonts w:ascii="Arial" w:hAnsi="Arial" w:cs="Arial"/>
          <w:sz w:val="17"/>
          <w:szCs w:val="17"/>
        </w:rPr>
        <w:t xml:space="preserve">processes (e,g, </w:t>
      </w:r>
      <w:r w:rsidRPr="00592519">
        <w:rPr>
          <w:rFonts w:ascii="Arial" w:hAnsi="Arial" w:cs="Arial"/>
          <w:sz w:val="17"/>
          <w:szCs w:val="17"/>
        </w:rPr>
        <w:t>Next Generation Clinical Researchers</w:t>
      </w:r>
      <w:r>
        <w:rPr>
          <w:rFonts w:ascii="Arial" w:hAnsi="Arial" w:cs="Arial"/>
          <w:sz w:val="17"/>
          <w:szCs w:val="17"/>
        </w:rPr>
        <w:t>)</w:t>
      </w:r>
      <w:r w:rsidR="00C76782">
        <w:rPr>
          <w:rFonts w:ascii="Arial" w:hAnsi="Arial" w:cs="Arial"/>
          <w:sz w:val="17"/>
          <w:szCs w:val="17"/>
        </w:rPr>
        <w:t>.</w:t>
      </w:r>
    </w:p>
    <w:p w14:paraId="1F3D4787" w14:textId="3E445C93" w:rsidR="008B3AA2" w:rsidRPr="0056389C" w:rsidRDefault="008B3AA2" w:rsidP="00FF61C7">
      <w:pPr>
        <w:spacing w:before="120" w:line="240" w:lineRule="auto"/>
        <w:ind w:left="-425"/>
        <w:rPr>
          <w:rFonts w:ascii="Arial" w:hAnsi="Arial" w:cs="Arial"/>
          <w:sz w:val="17"/>
          <w:szCs w:val="17"/>
        </w:rPr>
      </w:pPr>
      <w:r w:rsidRPr="0056389C">
        <w:rPr>
          <w:rFonts w:ascii="Arial" w:hAnsi="Arial" w:cs="Arial"/>
          <w:sz w:val="17"/>
          <w:szCs w:val="17"/>
        </w:rPr>
        <w:t>*Grant acceptance was withdrawn/relinquished/declined</w:t>
      </w:r>
      <w:r>
        <w:rPr>
          <w:rFonts w:ascii="Arial" w:hAnsi="Arial" w:cs="Arial"/>
          <w:sz w:val="17"/>
          <w:szCs w:val="17"/>
        </w:rPr>
        <w:t xml:space="preserve"> and is not included in the totals.</w:t>
      </w:r>
    </w:p>
    <w:p w14:paraId="0A595643" w14:textId="246DE31D" w:rsidR="000806F7" w:rsidRDefault="00CF2C5B" w:rsidP="00361001">
      <w:pPr>
        <w:spacing w:line="240" w:lineRule="auto"/>
        <w:contextualSpacing/>
        <w:rPr>
          <w:rFonts w:ascii="Arial" w:hAnsi="Arial" w:cs="Arial"/>
        </w:rPr>
      </w:pPr>
      <w:r>
        <w:rPr>
          <w:rFonts w:ascii="Arial" w:hAnsi="Arial" w:cs="Arial"/>
        </w:rPr>
        <w:t xml:space="preserve"> </w:t>
      </w:r>
    </w:p>
    <w:p w14:paraId="1C8D2109" w14:textId="569DDE49" w:rsidR="00BB22EA" w:rsidRDefault="000319EF" w:rsidP="00637CFB">
      <w:pPr>
        <w:pStyle w:val="xAppendixLevel1"/>
        <w:spacing w:after="240"/>
        <w:ind w:left="2127" w:hanging="2127"/>
        <w:rPr>
          <w:rFonts w:ascii="Arial" w:hAnsi="Arial" w:cs="Arial"/>
          <w:b w:val="0"/>
          <w:sz w:val="36"/>
          <w:szCs w:val="36"/>
        </w:rPr>
      </w:pPr>
      <w:bookmarkStart w:id="27" w:name="_Toc5785669"/>
      <w:r w:rsidRPr="000319EF">
        <w:rPr>
          <w:rFonts w:ascii="Arial" w:hAnsi="Arial" w:cs="Arial"/>
          <w:b w:val="0"/>
          <w:sz w:val="36"/>
          <w:szCs w:val="36"/>
        </w:rPr>
        <w:lastRenderedPageBreak/>
        <w:t xml:space="preserve">MRFF Grants Awarded from November 2016 to November 2018, by </w:t>
      </w:r>
      <w:r>
        <w:rPr>
          <w:rFonts w:ascii="Arial" w:hAnsi="Arial" w:cs="Arial"/>
          <w:b w:val="0"/>
          <w:sz w:val="36"/>
          <w:szCs w:val="36"/>
        </w:rPr>
        <w:t>initiative</w:t>
      </w:r>
      <w:bookmarkEnd w:id="27"/>
    </w:p>
    <w:p w14:paraId="62B1FDF1" w14:textId="648C6F40" w:rsidR="008B3AA2" w:rsidRPr="008B3AA2" w:rsidRDefault="008B3AA2" w:rsidP="008B3AA2">
      <w:pPr>
        <w:rPr>
          <w:rFonts w:ascii="Arial" w:hAnsi="Arial" w:cs="Arial"/>
        </w:rPr>
      </w:pPr>
      <w:r w:rsidRPr="008B3AA2">
        <w:rPr>
          <w:rFonts w:ascii="Arial" w:hAnsi="Arial" w:cs="Arial"/>
        </w:rPr>
        <w:t>The funding amount by MRFF initiatives, announced and awarded during the period when the 2016</w:t>
      </w:r>
      <w:r w:rsidRPr="008B3AA2">
        <w:rPr>
          <w:rFonts w:ascii="Arial" w:hAnsi="Arial" w:cs="Arial"/>
        </w:rPr>
        <w:noBreakHyphen/>
        <w:t xml:space="preserve">2018 Priorities were in force, are presented in </w:t>
      </w:r>
      <w:r w:rsidRPr="008B3AA2">
        <w:rPr>
          <w:rFonts w:ascii="Arial" w:hAnsi="Arial" w:cs="Arial"/>
        </w:rPr>
        <w:fldChar w:fldCharType="begin"/>
      </w:r>
      <w:r w:rsidRPr="008B3AA2">
        <w:rPr>
          <w:rFonts w:ascii="Arial" w:hAnsi="Arial" w:cs="Arial"/>
        </w:rPr>
        <w:instrText xml:space="preserve"> REF _Ref5719313 \h </w:instrText>
      </w:r>
      <w:r>
        <w:rPr>
          <w:rFonts w:ascii="Arial" w:hAnsi="Arial" w:cs="Arial"/>
        </w:rPr>
        <w:instrText xml:space="preserve"> \* MERGEFORMAT </w:instrText>
      </w:r>
      <w:r w:rsidRPr="008B3AA2">
        <w:rPr>
          <w:rFonts w:ascii="Arial" w:hAnsi="Arial" w:cs="Arial"/>
        </w:rPr>
      </w:r>
      <w:r w:rsidRPr="008B3AA2">
        <w:rPr>
          <w:rFonts w:ascii="Arial" w:hAnsi="Arial" w:cs="Arial"/>
        </w:rPr>
        <w:fldChar w:fldCharType="separate"/>
      </w:r>
      <w:r w:rsidR="00533860" w:rsidRPr="00533860">
        <w:rPr>
          <w:rFonts w:ascii="Arial" w:hAnsi="Arial" w:cs="Arial"/>
        </w:rPr>
        <w:t>Table 7</w:t>
      </w:r>
      <w:r w:rsidRPr="008B3AA2">
        <w:rPr>
          <w:rFonts w:ascii="Arial" w:hAnsi="Arial" w:cs="Arial"/>
        </w:rPr>
        <w:fldChar w:fldCharType="end"/>
      </w:r>
      <w:r w:rsidRPr="008B3AA2">
        <w:rPr>
          <w:rFonts w:ascii="Arial" w:hAnsi="Arial" w:cs="Arial"/>
        </w:rPr>
        <w:t>.</w:t>
      </w:r>
    </w:p>
    <w:p w14:paraId="1B52FBAC" w14:textId="76203FDC" w:rsidR="008B3AA2" w:rsidRPr="008B3AA2" w:rsidRDefault="008B3AA2" w:rsidP="008B3AA2">
      <w:pPr>
        <w:pStyle w:val="Caption"/>
        <w:rPr>
          <w:color w:val="1F497D" w:themeColor="text2"/>
        </w:rPr>
      </w:pPr>
      <w:bookmarkStart w:id="28" w:name="_Ref5719313"/>
      <w:r w:rsidRPr="008B3AA2">
        <w:rPr>
          <w:color w:val="1F497D" w:themeColor="text2"/>
        </w:rPr>
        <w:t xml:space="preserve">Table </w:t>
      </w:r>
      <w:r w:rsidRPr="008B3AA2">
        <w:rPr>
          <w:color w:val="1F497D" w:themeColor="text2"/>
        </w:rPr>
        <w:fldChar w:fldCharType="begin"/>
      </w:r>
      <w:r w:rsidRPr="008B3AA2">
        <w:rPr>
          <w:color w:val="1F497D" w:themeColor="text2"/>
        </w:rPr>
        <w:instrText xml:space="preserve"> SEQ Table \* ARABIC </w:instrText>
      </w:r>
      <w:r w:rsidRPr="008B3AA2">
        <w:rPr>
          <w:color w:val="1F497D" w:themeColor="text2"/>
        </w:rPr>
        <w:fldChar w:fldCharType="separate"/>
      </w:r>
      <w:r w:rsidR="00533860">
        <w:rPr>
          <w:noProof/>
          <w:color w:val="1F497D" w:themeColor="text2"/>
        </w:rPr>
        <w:t>7</w:t>
      </w:r>
      <w:r w:rsidRPr="008B3AA2">
        <w:rPr>
          <w:color w:val="1F497D" w:themeColor="text2"/>
        </w:rPr>
        <w:fldChar w:fldCharType="end"/>
      </w:r>
      <w:bookmarkEnd w:id="28"/>
      <w:r>
        <w:rPr>
          <w:color w:val="1F497D" w:themeColor="text2"/>
        </w:rPr>
        <w:t xml:space="preserve"> </w:t>
      </w:r>
      <w:r w:rsidRPr="008B3AA2">
        <w:rPr>
          <w:color w:val="1F497D" w:themeColor="text2"/>
        </w:rPr>
        <w:t xml:space="preserve">| </w:t>
      </w:r>
      <w:r>
        <w:rPr>
          <w:color w:val="1F497D" w:themeColor="text2"/>
        </w:rPr>
        <w:t xml:space="preserve">Funding amount by </w:t>
      </w:r>
      <w:r w:rsidRPr="008B3AA2">
        <w:rPr>
          <w:color w:val="1F497D" w:themeColor="text2"/>
        </w:rPr>
        <w:t xml:space="preserve">MRFF </w:t>
      </w:r>
      <w:r>
        <w:rPr>
          <w:color w:val="1F497D" w:themeColor="text2"/>
        </w:rPr>
        <w:t>initiatives,</w:t>
      </w:r>
      <w:r w:rsidRPr="008B3AA2">
        <w:rPr>
          <w:color w:val="1F497D" w:themeColor="text2"/>
        </w:rPr>
        <w:t xml:space="preserve"> as at November 2018</w:t>
      </w:r>
    </w:p>
    <w:tbl>
      <w:tblPr>
        <w:tblStyle w:val="TableGrid"/>
        <w:tblW w:w="0" w:type="auto"/>
        <w:tblLook w:val="04A0" w:firstRow="1" w:lastRow="0" w:firstColumn="1" w:lastColumn="0" w:noHBand="0" w:noVBand="1"/>
      </w:tblPr>
      <w:tblGrid>
        <w:gridCol w:w="6799"/>
        <w:gridCol w:w="1828"/>
        <w:gridCol w:w="9"/>
      </w:tblGrid>
      <w:tr w:rsidR="00640D06" w14:paraId="2903021B" w14:textId="77777777" w:rsidTr="00640D06">
        <w:tc>
          <w:tcPr>
            <w:tcW w:w="6799" w:type="dxa"/>
            <w:shd w:val="clear" w:color="auto" w:fill="1F4E78"/>
            <w:vAlign w:val="center"/>
          </w:tcPr>
          <w:p w14:paraId="6E18C215" w14:textId="72353883" w:rsidR="00640D06" w:rsidRDefault="00640D06" w:rsidP="00BB22EA">
            <w:pPr>
              <w:jc w:val="center"/>
              <w:rPr>
                <w:lang w:eastAsia="en-AU"/>
              </w:rPr>
            </w:pPr>
            <w:r w:rsidRPr="00652AA2">
              <w:rPr>
                <w:rFonts w:ascii="Segoe UI" w:eastAsia="Calibri" w:hAnsi="Segoe UI" w:cs="Segoe UI"/>
                <w:b/>
                <w:bCs/>
                <w:color w:val="FFFFFF"/>
                <w:sz w:val="17"/>
                <w:szCs w:val="17"/>
              </w:rPr>
              <w:t>MRFF Initiative</w:t>
            </w:r>
          </w:p>
        </w:tc>
        <w:tc>
          <w:tcPr>
            <w:tcW w:w="1837" w:type="dxa"/>
            <w:gridSpan w:val="2"/>
            <w:shd w:val="clear" w:color="auto" w:fill="1F4E78"/>
            <w:vAlign w:val="center"/>
          </w:tcPr>
          <w:p w14:paraId="4B91875E" w14:textId="0A188900" w:rsidR="00640D06" w:rsidRDefault="00640D06" w:rsidP="00BB22EA">
            <w:pPr>
              <w:jc w:val="center"/>
              <w:rPr>
                <w:lang w:eastAsia="en-AU"/>
              </w:rPr>
            </w:pPr>
            <w:r w:rsidRPr="00652AA2">
              <w:rPr>
                <w:rFonts w:ascii="Segoe UI" w:eastAsia="Calibri" w:hAnsi="Segoe UI" w:cs="Segoe UI"/>
                <w:b/>
                <w:bCs/>
                <w:color w:val="FFFFFF"/>
                <w:sz w:val="17"/>
                <w:szCs w:val="17"/>
              </w:rPr>
              <w:t>Funding Amount</w:t>
            </w:r>
          </w:p>
        </w:tc>
      </w:tr>
      <w:tr w:rsidR="00640D06" w14:paraId="5A8EEE4D" w14:textId="77777777" w:rsidTr="00640D06">
        <w:tc>
          <w:tcPr>
            <w:tcW w:w="6799" w:type="dxa"/>
            <w:shd w:val="clear" w:color="auto" w:fill="auto"/>
            <w:vAlign w:val="bottom"/>
          </w:tcPr>
          <w:p w14:paraId="7374A14B" w14:textId="533971F3"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 xml:space="preserve">Accelerated Research </w:t>
            </w:r>
          </w:p>
        </w:tc>
        <w:tc>
          <w:tcPr>
            <w:tcW w:w="1837" w:type="dxa"/>
            <w:gridSpan w:val="2"/>
            <w:shd w:val="clear" w:color="auto" w:fill="auto"/>
          </w:tcPr>
          <w:p w14:paraId="6B2A8DCD" w14:textId="23656476"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$31,149,652 </w:t>
            </w:r>
          </w:p>
        </w:tc>
      </w:tr>
      <w:tr w:rsidR="00640D06" w14:paraId="32B6FCBD" w14:textId="77777777" w:rsidTr="00640D06">
        <w:tc>
          <w:tcPr>
            <w:tcW w:w="6799" w:type="dxa"/>
            <w:shd w:val="clear" w:color="auto" w:fill="auto"/>
            <w:vAlign w:val="bottom"/>
          </w:tcPr>
          <w:p w14:paraId="3858F17D" w14:textId="5DD55B9B"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Australian Brain Cancer Mission</w:t>
            </w:r>
          </w:p>
        </w:tc>
        <w:tc>
          <w:tcPr>
            <w:tcW w:w="1837" w:type="dxa"/>
            <w:gridSpan w:val="2"/>
            <w:shd w:val="clear" w:color="auto" w:fill="auto"/>
          </w:tcPr>
          <w:p w14:paraId="5D80D6A2" w14:textId="3D71CDDA"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$10,002,023 </w:t>
            </w:r>
          </w:p>
        </w:tc>
      </w:tr>
      <w:tr w:rsidR="00640D06" w14:paraId="43CAAF2C" w14:textId="77777777" w:rsidTr="00640D06">
        <w:tc>
          <w:tcPr>
            <w:tcW w:w="6799" w:type="dxa"/>
            <w:shd w:val="clear" w:color="auto" w:fill="auto"/>
            <w:vAlign w:val="bottom"/>
          </w:tcPr>
          <w:p w14:paraId="310AAA1D" w14:textId="5D282B77"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Biomedical Translation Bridge</w:t>
            </w:r>
          </w:p>
        </w:tc>
        <w:tc>
          <w:tcPr>
            <w:tcW w:w="1837" w:type="dxa"/>
            <w:gridSpan w:val="2"/>
            <w:shd w:val="clear" w:color="auto" w:fill="auto"/>
          </w:tcPr>
          <w:p w14:paraId="34267E5E" w14:textId="6FE92962"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$22,300,000 </w:t>
            </w:r>
          </w:p>
        </w:tc>
      </w:tr>
      <w:tr w:rsidR="00640D06" w14:paraId="14646ABE" w14:textId="77777777" w:rsidTr="00640D06">
        <w:tc>
          <w:tcPr>
            <w:tcW w:w="6799" w:type="dxa"/>
            <w:shd w:val="clear" w:color="auto" w:fill="auto"/>
            <w:vAlign w:val="bottom"/>
          </w:tcPr>
          <w:p w14:paraId="51AEF3DA" w14:textId="69184C1F"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 xml:space="preserve">BioMedTech Horizons </w:t>
            </w:r>
          </w:p>
        </w:tc>
        <w:tc>
          <w:tcPr>
            <w:tcW w:w="1837" w:type="dxa"/>
            <w:gridSpan w:val="2"/>
            <w:shd w:val="clear" w:color="auto" w:fill="auto"/>
          </w:tcPr>
          <w:p w14:paraId="55F0DD3E" w14:textId="5BFC29A4" w:rsidR="00640D06" w:rsidRPr="00BB22EA" w:rsidRDefault="00640D06" w:rsidP="00BB22EA">
            <w:pPr>
              <w:spacing w:before="20" w:after="20" w:line="240" w:lineRule="auto"/>
              <w:jc w:val="right"/>
              <w:rPr>
                <w:rFonts w:ascii="Segoe UI" w:eastAsia="Calibri" w:hAnsi="Segoe UI" w:cs="Segoe UI"/>
                <w:color w:val="222222"/>
                <w:sz w:val="17"/>
                <w:szCs w:val="17"/>
              </w:rPr>
            </w:pPr>
            <w:r>
              <w:rPr>
                <w:rFonts w:ascii="Segoe UI" w:eastAsia="Calibri" w:hAnsi="Segoe UI" w:cs="Segoe UI"/>
                <w:color w:val="222222"/>
                <w:sz w:val="17"/>
                <w:szCs w:val="17"/>
              </w:rPr>
              <w:t xml:space="preserve"> $10</w:t>
            </w:r>
            <w:r w:rsidRPr="00BB22EA">
              <w:rPr>
                <w:rFonts w:ascii="Segoe UI" w:eastAsia="Calibri" w:hAnsi="Segoe UI" w:cs="Segoe UI"/>
                <w:color w:val="222222"/>
                <w:sz w:val="17"/>
                <w:szCs w:val="17"/>
              </w:rPr>
              <w:t xml:space="preserve">,000,000 </w:t>
            </w:r>
          </w:p>
        </w:tc>
      </w:tr>
      <w:tr w:rsidR="00640D06" w14:paraId="587A5073" w14:textId="77777777" w:rsidTr="00640D06">
        <w:tc>
          <w:tcPr>
            <w:tcW w:w="6799" w:type="dxa"/>
            <w:shd w:val="clear" w:color="auto" w:fill="auto"/>
            <w:vAlign w:val="bottom"/>
          </w:tcPr>
          <w:p w14:paraId="6B5FBEFB" w14:textId="642D1D92"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 xml:space="preserve">Boosting Preventive Health Research </w:t>
            </w:r>
          </w:p>
        </w:tc>
        <w:tc>
          <w:tcPr>
            <w:tcW w:w="1837" w:type="dxa"/>
            <w:gridSpan w:val="2"/>
            <w:shd w:val="clear" w:color="auto" w:fill="auto"/>
          </w:tcPr>
          <w:p w14:paraId="3DCC0F78" w14:textId="2D7E5A05"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$10,000,000 </w:t>
            </w:r>
          </w:p>
        </w:tc>
      </w:tr>
      <w:tr w:rsidR="00640D06" w14:paraId="01E81ECE" w14:textId="77777777" w:rsidTr="00640D06">
        <w:tc>
          <w:tcPr>
            <w:tcW w:w="6799" w:type="dxa"/>
            <w:shd w:val="clear" w:color="auto" w:fill="auto"/>
            <w:vAlign w:val="bottom"/>
          </w:tcPr>
          <w:p w14:paraId="676D2E28" w14:textId="31D461DA"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Clinical Trial Activity - Rare Cancers, Rare Diseases and Unmet Need  Rd1</w:t>
            </w:r>
          </w:p>
        </w:tc>
        <w:tc>
          <w:tcPr>
            <w:tcW w:w="1837" w:type="dxa"/>
            <w:gridSpan w:val="2"/>
            <w:shd w:val="clear" w:color="auto" w:fill="auto"/>
          </w:tcPr>
          <w:p w14:paraId="6189E376" w14:textId="1A3120AE"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$26,597,469 </w:t>
            </w:r>
          </w:p>
        </w:tc>
      </w:tr>
      <w:tr w:rsidR="00640D06" w14:paraId="11ED7EE7" w14:textId="77777777" w:rsidTr="00640D06">
        <w:tc>
          <w:tcPr>
            <w:tcW w:w="6799" w:type="dxa"/>
            <w:shd w:val="clear" w:color="auto" w:fill="auto"/>
            <w:vAlign w:val="bottom"/>
          </w:tcPr>
          <w:p w14:paraId="40F27EC1" w14:textId="3BBAACAE"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Clinical Trial Activity - Rare Cancers, Rare Diseases and Unmet Need  Rd2</w:t>
            </w:r>
          </w:p>
        </w:tc>
        <w:tc>
          <w:tcPr>
            <w:tcW w:w="1837" w:type="dxa"/>
            <w:gridSpan w:val="2"/>
            <w:shd w:val="clear" w:color="auto" w:fill="auto"/>
          </w:tcPr>
          <w:p w14:paraId="365FBD4A" w14:textId="7176C137"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$9,484,454 </w:t>
            </w:r>
          </w:p>
        </w:tc>
      </w:tr>
      <w:tr w:rsidR="00640D06" w14:paraId="1F761B19" w14:textId="77777777" w:rsidTr="00640D06">
        <w:tc>
          <w:tcPr>
            <w:tcW w:w="6799" w:type="dxa"/>
            <w:shd w:val="clear" w:color="auto" w:fill="auto"/>
            <w:vAlign w:val="bottom"/>
          </w:tcPr>
          <w:p w14:paraId="2242B508" w14:textId="037F69CE"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Clinical Trials Networks</w:t>
            </w:r>
          </w:p>
        </w:tc>
        <w:tc>
          <w:tcPr>
            <w:tcW w:w="1837" w:type="dxa"/>
            <w:gridSpan w:val="2"/>
            <w:shd w:val="clear" w:color="auto" w:fill="auto"/>
          </w:tcPr>
          <w:p w14:paraId="311C22F7" w14:textId="59415CB0"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$5,000,000 </w:t>
            </w:r>
          </w:p>
        </w:tc>
      </w:tr>
      <w:tr w:rsidR="00640D06" w14:paraId="74B3BAAC" w14:textId="77777777" w:rsidTr="00640D06">
        <w:tc>
          <w:tcPr>
            <w:tcW w:w="6799" w:type="dxa"/>
            <w:shd w:val="clear" w:color="auto" w:fill="auto"/>
            <w:vAlign w:val="bottom"/>
          </w:tcPr>
          <w:p w14:paraId="10FA5EDC" w14:textId="4A0AA81A"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Genomics Health Futures Mission</w:t>
            </w:r>
          </w:p>
        </w:tc>
        <w:tc>
          <w:tcPr>
            <w:tcW w:w="1837" w:type="dxa"/>
            <w:gridSpan w:val="2"/>
            <w:shd w:val="clear" w:color="auto" w:fill="auto"/>
          </w:tcPr>
          <w:p w14:paraId="0EF55467" w14:textId="447990D4"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$30,682,540 </w:t>
            </w:r>
          </w:p>
        </w:tc>
      </w:tr>
      <w:tr w:rsidR="00640D06" w14:paraId="28B09FDA" w14:textId="77777777" w:rsidTr="00640D06">
        <w:tc>
          <w:tcPr>
            <w:tcW w:w="6799" w:type="dxa"/>
            <w:shd w:val="clear" w:color="auto" w:fill="auto"/>
            <w:vAlign w:val="bottom"/>
          </w:tcPr>
          <w:p w14:paraId="2E0D4EB9" w14:textId="15DFC3FE"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National Security Against Pandemic Risk</w:t>
            </w:r>
          </w:p>
        </w:tc>
        <w:tc>
          <w:tcPr>
            <w:tcW w:w="1837" w:type="dxa"/>
            <w:gridSpan w:val="2"/>
            <w:shd w:val="clear" w:color="auto" w:fill="auto"/>
          </w:tcPr>
          <w:p w14:paraId="2989DB59" w14:textId="0A03F6FB"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$2,000,000 </w:t>
            </w:r>
          </w:p>
        </w:tc>
      </w:tr>
      <w:tr w:rsidR="00640D06" w14:paraId="3E6B6D61" w14:textId="77777777" w:rsidTr="00640D06">
        <w:tc>
          <w:tcPr>
            <w:tcW w:w="6799" w:type="dxa"/>
            <w:shd w:val="clear" w:color="auto" w:fill="auto"/>
            <w:vAlign w:val="bottom"/>
          </w:tcPr>
          <w:p w14:paraId="1AF142B8" w14:textId="446E92E2"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Next Generation Clinical Researchers </w:t>
            </w:r>
          </w:p>
        </w:tc>
        <w:tc>
          <w:tcPr>
            <w:tcW w:w="1837" w:type="dxa"/>
            <w:gridSpan w:val="2"/>
            <w:shd w:val="clear" w:color="auto" w:fill="auto"/>
          </w:tcPr>
          <w:p w14:paraId="75A462B3" w14:textId="4646EF3E"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$23,120,047 </w:t>
            </w:r>
          </w:p>
        </w:tc>
      </w:tr>
      <w:tr w:rsidR="00640D06" w14:paraId="2C6937CF" w14:textId="77777777" w:rsidTr="00640D06">
        <w:tc>
          <w:tcPr>
            <w:tcW w:w="6799" w:type="dxa"/>
            <w:shd w:val="clear" w:color="auto" w:fill="auto"/>
            <w:vAlign w:val="bottom"/>
          </w:tcPr>
          <w:p w14:paraId="3A5001EC" w14:textId="6105B700"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 xml:space="preserve">Rapid Applied Research Translation </w:t>
            </w:r>
          </w:p>
        </w:tc>
        <w:tc>
          <w:tcPr>
            <w:tcW w:w="1837" w:type="dxa"/>
            <w:gridSpan w:val="2"/>
            <w:shd w:val="clear" w:color="auto" w:fill="auto"/>
          </w:tcPr>
          <w:p w14:paraId="3C1C800D" w14:textId="172CCD46"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$27,620,659 </w:t>
            </w:r>
          </w:p>
        </w:tc>
      </w:tr>
      <w:tr w:rsidR="00640D06" w14:paraId="6E10B70C" w14:textId="77777777" w:rsidTr="00640D06">
        <w:tc>
          <w:tcPr>
            <w:tcW w:w="6799" w:type="dxa"/>
            <w:shd w:val="clear" w:color="auto" w:fill="auto"/>
            <w:vAlign w:val="bottom"/>
          </w:tcPr>
          <w:p w14:paraId="5B8EC5CE" w14:textId="334A5F1B" w:rsidR="00640D06" w:rsidRPr="00BB22EA" w:rsidRDefault="00640D06" w:rsidP="00BB22EA">
            <w:pPr>
              <w:spacing w:before="20" w:after="20" w:line="240" w:lineRule="auto"/>
              <w:rPr>
                <w:rFonts w:ascii="Segoe UI" w:eastAsia="Calibri" w:hAnsi="Segoe UI" w:cs="Segoe UI"/>
                <w:color w:val="000000"/>
                <w:sz w:val="17"/>
                <w:szCs w:val="17"/>
              </w:rPr>
            </w:pPr>
            <w:r w:rsidRPr="00BB22EA">
              <w:rPr>
                <w:rFonts w:ascii="Segoe UI" w:eastAsia="Calibri" w:hAnsi="Segoe UI" w:cs="Segoe UI"/>
                <w:color w:val="000000"/>
                <w:sz w:val="17"/>
                <w:szCs w:val="17"/>
              </w:rPr>
              <w:t xml:space="preserve">Tackling Antimicrobial Resistance </w:t>
            </w:r>
          </w:p>
        </w:tc>
        <w:tc>
          <w:tcPr>
            <w:tcW w:w="1837" w:type="dxa"/>
            <w:gridSpan w:val="2"/>
            <w:shd w:val="clear" w:color="auto" w:fill="auto"/>
          </w:tcPr>
          <w:p w14:paraId="4129723F" w14:textId="1BFCFE0F" w:rsidR="00640D06" w:rsidRPr="00BB22EA" w:rsidRDefault="00640D06" w:rsidP="00BB22EA">
            <w:pPr>
              <w:spacing w:before="20" w:after="20" w:line="240" w:lineRule="auto"/>
              <w:jc w:val="right"/>
              <w:rPr>
                <w:rFonts w:ascii="Segoe UI" w:eastAsia="Calibri" w:hAnsi="Segoe UI" w:cs="Segoe UI"/>
                <w:color w:val="222222"/>
                <w:sz w:val="17"/>
                <w:szCs w:val="17"/>
              </w:rPr>
            </w:pPr>
            <w:r w:rsidRPr="00BB22EA">
              <w:rPr>
                <w:rFonts w:ascii="Segoe UI" w:eastAsia="Calibri" w:hAnsi="Segoe UI" w:cs="Segoe UI"/>
                <w:color w:val="222222"/>
                <w:sz w:val="17"/>
                <w:szCs w:val="17"/>
              </w:rPr>
              <w:t xml:space="preserve"> $5,900,001 </w:t>
            </w:r>
          </w:p>
        </w:tc>
      </w:tr>
      <w:tr w:rsidR="00640D06" w:rsidRPr="00BB22EA" w14:paraId="0A879847" w14:textId="30ECDA92" w:rsidTr="00640D06">
        <w:trPr>
          <w:gridAfter w:val="1"/>
          <w:wAfter w:w="9" w:type="dxa"/>
          <w:trHeight w:val="273"/>
        </w:trPr>
        <w:tc>
          <w:tcPr>
            <w:tcW w:w="6799" w:type="dxa"/>
            <w:shd w:val="clear" w:color="auto" w:fill="1F4E78"/>
          </w:tcPr>
          <w:p w14:paraId="643CC612" w14:textId="7B20DCBA" w:rsidR="00640D06" w:rsidRPr="00BB22EA" w:rsidRDefault="00640D06" w:rsidP="00640D06">
            <w:pPr>
              <w:spacing w:before="20" w:after="20" w:line="240" w:lineRule="auto"/>
              <w:jc w:val="right"/>
              <w:rPr>
                <w:rFonts w:ascii="Segoe UI" w:eastAsia="Calibri" w:hAnsi="Segoe UI" w:cs="Segoe UI"/>
                <w:b/>
                <w:color w:val="FFFFFF" w:themeColor="background1"/>
                <w:sz w:val="17"/>
                <w:szCs w:val="17"/>
              </w:rPr>
            </w:pPr>
            <w:r>
              <w:rPr>
                <w:rFonts w:ascii="Segoe UI" w:eastAsia="Calibri" w:hAnsi="Segoe UI" w:cs="Segoe UI"/>
                <w:b/>
                <w:color w:val="FFFFFF" w:themeColor="background1"/>
                <w:sz w:val="17"/>
                <w:szCs w:val="17"/>
              </w:rPr>
              <w:t>Total</w:t>
            </w:r>
          </w:p>
        </w:tc>
        <w:tc>
          <w:tcPr>
            <w:tcW w:w="1828" w:type="dxa"/>
            <w:shd w:val="clear" w:color="auto" w:fill="1F4E78"/>
          </w:tcPr>
          <w:p w14:paraId="0989E6B3" w14:textId="2653D888" w:rsidR="00640D06" w:rsidRPr="00BB22EA" w:rsidRDefault="00640D06" w:rsidP="00BB22EA">
            <w:pPr>
              <w:spacing w:before="20" w:after="20" w:line="240" w:lineRule="auto"/>
              <w:jc w:val="right"/>
              <w:rPr>
                <w:rFonts w:ascii="Segoe UI" w:eastAsia="Calibri" w:hAnsi="Segoe UI" w:cs="Segoe UI"/>
                <w:b/>
                <w:color w:val="FFFFFF" w:themeColor="background1"/>
                <w:sz w:val="17"/>
                <w:szCs w:val="17"/>
              </w:rPr>
            </w:pPr>
            <w:r w:rsidRPr="008B3AA2">
              <w:rPr>
                <w:rFonts w:ascii="Segoe UI" w:eastAsia="Calibri" w:hAnsi="Segoe UI" w:cs="Segoe UI"/>
                <w:b/>
                <w:color w:val="FFFFFF" w:themeColor="background1"/>
                <w:sz w:val="17"/>
                <w:szCs w:val="17"/>
              </w:rPr>
              <w:t>$213,856,845</w:t>
            </w:r>
          </w:p>
        </w:tc>
      </w:tr>
    </w:tbl>
    <w:p w14:paraId="3CEFBB45" w14:textId="77777777" w:rsidR="00BB22EA" w:rsidRPr="00BB22EA" w:rsidRDefault="00BB22EA" w:rsidP="00BB22EA">
      <w:pPr>
        <w:rPr>
          <w:lang w:eastAsia="en-AU"/>
        </w:rPr>
      </w:pPr>
    </w:p>
    <w:p w14:paraId="405B6000" w14:textId="77777777" w:rsidR="00BB22EA" w:rsidRPr="00BB22EA" w:rsidRDefault="00BB22EA" w:rsidP="00BB22EA">
      <w:pPr>
        <w:rPr>
          <w:lang w:eastAsia="en-AU"/>
        </w:rPr>
      </w:pPr>
    </w:p>
    <w:sectPr w:rsidR="00BB22EA" w:rsidRPr="00BB22EA" w:rsidSect="00E25B33">
      <w:pgSz w:w="11907" w:h="16839" w:code="9"/>
      <w:pgMar w:top="957" w:right="283" w:bottom="993" w:left="1559" w:header="426"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403BA6" w16cid:durableId="203BD277"/>
  <w16cid:commentId w16cid:paraId="3BF69206" w16cid:durableId="203BCC2B"/>
  <w16cid:commentId w16cid:paraId="2F0EB1CD" w16cid:durableId="203BD320"/>
  <w16cid:commentId w16cid:paraId="5E9658F7" w16cid:durableId="203B5F4A"/>
  <w16cid:commentId w16cid:paraId="6D525914" w16cid:durableId="203BD3E8"/>
  <w16cid:commentId w16cid:paraId="7374C853" w16cid:durableId="203B60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56EDC" w14:textId="77777777" w:rsidR="007F5BF4" w:rsidRDefault="007F5BF4" w:rsidP="0048364F">
      <w:pPr>
        <w:spacing w:line="240" w:lineRule="auto"/>
      </w:pPr>
      <w:r>
        <w:separator/>
      </w:r>
    </w:p>
  </w:endnote>
  <w:endnote w:type="continuationSeparator" w:id="0">
    <w:p w14:paraId="1A64873B" w14:textId="77777777" w:rsidR="007F5BF4" w:rsidRDefault="007F5BF4"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926FFB1-C841-4798-BADB-543AE89B8491}"/>
    <w:embedBold r:id="rId2" w:fontKey="{F9C249A9-AEB5-4BF7-9F74-F141804AC264}"/>
    <w:embedItalic r:id="rId3" w:fontKey="{AC73702B-11E4-4C25-9A6D-3D1B03AC3FF2}"/>
    <w:embedBoldItalic r:id="rId4" w:fontKey="{83564E46-911C-4922-A690-20CE803F9467}"/>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embedRegular r:id="rId5" w:fontKey="{45F2C4EC-ED54-4D2E-9BA0-A46DC16538D6}"/>
    <w:embedBold r:id="rId6" w:fontKey="{3A5F4B1E-44C1-440D-8A4B-52FC13725F3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19A2" w14:textId="397F0306" w:rsidR="007F5BF4" w:rsidRPr="0046236F" w:rsidRDefault="007F5BF4" w:rsidP="0046236F">
    <w:pPr>
      <w:tabs>
        <w:tab w:val="center" w:pos="4513"/>
        <w:tab w:val="right" w:pos="9923"/>
      </w:tabs>
      <w:spacing w:before="120" w:line="240" w:lineRule="auto"/>
      <w:jc w:val="right"/>
      <w:rPr>
        <w:rFonts w:ascii="Arial" w:eastAsia="Times New Roman" w:hAnsi="Arial" w:cs="Times New Roman"/>
        <w:spacing w:val="4"/>
        <w:sz w:val="24"/>
        <w:szCs w:val="24"/>
        <w:lang w:eastAsia="en-AU"/>
      </w:rPr>
    </w:pPr>
    <w:r>
      <w:rPr>
        <w:noProof/>
        <w:lang w:eastAsia="en-AU"/>
      </w:rPr>
      <w:drawing>
        <wp:anchor distT="0" distB="0" distL="114300" distR="114300" simplePos="0" relativeHeight="251671552" behindDoc="1" locked="0" layoutInCell="0" allowOverlap="1" wp14:anchorId="3DB21620" wp14:editId="7407ACE7">
          <wp:simplePos x="0" y="0"/>
          <wp:positionH relativeFrom="margin">
            <wp:posOffset>3979545</wp:posOffset>
          </wp:positionH>
          <wp:positionV relativeFrom="margin">
            <wp:posOffset>6691630</wp:posOffset>
          </wp:positionV>
          <wp:extent cx="2231390" cy="2195830"/>
          <wp:effectExtent l="0" t="0" r="0" b="0"/>
          <wp:wrapNone/>
          <wp:docPr id="12" name="Picture 12"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Arial" w:eastAsia="Times New Roman" w:hAnsi="Arial" w:cs="Times New Roman"/>
          <w:spacing w:val="4"/>
          <w:sz w:val="18"/>
          <w:szCs w:val="24"/>
          <w:lang w:eastAsia="en-AU"/>
        </w:rPr>
        <w:id w:val="-939683205"/>
        <w:docPartObj>
          <w:docPartGallery w:val="Page Numbers (Bottom of Page)"/>
          <w:docPartUnique/>
        </w:docPartObj>
      </w:sdtPr>
      <w:sdtEndPr>
        <w:rPr>
          <w:noProof/>
        </w:rPr>
      </w:sdtEndPr>
      <w:sdtContent>
        <w:r w:rsidRPr="0046236F">
          <w:rPr>
            <w:rFonts w:ascii="Arial" w:eastAsia="Times New Roman" w:hAnsi="Arial" w:cs="Times New Roman"/>
            <w:spacing w:val="4"/>
            <w:sz w:val="18"/>
            <w:szCs w:val="24"/>
            <w:lang w:eastAsia="en-AU"/>
          </w:rPr>
          <w:t xml:space="preserve">Australian Medical Research and Innovation Priorities </w:t>
        </w:r>
        <w:r>
          <w:rPr>
            <w:rFonts w:ascii="Arial" w:eastAsia="Times New Roman" w:hAnsi="Arial" w:cs="Times New Roman"/>
            <w:spacing w:val="4"/>
            <w:sz w:val="18"/>
            <w:szCs w:val="24"/>
            <w:lang w:eastAsia="en-AU"/>
          </w:rPr>
          <w:t>2018-2020</w:t>
        </w:r>
        <w:r w:rsidRPr="0046236F">
          <w:rPr>
            <w:rFonts w:ascii="Arial" w:eastAsia="Times New Roman" w:hAnsi="Arial" w:cs="Times New Roman"/>
            <w:spacing w:val="4"/>
            <w:sz w:val="18"/>
            <w:szCs w:val="24"/>
            <w:lang w:eastAsia="en-AU"/>
          </w:rPr>
          <w:tab/>
        </w:r>
        <w:r w:rsidRPr="0046236F">
          <w:rPr>
            <w:rFonts w:ascii="Arial" w:eastAsia="Times New Roman" w:hAnsi="Arial" w:cs="Times New Roman"/>
            <w:spacing w:val="4"/>
            <w:sz w:val="18"/>
            <w:szCs w:val="24"/>
            <w:lang w:eastAsia="en-AU"/>
          </w:rPr>
          <w:fldChar w:fldCharType="begin"/>
        </w:r>
        <w:r w:rsidRPr="0046236F">
          <w:rPr>
            <w:rFonts w:ascii="Arial" w:eastAsia="Times New Roman" w:hAnsi="Arial" w:cs="Times New Roman"/>
            <w:spacing w:val="4"/>
            <w:sz w:val="18"/>
            <w:szCs w:val="24"/>
            <w:lang w:eastAsia="en-AU"/>
          </w:rPr>
          <w:instrText xml:space="preserve"> PAGE   \* MERGEFORMAT </w:instrText>
        </w:r>
        <w:r w:rsidRPr="0046236F">
          <w:rPr>
            <w:rFonts w:ascii="Arial" w:eastAsia="Times New Roman" w:hAnsi="Arial" w:cs="Times New Roman"/>
            <w:spacing w:val="4"/>
            <w:sz w:val="18"/>
            <w:szCs w:val="24"/>
            <w:lang w:eastAsia="en-AU"/>
          </w:rPr>
          <w:fldChar w:fldCharType="separate"/>
        </w:r>
        <w:r w:rsidR="00965581">
          <w:rPr>
            <w:rFonts w:ascii="Arial" w:eastAsia="Times New Roman" w:hAnsi="Arial" w:cs="Times New Roman"/>
            <w:noProof/>
            <w:spacing w:val="4"/>
            <w:sz w:val="18"/>
            <w:szCs w:val="24"/>
            <w:lang w:eastAsia="en-AU"/>
          </w:rPr>
          <w:t>i</w:t>
        </w:r>
        <w:r w:rsidRPr="0046236F">
          <w:rPr>
            <w:rFonts w:ascii="Arial" w:eastAsia="Times New Roman" w:hAnsi="Arial" w:cs="Times New Roman"/>
            <w:noProof/>
            <w:spacing w:val="4"/>
            <w:sz w:val="18"/>
            <w:szCs w:val="24"/>
            <w:lang w:eastAsia="en-AU"/>
          </w:rPr>
          <w:fldChar w:fldCharType="end"/>
        </w:r>
      </w:sdtContent>
    </w:sdt>
  </w:p>
  <w:p w14:paraId="0F511ADF" w14:textId="77777777" w:rsidR="007F5BF4" w:rsidRPr="0046236F" w:rsidRDefault="007F5BF4" w:rsidP="00462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15F3B" w14:textId="529A0028" w:rsidR="007F5BF4" w:rsidRDefault="007F5BF4" w:rsidP="00B1774F">
    <w:pPr>
      <w:pStyle w:val="NousFooter"/>
    </w:pPr>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965581">
      <w:rPr>
        <w:noProof/>
      </w:rPr>
      <w:t>9</w:t>
    </w:r>
    <w:r>
      <w:fldChar w:fldCharType="end"/>
    </w:r>
    <w:r>
      <w:t xml:space="preserve"> </w:t>
    </w:r>
    <w:r w:rsidRPr="008A55C6">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FAF05" w14:textId="77777777" w:rsidR="007F5BF4" w:rsidRDefault="007F5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C21D" w14:textId="77777777" w:rsidR="007F5BF4" w:rsidRDefault="007F5BF4" w:rsidP="0048364F">
      <w:pPr>
        <w:spacing w:line="240" w:lineRule="auto"/>
      </w:pPr>
      <w:r>
        <w:separator/>
      </w:r>
    </w:p>
  </w:footnote>
  <w:footnote w:type="continuationSeparator" w:id="0">
    <w:p w14:paraId="767D217C" w14:textId="77777777" w:rsidR="007F5BF4" w:rsidRDefault="007F5BF4" w:rsidP="0048364F">
      <w:pPr>
        <w:spacing w:line="240" w:lineRule="auto"/>
      </w:pPr>
      <w:r>
        <w:continuationSeparator/>
      </w:r>
    </w:p>
  </w:footnote>
  <w:footnote w:id="1">
    <w:p w14:paraId="00ACDE7A" w14:textId="77777777" w:rsidR="007F5BF4" w:rsidRDefault="007F5BF4" w:rsidP="00734187">
      <w:pPr>
        <w:pStyle w:val="FootnoteText"/>
      </w:pPr>
      <w:r>
        <w:rPr>
          <w:rStyle w:val="FootnoteReference"/>
        </w:rPr>
        <w:footnoteRef/>
      </w:r>
      <w:r>
        <w:t xml:space="preserve"> Australian Medical Research Advisory Board, </w:t>
      </w:r>
      <w:r>
        <w:rPr>
          <w:i/>
        </w:rPr>
        <w:t>Australian Medical Research and Innovation Strategy 2016-2021</w:t>
      </w:r>
      <w:r>
        <w:t>, 2016, p. 1</w:t>
      </w:r>
    </w:p>
  </w:footnote>
  <w:footnote w:id="2">
    <w:p w14:paraId="02DFA459" w14:textId="77777777" w:rsidR="007F5BF4" w:rsidRDefault="007F5BF4" w:rsidP="003466CF">
      <w:pPr>
        <w:pStyle w:val="FootnoteText"/>
      </w:pPr>
      <w:r>
        <w:rPr>
          <w:rStyle w:val="FootnoteReference"/>
        </w:rPr>
        <w:footnoteRef/>
      </w:r>
      <w:r>
        <w:t xml:space="preserve"> Medical Research Future Fund, </w:t>
      </w:r>
      <w:r>
        <w:rPr>
          <w:i/>
        </w:rPr>
        <w:t>Australian Medical Research and Innovation Priorities 2016-2018</w:t>
      </w:r>
      <w:r>
        <w: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8EA1" w14:textId="77777777" w:rsidR="007F5BF4" w:rsidRDefault="007F5BF4">
    <w:pPr>
      <w:pStyle w:val="Header"/>
    </w:pPr>
    <w:r>
      <w:rPr>
        <w:noProof/>
      </w:rPr>
      <w:drawing>
        <wp:anchor distT="0" distB="0" distL="114300" distR="114300" simplePos="0" relativeHeight="251667456" behindDoc="1" locked="0" layoutInCell="0" allowOverlap="1" wp14:anchorId="48032608" wp14:editId="3BD6E23D">
          <wp:simplePos x="0" y="0"/>
          <wp:positionH relativeFrom="margin">
            <wp:align>center</wp:align>
          </wp:positionH>
          <wp:positionV relativeFrom="margin">
            <wp:align>center</wp:align>
          </wp:positionV>
          <wp:extent cx="2231390" cy="2195830"/>
          <wp:effectExtent l="0" t="0" r="0" b="0"/>
          <wp:wrapNone/>
          <wp:docPr id="8" name="Picture 8"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4A5A" w14:textId="78F1F76B" w:rsidR="007F5BF4" w:rsidRPr="00A961C4" w:rsidRDefault="007F5BF4"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separate"/>
    </w:r>
    <w:r w:rsidR="00965581">
      <w:rPr>
        <w:b/>
        <w:bCs/>
        <w:noProof/>
        <w:sz w:val="20"/>
        <w:lang w:val="en-US"/>
      </w:rPr>
      <w:t>Error! No text of specified style in document.</w:t>
    </w:r>
    <w:r w:rsidRPr="00A961C4">
      <w:rPr>
        <w:sz w:val="20"/>
      </w:rPr>
      <w:fldChar w:fldCharType="end"/>
    </w:r>
    <w:r w:rsidRPr="00A961C4">
      <w:rPr>
        <w:sz w:val="20"/>
      </w:rPr>
      <w:t xml:space="preserve"> </w:t>
    </w:r>
    <w:r w:rsidRPr="00A961C4">
      <w:rPr>
        <w:b/>
        <w:sz w:val="20"/>
      </w:rPr>
      <w:t xml:space="preserve"> </w:t>
    </w:r>
    <w:r>
      <w:rPr>
        <w:b/>
        <w:sz w:val="20"/>
      </w:rPr>
      <w:t>Schedule</w:t>
    </w:r>
  </w:p>
  <w:p w14:paraId="6E732520" w14:textId="5849FF08" w:rsidR="007F5BF4" w:rsidRPr="00A961C4" w:rsidRDefault="007F5BF4"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separate"/>
    </w:r>
    <w:r w:rsidR="00965581">
      <w:rPr>
        <w:b/>
        <w:bCs/>
        <w:noProof/>
        <w:sz w:val="20"/>
        <w:lang w:val="en-US"/>
      </w:rPr>
      <w:t>Error! No text of specified style in document.</w: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separate"/>
    </w:r>
    <w:r w:rsidR="00965581">
      <w:rPr>
        <w:bCs/>
        <w:noProof/>
        <w:sz w:val="20"/>
        <w:lang w:val="en-US"/>
      </w:rPr>
      <w:t>Error! No text of specified style in document.</w:t>
    </w:r>
    <w:r w:rsidRPr="00A961C4">
      <w:rPr>
        <w:b/>
        <w:sz w:val="20"/>
      </w:rPr>
      <w:fldChar w:fldCharType="end"/>
    </w:r>
  </w:p>
  <w:p w14:paraId="526432F0" w14:textId="77777777" w:rsidR="007F5BF4" w:rsidRPr="00A961C4" w:rsidRDefault="007F5BF4" w:rsidP="007F48ED">
    <w:pPr>
      <w:pBdr>
        <w:bottom w:val="single" w:sz="6" w:space="1" w:color="auto"/>
      </w:pBdr>
      <w:spacing w:after="12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24CFE" w14:textId="77777777" w:rsidR="007F5BF4" w:rsidRDefault="007F5BF4">
    <w:pPr>
      <w:pStyle w:val="Header"/>
    </w:pPr>
    <w:r>
      <w:rPr>
        <w:noProof/>
      </w:rPr>
      <w:drawing>
        <wp:anchor distT="0" distB="0" distL="114300" distR="114300" simplePos="0" relativeHeight="251666432" behindDoc="1" locked="0" layoutInCell="0" allowOverlap="1" wp14:anchorId="65810D9B" wp14:editId="22F3DE88">
          <wp:simplePos x="0" y="0"/>
          <wp:positionH relativeFrom="margin">
            <wp:align>center</wp:align>
          </wp:positionH>
          <wp:positionV relativeFrom="margin">
            <wp:align>center</wp:align>
          </wp:positionV>
          <wp:extent cx="2231390" cy="2195830"/>
          <wp:effectExtent l="0" t="0" r="0" b="0"/>
          <wp:wrapNone/>
          <wp:docPr id="7" name="Picture 7"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2D1A" w14:textId="77777777" w:rsidR="007F5BF4" w:rsidRDefault="007F5B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8545" w14:textId="77777777" w:rsidR="007F5BF4" w:rsidRDefault="007F5BF4" w:rsidP="00B17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103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315F3"/>
    <w:multiLevelType w:val="multilevel"/>
    <w:tmpl w:val="9CD6342C"/>
    <w:numStyleLink w:val="TableexpListnumberedmultilevel"/>
  </w:abstractNum>
  <w:abstractNum w:abstractNumId="2" w15:restartNumberingAfterBreak="0">
    <w:nsid w:val="00AC6C18"/>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3"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4" w15:restartNumberingAfterBreak="0">
    <w:nsid w:val="089A31A2"/>
    <w:multiLevelType w:val="multilevel"/>
    <w:tmpl w:val="69A0B2FE"/>
    <w:lvl w:ilvl="0">
      <w:start w:val="1"/>
      <w:numFmt w:val="decimal"/>
      <w:lvlText w:val="%1"/>
      <w:lvlJc w:val="left"/>
      <w:pPr>
        <w:ind w:left="360" w:hanging="360"/>
      </w:pPr>
      <w:rPr>
        <w:rFonts w:ascii="Arial" w:hAnsi="Arial" w:cs="Arial" w:hint="default"/>
        <w:b w:val="0"/>
        <w:i w:val="0"/>
        <w:sz w:val="36"/>
        <w:szCs w:val="9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CEA1B34"/>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6" w15:restartNumberingAfterBreak="0">
    <w:nsid w:val="1156537F"/>
    <w:multiLevelType w:val="hybridMultilevel"/>
    <w:tmpl w:val="AD8EC278"/>
    <w:lvl w:ilvl="0" w:tplc="921EFE20">
      <w:start w:val="1"/>
      <w:numFmt w:val="decimal"/>
      <w:pStyle w:val="ListBullet-Number"/>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90BD8"/>
    <w:multiLevelType w:val="hybridMultilevel"/>
    <w:tmpl w:val="C06A5732"/>
    <w:lvl w:ilvl="0" w:tplc="0E10D9B0">
      <w:start w:val="4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05FFB"/>
    <w:multiLevelType w:val="multilevel"/>
    <w:tmpl w:val="F2D8D162"/>
    <w:numStyleLink w:val="Listnumberedmultilevel"/>
  </w:abstractNum>
  <w:abstractNum w:abstractNumId="10"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1" w15:restartNumberingAfterBreak="0">
    <w:nsid w:val="226712F7"/>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2" w15:restartNumberingAfterBreak="0">
    <w:nsid w:val="2668203F"/>
    <w:multiLevelType w:val="hybridMultilevel"/>
    <w:tmpl w:val="7A9E9316"/>
    <w:lvl w:ilvl="0" w:tplc="B290E4A6">
      <w:start w:val="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EEECE1"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900E5A"/>
    <w:multiLevelType w:val="hybridMultilevel"/>
    <w:tmpl w:val="D8ACF3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D7483E"/>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8"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EECE1"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CE76EE2"/>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21" w15:restartNumberingAfterBreak="0">
    <w:nsid w:val="54C55940"/>
    <w:multiLevelType w:val="multilevel"/>
    <w:tmpl w:val="D3261AAA"/>
    <w:lvl w:ilvl="0">
      <w:start w:val="1"/>
      <w:numFmt w:val="bullet"/>
      <w:pStyle w:val="intoductionbullet"/>
      <w:lvlText w:val=""/>
      <w:lvlJc w:val="left"/>
      <w:pPr>
        <w:ind w:left="697" w:hanging="357"/>
      </w:pPr>
      <w:rPr>
        <w:rFonts w:ascii="Symbol" w:hAnsi="Symbol" w:hint="default"/>
        <w:color w:val="EEECE1" w:themeColor="background2"/>
      </w:rPr>
    </w:lvl>
    <w:lvl w:ilvl="1">
      <w:start w:val="1"/>
      <w:numFmt w:val="bullet"/>
      <w:lvlText w:val=""/>
      <w:lvlJc w:val="left"/>
      <w:pPr>
        <w:ind w:left="1060" w:hanging="363"/>
      </w:pPr>
      <w:rPr>
        <w:rFonts w:ascii="Symbol" w:hAnsi="Symbol" w:hint="default"/>
        <w:color w:val="EEECE1" w:themeColor="background2"/>
      </w:rPr>
    </w:lvl>
    <w:lvl w:ilvl="2">
      <w:start w:val="1"/>
      <w:numFmt w:val="bullet"/>
      <w:lvlText w:val=""/>
      <w:lvlJc w:val="left"/>
      <w:pPr>
        <w:ind w:left="1417" w:hanging="357"/>
      </w:pPr>
      <w:rPr>
        <w:rFonts w:ascii="Symbol" w:hAnsi="Symbol" w:hint="default"/>
        <w:color w:val="EEECE1" w:themeColor="background2"/>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2" w15:restartNumberingAfterBreak="0">
    <w:nsid w:val="586F6F8E"/>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23"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5E37C4B"/>
    <w:multiLevelType w:val="multilevel"/>
    <w:tmpl w:val="B948A768"/>
    <w:lvl w:ilvl="0">
      <w:start w:val="1"/>
      <w:numFmt w:val="decimal"/>
      <w:lvlText w:val="%1."/>
      <w:lvlJc w:val="left"/>
      <w:pPr>
        <w:ind w:left="1060" w:hanging="340"/>
      </w:pPr>
      <w:rPr>
        <w:rFonts w:hint="default"/>
        <w:sz w:val="19"/>
        <w:szCs w:val="19"/>
      </w:rPr>
    </w:lvl>
    <w:lvl w:ilvl="1">
      <w:start w:val="1"/>
      <w:numFmt w:val="bullet"/>
      <w:lvlText w:val=""/>
      <w:lvlJc w:val="left"/>
      <w:pPr>
        <w:ind w:left="1400" w:hanging="340"/>
      </w:pPr>
      <w:rPr>
        <w:rFonts w:ascii="Symbol" w:hAnsi="Symbol" w:hint="default"/>
        <w:sz w:val="16"/>
      </w:rPr>
    </w:lvl>
    <w:lvl w:ilvl="2">
      <w:start w:val="1"/>
      <w:numFmt w:val="bullet"/>
      <w:lvlText w:val=""/>
      <w:lvlJc w:val="left"/>
      <w:pPr>
        <w:ind w:left="1741" w:hanging="341"/>
      </w:pPr>
      <w:rPr>
        <w:rFonts w:ascii="Symbol" w:hAnsi="Symbol" w:hint="default"/>
        <w:sz w:val="16"/>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8BA6717"/>
    <w:multiLevelType w:val="hybridMultilevel"/>
    <w:tmpl w:val="C4101DE0"/>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26" w15:restartNumberingAfterBreak="0">
    <w:nsid w:val="6A5753FD"/>
    <w:multiLevelType w:val="hybridMultilevel"/>
    <w:tmpl w:val="B5086E1E"/>
    <w:lvl w:ilvl="0" w:tplc="0EB4597C">
      <w:start w:val="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6F342A"/>
    <w:multiLevelType w:val="hybridMultilevel"/>
    <w:tmpl w:val="F692FF96"/>
    <w:lvl w:ilvl="0" w:tplc="F65CD0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A16EBA"/>
    <w:multiLevelType w:val="multilevel"/>
    <w:tmpl w:val="3356CEA8"/>
    <w:lvl w:ilvl="0">
      <w:start w:val="1"/>
      <w:numFmt w:val="upperLetter"/>
      <w:pStyle w:val="xAppendixLevel1"/>
      <w:lvlText w:val="Appendix %1"/>
      <w:lvlJc w:val="left"/>
      <w:pPr>
        <w:ind w:left="4112" w:hanging="2268"/>
      </w:pPr>
      <w:rPr>
        <w:rFonts w:hint="default"/>
        <w:b w:val="0"/>
        <w:color w:val="00264D"/>
        <w:sz w:val="36"/>
        <w:szCs w:val="36"/>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B7218E"/>
    <w:multiLevelType w:val="multilevel"/>
    <w:tmpl w:val="4EB880F2"/>
    <w:lvl w:ilvl="0">
      <w:start w:val="1"/>
      <w:numFmt w:val="bullet"/>
      <w:pStyle w:val="Bullet"/>
      <w:lvlText w:val=""/>
      <w:lvlJc w:val="left"/>
      <w:pPr>
        <w:ind w:left="1060" w:hanging="340"/>
      </w:pPr>
      <w:rPr>
        <w:rFonts w:ascii="Symbol" w:hAnsi="Symbol" w:hint="default"/>
        <w:sz w:val="16"/>
      </w:rPr>
    </w:lvl>
    <w:lvl w:ilvl="1">
      <w:start w:val="1"/>
      <w:numFmt w:val="bullet"/>
      <w:lvlText w:val="o"/>
      <w:lvlJc w:val="left"/>
      <w:pPr>
        <w:ind w:left="1400" w:hanging="340"/>
      </w:pPr>
      <w:rPr>
        <w:rFonts w:ascii="Courier New" w:hAnsi="Courier New" w:cs="Courier New" w:hint="default"/>
        <w:sz w:val="16"/>
      </w:rPr>
    </w:lvl>
    <w:lvl w:ilvl="2">
      <w:start w:val="1"/>
      <w:numFmt w:val="bullet"/>
      <w:lvlText w:val=""/>
      <w:lvlJc w:val="left"/>
      <w:pPr>
        <w:ind w:left="1741" w:hanging="341"/>
      </w:pPr>
      <w:rPr>
        <w:rFonts w:ascii="Symbol" w:hAnsi="Symbol" w:hint="default"/>
        <w:sz w:val="16"/>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7E6D6181"/>
    <w:multiLevelType w:val="hybridMultilevel"/>
    <w:tmpl w:val="B2982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28"/>
  </w:num>
  <w:num w:numId="5">
    <w:abstractNumId w:val="4"/>
  </w:num>
  <w:num w:numId="6">
    <w:abstractNumId w:val="13"/>
  </w:num>
  <w:num w:numId="7">
    <w:abstractNumId w:val="29"/>
  </w:num>
  <w:num w:numId="8">
    <w:abstractNumId w:val="15"/>
  </w:num>
  <w:num w:numId="9">
    <w:abstractNumId w:val="18"/>
  </w:num>
  <w:num w:numId="10">
    <w:abstractNumId w:val="19"/>
  </w:num>
  <w:num w:numId="11">
    <w:abstractNumId w:val="21"/>
  </w:num>
  <w:num w:numId="12">
    <w:abstractNumId w:val="10"/>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13">
    <w:abstractNumId w:val="3"/>
  </w:num>
  <w:num w:numId="14">
    <w:abstractNumId w:val="8"/>
  </w:num>
  <w:num w:numId="15">
    <w:abstractNumId w:val="1"/>
  </w:num>
  <w:num w:numId="16">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num>
  <w:num w:numId="17">
    <w:abstractNumId w:val="23"/>
  </w:num>
  <w:num w:numId="18">
    <w:abstractNumId w:val="24"/>
  </w:num>
  <w:num w:numId="19">
    <w:abstractNumId w:val="3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2"/>
  </w:num>
  <w:num w:numId="23">
    <w:abstractNumId w:val="26"/>
  </w:num>
  <w:num w:numId="24">
    <w:abstractNumId w:val="29"/>
  </w:num>
  <w:num w:numId="25">
    <w:abstractNumId w:val="7"/>
  </w:num>
  <w:num w:numId="26">
    <w:abstractNumId w:val="29"/>
  </w:num>
  <w:num w:numId="27">
    <w:abstractNumId w:val="29"/>
  </w:num>
  <w:num w:numId="28">
    <w:abstractNumId w:val="29"/>
  </w:num>
  <w:num w:numId="29">
    <w:abstractNumId w:val="27"/>
  </w:num>
  <w:num w:numId="30">
    <w:abstractNumId w:val="29"/>
  </w:num>
  <w:num w:numId="31">
    <w:abstractNumId w:val="29"/>
  </w:num>
  <w:num w:numId="32">
    <w:abstractNumId w:val="29"/>
  </w:num>
  <w:num w:numId="33">
    <w:abstractNumId w:val="28"/>
  </w:num>
  <w:num w:numId="34">
    <w:abstractNumId w:val="29"/>
  </w:num>
  <w:num w:numId="35">
    <w:abstractNumId w:val="16"/>
  </w:num>
  <w:num w:numId="36">
    <w:abstractNumId w:val="28"/>
  </w:num>
  <w:num w:numId="37">
    <w:abstractNumId w:val="22"/>
  </w:num>
  <w:num w:numId="38">
    <w:abstractNumId w:val="25"/>
  </w:num>
  <w:num w:numId="39">
    <w:abstractNumId w:val="5"/>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
  </w:num>
  <w:num w:numId="43">
    <w:abstractNumId w:val="20"/>
  </w:num>
  <w:num w:numId="44">
    <w:abstractNumId w:val="17"/>
  </w:num>
  <w:num w:numId="45">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2DB"/>
    <w:rsid w:val="00000263"/>
    <w:rsid w:val="00001D7E"/>
    <w:rsid w:val="000113BC"/>
    <w:rsid w:val="000136AF"/>
    <w:rsid w:val="000137CC"/>
    <w:rsid w:val="00015339"/>
    <w:rsid w:val="00024322"/>
    <w:rsid w:val="000319EF"/>
    <w:rsid w:val="00035856"/>
    <w:rsid w:val="0004044E"/>
    <w:rsid w:val="0005120E"/>
    <w:rsid w:val="000541AA"/>
    <w:rsid w:val="00054577"/>
    <w:rsid w:val="000561B3"/>
    <w:rsid w:val="00056AC4"/>
    <w:rsid w:val="000614BF"/>
    <w:rsid w:val="00062CA5"/>
    <w:rsid w:val="00070F3E"/>
    <w:rsid w:val="0007169C"/>
    <w:rsid w:val="00073090"/>
    <w:rsid w:val="00073237"/>
    <w:rsid w:val="00075F9E"/>
    <w:rsid w:val="00077593"/>
    <w:rsid w:val="000806F7"/>
    <w:rsid w:val="00083F48"/>
    <w:rsid w:val="000845E9"/>
    <w:rsid w:val="000853D5"/>
    <w:rsid w:val="000A5E9D"/>
    <w:rsid w:val="000A7DF9"/>
    <w:rsid w:val="000C144F"/>
    <w:rsid w:val="000C5410"/>
    <w:rsid w:val="000D05EF"/>
    <w:rsid w:val="000D5485"/>
    <w:rsid w:val="000E3F3E"/>
    <w:rsid w:val="000F21C1"/>
    <w:rsid w:val="000F541A"/>
    <w:rsid w:val="000F717D"/>
    <w:rsid w:val="0010745C"/>
    <w:rsid w:val="00107BC8"/>
    <w:rsid w:val="00112D6E"/>
    <w:rsid w:val="00114F76"/>
    <w:rsid w:val="00117277"/>
    <w:rsid w:val="001202DB"/>
    <w:rsid w:val="00125D0E"/>
    <w:rsid w:val="00131393"/>
    <w:rsid w:val="0013341D"/>
    <w:rsid w:val="0014581E"/>
    <w:rsid w:val="001459B3"/>
    <w:rsid w:val="00150853"/>
    <w:rsid w:val="00153368"/>
    <w:rsid w:val="001560DF"/>
    <w:rsid w:val="00157453"/>
    <w:rsid w:val="00160BD7"/>
    <w:rsid w:val="001643C9"/>
    <w:rsid w:val="00165568"/>
    <w:rsid w:val="00166082"/>
    <w:rsid w:val="00166C2F"/>
    <w:rsid w:val="001716C9"/>
    <w:rsid w:val="0017205C"/>
    <w:rsid w:val="001745A6"/>
    <w:rsid w:val="00184261"/>
    <w:rsid w:val="0019197D"/>
    <w:rsid w:val="00193461"/>
    <w:rsid w:val="001939E1"/>
    <w:rsid w:val="0019414A"/>
    <w:rsid w:val="00195382"/>
    <w:rsid w:val="0019569A"/>
    <w:rsid w:val="00195DA2"/>
    <w:rsid w:val="0019798A"/>
    <w:rsid w:val="001A3B9F"/>
    <w:rsid w:val="001A422B"/>
    <w:rsid w:val="001A5EEC"/>
    <w:rsid w:val="001A65C0"/>
    <w:rsid w:val="001B6456"/>
    <w:rsid w:val="001B7A5D"/>
    <w:rsid w:val="001C2CCA"/>
    <w:rsid w:val="001C69C4"/>
    <w:rsid w:val="001D3A23"/>
    <w:rsid w:val="001D3EAF"/>
    <w:rsid w:val="001D6F69"/>
    <w:rsid w:val="001E0A8D"/>
    <w:rsid w:val="001E3590"/>
    <w:rsid w:val="001E7407"/>
    <w:rsid w:val="001F33A0"/>
    <w:rsid w:val="001F4CC6"/>
    <w:rsid w:val="00201AE1"/>
    <w:rsid w:val="00201D27"/>
    <w:rsid w:val="00211382"/>
    <w:rsid w:val="00220A0C"/>
    <w:rsid w:val="00221C6E"/>
    <w:rsid w:val="00222156"/>
    <w:rsid w:val="0022289C"/>
    <w:rsid w:val="00223E4A"/>
    <w:rsid w:val="002255FE"/>
    <w:rsid w:val="002263E2"/>
    <w:rsid w:val="00227BA8"/>
    <w:rsid w:val="002302EA"/>
    <w:rsid w:val="0023284A"/>
    <w:rsid w:val="00240749"/>
    <w:rsid w:val="00245881"/>
    <w:rsid w:val="002468D7"/>
    <w:rsid w:val="00250529"/>
    <w:rsid w:val="00250BFD"/>
    <w:rsid w:val="00253A13"/>
    <w:rsid w:val="0025509E"/>
    <w:rsid w:val="00255C80"/>
    <w:rsid w:val="002628A3"/>
    <w:rsid w:val="00263021"/>
    <w:rsid w:val="00263DCF"/>
    <w:rsid w:val="00267DC6"/>
    <w:rsid w:val="00270224"/>
    <w:rsid w:val="0027371F"/>
    <w:rsid w:val="0028045A"/>
    <w:rsid w:val="00280D76"/>
    <w:rsid w:val="002829FB"/>
    <w:rsid w:val="00285CDD"/>
    <w:rsid w:val="00291167"/>
    <w:rsid w:val="00297ECB"/>
    <w:rsid w:val="002A2720"/>
    <w:rsid w:val="002A3A7B"/>
    <w:rsid w:val="002B383D"/>
    <w:rsid w:val="002B4DEB"/>
    <w:rsid w:val="002C0E3B"/>
    <w:rsid w:val="002C152A"/>
    <w:rsid w:val="002C1B2D"/>
    <w:rsid w:val="002C215D"/>
    <w:rsid w:val="002C3397"/>
    <w:rsid w:val="002C5136"/>
    <w:rsid w:val="002C7ADB"/>
    <w:rsid w:val="002D043A"/>
    <w:rsid w:val="002D279A"/>
    <w:rsid w:val="002D2AD5"/>
    <w:rsid w:val="002D2B9C"/>
    <w:rsid w:val="002D472F"/>
    <w:rsid w:val="002D6D6B"/>
    <w:rsid w:val="002E00AF"/>
    <w:rsid w:val="002E1C1A"/>
    <w:rsid w:val="002F5ED0"/>
    <w:rsid w:val="002F760E"/>
    <w:rsid w:val="00307F04"/>
    <w:rsid w:val="00311643"/>
    <w:rsid w:val="00312DAF"/>
    <w:rsid w:val="0031713F"/>
    <w:rsid w:val="00321380"/>
    <w:rsid w:val="00322560"/>
    <w:rsid w:val="0032391B"/>
    <w:rsid w:val="00331F11"/>
    <w:rsid w:val="00332E0D"/>
    <w:rsid w:val="00334004"/>
    <w:rsid w:val="003415D3"/>
    <w:rsid w:val="0034503A"/>
    <w:rsid w:val="00346335"/>
    <w:rsid w:val="003466CF"/>
    <w:rsid w:val="00352A0A"/>
    <w:rsid w:val="00352B0F"/>
    <w:rsid w:val="003561B0"/>
    <w:rsid w:val="00361001"/>
    <w:rsid w:val="00364B56"/>
    <w:rsid w:val="003804E2"/>
    <w:rsid w:val="00391E0E"/>
    <w:rsid w:val="003966B4"/>
    <w:rsid w:val="00397415"/>
    <w:rsid w:val="003A15AC"/>
    <w:rsid w:val="003A1645"/>
    <w:rsid w:val="003A7A3E"/>
    <w:rsid w:val="003B0627"/>
    <w:rsid w:val="003B7915"/>
    <w:rsid w:val="003C0EA1"/>
    <w:rsid w:val="003C473F"/>
    <w:rsid w:val="003C5F2B"/>
    <w:rsid w:val="003C7D0B"/>
    <w:rsid w:val="003D0BFE"/>
    <w:rsid w:val="003D4D79"/>
    <w:rsid w:val="003D5700"/>
    <w:rsid w:val="003E1D5D"/>
    <w:rsid w:val="003E5907"/>
    <w:rsid w:val="003E6C88"/>
    <w:rsid w:val="003E7D7A"/>
    <w:rsid w:val="003F0F5A"/>
    <w:rsid w:val="00400A30"/>
    <w:rsid w:val="004022CA"/>
    <w:rsid w:val="00402D81"/>
    <w:rsid w:val="004046D8"/>
    <w:rsid w:val="004079A3"/>
    <w:rsid w:val="004116CD"/>
    <w:rsid w:val="00414ADE"/>
    <w:rsid w:val="00424CA9"/>
    <w:rsid w:val="0042530D"/>
    <w:rsid w:val="004257BB"/>
    <w:rsid w:val="00434B7D"/>
    <w:rsid w:val="004351BC"/>
    <w:rsid w:val="00436231"/>
    <w:rsid w:val="004372A9"/>
    <w:rsid w:val="0044291A"/>
    <w:rsid w:val="00444EDB"/>
    <w:rsid w:val="00457600"/>
    <w:rsid w:val="00460499"/>
    <w:rsid w:val="0046236F"/>
    <w:rsid w:val="004632BE"/>
    <w:rsid w:val="00467409"/>
    <w:rsid w:val="00474835"/>
    <w:rsid w:val="00476F21"/>
    <w:rsid w:val="004819C7"/>
    <w:rsid w:val="0048364F"/>
    <w:rsid w:val="00490F2E"/>
    <w:rsid w:val="004929E6"/>
    <w:rsid w:val="00492F51"/>
    <w:rsid w:val="004932A9"/>
    <w:rsid w:val="004948C7"/>
    <w:rsid w:val="00495176"/>
    <w:rsid w:val="00496F97"/>
    <w:rsid w:val="004A53EA"/>
    <w:rsid w:val="004A602B"/>
    <w:rsid w:val="004B53C7"/>
    <w:rsid w:val="004C0D12"/>
    <w:rsid w:val="004E2869"/>
    <w:rsid w:val="004F1FAC"/>
    <w:rsid w:val="004F2030"/>
    <w:rsid w:val="004F676E"/>
    <w:rsid w:val="004F7EA4"/>
    <w:rsid w:val="005009A8"/>
    <w:rsid w:val="00507DD4"/>
    <w:rsid w:val="00511596"/>
    <w:rsid w:val="005118B5"/>
    <w:rsid w:val="00512A81"/>
    <w:rsid w:val="00516B8D"/>
    <w:rsid w:val="00516DF5"/>
    <w:rsid w:val="0052756C"/>
    <w:rsid w:val="00530230"/>
    <w:rsid w:val="00530CC9"/>
    <w:rsid w:val="00533860"/>
    <w:rsid w:val="00537FBC"/>
    <w:rsid w:val="00541D73"/>
    <w:rsid w:val="00543469"/>
    <w:rsid w:val="00544312"/>
    <w:rsid w:val="00546FA3"/>
    <w:rsid w:val="00554243"/>
    <w:rsid w:val="00557C7A"/>
    <w:rsid w:val="005602DC"/>
    <w:rsid w:val="00562A58"/>
    <w:rsid w:val="00572912"/>
    <w:rsid w:val="00581211"/>
    <w:rsid w:val="005836DE"/>
    <w:rsid w:val="00584811"/>
    <w:rsid w:val="00590AD0"/>
    <w:rsid w:val="00591D84"/>
    <w:rsid w:val="00592519"/>
    <w:rsid w:val="00593AA6"/>
    <w:rsid w:val="00594161"/>
    <w:rsid w:val="00594749"/>
    <w:rsid w:val="005A563F"/>
    <w:rsid w:val="005B1C7C"/>
    <w:rsid w:val="005B4067"/>
    <w:rsid w:val="005C28D1"/>
    <w:rsid w:val="005C3F41"/>
    <w:rsid w:val="005C6D9B"/>
    <w:rsid w:val="005D5EA1"/>
    <w:rsid w:val="005D6DD1"/>
    <w:rsid w:val="005E1F54"/>
    <w:rsid w:val="005E427C"/>
    <w:rsid w:val="005E61D3"/>
    <w:rsid w:val="005F0303"/>
    <w:rsid w:val="005F7738"/>
    <w:rsid w:val="00600219"/>
    <w:rsid w:val="0060106E"/>
    <w:rsid w:val="00612FE6"/>
    <w:rsid w:val="00615072"/>
    <w:rsid w:val="006158AC"/>
    <w:rsid w:val="006161EE"/>
    <w:rsid w:val="00625FCA"/>
    <w:rsid w:val="006272D7"/>
    <w:rsid w:val="00632BE8"/>
    <w:rsid w:val="006340D3"/>
    <w:rsid w:val="0063622E"/>
    <w:rsid w:val="00636E50"/>
    <w:rsid w:val="00637CFB"/>
    <w:rsid w:val="006403A6"/>
    <w:rsid w:val="00640402"/>
    <w:rsid w:val="00640D06"/>
    <w:rsid w:val="00640F78"/>
    <w:rsid w:val="00642082"/>
    <w:rsid w:val="00646E7B"/>
    <w:rsid w:val="00652AA2"/>
    <w:rsid w:val="00655B25"/>
    <w:rsid w:val="00655D6A"/>
    <w:rsid w:val="00656DE9"/>
    <w:rsid w:val="0067238D"/>
    <w:rsid w:val="00677CC2"/>
    <w:rsid w:val="00685F42"/>
    <w:rsid w:val="006866A1"/>
    <w:rsid w:val="00691616"/>
    <w:rsid w:val="0069207B"/>
    <w:rsid w:val="006949B2"/>
    <w:rsid w:val="00695090"/>
    <w:rsid w:val="006A4309"/>
    <w:rsid w:val="006B18D8"/>
    <w:rsid w:val="006B2553"/>
    <w:rsid w:val="006B7006"/>
    <w:rsid w:val="006B73AD"/>
    <w:rsid w:val="006C3C53"/>
    <w:rsid w:val="006C567D"/>
    <w:rsid w:val="006C7F8C"/>
    <w:rsid w:val="006D4D28"/>
    <w:rsid w:val="006D7AAE"/>
    <w:rsid w:val="006D7AB9"/>
    <w:rsid w:val="006E5136"/>
    <w:rsid w:val="006F1C15"/>
    <w:rsid w:val="006F3E5A"/>
    <w:rsid w:val="0070052B"/>
    <w:rsid w:val="00700B2C"/>
    <w:rsid w:val="00705B31"/>
    <w:rsid w:val="00707C5D"/>
    <w:rsid w:val="00712AA8"/>
    <w:rsid w:val="00713084"/>
    <w:rsid w:val="0071759A"/>
    <w:rsid w:val="00720FC2"/>
    <w:rsid w:val="0072552C"/>
    <w:rsid w:val="007264F3"/>
    <w:rsid w:val="00727426"/>
    <w:rsid w:val="0072746A"/>
    <w:rsid w:val="00731E00"/>
    <w:rsid w:val="00732E9D"/>
    <w:rsid w:val="007336CC"/>
    <w:rsid w:val="00734187"/>
    <w:rsid w:val="0073491A"/>
    <w:rsid w:val="00740569"/>
    <w:rsid w:val="0074390A"/>
    <w:rsid w:val="007440B7"/>
    <w:rsid w:val="00744C7F"/>
    <w:rsid w:val="00747993"/>
    <w:rsid w:val="007634AD"/>
    <w:rsid w:val="007715C9"/>
    <w:rsid w:val="00774EDD"/>
    <w:rsid w:val="007757EC"/>
    <w:rsid w:val="00775800"/>
    <w:rsid w:val="007850E7"/>
    <w:rsid w:val="00792053"/>
    <w:rsid w:val="0079596D"/>
    <w:rsid w:val="007A086F"/>
    <w:rsid w:val="007A17B3"/>
    <w:rsid w:val="007A2EFD"/>
    <w:rsid w:val="007A35E6"/>
    <w:rsid w:val="007A493C"/>
    <w:rsid w:val="007A6863"/>
    <w:rsid w:val="007B6601"/>
    <w:rsid w:val="007C3F0E"/>
    <w:rsid w:val="007C4423"/>
    <w:rsid w:val="007C604B"/>
    <w:rsid w:val="007D45C1"/>
    <w:rsid w:val="007D774D"/>
    <w:rsid w:val="007E7D4A"/>
    <w:rsid w:val="007F48ED"/>
    <w:rsid w:val="007F5BF4"/>
    <w:rsid w:val="007F7947"/>
    <w:rsid w:val="0080535D"/>
    <w:rsid w:val="008058DD"/>
    <w:rsid w:val="008111D4"/>
    <w:rsid w:val="008124AA"/>
    <w:rsid w:val="00812F45"/>
    <w:rsid w:val="00814FCE"/>
    <w:rsid w:val="00817332"/>
    <w:rsid w:val="00817662"/>
    <w:rsid w:val="00821195"/>
    <w:rsid w:val="0083050B"/>
    <w:rsid w:val="0083078B"/>
    <w:rsid w:val="0083481A"/>
    <w:rsid w:val="00840EA5"/>
    <w:rsid w:val="008411AE"/>
    <w:rsid w:val="0084172C"/>
    <w:rsid w:val="00844B4F"/>
    <w:rsid w:val="00853C21"/>
    <w:rsid w:val="00856A31"/>
    <w:rsid w:val="00860FE3"/>
    <w:rsid w:val="008632D2"/>
    <w:rsid w:val="00872675"/>
    <w:rsid w:val="008754D0"/>
    <w:rsid w:val="0087608F"/>
    <w:rsid w:val="00877C3B"/>
    <w:rsid w:val="00877D48"/>
    <w:rsid w:val="0088345B"/>
    <w:rsid w:val="00883BA4"/>
    <w:rsid w:val="0088796F"/>
    <w:rsid w:val="008A16A5"/>
    <w:rsid w:val="008B1497"/>
    <w:rsid w:val="008B3AA2"/>
    <w:rsid w:val="008B41F3"/>
    <w:rsid w:val="008C7C82"/>
    <w:rsid w:val="008D0EE0"/>
    <w:rsid w:val="008D5B99"/>
    <w:rsid w:val="008D7A27"/>
    <w:rsid w:val="008E1B57"/>
    <w:rsid w:val="008E4702"/>
    <w:rsid w:val="008E4DE7"/>
    <w:rsid w:val="008E69AA"/>
    <w:rsid w:val="008F4F1C"/>
    <w:rsid w:val="0090109B"/>
    <w:rsid w:val="00905EDE"/>
    <w:rsid w:val="00914241"/>
    <w:rsid w:val="00917503"/>
    <w:rsid w:val="009177AA"/>
    <w:rsid w:val="00922764"/>
    <w:rsid w:val="009307CB"/>
    <w:rsid w:val="00932377"/>
    <w:rsid w:val="00940373"/>
    <w:rsid w:val="0094170C"/>
    <w:rsid w:val="00943CC8"/>
    <w:rsid w:val="0094523D"/>
    <w:rsid w:val="00947B79"/>
    <w:rsid w:val="009566D9"/>
    <w:rsid w:val="00965581"/>
    <w:rsid w:val="00966BA6"/>
    <w:rsid w:val="009679C9"/>
    <w:rsid w:val="00973106"/>
    <w:rsid w:val="00976A63"/>
    <w:rsid w:val="00983419"/>
    <w:rsid w:val="009929BC"/>
    <w:rsid w:val="00994D71"/>
    <w:rsid w:val="009B0E91"/>
    <w:rsid w:val="009B3A65"/>
    <w:rsid w:val="009C3431"/>
    <w:rsid w:val="009C5989"/>
    <w:rsid w:val="009C70B4"/>
    <w:rsid w:val="009C7DA5"/>
    <w:rsid w:val="009D08DA"/>
    <w:rsid w:val="009E1ED7"/>
    <w:rsid w:val="009E6FBC"/>
    <w:rsid w:val="009F4538"/>
    <w:rsid w:val="009F5463"/>
    <w:rsid w:val="00A06860"/>
    <w:rsid w:val="00A136F5"/>
    <w:rsid w:val="00A16832"/>
    <w:rsid w:val="00A231E2"/>
    <w:rsid w:val="00A2550D"/>
    <w:rsid w:val="00A4169B"/>
    <w:rsid w:val="00A50A49"/>
    <w:rsid w:val="00A50D55"/>
    <w:rsid w:val="00A5165B"/>
    <w:rsid w:val="00A52FDA"/>
    <w:rsid w:val="00A56535"/>
    <w:rsid w:val="00A64912"/>
    <w:rsid w:val="00A66C29"/>
    <w:rsid w:val="00A67322"/>
    <w:rsid w:val="00A70A74"/>
    <w:rsid w:val="00A73D0B"/>
    <w:rsid w:val="00A73E56"/>
    <w:rsid w:val="00A75B51"/>
    <w:rsid w:val="00A83073"/>
    <w:rsid w:val="00A83B06"/>
    <w:rsid w:val="00A87E64"/>
    <w:rsid w:val="00A90F15"/>
    <w:rsid w:val="00AA0343"/>
    <w:rsid w:val="00AA6F41"/>
    <w:rsid w:val="00AB414A"/>
    <w:rsid w:val="00AD3467"/>
    <w:rsid w:val="00AD5641"/>
    <w:rsid w:val="00AE0C46"/>
    <w:rsid w:val="00AE0F9B"/>
    <w:rsid w:val="00AE25EC"/>
    <w:rsid w:val="00AF0435"/>
    <w:rsid w:val="00AF354D"/>
    <w:rsid w:val="00AF55FF"/>
    <w:rsid w:val="00AF5D26"/>
    <w:rsid w:val="00B032D8"/>
    <w:rsid w:val="00B04ED3"/>
    <w:rsid w:val="00B10038"/>
    <w:rsid w:val="00B11EFC"/>
    <w:rsid w:val="00B136DA"/>
    <w:rsid w:val="00B13EED"/>
    <w:rsid w:val="00B1774F"/>
    <w:rsid w:val="00B33B3C"/>
    <w:rsid w:val="00B37E06"/>
    <w:rsid w:val="00B40D74"/>
    <w:rsid w:val="00B4788D"/>
    <w:rsid w:val="00B504B0"/>
    <w:rsid w:val="00B509D1"/>
    <w:rsid w:val="00B52663"/>
    <w:rsid w:val="00B56DCB"/>
    <w:rsid w:val="00B770D2"/>
    <w:rsid w:val="00B872FB"/>
    <w:rsid w:val="00B96069"/>
    <w:rsid w:val="00BA47A3"/>
    <w:rsid w:val="00BA5026"/>
    <w:rsid w:val="00BB22EA"/>
    <w:rsid w:val="00BB609D"/>
    <w:rsid w:val="00BB6E79"/>
    <w:rsid w:val="00BC484F"/>
    <w:rsid w:val="00BE3B31"/>
    <w:rsid w:val="00BE6BC8"/>
    <w:rsid w:val="00BE719A"/>
    <w:rsid w:val="00BE720A"/>
    <w:rsid w:val="00BF0B9C"/>
    <w:rsid w:val="00BF3466"/>
    <w:rsid w:val="00BF378D"/>
    <w:rsid w:val="00BF6650"/>
    <w:rsid w:val="00BF7404"/>
    <w:rsid w:val="00C067E5"/>
    <w:rsid w:val="00C074A2"/>
    <w:rsid w:val="00C07598"/>
    <w:rsid w:val="00C164CA"/>
    <w:rsid w:val="00C26D36"/>
    <w:rsid w:val="00C27ADD"/>
    <w:rsid w:val="00C30D1B"/>
    <w:rsid w:val="00C31574"/>
    <w:rsid w:val="00C32502"/>
    <w:rsid w:val="00C42BF8"/>
    <w:rsid w:val="00C460AE"/>
    <w:rsid w:val="00C50043"/>
    <w:rsid w:val="00C50A0F"/>
    <w:rsid w:val="00C5370A"/>
    <w:rsid w:val="00C56C37"/>
    <w:rsid w:val="00C61F0A"/>
    <w:rsid w:val="00C7573B"/>
    <w:rsid w:val="00C76782"/>
    <w:rsid w:val="00C76CF3"/>
    <w:rsid w:val="00C9028F"/>
    <w:rsid w:val="00C92C43"/>
    <w:rsid w:val="00CA6F73"/>
    <w:rsid w:val="00CA7844"/>
    <w:rsid w:val="00CB58EF"/>
    <w:rsid w:val="00CB68A8"/>
    <w:rsid w:val="00CB76AA"/>
    <w:rsid w:val="00CC1083"/>
    <w:rsid w:val="00CC4AC4"/>
    <w:rsid w:val="00CD5BEF"/>
    <w:rsid w:val="00CE62B6"/>
    <w:rsid w:val="00CE7D64"/>
    <w:rsid w:val="00CF0BB2"/>
    <w:rsid w:val="00CF2C5B"/>
    <w:rsid w:val="00CF4D17"/>
    <w:rsid w:val="00D13441"/>
    <w:rsid w:val="00D14E82"/>
    <w:rsid w:val="00D243A3"/>
    <w:rsid w:val="00D24459"/>
    <w:rsid w:val="00D271D1"/>
    <w:rsid w:val="00D31040"/>
    <w:rsid w:val="00D31881"/>
    <w:rsid w:val="00D3200B"/>
    <w:rsid w:val="00D33440"/>
    <w:rsid w:val="00D37C91"/>
    <w:rsid w:val="00D45A6F"/>
    <w:rsid w:val="00D52E69"/>
    <w:rsid w:val="00D52EFE"/>
    <w:rsid w:val="00D548C9"/>
    <w:rsid w:val="00D55E2F"/>
    <w:rsid w:val="00D56A0D"/>
    <w:rsid w:val="00D61D5F"/>
    <w:rsid w:val="00D63EF6"/>
    <w:rsid w:val="00D646E2"/>
    <w:rsid w:val="00D66518"/>
    <w:rsid w:val="00D70DFB"/>
    <w:rsid w:val="00D71EEA"/>
    <w:rsid w:val="00D735CD"/>
    <w:rsid w:val="00D74547"/>
    <w:rsid w:val="00D766DF"/>
    <w:rsid w:val="00D7769D"/>
    <w:rsid w:val="00D80478"/>
    <w:rsid w:val="00D90DE2"/>
    <w:rsid w:val="00D95891"/>
    <w:rsid w:val="00D979E6"/>
    <w:rsid w:val="00DA4FE4"/>
    <w:rsid w:val="00DB5CB4"/>
    <w:rsid w:val="00DC43A1"/>
    <w:rsid w:val="00DE149E"/>
    <w:rsid w:val="00DE57E6"/>
    <w:rsid w:val="00DE58B3"/>
    <w:rsid w:val="00DF4C74"/>
    <w:rsid w:val="00DF7F39"/>
    <w:rsid w:val="00E012A6"/>
    <w:rsid w:val="00E03E44"/>
    <w:rsid w:val="00E05704"/>
    <w:rsid w:val="00E12F1A"/>
    <w:rsid w:val="00E21CFB"/>
    <w:rsid w:val="00E22935"/>
    <w:rsid w:val="00E25B33"/>
    <w:rsid w:val="00E32798"/>
    <w:rsid w:val="00E37386"/>
    <w:rsid w:val="00E42BBE"/>
    <w:rsid w:val="00E450FD"/>
    <w:rsid w:val="00E47060"/>
    <w:rsid w:val="00E54292"/>
    <w:rsid w:val="00E60191"/>
    <w:rsid w:val="00E66629"/>
    <w:rsid w:val="00E74DC7"/>
    <w:rsid w:val="00E843EE"/>
    <w:rsid w:val="00E87699"/>
    <w:rsid w:val="00E87AB1"/>
    <w:rsid w:val="00E92E27"/>
    <w:rsid w:val="00E930AE"/>
    <w:rsid w:val="00E95451"/>
    <w:rsid w:val="00E9586B"/>
    <w:rsid w:val="00E9714E"/>
    <w:rsid w:val="00E97334"/>
    <w:rsid w:val="00E97867"/>
    <w:rsid w:val="00EA4B40"/>
    <w:rsid w:val="00EC10BE"/>
    <w:rsid w:val="00EC2DC1"/>
    <w:rsid w:val="00ED0CD2"/>
    <w:rsid w:val="00ED36CC"/>
    <w:rsid w:val="00ED4928"/>
    <w:rsid w:val="00ED57F6"/>
    <w:rsid w:val="00EE06F7"/>
    <w:rsid w:val="00EE3EB5"/>
    <w:rsid w:val="00EE6190"/>
    <w:rsid w:val="00EF2E3A"/>
    <w:rsid w:val="00EF6402"/>
    <w:rsid w:val="00F020DF"/>
    <w:rsid w:val="00F047E2"/>
    <w:rsid w:val="00F04D57"/>
    <w:rsid w:val="00F0642D"/>
    <w:rsid w:val="00F078DC"/>
    <w:rsid w:val="00F13E86"/>
    <w:rsid w:val="00F20C11"/>
    <w:rsid w:val="00F30D66"/>
    <w:rsid w:val="00F30D9C"/>
    <w:rsid w:val="00F325D4"/>
    <w:rsid w:val="00F32FCB"/>
    <w:rsid w:val="00F35AF5"/>
    <w:rsid w:val="00F4041A"/>
    <w:rsid w:val="00F41D3F"/>
    <w:rsid w:val="00F56F40"/>
    <w:rsid w:val="00F614CC"/>
    <w:rsid w:val="00F62651"/>
    <w:rsid w:val="00F651CF"/>
    <w:rsid w:val="00F66264"/>
    <w:rsid w:val="00F677A9"/>
    <w:rsid w:val="00F732EA"/>
    <w:rsid w:val="00F7366A"/>
    <w:rsid w:val="00F7646F"/>
    <w:rsid w:val="00F77F67"/>
    <w:rsid w:val="00F84CF5"/>
    <w:rsid w:val="00F85464"/>
    <w:rsid w:val="00F8612E"/>
    <w:rsid w:val="00F95372"/>
    <w:rsid w:val="00FA420B"/>
    <w:rsid w:val="00FA5215"/>
    <w:rsid w:val="00FB10C9"/>
    <w:rsid w:val="00FB3201"/>
    <w:rsid w:val="00FB3C7B"/>
    <w:rsid w:val="00FC0064"/>
    <w:rsid w:val="00FC25E2"/>
    <w:rsid w:val="00FC5814"/>
    <w:rsid w:val="00FD4DEE"/>
    <w:rsid w:val="00FD7F2A"/>
    <w:rsid w:val="00FE018E"/>
    <w:rsid w:val="00FE0781"/>
    <w:rsid w:val="00FE22DB"/>
    <w:rsid w:val="00FE27DA"/>
    <w:rsid w:val="00FE59D1"/>
    <w:rsid w:val="00FF39DE"/>
    <w:rsid w:val="00FF58C6"/>
    <w:rsid w:val="00FF61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667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C604B"/>
    <w:pPr>
      <w:spacing w:line="260" w:lineRule="atLeast"/>
    </w:pPr>
    <w:rPr>
      <w:sz w:val="22"/>
    </w:rPr>
  </w:style>
  <w:style w:type="paragraph" w:styleId="Heading1">
    <w:name w:val="heading 1"/>
    <w:basedOn w:val="Normal"/>
    <w:next w:val="Normal"/>
    <w:link w:val="Heading1Char"/>
    <w:uiPriority w:val="19"/>
    <w:qFormat/>
    <w:rsid w:val="0046236F"/>
    <w:pPr>
      <w:spacing w:before="360" w:after="120" w:line="240" w:lineRule="auto"/>
      <w:contextualSpacing/>
      <w:outlineLvl w:val="0"/>
    </w:pPr>
    <w:rPr>
      <w:rFonts w:asciiTheme="minorHAnsi" w:eastAsiaTheme="majorEastAsia" w:hAnsiTheme="minorHAnsi" w:cstheme="majorBidi"/>
      <w:color w:val="13223E"/>
      <w:spacing w:val="4"/>
      <w:sz w:val="36"/>
      <w:szCs w:val="36"/>
      <w:lang w:eastAsia="en-AU"/>
    </w:rPr>
  </w:style>
  <w:style w:type="paragraph" w:styleId="Heading2">
    <w:name w:val="heading 2"/>
    <w:basedOn w:val="Normal"/>
    <w:next w:val="Normal"/>
    <w:link w:val="Heading2Char"/>
    <w:uiPriority w:val="19"/>
    <w:unhideWhenUsed/>
    <w:qFormat/>
    <w:rsid w:val="00BF7404"/>
    <w:pPr>
      <w:keepNext/>
      <w:keepLines/>
      <w:spacing w:before="200"/>
      <w:outlineLvl w:val="1"/>
    </w:pPr>
    <w:rPr>
      <w:rFonts w:ascii="Arial" w:eastAsiaTheme="majorEastAsia" w:hAnsi="Arial" w:cstheme="majorBidi"/>
      <w:b/>
      <w:bCs/>
      <w:color w:val="244061" w:themeColor="accent1" w:themeShade="80"/>
      <w:sz w:val="24"/>
      <w:szCs w:val="24"/>
    </w:rPr>
  </w:style>
  <w:style w:type="paragraph" w:styleId="Heading3">
    <w:name w:val="heading 3"/>
    <w:basedOn w:val="Normal"/>
    <w:next w:val="Normal"/>
    <w:link w:val="Heading3Char"/>
    <w:uiPriority w:val="19"/>
    <w:qFormat/>
    <w:rsid w:val="00352A0A"/>
    <w:pPr>
      <w:keepNext/>
      <w:spacing w:before="480" w:after="60" w:line="259" w:lineRule="auto"/>
      <w:ind w:left="720" w:hanging="72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unhideWhenUsed/>
    <w:qFormat/>
    <w:rsid w:val="00352A0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9"/>
    <w:qFormat/>
    <w:rsid w:val="00352A0A"/>
    <w:pPr>
      <w:keepNext/>
      <w:spacing w:before="240" w:after="120" w:line="259" w:lineRule="auto"/>
      <w:outlineLvl w:val="4"/>
    </w:pPr>
    <w:rPr>
      <w:rFonts w:ascii="Segoe UI" w:eastAsia="Times New Roman" w:hAnsi="Segoe UI" w:cs="Times New Roman"/>
      <w:b/>
      <w:color w:val="000000" w:themeColor="text1"/>
      <w:sz w:val="20"/>
      <w:szCs w:val="24"/>
      <w:lang w:eastAsia="en-AU"/>
    </w:rPr>
  </w:style>
  <w:style w:type="paragraph" w:styleId="Heading6">
    <w:name w:val="heading 6"/>
    <w:basedOn w:val="Normal"/>
    <w:next w:val="Normal"/>
    <w:link w:val="Heading6Char"/>
    <w:uiPriority w:val="19"/>
    <w:qFormat/>
    <w:rsid w:val="00352A0A"/>
    <w:pPr>
      <w:keepNext/>
      <w:keepLines/>
      <w:spacing w:before="200" w:after="60" w:line="259" w:lineRule="auto"/>
      <w:outlineLvl w:val="5"/>
    </w:pPr>
    <w:rPr>
      <w:rFonts w:ascii="Segoe UI" w:eastAsiaTheme="majorEastAsia" w:hAnsi="Segoe UI" w:cstheme="majorBidi"/>
      <w:b/>
      <w:i/>
      <w:iCs/>
      <w:color w:val="000000" w:themeColor="text1"/>
      <w:sz w:val="19"/>
      <w:szCs w:val="19"/>
      <w:lang w:eastAsia="en-AU"/>
    </w:rPr>
  </w:style>
  <w:style w:type="paragraph" w:styleId="Heading7">
    <w:name w:val="heading 7"/>
    <w:basedOn w:val="Normal"/>
    <w:next w:val="Normal"/>
    <w:link w:val="Heading7Char"/>
    <w:uiPriority w:val="19"/>
    <w:semiHidden/>
    <w:rsid w:val="00352A0A"/>
    <w:pPr>
      <w:keepNext/>
      <w:keepLines/>
      <w:spacing w:before="200" w:line="259" w:lineRule="auto"/>
      <w:outlineLvl w:val="6"/>
    </w:pPr>
    <w:rPr>
      <w:rFonts w:ascii="Segoe UI" w:eastAsiaTheme="majorEastAsia" w:hAnsi="Segoe UI" w:cstheme="majorBidi"/>
      <w:i/>
      <w:iCs/>
      <w:color w:val="404040" w:themeColor="text1" w:themeTint="BF"/>
      <w:sz w:val="19"/>
      <w:szCs w:val="22"/>
    </w:rPr>
  </w:style>
  <w:style w:type="paragraph" w:styleId="Heading8">
    <w:name w:val="heading 8"/>
    <w:basedOn w:val="Normal"/>
    <w:next w:val="Normal"/>
    <w:link w:val="Heading8Char"/>
    <w:uiPriority w:val="19"/>
    <w:semiHidden/>
    <w:rsid w:val="00352A0A"/>
    <w:pPr>
      <w:keepNext/>
      <w:keepLines/>
      <w:spacing w:before="200" w:line="259" w:lineRule="auto"/>
      <w:outlineLvl w:val="7"/>
    </w:pPr>
    <w:rPr>
      <w:rFonts w:ascii="Segoe UI" w:eastAsiaTheme="majorEastAsia" w:hAnsi="Segoe U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7C604B"/>
  </w:style>
  <w:style w:type="paragraph" w:customStyle="1" w:styleId="OPCParaBase">
    <w:name w:val="OPCParaBase"/>
    <w:qFormat/>
    <w:rsid w:val="007C604B"/>
    <w:pPr>
      <w:spacing w:line="260" w:lineRule="atLeast"/>
    </w:pPr>
    <w:rPr>
      <w:rFonts w:eastAsia="Times New Roman" w:cs="Times New Roman"/>
      <w:sz w:val="22"/>
      <w:lang w:eastAsia="en-AU"/>
    </w:rPr>
  </w:style>
  <w:style w:type="paragraph" w:customStyle="1" w:styleId="ShortT">
    <w:name w:val="ShortT"/>
    <w:basedOn w:val="OPCParaBase"/>
    <w:next w:val="Normal"/>
    <w:qFormat/>
    <w:rsid w:val="007C604B"/>
    <w:pPr>
      <w:spacing w:line="240" w:lineRule="auto"/>
    </w:pPr>
    <w:rPr>
      <w:b/>
      <w:sz w:val="40"/>
    </w:rPr>
  </w:style>
  <w:style w:type="paragraph" w:customStyle="1" w:styleId="ActHead1">
    <w:name w:val="ActHead 1"/>
    <w:aliases w:val="c"/>
    <w:basedOn w:val="OPCParaBase"/>
    <w:next w:val="Normal"/>
    <w:qFormat/>
    <w:rsid w:val="007C604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C604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C604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C604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7C604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C604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C604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C604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C604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C604B"/>
  </w:style>
  <w:style w:type="paragraph" w:customStyle="1" w:styleId="Blocks">
    <w:name w:val="Blocks"/>
    <w:aliases w:val="bb"/>
    <w:basedOn w:val="OPCParaBase"/>
    <w:qFormat/>
    <w:rsid w:val="007C604B"/>
    <w:pPr>
      <w:spacing w:line="240" w:lineRule="auto"/>
    </w:pPr>
    <w:rPr>
      <w:sz w:val="24"/>
    </w:rPr>
  </w:style>
  <w:style w:type="paragraph" w:customStyle="1" w:styleId="BoxText">
    <w:name w:val="BoxText"/>
    <w:aliases w:val="bt"/>
    <w:basedOn w:val="OPCParaBase"/>
    <w:qFormat/>
    <w:rsid w:val="007C604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C604B"/>
    <w:rPr>
      <w:b/>
    </w:rPr>
  </w:style>
  <w:style w:type="paragraph" w:customStyle="1" w:styleId="BoxHeadItalic">
    <w:name w:val="BoxHeadItalic"/>
    <w:aliases w:val="bhi"/>
    <w:basedOn w:val="BoxText"/>
    <w:next w:val="BoxStep"/>
    <w:qFormat/>
    <w:rsid w:val="007C604B"/>
    <w:rPr>
      <w:i/>
    </w:rPr>
  </w:style>
  <w:style w:type="paragraph" w:customStyle="1" w:styleId="BoxList">
    <w:name w:val="BoxList"/>
    <w:aliases w:val="bl"/>
    <w:basedOn w:val="BoxText"/>
    <w:qFormat/>
    <w:rsid w:val="007C604B"/>
    <w:pPr>
      <w:ind w:left="1559" w:hanging="425"/>
    </w:pPr>
  </w:style>
  <w:style w:type="paragraph" w:customStyle="1" w:styleId="BoxNote">
    <w:name w:val="BoxNote"/>
    <w:aliases w:val="bn"/>
    <w:basedOn w:val="BoxText"/>
    <w:qFormat/>
    <w:rsid w:val="007C604B"/>
    <w:pPr>
      <w:tabs>
        <w:tab w:val="left" w:pos="1985"/>
      </w:tabs>
      <w:spacing w:before="122" w:line="198" w:lineRule="exact"/>
      <w:ind w:left="2948" w:hanging="1814"/>
    </w:pPr>
    <w:rPr>
      <w:sz w:val="18"/>
    </w:rPr>
  </w:style>
  <w:style w:type="paragraph" w:customStyle="1" w:styleId="BoxPara">
    <w:name w:val="BoxPara"/>
    <w:aliases w:val="bp"/>
    <w:basedOn w:val="BoxText"/>
    <w:qFormat/>
    <w:rsid w:val="007C604B"/>
    <w:pPr>
      <w:tabs>
        <w:tab w:val="right" w:pos="2268"/>
      </w:tabs>
      <w:ind w:left="2552" w:hanging="1418"/>
    </w:pPr>
  </w:style>
  <w:style w:type="paragraph" w:customStyle="1" w:styleId="BoxStep">
    <w:name w:val="BoxStep"/>
    <w:aliases w:val="bs"/>
    <w:basedOn w:val="BoxText"/>
    <w:qFormat/>
    <w:rsid w:val="007C604B"/>
    <w:pPr>
      <w:ind w:left="1985" w:hanging="851"/>
    </w:pPr>
  </w:style>
  <w:style w:type="character" w:customStyle="1" w:styleId="CharAmPartNo">
    <w:name w:val="CharAmPartNo"/>
    <w:basedOn w:val="OPCCharBase"/>
    <w:qFormat/>
    <w:rsid w:val="007C604B"/>
  </w:style>
  <w:style w:type="character" w:customStyle="1" w:styleId="CharAmPartText">
    <w:name w:val="CharAmPartText"/>
    <w:basedOn w:val="OPCCharBase"/>
    <w:qFormat/>
    <w:rsid w:val="007C604B"/>
  </w:style>
  <w:style w:type="character" w:customStyle="1" w:styleId="CharAmSchNo">
    <w:name w:val="CharAmSchNo"/>
    <w:basedOn w:val="OPCCharBase"/>
    <w:qFormat/>
    <w:rsid w:val="007C604B"/>
  </w:style>
  <w:style w:type="character" w:customStyle="1" w:styleId="CharAmSchText">
    <w:name w:val="CharAmSchText"/>
    <w:basedOn w:val="OPCCharBase"/>
    <w:qFormat/>
    <w:rsid w:val="007C604B"/>
  </w:style>
  <w:style w:type="character" w:customStyle="1" w:styleId="CharBoldItalic">
    <w:name w:val="CharBoldItalic"/>
    <w:basedOn w:val="OPCCharBase"/>
    <w:uiPriority w:val="1"/>
    <w:qFormat/>
    <w:rsid w:val="007C604B"/>
    <w:rPr>
      <w:b/>
      <w:i/>
    </w:rPr>
  </w:style>
  <w:style w:type="character" w:customStyle="1" w:styleId="CharChapNo">
    <w:name w:val="CharChapNo"/>
    <w:basedOn w:val="OPCCharBase"/>
    <w:uiPriority w:val="1"/>
    <w:qFormat/>
    <w:rsid w:val="007C604B"/>
  </w:style>
  <w:style w:type="character" w:customStyle="1" w:styleId="CharChapText">
    <w:name w:val="CharChapText"/>
    <w:basedOn w:val="OPCCharBase"/>
    <w:uiPriority w:val="1"/>
    <w:qFormat/>
    <w:rsid w:val="007C604B"/>
  </w:style>
  <w:style w:type="character" w:customStyle="1" w:styleId="CharDivNo">
    <w:name w:val="CharDivNo"/>
    <w:basedOn w:val="OPCCharBase"/>
    <w:uiPriority w:val="1"/>
    <w:qFormat/>
    <w:rsid w:val="007C604B"/>
  </w:style>
  <w:style w:type="character" w:customStyle="1" w:styleId="CharDivText">
    <w:name w:val="CharDivText"/>
    <w:basedOn w:val="OPCCharBase"/>
    <w:uiPriority w:val="1"/>
    <w:qFormat/>
    <w:rsid w:val="007C604B"/>
  </w:style>
  <w:style w:type="character" w:customStyle="1" w:styleId="CharItalic">
    <w:name w:val="CharItalic"/>
    <w:basedOn w:val="OPCCharBase"/>
    <w:uiPriority w:val="1"/>
    <w:qFormat/>
    <w:rsid w:val="007C604B"/>
    <w:rPr>
      <w:i/>
    </w:rPr>
  </w:style>
  <w:style w:type="character" w:customStyle="1" w:styleId="CharPartNo">
    <w:name w:val="CharPartNo"/>
    <w:basedOn w:val="OPCCharBase"/>
    <w:uiPriority w:val="1"/>
    <w:qFormat/>
    <w:rsid w:val="007C604B"/>
  </w:style>
  <w:style w:type="character" w:customStyle="1" w:styleId="CharPartText">
    <w:name w:val="CharPartText"/>
    <w:basedOn w:val="OPCCharBase"/>
    <w:uiPriority w:val="1"/>
    <w:qFormat/>
    <w:rsid w:val="007C604B"/>
  </w:style>
  <w:style w:type="character" w:customStyle="1" w:styleId="CharSectno">
    <w:name w:val="CharSectno"/>
    <w:basedOn w:val="OPCCharBase"/>
    <w:qFormat/>
    <w:rsid w:val="007C604B"/>
  </w:style>
  <w:style w:type="character" w:customStyle="1" w:styleId="CharSubdNo">
    <w:name w:val="CharSubdNo"/>
    <w:basedOn w:val="OPCCharBase"/>
    <w:uiPriority w:val="1"/>
    <w:qFormat/>
    <w:rsid w:val="007C604B"/>
  </w:style>
  <w:style w:type="character" w:customStyle="1" w:styleId="CharSubdText">
    <w:name w:val="CharSubdText"/>
    <w:basedOn w:val="OPCCharBase"/>
    <w:uiPriority w:val="1"/>
    <w:qFormat/>
    <w:rsid w:val="007C604B"/>
  </w:style>
  <w:style w:type="paragraph" w:customStyle="1" w:styleId="CTA--">
    <w:name w:val="CTA --"/>
    <w:basedOn w:val="OPCParaBase"/>
    <w:next w:val="Normal"/>
    <w:rsid w:val="007C604B"/>
    <w:pPr>
      <w:spacing w:before="60" w:line="240" w:lineRule="atLeast"/>
      <w:ind w:left="142" w:hanging="142"/>
    </w:pPr>
    <w:rPr>
      <w:sz w:val="20"/>
    </w:rPr>
  </w:style>
  <w:style w:type="paragraph" w:customStyle="1" w:styleId="CTA-">
    <w:name w:val="CTA -"/>
    <w:basedOn w:val="OPCParaBase"/>
    <w:rsid w:val="007C604B"/>
    <w:pPr>
      <w:spacing w:before="60" w:line="240" w:lineRule="atLeast"/>
      <w:ind w:left="85" w:hanging="85"/>
    </w:pPr>
    <w:rPr>
      <w:sz w:val="20"/>
    </w:rPr>
  </w:style>
  <w:style w:type="paragraph" w:customStyle="1" w:styleId="CTA---">
    <w:name w:val="CTA ---"/>
    <w:basedOn w:val="OPCParaBase"/>
    <w:next w:val="Normal"/>
    <w:rsid w:val="007C604B"/>
    <w:pPr>
      <w:spacing w:before="60" w:line="240" w:lineRule="atLeast"/>
      <w:ind w:left="198" w:hanging="198"/>
    </w:pPr>
    <w:rPr>
      <w:sz w:val="20"/>
    </w:rPr>
  </w:style>
  <w:style w:type="paragraph" w:customStyle="1" w:styleId="CTA----">
    <w:name w:val="CTA ----"/>
    <w:basedOn w:val="OPCParaBase"/>
    <w:next w:val="Normal"/>
    <w:rsid w:val="007C604B"/>
    <w:pPr>
      <w:spacing w:before="60" w:line="240" w:lineRule="atLeast"/>
      <w:ind w:left="255" w:hanging="255"/>
    </w:pPr>
    <w:rPr>
      <w:sz w:val="20"/>
    </w:rPr>
  </w:style>
  <w:style w:type="paragraph" w:customStyle="1" w:styleId="CTA1a">
    <w:name w:val="CTA 1(a)"/>
    <w:basedOn w:val="OPCParaBase"/>
    <w:rsid w:val="007C604B"/>
    <w:pPr>
      <w:tabs>
        <w:tab w:val="right" w:pos="414"/>
      </w:tabs>
      <w:spacing w:before="40" w:line="240" w:lineRule="atLeast"/>
      <w:ind w:left="675" w:hanging="675"/>
    </w:pPr>
    <w:rPr>
      <w:sz w:val="20"/>
    </w:rPr>
  </w:style>
  <w:style w:type="paragraph" w:customStyle="1" w:styleId="CTA1ai">
    <w:name w:val="CTA 1(a)(i)"/>
    <w:basedOn w:val="OPCParaBase"/>
    <w:rsid w:val="007C604B"/>
    <w:pPr>
      <w:tabs>
        <w:tab w:val="right" w:pos="1004"/>
      </w:tabs>
      <w:spacing w:before="40" w:line="240" w:lineRule="atLeast"/>
      <w:ind w:left="1253" w:hanging="1253"/>
    </w:pPr>
    <w:rPr>
      <w:sz w:val="20"/>
    </w:rPr>
  </w:style>
  <w:style w:type="paragraph" w:customStyle="1" w:styleId="CTA2a">
    <w:name w:val="CTA 2(a)"/>
    <w:basedOn w:val="OPCParaBase"/>
    <w:rsid w:val="007C604B"/>
    <w:pPr>
      <w:tabs>
        <w:tab w:val="right" w:pos="482"/>
      </w:tabs>
      <w:spacing w:before="40" w:line="240" w:lineRule="atLeast"/>
      <w:ind w:left="748" w:hanging="748"/>
    </w:pPr>
    <w:rPr>
      <w:sz w:val="20"/>
    </w:rPr>
  </w:style>
  <w:style w:type="paragraph" w:customStyle="1" w:styleId="CTA2ai">
    <w:name w:val="CTA 2(a)(i)"/>
    <w:basedOn w:val="OPCParaBase"/>
    <w:rsid w:val="007C604B"/>
    <w:pPr>
      <w:tabs>
        <w:tab w:val="right" w:pos="1089"/>
      </w:tabs>
      <w:spacing w:before="40" w:line="240" w:lineRule="atLeast"/>
      <w:ind w:left="1327" w:hanging="1327"/>
    </w:pPr>
    <w:rPr>
      <w:sz w:val="20"/>
    </w:rPr>
  </w:style>
  <w:style w:type="paragraph" w:customStyle="1" w:styleId="CTA3a">
    <w:name w:val="CTA 3(a)"/>
    <w:basedOn w:val="OPCParaBase"/>
    <w:rsid w:val="007C604B"/>
    <w:pPr>
      <w:tabs>
        <w:tab w:val="right" w:pos="556"/>
      </w:tabs>
      <w:spacing w:before="40" w:line="240" w:lineRule="atLeast"/>
      <w:ind w:left="805" w:hanging="805"/>
    </w:pPr>
    <w:rPr>
      <w:sz w:val="20"/>
    </w:rPr>
  </w:style>
  <w:style w:type="paragraph" w:customStyle="1" w:styleId="CTA3ai">
    <w:name w:val="CTA 3(a)(i)"/>
    <w:basedOn w:val="OPCParaBase"/>
    <w:rsid w:val="007C604B"/>
    <w:pPr>
      <w:tabs>
        <w:tab w:val="right" w:pos="1140"/>
      </w:tabs>
      <w:spacing w:before="40" w:line="240" w:lineRule="atLeast"/>
      <w:ind w:left="1361" w:hanging="1361"/>
    </w:pPr>
    <w:rPr>
      <w:sz w:val="20"/>
    </w:rPr>
  </w:style>
  <w:style w:type="paragraph" w:customStyle="1" w:styleId="CTA4a">
    <w:name w:val="CTA 4(a)"/>
    <w:basedOn w:val="OPCParaBase"/>
    <w:rsid w:val="007C604B"/>
    <w:pPr>
      <w:tabs>
        <w:tab w:val="right" w:pos="624"/>
      </w:tabs>
      <w:spacing w:before="40" w:line="240" w:lineRule="atLeast"/>
      <w:ind w:left="873" w:hanging="873"/>
    </w:pPr>
    <w:rPr>
      <w:sz w:val="20"/>
    </w:rPr>
  </w:style>
  <w:style w:type="paragraph" w:customStyle="1" w:styleId="CTA4ai">
    <w:name w:val="CTA 4(a)(i)"/>
    <w:basedOn w:val="OPCParaBase"/>
    <w:rsid w:val="007C604B"/>
    <w:pPr>
      <w:tabs>
        <w:tab w:val="right" w:pos="1213"/>
      </w:tabs>
      <w:spacing w:before="40" w:line="240" w:lineRule="atLeast"/>
      <w:ind w:left="1452" w:hanging="1452"/>
    </w:pPr>
    <w:rPr>
      <w:sz w:val="20"/>
    </w:rPr>
  </w:style>
  <w:style w:type="paragraph" w:customStyle="1" w:styleId="CTACAPS">
    <w:name w:val="CTA CAPS"/>
    <w:basedOn w:val="OPCParaBase"/>
    <w:rsid w:val="007C604B"/>
    <w:pPr>
      <w:spacing w:before="60" w:line="240" w:lineRule="atLeast"/>
    </w:pPr>
    <w:rPr>
      <w:sz w:val="20"/>
    </w:rPr>
  </w:style>
  <w:style w:type="paragraph" w:customStyle="1" w:styleId="CTAright">
    <w:name w:val="CTA right"/>
    <w:basedOn w:val="OPCParaBase"/>
    <w:rsid w:val="007C604B"/>
    <w:pPr>
      <w:spacing w:before="60" w:line="240" w:lineRule="auto"/>
      <w:jc w:val="right"/>
    </w:pPr>
    <w:rPr>
      <w:sz w:val="20"/>
    </w:rPr>
  </w:style>
  <w:style w:type="paragraph" w:customStyle="1" w:styleId="subsection">
    <w:name w:val="subsection"/>
    <w:aliases w:val="ss"/>
    <w:basedOn w:val="OPCParaBase"/>
    <w:rsid w:val="007C604B"/>
    <w:pPr>
      <w:tabs>
        <w:tab w:val="right" w:pos="1021"/>
      </w:tabs>
      <w:spacing w:before="180" w:line="240" w:lineRule="auto"/>
      <w:ind w:left="1134" w:hanging="1134"/>
    </w:pPr>
  </w:style>
  <w:style w:type="paragraph" w:customStyle="1" w:styleId="Definition">
    <w:name w:val="Definition"/>
    <w:aliases w:val="dd"/>
    <w:basedOn w:val="OPCParaBase"/>
    <w:rsid w:val="007C604B"/>
    <w:pPr>
      <w:spacing w:before="180" w:line="240" w:lineRule="auto"/>
      <w:ind w:left="1134"/>
    </w:pPr>
  </w:style>
  <w:style w:type="paragraph" w:customStyle="1" w:styleId="ETAsubitem">
    <w:name w:val="ETA(subitem)"/>
    <w:basedOn w:val="OPCParaBase"/>
    <w:rsid w:val="007C604B"/>
    <w:pPr>
      <w:tabs>
        <w:tab w:val="right" w:pos="340"/>
      </w:tabs>
      <w:spacing w:before="60" w:line="240" w:lineRule="auto"/>
      <w:ind w:left="454" w:hanging="454"/>
    </w:pPr>
    <w:rPr>
      <w:sz w:val="20"/>
    </w:rPr>
  </w:style>
  <w:style w:type="paragraph" w:customStyle="1" w:styleId="ETApara">
    <w:name w:val="ETA(para)"/>
    <w:basedOn w:val="OPCParaBase"/>
    <w:rsid w:val="007C604B"/>
    <w:pPr>
      <w:tabs>
        <w:tab w:val="right" w:pos="754"/>
      </w:tabs>
      <w:spacing w:before="60" w:line="240" w:lineRule="auto"/>
      <w:ind w:left="828" w:hanging="828"/>
    </w:pPr>
    <w:rPr>
      <w:sz w:val="20"/>
    </w:rPr>
  </w:style>
  <w:style w:type="paragraph" w:customStyle="1" w:styleId="ETAsubpara">
    <w:name w:val="ETA(subpara)"/>
    <w:basedOn w:val="OPCParaBase"/>
    <w:rsid w:val="007C604B"/>
    <w:pPr>
      <w:tabs>
        <w:tab w:val="right" w:pos="1083"/>
      </w:tabs>
      <w:spacing w:before="60" w:line="240" w:lineRule="auto"/>
      <w:ind w:left="1191" w:hanging="1191"/>
    </w:pPr>
    <w:rPr>
      <w:sz w:val="20"/>
    </w:rPr>
  </w:style>
  <w:style w:type="paragraph" w:customStyle="1" w:styleId="ETAsub-subpara">
    <w:name w:val="ETA(sub-subpara)"/>
    <w:basedOn w:val="OPCParaBase"/>
    <w:rsid w:val="007C604B"/>
    <w:pPr>
      <w:tabs>
        <w:tab w:val="right" w:pos="1412"/>
      </w:tabs>
      <w:spacing w:before="60" w:line="240" w:lineRule="auto"/>
      <w:ind w:left="1525" w:hanging="1525"/>
    </w:pPr>
    <w:rPr>
      <w:sz w:val="20"/>
    </w:rPr>
  </w:style>
  <w:style w:type="paragraph" w:customStyle="1" w:styleId="Formula">
    <w:name w:val="Formula"/>
    <w:basedOn w:val="OPCParaBase"/>
    <w:rsid w:val="007C604B"/>
    <w:pPr>
      <w:spacing w:line="240" w:lineRule="auto"/>
      <w:ind w:left="1134"/>
    </w:pPr>
    <w:rPr>
      <w:sz w:val="20"/>
    </w:rPr>
  </w:style>
  <w:style w:type="paragraph" w:styleId="Header">
    <w:name w:val="header"/>
    <w:basedOn w:val="OPCParaBase"/>
    <w:link w:val="HeaderChar"/>
    <w:uiPriority w:val="99"/>
    <w:unhideWhenUsed/>
    <w:rsid w:val="007C604B"/>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7C604B"/>
    <w:rPr>
      <w:rFonts w:eastAsia="Times New Roman" w:cs="Times New Roman"/>
      <w:sz w:val="16"/>
      <w:lang w:eastAsia="en-AU"/>
    </w:rPr>
  </w:style>
  <w:style w:type="paragraph" w:customStyle="1" w:styleId="House">
    <w:name w:val="House"/>
    <w:basedOn w:val="OPCParaBase"/>
    <w:rsid w:val="007C604B"/>
    <w:pPr>
      <w:spacing w:line="240" w:lineRule="auto"/>
    </w:pPr>
    <w:rPr>
      <w:sz w:val="28"/>
    </w:rPr>
  </w:style>
  <w:style w:type="paragraph" w:customStyle="1" w:styleId="Item">
    <w:name w:val="Item"/>
    <w:aliases w:val="i"/>
    <w:basedOn w:val="OPCParaBase"/>
    <w:next w:val="ItemHead"/>
    <w:rsid w:val="007C604B"/>
    <w:pPr>
      <w:keepLines/>
      <w:spacing w:before="80" w:line="240" w:lineRule="auto"/>
      <w:ind w:left="709"/>
    </w:pPr>
  </w:style>
  <w:style w:type="paragraph" w:customStyle="1" w:styleId="ItemHead">
    <w:name w:val="ItemHead"/>
    <w:aliases w:val="ih"/>
    <w:basedOn w:val="OPCParaBase"/>
    <w:next w:val="Item"/>
    <w:rsid w:val="007C604B"/>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7C604B"/>
    <w:pPr>
      <w:spacing w:line="240" w:lineRule="auto"/>
    </w:pPr>
    <w:rPr>
      <w:b/>
      <w:sz w:val="32"/>
    </w:rPr>
  </w:style>
  <w:style w:type="paragraph" w:customStyle="1" w:styleId="notedraft">
    <w:name w:val="note(draft)"/>
    <w:aliases w:val="nd"/>
    <w:basedOn w:val="OPCParaBase"/>
    <w:rsid w:val="007C604B"/>
    <w:pPr>
      <w:spacing w:before="240" w:line="240" w:lineRule="auto"/>
      <w:ind w:left="284" w:hanging="284"/>
    </w:pPr>
    <w:rPr>
      <w:i/>
      <w:sz w:val="24"/>
    </w:rPr>
  </w:style>
  <w:style w:type="paragraph" w:customStyle="1" w:styleId="notemargin">
    <w:name w:val="note(margin)"/>
    <w:aliases w:val="nm"/>
    <w:basedOn w:val="OPCParaBase"/>
    <w:rsid w:val="007C604B"/>
    <w:pPr>
      <w:tabs>
        <w:tab w:val="left" w:pos="709"/>
      </w:tabs>
      <w:spacing w:before="122" w:line="198" w:lineRule="exact"/>
      <w:ind w:left="709" w:hanging="709"/>
    </w:pPr>
    <w:rPr>
      <w:sz w:val="18"/>
    </w:rPr>
  </w:style>
  <w:style w:type="paragraph" w:customStyle="1" w:styleId="noteToPara">
    <w:name w:val="noteToPara"/>
    <w:aliases w:val="ntp"/>
    <w:basedOn w:val="OPCParaBase"/>
    <w:rsid w:val="007C604B"/>
    <w:pPr>
      <w:spacing w:before="122" w:line="198" w:lineRule="exact"/>
      <w:ind w:left="2353" w:hanging="709"/>
    </w:pPr>
    <w:rPr>
      <w:sz w:val="18"/>
    </w:rPr>
  </w:style>
  <w:style w:type="paragraph" w:customStyle="1" w:styleId="noteParlAmend">
    <w:name w:val="note(ParlAmend)"/>
    <w:aliases w:val="npp"/>
    <w:basedOn w:val="OPCParaBase"/>
    <w:next w:val="ParlAmend"/>
    <w:rsid w:val="007C604B"/>
    <w:pPr>
      <w:spacing w:line="240" w:lineRule="auto"/>
      <w:jc w:val="right"/>
    </w:pPr>
    <w:rPr>
      <w:rFonts w:ascii="Arial" w:hAnsi="Arial"/>
      <w:b/>
      <w:i/>
    </w:rPr>
  </w:style>
  <w:style w:type="paragraph" w:customStyle="1" w:styleId="Page1">
    <w:name w:val="Page1"/>
    <w:basedOn w:val="OPCParaBase"/>
    <w:rsid w:val="007C604B"/>
    <w:pPr>
      <w:spacing w:before="5600" w:line="240" w:lineRule="auto"/>
    </w:pPr>
    <w:rPr>
      <w:b/>
      <w:sz w:val="32"/>
    </w:rPr>
  </w:style>
  <w:style w:type="paragraph" w:customStyle="1" w:styleId="PageBreak">
    <w:name w:val="PageBreak"/>
    <w:aliases w:val="pb"/>
    <w:basedOn w:val="OPCParaBase"/>
    <w:rsid w:val="007C604B"/>
    <w:pPr>
      <w:spacing w:line="240" w:lineRule="auto"/>
    </w:pPr>
    <w:rPr>
      <w:sz w:val="20"/>
    </w:rPr>
  </w:style>
  <w:style w:type="paragraph" w:customStyle="1" w:styleId="paragraphsub">
    <w:name w:val="paragraph(sub)"/>
    <w:aliases w:val="aa"/>
    <w:basedOn w:val="OPCParaBase"/>
    <w:rsid w:val="007C604B"/>
    <w:pPr>
      <w:tabs>
        <w:tab w:val="right" w:pos="1985"/>
      </w:tabs>
      <w:spacing w:before="40" w:line="240" w:lineRule="auto"/>
      <w:ind w:left="2098" w:hanging="2098"/>
    </w:pPr>
  </w:style>
  <w:style w:type="paragraph" w:customStyle="1" w:styleId="paragraphsub-sub">
    <w:name w:val="paragraph(sub-sub)"/>
    <w:aliases w:val="aaa"/>
    <w:basedOn w:val="OPCParaBase"/>
    <w:rsid w:val="007C604B"/>
    <w:pPr>
      <w:tabs>
        <w:tab w:val="right" w:pos="2722"/>
      </w:tabs>
      <w:spacing w:before="40" w:line="240" w:lineRule="auto"/>
      <w:ind w:left="2835" w:hanging="2835"/>
    </w:pPr>
  </w:style>
  <w:style w:type="paragraph" w:customStyle="1" w:styleId="paragraph">
    <w:name w:val="paragraph"/>
    <w:aliases w:val="a"/>
    <w:basedOn w:val="OPCParaBase"/>
    <w:rsid w:val="007C604B"/>
    <w:pPr>
      <w:tabs>
        <w:tab w:val="right" w:pos="1531"/>
      </w:tabs>
      <w:spacing w:before="40" w:line="240" w:lineRule="auto"/>
      <w:ind w:left="1644" w:hanging="1644"/>
    </w:pPr>
  </w:style>
  <w:style w:type="paragraph" w:customStyle="1" w:styleId="ParlAmend">
    <w:name w:val="ParlAmend"/>
    <w:aliases w:val="pp"/>
    <w:basedOn w:val="OPCParaBase"/>
    <w:rsid w:val="007C604B"/>
    <w:pPr>
      <w:spacing w:before="240" w:line="240" w:lineRule="atLeast"/>
      <w:ind w:hanging="567"/>
    </w:pPr>
    <w:rPr>
      <w:sz w:val="24"/>
    </w:rPr>
  </w:style>
  <w:style w:type="paragraph" w:customStyle="1" w:styleId="Penalty">
    <w:name w:val="Penalty"/>
    <w:basedOn w:val="OPCParaBase"/>
    <w:rsid w:val="007C604B"/>
    <w:pPr>
      <w:tabs>
        <w:tab w:val="left" w:pos="2977"/>
      </w:tabs>
      <w:spacing w:before="180" w:line="240" w:lineRule="auto"/>
      <w:ind w:left="1985" w:hanging="851"/>
    </w:pPr>
  </w:style>
  <w:style w:type="paragraph" w:customStyle="1" w:styleId="Portfolio">
    <w:name w:val="Portfolio"/>
    <w:basedOn w:val="OPCParaBase"/>
    <w:rsid w:val="007C604B"/>
    <w:pPr>
      <w:spacing w:line="240" w:lineRule="auto"/>
    </w:pPr>
    <w:rPr>
      <w:i/>
      <w:sz w:val="20"/>
    </w:rPr>
  </w:style>
  <w:style w:type="paragraph" w:customStyle="1" w:styleId="Preamble">
    <w:name w:val="Preamble"/>
    <w:basedOn w:val="OPCParaBase"/>
    <w:next w:val="Normal"/>
    <w:rsid w:val="007C604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C604B"/>
    <w:pPr>
      <w:spacing w:line="240" w:lineRule="auto"/>
    </w:pPr>
    <w:rPr>
      <w:i/>
      <w:sz w:val="20"/>
    </w:rPr>
  </w:style>
  <w:style w:type="paragraph" w:customStyle="1" w:styleId="Session">
    <w:name w:val="Session"/>
    <w:basedOn w:val="OPCParaBase"/>
    <w:rsid w:val="007C604B"/>
    <w:pPr>
      <w:spacing w:line="240" w:lineRule="auto"/>
    </w:pPr>
    <w:rPr>
      <w:sz w:val="28"/>
    </w:rPr>
  </w:style>
  <w:style w:type="paragraph" w:customStyle="1" w:styleId="Sponsor">
    <w:name w:val="Sponsor"/>
    <w:basedOn w:val="OPCParaBase"/>
    <w:rsid w:val="007C604B"/>
    <w:pPr>
      <w:spacing w:line="240" w:lineRule="auto"/>
    </w:pPr>
    <w:rPr>
      <w:i/>
    </w:rPr>
  </w:style>
  <w:style w:type="paragraph" w:customStyle="1" w:styleId="Subitem">
    <w:name w:val="Subitem"/>
    <w:aliases w:val="iss"/>
    <w:basedOn w:val="OPCParaBase"/>
    <w:rsid w:val="007C604B"/>
    <w:pPr>
      <w:spacing w:before="180" w:line="240" w:lineRule="auto"/>
      <w:ind w:left="709" w:hanging="709"/>
    </w:pPr>
  </w:style>
  <w:style w:type="paragraph" w:customStyle="1" w:styleId="SubitemHead">
    <w:name w:val="SubitemHead"/>
    <w:aliases w:val="issh"/>
    <w:basedOn w:val="OPCParaBase"/>
    <w:rsid w:val="007C604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C604B"/>
    <w:pPr>
      <w:spacing w:before="40" w:line="240" w:lineRule="auto"/>
      <w:ind w:left="1134"/>
    </w:pPr>
  </w:style>
  <w:style w:type="paragraph" w:customStyle="1" w:styleId="SubsectionHead">
    <w:name w:val="SubsectionHead"/>
    <w:aliases w:val="ssh"/>
    <w:basedOn w:val="OPCParaBase"/>
    <w:next w:val="subsection"/>
    <w:rsid w:val="007C604B"/>
    <w:pPr>
      <w:keepNext/>
      <w:keepLines/>
      <w:spacing w:before="240" w:line="240" w:lineRule="auto"/>
      <w:ind w:left="1134"/>
    </w:pPr>
    <w:rPr>
      <w:i/>
    </w:rPr>
  </w:style>
  <w:style w:type="paragraph" w:customStyle="1" w:styleId="Tablea">
    <w:name w:val="Table(a)"/>
    <w:aliases w:val="ta"/>
    <w:basedOn w:val="OPCParaBase"/>
    <w:rsid w:val="007C604B"/>
    <w:pPr>
      <w:spacing w:before="60" w:line="240" w:lineRule="auto"/>
      <w:ind w:left="284" w:hanging="284"/>
    </w:pPr>
    <w:rPr>
      <w:sz w:val="20"/>
    </w:rPr>
  </w:style>
  <w:style w:type="paragraph" w:customStyle="1" w:styleId="TableAA">
    <w:name w:val="Table(AA)"/>
    <w:aliases w:val="taaa"/>
    <w:basedOn w:val="OPCParaBase"/>
    <w:rsid w:val="007C604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C604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C604B"/>
    <w:pPr>
      <w:spacing w:before="60" w:line="240" w:lineRule="atLeast"/>
    </w:pPr>
    <w:rPr>
      <w:sz w:val="20"/>
    </w:rPr>
  </w:style>
  <w:style w:type="paragraph" w:customStyle="1" w:styleId="TLPBoxTextnote">
    <w:name w:val="TLPBoxText(note"/>
    <w:aliases w:val="right)"/>
    <w:basedOn w:val="OPCParaBase"/>
    <w:rsid w:val="007C604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C604B"/>
    <w:pPr>
      <w:numPr>
        <w:numId w:val="2"/>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C604B"/>
    <w:pPr>
      <w:spacing w:before="122" w:line="198" w:lineRule="exact"/>
      <w:ind w:left="1985" w:hanging="851"/>
      <w:jc w:val="right"/>
    </w:pPr>
    <w:rPr>
      <w:sz w:val="18"/>
    </w:rPr>
  </w:style>
  <w:style w:type="paragraph" w:customStyle="1" w:styleId="TLPTableBullet">
    <w:name w:val="TLPTableBullet"/>
    <w:aliases w:val="ttb"/>
    <w:basedOn w:val="OPCParaBase"/>
    <w:rsid w:val="007C604B"/>
    <w:pPr>
      <w:spacing w:line="240" w:lineRule="exact"/>
      <w:ind w:left="284" w:hanging="284"/>
    </w:pPr>
    <w:rPr>
      <w:sz w:val="20"/>
    </w:rPr>
  </w:style>
  <w:style w:type="paragraph" w:styleId="TOC1">
    <w:name w:val="toc 1"/>
    <w:basedOn w:val="OPCParaBase"/>
    <w:next w:val="Normal"/>
    <w:uiPriority w:val="39"/>
    <w:unhideWhenUsed/>
    <w:rsid w:val="007C604B"/>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7C604B"/>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7C604B"/>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7C604B"/>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7C604B"/>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7C604B"/>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7C604B"/>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7C604B"/>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7C604B"/>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C604B"/>
    <w:pPr>
      <w:keepLines/>
      <w:spacing w:before="240" w:after="120" w:line="240" w:lineRule="auto"/>
      <w:ind w:left="794"/>
    </w:pPr>
    <w:rPr>
      <w:b/>
      <w:kern w:val="28"/>
      <w:sz w:val="20"/>
    </w:rPr>
  </w:style>
  <w:style w:type="paragraph" w:customStyle="1" w:styleId="TofSectsHeading">
    <w:name w:val="TofSects(Heading)"/>
    <w:basedOn w:val="OPCParaBase"/>
    <w:rsid w:val="007C604B"/>
    <w:pPr>
      <w:spacing w:before="240" w:after="120" w:line="240" w:lineRule="auto"/>
    </w:pPr>
    <w:rPr>
      <w:b/>
      <w:sz w:val="24"/>
    </w:rPr>
  </w:style>
  <w:style w:type="paragraph" w:customStyle="1" w:styleId="TofSectsSection">
    <w:name w:val="TofSects(Section)"/>
    <w:basedOn w:val="OPCParaBase"/>
    <w:rsid w:val="007C604B"/>
    <w:pPr>
      <w:keepLines/>
      <w:spacing w:before="40" w:line="240" w:lineRule="auto"/>
      <w:ind w:left="1588" w:hanging="794"/>
    </w:pPr>
    <w:rPr>
      <w:kern w:val="28"/>
      <w:sz w:val="18"/>
    </w:rPr>
  </w:style>
  <w:style w:type="paragraph" w:customStyle="1" w:styleId="TofSectsSubdiv">
    <w:name w:val="TofSects(Subdiv)"/>
    <w:basedOn w:val="OPCParaBase"/>
    <w:rsid w:val="007C604B"/>
    <w:pPr>
      <w:keepLines/>
      <w:spacing w:before="80" w:line="240" w:lineRule="auto"/>
      <w:ind w:left="1588" w:hanging="794"/>
    </w:pPr>
    <w:rPr>
      <w:kern w:val="28"/>
    </w:rPr>
  </w:style>
  <w:style w:type="paragraph" w:customStyle="1" w:styleId="WRStyle">
    <w:name w:val="WR Style"/>
    <w:aliases w:val="WR"/>
    <w:basedOn w:val="OPCParaBase"/>
    <w:rsid w:val="007C604B"/>
    <w:pPr>
      <w:spacing w:before="240" w:line="240" w:lineRule="auto"/>
      <w:ind w:left="284" w:hanging="284"/>
    </w:pPr>
    <w:rPr>
      <w:b/>
      <w:i/>
      <w:kern w:val="28"/>
      <w:sz w:val="24"/>
    </w:rPr>
  </w:style>
  <w:style w:type="paragraph" w:customStyle="1" w:styleId="notepara">
    <w:name w:val="note(para)"/>
    <w:aliases w:val="na"/>
    <w:basedOn w:val="OPCParaBase"/>
    <w:rsid w:val="007C604B"/>
    <w:pPr>
      <w:spacing w:before="40" w:line="198" w:lineRule="exact"/>
      <w:ind w:left="2354" w:hanging="369"/>
    </w:pPr>
    <w:rPr>
      <w:sz w:val="18"/>
    </w:rPr>
  </w:style>
  <w:style w:type="paragraph" w:styleId="Footer">
    <w:name w:val="footer"/>
    <w:aliases w:val="Foot note"/>
    <w:link w:val="FooterChar"/>
    <w:uiPriority w:val="99"/>
    <w:rsid w:val="007C604B"/>
    <w:pPr>
      <w:tabs>
        <w:tab w:val="center" w:pos="4153"/>
        <w:tab w:val="right" w:pos="8306"/>
      </w:tabs>
    </w:pPr>
    <w:rPr>
      <w:rFonts w:eastAsia="Times New Roman" w:cs="Times New Roman"/>
      <w:sz w:val="22"/>
      <w:szCs w:val="24"/>
      <w:lang w:eastAsia="en-AU"/>
    </w:rPr>
  </w:style>
  <w:style w:type="character" w:customStyle="1" w:styleId="FooterChar">
    <w:name w:val="Footer Char"/>
    <w:aliases w:val="Foot note Char"/>
    <w:basedOn w:val="DefaultParagraphFont"/>
    <w:link w:val="Footer"/>
    <w:uiPriority w:val="99"/>
    <w:rsid w:val="007C604B"/>
    <w:rPr>
      <w:rFonts w:eastAsia="Times New Roman" w:cs="Times New Roman"/>
      <w:sz w:val="22"/>
      <w:szCs w:val="24"/>
      <w:lang w:eastAsia="en-AU"/>
    </w:rPr>
  </w:style>
  <w:style w:type="character" w:styleId="LineNumber">
    <w:name w:val="line number"/>
    <w:basedOn w:val="OPCCharBase"/>
    <w:uiPriority w:val="99"/>
    <w:semiHidden/>
    <w:unhideWhenUsed/>
    <w:rsid w:val="007C604B"/>
    <w:rPr>
      <w:sz w:val="16"/>
    </w:rPr>
  </w:style>
  <w:style w:type="table" w:customStyle="1" w:styleId="CFlag">
    <w:name w:val="CFlag"/>
    <w:basedOn w:val="TableNormal"/>
    <w:uiPriority w:val="99"/>
    <w:rsid w:val="007C604B"/>
    <w:rPr>
      <w:rFonts w:eastAsia="Times New Roman" w:cs="Times New Roman"/>
      <w:lang w:eastAsia="en-AU"/>
    </w:rPr>
    <w:tblPr/>
  </w:style>
  <w:style w:type="paragraph" w:styleId="BalloonText">
    <w:name w:val="Balloon Text"/>
    <w:basedOn w:val="Normal"/>
    <w:link w:val="BalloonTextChar"/>
    <w:uiPriority w:val="99"/>
    <w:semiHidden/>
    <w:unhideWhenUsed/>
    <w:rsid w:val="007C60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04B"/>
    <w:rPr>
      <w:rFonts w:ascii="Tahoma" w:hAnsi="Tahoma" w:cs="Tahoma"/>
      <w:sz w:val="16"/>
      <w:szCs w:val="16"/>
    </w:rPr>
  </w:style>
  <w:style w:type="table" w:styleId="TableGrid">
    <w:name w:val="Table Grid"/>
    <w:aliases w:val="Nous Table,Table,NOUS,NOUS Side Header"/>
    <w:basedOn w:val="TableNormal"/>
    <w:uiPriority w:val="39"/>
    <w:rsid w:val="007C6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7C604B"/>
    <w:rPr>
      <w:b/>
      <w:sz w:val="28"/>
      <w:szCs w:val="32"/>
    </w:rPr>
  </w:style>
  <w:style w:type="paragraph" w:customStyle="1" w:styleId="LegislationMadeUnder">
    <w:name w:val="LegislationMadeUnder"/>
    <w:basedOn w:val="OPCParaBase"/>
    <w:next w:val="Normal"/>
    <w:rsid w:val="007C604B"/>
    <w:rPr>
      <w:i/>
      <w:sz w:val="32"/>
      <w:szCs w:val="32"/>
    </w:rPr>
  </w:style>
  <w:style w:type="paragraph" w:customStyle="1" w:styleId="SignCoverPageEnd">
    <w:name w:val="SignCoverPageEnd"/>
    <w:basedOn w:val="OPCParaBase"/>
    <w:next w:val="Normal"/>
    <w:rsid w:val="007C604B"/>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7C604B"/>
    <w:pPr>
      <w:pBdr>
        <w:top w:val="single" w:sz="4" w:space="1" w:color="auto"/>
      </w:pBdr>
      <w:spacing w:before="360"/>
      <w:ind w:right="397"/>
      <w:jc w:val="both"/>
    </w:pPr>
  </w:style>
  <w:style w:type="paragraph" w:customStyle="1" w:styleId="NotesHeading1">
    <w:name w:val="NotesHeading 1"/>
    <w:basedOn w:val="OPCParaBase"/>
    <w:next w:val="Normal"/>
    <w:rsid w:val="007C604B"/>
    <w:rPr>
      <w:b/>
      <w:sz w:val="28"/>
      <w:szCs w:val="28"/>
    </w:rPr>
  </w:style>
  <w:style w:type="paragraph" w:customStyle="1" w:styleId="NotesHeading2">
    <w:name w:val="NotesHeading 2"/>
    <w:basedOn w:val="OPCParaBase"/>
    <w:next w:val="Normal"/>
    <w:rsid w:val="007C604B"/>
    <w:rPr>
      <w:b/>
      <w:sz w:val="28"/>
      <w:szCs w:val="28"/>
    </w:rPr>
  </w:style>
  <w:style w:type="paragraph" w:customStyle="1" w:styleId="ENotesText">
    <w:name w:val="ENotesText"/>
    <w:aliases w:val="Ent"/>
    <w:basedOn w:val="OPCParaBase"/>
    <w:next w:val="Normal"/>
    <w:rsid w:val="007C604B"/>
    <w:pPr>
      <w:spacing w:before="120"/>
    </w:pPr>
  </w:style>
  <w:style w:type="paragraph" w:customStyle="1" w:styleId="CompiledActNo">
    <w:name w:val="CompiledActNo"/>
    <w:basedOn w:val="OPCParaBase"/>
    <w:next w:val="Normal"/>
    <w:rsid w:val="007C604B"/>
    <w:rPr>
      <w:b/>
      <w:sz w:val="24"/>
      <w:szCs w:val="24"/>
    </w:rPr>
  </w:style>
  <w:style w:type="paragraph" w:customStyle="1" w:styleId="CompiledMadeUnder">
    <w:name w:val="CompiledMadeUnder"/>
    <w:basedOn w:val="OPCParaBase"/>
    <w:next w:val="Normal"/>
    <w:rsid w:val="007C604B"/>
    <w:rPr>
      <w:i/>
      <w:sz w:val="24"/>
      <w:szCs w:val="24"/>
    </w:rPr>
  </w:style>
  <w:style w:type="paragraph" w:customStyle="1" w:styleId="Paragraphsub-sub-sub">
    <w:name w:val="Paragraph(sub-sub-sub)"/>
    <w:aliases w:val="aaaa"/>
    <w:basedOn w:val="OPCParaBase"/>
    <w:rsid w:val="007C604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C604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C604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C604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C604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C604B"/>
    <w:pPr>
      <w:spacing w:before="60" w:line="240" w:lineRule="auto"/>
    </w:pPr>
    <w:rPr>
      <w:rFonts w:cs="Arial"/>
      <w:sz w:val="20"/>
      <w:szCs w:val="22"/>
    </w:rPr>
  </w:style>
  <w:style w:type="paragraph" w:customStyle="1" w:styleId="NoteToSubpara">
    <w:name w:val="NoteToSubpara"/>
    <w:aliases w:val="nts"/>
    <w:basedOn w:val="OPCParaBase"/>
    <w:rsid w:val="007C604B"/>
    <w:pPr>
      <w:spacing w:before="40" w:line="198" w:lineRule="exact"/>
      <w:ind w:left="2835" w:hanging="709"/>
    </w:pPr>
    <w:rPr>
      <w:sz w:val="18"/>
    </w:rPr>
  </w:style>
  <w:style w:type="paragraph" w:customStyle="1" w:styleId="ENoteTableHeading">
    <w:name w:val="ENoteTableHeading"/>
    <w:aliases w:val="enth"/>
    <w:basedOn w:val="OPCParaBase"/>
    <w:rsid w:val="007C604B"/>
    <w:pPr>
      <w:keepNext/>
      <w:spacing w:before="60" w:line="240" w:lineRule="atLeast"/>
    </w:pPr>
    <w:rPr>
      <w:rFonts w:ascii="Arial" w:hAnsi="Arial"/>
      <w:b/>
      <w:sz w:val="16"/>
    </w:rPr>
  </w:style>
  <w:style w:type="paragraph" w:customStyle="1" w:styleId="ENoteTTi">
    <w:name w:val="ENoteTTi"/>
    <w:aliases w:val="entti"/>
    <w:basedOn w:val="OPCParaBase"/>
    <w:rsid w:val="007C604B"/>
    <w:pPr>
      <w:keepNext/>
      <w:spacing w:before="60" w:line="240" w:lineRule="atLeast"/>
      <w:ind w:left="170"/>
    </w:pPr>
    <w:rPr>
      <w:sz w:val="16"/>
    </w:rPr>
  </w:style>
  <w:style w:type="paragraph" w:customStyle="1" w:styleId="ENotesHeading1">
    <w:name w:val="ENotesHeading 1"/>
    <w:aliases w:val="Enh1"/>
    <w:basedOn w:val="OPCParaBase"/>
    <w:next w:val="Normal"/>
    <w:rsid w:val="007C604B"/>
    <w:pPr>
      <w:spacing w:before="120"/>
      <w:outlineLvl w:val="1"/>
    </w:pPr>
    <w:rPr>
      <w:b/>
      <w:sz w:val="28"/>
      <w:szCs w:val="28"/>
    </w:rPr>
  </w:style>
  <w:style w:type="paragraph" w:customStyle="1" w:styleId="ENotesHeading2">
    <w:name w:val="ENotesHeading 2"/>
    <w:aliases w:val="Enh2"/>
    <w:basedOn w:val="OPCParaBase"/>
    <w:next w:val="Normal"/>
    <w:rsid w:val="007C604B"/>
    <w:pPr>
      <w:spacing w:before="120" w:after="120"/>
      <w:outlineLvl w:val="2"/>
    </w:pPr>
    <w:rPr>
      <w:b/>
      <w:sz w:val="24"/>
      <w:szCs w:val="28"/>
    </w:rPr>
  </w:style>
  <w:style w:type="paragraph" w:customStyle="1" w:styleId="ENoteTTIndentHeading">
    <w:name w:val="ENoteTTIndentHeading"/>
    <w:aliases w:val="enTTHi"/>
    <w:basedOn w:val="OPCParaBase"/>
    <w:rsid w:val="007C604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C604B"/>
    <w:pPr>
      <w:spacing w:before="60" w:line="240" w:lineRule="atLeast"/>
    </w:pPr>
    <w:rPr>
      <w:sz w:val="16"/>
    </w:rPr>
  </w:style>
  <w:style w:type="paragraph" w:customStyle="1" w:styleId="MadeunderText">
    <w:name w:val="MadeunderText"/>
    <w:basedOn w:val="OPCParaBase"/>
    <w:next w:val="CompiledMadeUnder"/>
    <w:rsid w:val="007C604B"/>
    <w:pPr>
      <w:spacing w:before="240"/>
    </w:pPr>
    <w:rPr>
      <w:sz w:val="24"/>
      <w:szCs w:val="24"/>
    </w:rPr>
  </w:style>
  <w:style w:type="paragraph" w:customStyle="1" w:styleId="ENotesHeading3">
    <w:name w:val="ENotesHeading 3"/>
    <w:aliases w:val="Enh3"/>
    <w:basedOn w:val="OPCParaBase"/>
    <w:next w:val="Normal"/>
    <w:rsid w:val="007C604B"/>
    <w:pPr>
      <w:keepNext/>
      <w:spacing w:before="120" w:line="240" w:lineRule="auto"/>
      <w:outlineLvl w:val="4"/>
    </w:pPr>
    <w:rPr>
      <w:b/>
      <w:szCs w:val="24"/>
    </w:rPr>
  </w:style>
  <w:style w:type="paragraph" w:customStyle="1" w:styleId="SubPartCASA">
    <w:name w:val="SubPart(CASA)"/>
    <w:aliases w:val="csp"/>
    <w:basedOn w:val="OPCParaBase"/>
    <w:next w:val="ActHead3"/>
    <w:rsid w:val="007C604B"/>
    <w:pPr>
      <w:keepNext/>
      <w:keepLines/>
      <w:spacing w:before="280"/>
      <w:outlineLvl w:val="1"/>
    </w:pPr>
    <w:rPr>
      <w:b/>
      <w:kern w:val="28"/>
      <w:sz w:val="32"/>
    </w:rPr>
  </w:style>
  <w:style w:type="character" w:customStyle="1" w:styleId="CharSubPartTextCASA">
    <w:name w:val="CharSubPartText(CASA)"/>
    <w:basedOn w:val="OPCCharBase"/>
    <w:uiPriority w:val="1"/>
    <w:rsid w:val="007C604B"/>
  </w:style>
  <w:style w:type="character" w:customStyle="1" w:styleId="CharSubPartNoCASA">
    <w:name w:val="CharSubPartNo(CASA)"/>
    <w:basedOn w:val="OPCCharBase"/>
    <w:uiPriority w:val="1"/>
    <w:rsid w:val="007C604B"/>
  </w:style>
  <w:style w:type="paragraph" w:customStyle="1" w:styleId="ENoteTTIndentHeadingSub">
    <w:name w:val="ENoteTTIndentHeadingSub"/>
    <w:aliases w:val="enTTHis"/>
    <w:basedOn w:val="OPCParaBase"/>
    <w:rsid w:val="007C604B"/>
    <w:pPr>
      <w:keepNext/>
      <w:spacing w:before="60" w:line="240" w:lineRule="atLeast"/>
      <w:ind w:left="340"/>
    </w:pPr>
    <w:rPr>
      <w:b/>
      <w:sz w:val="16"/>
    </w:rPr>
  </w:style>
  <w:style w:type="paragraph" w:customStyle="1" w:styleId="ENoteTTiSub">
    <w:name w:val="ENoteTTiSub"/>
    <w:aliases w:val="enttis"/>
    <w:basedOn w:val="OPCParaBase"/>
    <w:rsid w:val="007C604B"/>
    <w:pPr>
      <w:keepNext/>
      <w:spacing w:before="60" w:line="240" w:lineRule="atLeast"/>
      <w:ind w:left="340"/>
    </w:pPr>
    <w:rPr>
      <w:sz w:val="16"/>
    </w:rPr>
  </w:style>
  <w:style w:type="paragraph" w:customStyle="1" w:styleId="SubDivisionMigration">
    <w:name w:val="SubDivisionMigration"/>
    <w:aliases w:val="sdm"/>
    <w:basedOn w:val="OPCParaBase"/>
    <w:rsid w:val="007C604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C604B"/>
    <w:pPr>
      <w:keepNext/>
      <w:keepLines/>
      <w:spacing w:before="240" w:line="240" w:lineRule="auto"/>
      <w:ind w:left="1134" w:hanging="1134"/>
    </w:pPr>
    <w:rPr>
      <w:b/>
      <w:sz w:val="28"/>
    </w:rPr>
  </w:style>
  <w:style w:type="paragraph" w:customStyle="1" w:styleId="notetext">
    <w:name w:val="note(text)"/>
    <w:aliases w:val="n"/>
    <w:basedOn w:val="OPCParaBase"/>
    <w:rsid w:val="007C604B"/>
    <w:pPr>
      <w:spacing w:before="122" w:line="240" w:lineRule="auto"/>
      <w:ind w:left="1985" w:hanging="851"/>
    </w:pPr>
    <w:rPr>
      <w:sz w:val="18"/>
    </w:rPr>
  </w:style>
  <w:style w:type="paragraph" w:customStyle="1" w:styleId="FreeForm">
    <w:name w:val="FreeForm"/>
    <w:rsid w:val="00554243"/>
    <w:rPr>
      <w:rFonts w:ascii="Arial" w:hAnsi="Arial"/>
      <w:sz w:val="22"/>
    </w:rPr>
  </w:style>
  <w:style w:type="paragraph" w:customStyle="1" w:styleId="SOText">
    <w:name w:val="SO Text"/>
    <w:aliases w:val="sot"/>
    <w:link w:val="SOTextChar"/>
    <w:rsid w:val="007C604B"/>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7C604B"/>
    <w:rPr>
      <w:sz w:val="22"/>
    </w:rPr>
  </w:style>
  <w:style w:type="paragraph" w:customStyle="1" w:styleId="SOTextNote">
    <w:name w:val="SO TextNote"/>
    <w:aliases w:val="sont"/>
    <w:basedOn w:val="SOText"/>
    <w:qFormat/>
    <w:rsid w:val="007C604B"/>
    <w:pPr>
      <w:spacing w:before="122" w:line="198" w:lineRule="exact"/>
      <w:ind w:left="1843" w:hanging="709"/>
    </w:pPr>
    <w:rPr>
      <w:sz w:val="18"/>
    </w:rPr>
  </w:style>
  <w:style w:type="paragraph" w:customStyle="1" w:styleId="SOPara">
    <w:name w:val="SO Para"/>
    <w:aliases w:val="soa"/>
    <w:basedOn w:val="SOText"/>
    <w:link w:val="SOParaChar"/>
    <w:qFormat/>
    <w:rsid w:val="007C604B"/>
    <w:pPr>
      <w:tabs>
        <w:tab w:val="right" w:pos="1786"/>
      </w:tabs>
      <w:spacing w:before="40"/>
      <w:ind w:left="2070" w:hanging="936"/>
    </w:pPr>
  </w:style>
  <w:style w:type="character" w:customStyle="1" w:styleId="SOParaChar">
    <w:name w:val="SO Para Char"/>
    <w:aliases w:val="soa Char"/>
    <w:basedOn w:val="DefaultParagraphFont"/>
    <w:link w:val="SOPara"/>
    <w:rsid w:val="007C604B"/>
    <w:rPr>
      <w:sz w:val="22"/>
    </w:rPr>
  </w:style>
  <w:style w:type="paragraph" w:customStyle="1" w:styleId="FileName">
    <w:name w:val="FileName"/>
    <w:basedOn w:val="Normal"/>
    <w:rsid w:val="007C604B"/>
  </w:style>
  <w:style w:type="paragraph" w:customStyle="1" w:styleId="TableHeading">
    <w:name w:val="TableHeading"/>
    <w:aliases w:val="th"/>
    <w:basedOn w:val="OPCParaBase"/>
    <w:next w:val="Tabletext"/>
    <w:rsid w:val="007C604B"/>
    <w:pPr>
      <w:keepNext/>
      <w:spacing w:before="60" w:line="240" w:lineRule="atLeast"/>
    </w:pPr>
    <w:rPr>
      <w:b/>
      <w:sz w:val="20"/>
    </w:rPr>
  </w:style>
  <w:style w:type="paragraph" w:customStyle="1" w:styleId="SOHeadBold">
    <w:name w:val="SO HeadBold"/>
    <w:aliases w:val="sohb"/>
    <w:basedOn w:val="SOText"/>
    <w:next w:val="SOText"/>
    <w:link w:val="SOHeadBoldChar"/>
    <w:qFormat/>
    <w:rsid w:val="007C604B"/>
    <w:rPr>
      <w:b/>
    </w:rPr>
  </w:style>
  <w:style w:type="character" w:customStyle="1" w:styleId="SOHeadBoldChar">
    <w:name w:val="SO HeadBold Char"/>
    <w:aliases w:val="sohb Char"/>
    <w:basedOn w:val="DefaultParagraphFont"/>
    <w:link w:val="SOHeadBold"/>
    <w:rsid w:val="007C604B"/>
    <w:rPr>
      <w:b/>
      <w:sz w:val="22"/>
    </w:rPr>
  </w:style>
  <w:style w:type="paragraph" w:customStyle="1" w:styleId="SOHeadItalic">
    <w:name w:val="SO HeadItalic"/>
    <w:aliases w:val="sohi"/>
    <w:basedOn w:val="SOText"/>
    <w:next w:val="SOText"/>
    <w:link w:val="SOHeadItalicChar"/>
    <w:qFormat/>
    <w:rsid w:val="007C604B"/>
    <w:rPr>
      <w:i/>
    </w:rPr>
  </w:style>
  <w:style w:type="character" w:customStyle="1" w:styleId="SOHeadItalicChar">
    <w:name w:val="SO HeadItalic Char"/>
    <w:aliases w:val="sohi Char"/>
    <w:basedOn w:val="DefaultParagraphFont"/>
    <w:link w:val="SOHeadItalic"/>
    <w:rsid w:val="007C604B"/>
    <w:rPr>
      <w:i/>
      <w:sz w:val="22"/>
    </w:rPr>
  </w:style>
  <w:style w:type="paragraph" w:customStyle="1" w:styleId="SOBullet">
    <w:name w:val="SO Bullet"/>
    <w:aliases w:val="sotb"/>
    <w:basedOn w:val="SOText"/>
    <w:link w:val="SOBulletChar"/>
    <w:qFormat/>
    <w:rsid w:val="007C604B"/>
    <w:pPr>
      <w:ind w:left="1559" w:hanging="425"/>
    </w:pPr>
  </w:style>
  <w:style w:type="character" w:customStyle="1" w:styleId="SOBulletChar">
    <w:name w:val="SO Bullet Char"/>
    <w:aliases w:val="sotb Char"/>
    <w:basedOn w:val="DefaultParagraphFont"/>
    <w:link w:val="SOBullet"/>
    <w:rsid w:val="007C604B"/>
    <w:rPr>
      <w:sz w:val="22"/>
    </w:rPr>
  </w:style>
  <w:style w:type="paragraph" w:customStyle="1" w:styleId="SOBulletNote">
    <w:name w:val="SO BulletNote"/>
    <w:aliases w:val="sonb"/>
    <w:basedOn w:val="SOTextNote"/>
    <w:link w:val="SOBulletNoteChar"/>
    <w:qFormat/>
    <w:rsid w:val="007C604B"/>
    <w:pPr>
      <w:tabs>
        <w:tab w:val="left" w:pos="1560"/>
      </w:tabs>
      <w:ind w:left="2268" w:hanging="1134"/>
    </w:pPr>
  </w:style>
  <w:style w:type="character" w:customStyle="1" w:styleId="SOBulletNoteChar">
    <w:name w:val="SO BulletNote Char"/>
    <w:aliases w:val="sonb Char"/>
    <w:basedOn w:val="DefaultParagraphFont"/>
    <w:link w:val="SOBulletNote"/>
    <w:rsid w:val="007C604B"/>
    <w:rPr>
      <w:sz w:val="18"/>
    </w:rPr>
  </w:style>
  <w:style w:type="paragraph" w:customStyle="1" w:styleId="SOText2">
    <w:name w:val="SO Text2"/>
    <w:aliases w:val="sot2"/>
    <w:basedOn w:val="Normal"/>
    <w:next w:val="SOText"/>
    <w:link w:val="SOText2Char"/>
    <w:rsid w:val="007C604B"/>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7C604B"/>
    <w:rPr>
      <w:sz w:val="22"/>
    </w:rPr>
  </w:style>
  <w:style w:type="character" w:customStyle="1" w:styleId="Heading1Char">
    <w:name w:val="Heading 1 Char"/>
    <w:basedOn w:val="DefaultParagraphFont"/>
    <w:link w:val="Heading1"/>
    <w:uiPriority w:val="19"/>
    <w:rsid w:val="0046236F"/>
    <w:rPr>
      <w:rFonts w:asciiTheme="minorHAnsi" w:eastAsiaTheme="majorEastAsia" w:hAnsiTheme="minorHAnsi" w:cstheme="majorBidi"/>
      <w:color w:val="13223E"/>
      <w:spacing w:val="4"/>
      <w:sz w:val="36"/>
      <w:szCs w:val="36"/>
      <w:lang w:eastAsia="en-AU"/>
    </w:rPr>
  </w:style>
  <w:style w:type="character" w:styleId="Strong">
    <w:name w:val="Strong"/>
    <w:aliases w:val="Bold"/>
    <w:uiPriority w:val="22"/>
    <w:qFormat/>
    <w:rsid w:val="0046236F"/>
    <w:rPr>
      <w:b/>
      <w:bCs/>
    </w:rPr>
  </w:style>
  <w:style w:type="paragraph" w:styleId="ListParagraph">
    <w:name w:val="List Paragraph"/>
    <w:aliases w:val="Recommendation,L,List Paragraph1,List Paragraph11,bullet point list,1 heading,Bullet point,Dot point 1.5 line spacing,List Paragraph - bullets,NFP GP Bulleted List,List Paragraph2,FooterText,Bullet List,numbered,Paragraphe de liste1,列出段落"/>
    <w:basedOn w:val="Normal"/>
    <w:link w:val="ListParagraphChar"/>
    <w:uiPriority w:val="34"/>
    <w:qFormat/>
    <w:rsid w:val="0046236F"/>
    <w:pPr>
      <w:spacing w:before="120" w:after="180" w:line="280" w:lineRule="atLeast"/>
      <w:ind w:left="720"/>
      <w:contextualSpacing/>
    </w:pPr>
    <w:rPr>
      <w:rFonts w:ascii="Arial" w:eastAsia="Times New Roman" w:hAnsi="Arial" w:cs="Times New Roman"/>
      <w:spacing w:val="4"/>
      <w:sz w:val="24"/>
      <w:szCs w:val="24"/>
      <w:lang w:eastAsia="en-AU"/>
    </w:rPr>
  </w:style>
  <w:style w:type="character" w:customStyle="1" w:styleId="ListParagraphChar">
    <w:name w:val="List Paragraph Char"/>
    <w:aliases w:val="Recommendation Char,L Char,List Paragraph1 Char,List Paragraph11 Char,bullet point list Char,1 heading Char,Bullet point Char,Dot point 1.5 line spacing Char,List Paragraph - bullets Char,NFP GP Bulleted List Char,FooterText Char"/>
    <w:basedOn w:val="DefaultParagraphFont"/>
    <w:link w:val="ListParagraph"/>
    <w:uiPriority w:val="34"/>
    <w:qFormat/>
    <w:locked/>
    <w:rsid w:val="0046236F"/>
    <w:rPr>
      <w:rFonts w:ascii="Arial" w:eastAsia="Times New Roman" w:hAnsi="Arial" w:cs="Times New Roman"/>
      <w:spacing w:val="4"/>
      <w:sz w:val="24"/>
      <w:szCs w:val="24"/>
      <w:lang w:eastAsia="en-AU"/>
    </w:rPr>
  </w:style>
  <w:style w:type="paragraph" w:customStyle="1" w:styleId="ListBullet-Number">
    <w:name w:val="List Bullet - Number"/>
    <w:basedOn w:val="ListBullet"/>
    <w:qFormat/>
    <w:rsid w:val="0046236F"/>
    <w:pPr>
      <w:numPr>
        <w:numId w:val="3"/>
      </w:numPr>
      <w:tabs>
        <w:tab w:val="left" w:pos="170"/>
      </w:tabs>
      <w:spacing w:before="60" w:after="60" w:line="280" w:lineRule="atLeast"/>
      <w:contextualSpacing w:val="0"/>
    </w:pPr>
    <w:rPr>
      <w:rFonts w:ascii="Arial" w:eastAsia="Times New Roman" w:hAnsi="Arial" w:cs="Times New Roman"/>
      <w:spacing w:val="4"/>
      <w:sz w:val="24"/>
      <w:szCs w:val="24"/>
      <w:lang w:eastAsia="en-AU"/>
    </w:rPr>
  </w:style>
  <w:style w:type="paragraph" w:styleId="ListBullet">
    <w:name w:val="List Bullet"/>
    <w:basedOn w:val="Normal"/>
    <w:uiPriority w:val="99"/>
    <w:semiHidden/>
    <w:unhideWhenUsed/>
    <w:rsid w:val="0046236F"/>
    <w:pPr>
      <w:numPr>
        <w:numId w:val="1"/>
      </w:numPr>
      <w:contextualSpacing/>
    </w:pPr>
  </w:style>
  <w:style w:type="character" w:styleId="CommentReference">
    <w:name w:val="annotation reference"/>
    <w:basedOn w:val="DefaultParagraphFont"/>
    <w:uiPriority w:val="99"/>
    <w:semiHidden/>
    <w:unhideWhenUsed/>
    <w:rsid w:val="00FC25E2"/>
    <w:rPr>
      <w:sz w:val="16"/>
      <w:szCs w:val="16"/>
    </w:rPr>
  </w:style>
  <w:style w:type="paragraph" w:styleId="CommentText">
    <w:name w:val="annotation text"/>
    <w:basedOn w:val="Normal"/>
    <w:link w:val="CommentTextChar"/>
    <w:uiPriority w:val="99"/>
    <w:unhideWhenUsed/>
    <w:rsid w:val="00FC25E2"/>
    <w:pPr>
      <w:spacing w:line="240" w:lineRule="auto"/>
    </w:pPr>
    <w:rPr>
      <w:sz w:val="20"/>
    </w:rPr>
  </w:style>
  <w:style w:type="character" w:customStyle="1" w:styleId="CommentTextChar">
    <w:name w:val="Comment Text Char"/>
    <w:basedOn w:val="DefaultParagraphFont"/>
    <w:link w:val="CommentText"/>
    <w:uiPriority w:val="99"/>
    <w:rsid w:val="00FC25E2"/>
  </w:style>
  <w:style w:type="paragraph" w:styleId="CommentSubject">
    <w:name w:val="annotation subject"/>
    <w:basedOn w:val="CommentText"/>
    <w:next w:val="CommentText"/>
    <w:link w:val="CommentSubjectChar"/>
    <w:uiPriority w:val="99"/>
    <w:semiHidden/>
    <w:unhideWhenUsed/>
    <w:rsid w:val="00FC25E2"/>
    <w:rPr>
      <w:b/>
      <w:bCs/>
    </w:rPr>
  </w:style>
  <w:style w:type="character" w:customStyle="1" w:styleId="CommentSubjectChar">
    <w:name w:val="Comment Subject Char"/>
    <w:basedOn w:val="CommentTextChar"/>
    <w:link w:val="CommentSubject"/>
    <w:uiPriority w:val="99"/>
    <w:semiHidden/>
    <w:rsid w:val="00FC25E2"/>
    <w:rPr>
      <w:b/>
      <w:bCs/>
    </w:rPr>
  </w:style>
  <w:style w:type="paragraph" w:styleId="Revision">
    <w:name w:val="Revision"/>
    <w:hidden/>
    <w:uiPriority w:val="99"/>
    <w:semiHidden/>
    <w:rsid w:val="00FC25E2"/>
    <w:rPr>
      <w:sz w:val="22"/>
    </w:rPr>
  </w:style>
  <w:style w:type="character" w:customStyle="1" w:styleId="Heading2Char">
    <w:name w:val="Heading 2 Char"/>
    <w:basedOn w:val="DefaultParagraphFont"/>
    <w:link w:val="Heading2"/>
    <w:uiPriority w:val="19"/>
    <w:rsid w:val="00BF7404"/>
    <w:rPr>
      <w:rFonts w:ascii="Arial" w:eastAsiaTheme="majorEastAsia" w:hAnsi="Arial" w:cstheme="majorBidi"/>
      <w:b/>
      <w:bCs/>
      <w:color w:val="244061" w:themeColor="accent1" w:themeShade="80"/>
      <w:sz w:val="24"/>
      <w:szCs w:val="24"/>
    </w:rPr>
  </w:style>
  <w:style w:type="paragraph" w:styleId="Title">
    <w:name w:val="Title"/>
    <w:basedOn w:val="Normal"/>
    <w:next w:val="Normal"/>
    <w:link w:val="TitleChar"/>
    <w:uiPriority w:val="10"/>
    <w:qFormat/>
    <w:rsid w:val="002D6D6B"/>
    <w:pPr>
      <w:pBdr>
        <w:bottom w:val="single" w:sz="8" w:space="4" w:color="4F81BD" w:themeColor="accent1"/>
      </w:pBdr>
      <w:spacing w:after="300" w:line="240" w:lineRule="auto"/>
      <w:contextualSpacing/>
    </w:pPr>
    <w:rPr>
      <w:rFonts w:ascii="Arial" w:eastAsiaTheme="majorEastAsia" w:hAnsi="Arial" w:cstheme="majorBidi"/>
      <w:color w:val="FFFFFF" w:themeColor="background1"/>
      <w:spacing w:val="5"/>
      <w:kern w:val="28"/>
      <w:sz w:val="36"/>
      <w:szCs w:val="52"/>
    </w:rPr>
  </w:style>
  <w:style w:type="character" w:customStyle="1" w:styleId="TitleChar">
    <w:name w:val="Title Char"/>
    <w:basedOn w:val="DefaultParagraphFont"/>
    <w:link w:val="Title"/>
    <w:uiPriority w:val="10"/>
    <w:rsid w:val="002D6D6B"/>
    <w:rPr>
      <w:rFonts w:ascii="Arial" w:eastAsiaTheme="majorEastAsia" w:hAnsi="Arial" w:cstheme="majorBidi"/>
      <w:color w:val="FFFFFF" w:themeColor="background1"/>
      <w:spacing w:val="5"/>
      <w:kern w:val="28"/>
      <w:sz w:val="36"/>
      <w:szCs w:val="52"/>
    </w:rPr>
  </w:style>
  <w:style w:type="paragraph" w:customStyle="1" w:styleId="TableNText">
    <w:name w:val="Table N Text"/>
    <w:basedOn w:val="Normal"/>
    <w:uiPriority w:val="2"/>
    <w:qFormat/>
    <w:rsid w:val="000F717D"/>
    <w:pPr>
      <w:spacing w:before="60" w:after="60" w:line="256" w:lineRule="auto"/>
    </w:pPr>
    <w:rPr>
      <w:rFonts w:ascii="Segoe UI" w:hAnsi="Segoe UI"/>
      <w:sz w:val="17"/>
      <w:szCs w:val="22"/>
    </w:rPr>
  </w:style>
  <w:style w:type="character" w:customStyle="1" w:styleId="Heading4Char">
    <w:name w:val="Heading 4 Char"/>
    <w:basedOn w:val="DefaultParagraphFont"/>
    <w:link w:val="Heading4"/>
    <w:uiPriority w:val="19"/>
    <w:rsid w:val="00352A0A"/>
    <w:rPr>
      <w:rFonts w:asciiTheme="majorHAnsi" w:eastAsiaTheme="majorEastAsia" w:hAnsiTheme="majorHAnsi" w:cstheme="majorBidi"/>
      <w:i/>
      <w:iCs/>
      <w:color w:val="365F91" w:themeColor="accent1" w:themeShade="BF"/>
      <w:sz w:val="22"/>
    </w:rPr>
  </w:style>
  <w:style w:type="character" w:customStyle="1" w:styleId="Heading3Char">
    <w:name w:val="Heading 3 Char"/>
    <w:basedOn w:val="DefaultParagraphFont"/>
    <w:link w:val="Heading3"/>
    <w:uiPriority w:val="19"/>
    <w:rsid w:val="00352A0A"/>
    <w:rPr>
      <w:rFonts w:ascii="Segoe UI Semibold" w:eastAsia="Times New Roman" w:hAnsi="Segoe UI Semibold" w:cs="Times New Roman"/>
      <w:color w:val="00264D"/>
      <w:sz w:val="26"/>
      <w:szCs w:val="19"/>
      <w:lang w:eastAsia="en-AU"/>
    </w:rPr>
  </w:style>
  <w:style w:type="character" w:customStyle="1" w:styleId="Heading5Char">
    <w:name w:val="Heading 5 Char"/>
    <w:basedOn w:val="DefaultParagraphFont"/>
    <w:link w:val="Heading5"/>
    <w:uiPriority w:val="19"/>
    <w:rsid w:val="00352A0A"/>
    <w:rPr>
      <w:rFonts w:ascii="Segoe UI" w:eastAsia="Times New Roman" w:hAnsi="Segoe UI" w:cs="Times New Roman"/>
      <w:b/>
      <w:color w:val="000000" w:themeColor="text1"/>
      <w:szCs w:val="24"/>
      <w:lang w:eastAsia="en-AU"/>
    </w:rPr>
  </w:style>
  <w:style w:type="character" w:customStyle="1" w:styleId="Heading6Char">
    <w:name w:val="Heading 6 Char"/>
    <w:basedOn w:val="DefaultParagraphFont"/>
    <w:link w:val="Heading6"/>
    <w:uiPriority w:val="19"/>
    <w:rsid w:val="00352A0A"/>
    <w:rPr>
      <w:rFonts w:ascii="Segoe UI" w:eastAsiaTheme="majorEastAsia" w:hAnsi="Segoe UI" w:cstheme="majorBidi"/>
      <w:b/>
      <w:i/>
      <w:iCs/>
      <w:color w:val="000000" w:themeColor="text1"/>
      <w:sz w:val="19"/>
      <w:szCs w:val="19"/>
      <w:lang w:eastAsia="en-AU"/>
    </w:rPr>
  </w:style>
  <w:style w:type="character" w:customStyle="1" w:styleId="Heading7Char">
    <w:name w:val="Heading 7 Char"/>
    <w:basedOn w:val="DefaultParagraphFont"/>
    <w:link w:val="Heading7"/>
    <w:uiPriority w:val="19"/>
    <w:semiHidden/>
    <w:rsid w:val="00352A0A"/>
    <w:rPr>
      <w:rFonts w:ascii="Segoe UI" w:eastAsiaTheme="majorEastAsia" w:hAnsi="Segoe UI" w:cstheme="majorBidi"/>
      <w:i/>
      <w:iCs/>
      <w:color w:val="404040" w:themeColor="text1" w:themeTint="BF"/>
      <w:sz w:val="19"/>
      <w:szCs w:val="22"/>
    </w:rPr>
  </w:style>
  <w:style w:type="character" w:customStyle="1" w:styleId="Heading8Char">
    <w:name w:val="Heading 8 Char"/>
    <w:basedOn w:val="DefaultParagraphFont"/>
    <w:link w:val="Heading8"/>
    <w:uiPriority w:val="19"/>
    <w:semiHidden/>
    <w:rsid w:val="00352A0A"/>
    <w:rPr>
      <w:rFonts w:ascii="Segoe UI" w:eastAsiaTheme="majorEastAsia" w:hAnsi="Segoe UI" w:cstheme="majorBidi"/>
      <w:color w:val="404040" w:themeColor="text1" w:themeTint="BF"/>
    </w:rPr>
  </w:style>
  <w:style w:type="paragraph" w:customStyle="1" w:styleId="Bullet">
    <w:name w:val="Bullet"/>
    <w:basedOn w:val="Normal"/>
    <w:link w:val="BulletChar"/>
    <w:uiPriority w:val="2"/>
    <w:qFormat/>
    <w:rsid w:val="00352A0A"/>
    <w:pPr>
      <w:numPr>
        <w:numId w:val="7"/>
      </w:numPr>
      <w:suppressAutoHyphens/>
      <w:spacing w:after="120" w:line="259" w:lineRule="auto"/>
    </w:pPr>
    <w:rPr>
      <w:rFonts w:ascii="Segoe UI" w:eastAsia="Times New Roman" w:hAnsi="Segoe UI" w:cs="Times New Roman"/>
      <w:sz w:val="19"/>
      <w:szCs w:val="19"/>
      <w:lang w:eastAsia="en-AU"/>
    </w:rPr>
  </w:style>
  <w:style w:type="paragraph" w:customStyle="1" w:styleId="TableNheader">
    <w:name w:val="Table N header"/>
    <w:basedOn w:val="Normal"/>
    <w:uiPriority w:val="2"/>
    <w:qFormat/>
    <w:rsid w:val="00352A0A"/>
    <w:pPr>
      <w:spacing w:before="40" w:after="40" w:line="240" w:lineRule="auto"/>
    </w:pPr>
    <w:rPr>
      <w:rFonts w:ascii="Segoe UI Semibold" w:hAnsi="Segoe UI Semibold"/>
      <w:color w:val="EEECE1" w:themeColor="background2"/>
      <w:sz w:val="18"/>
      <w:szCs w:val="22"/>
    </w:rPr>
  </w:style>
  <w:style w:type="paragraph" w:styleId="Caption">
    <w:name w:val="caption"/>
    <w:basedOn w:val="Normal"/>
    <w:next w:val="Normal"/>
    <w:uiPriority w:val="35"/>
    <w:qFormat/>
    <w:rsid w:val="00352A0A"/>
    <w:pPr>
      <w:keepNext/>
      <w:spacing w:before="240" w:after="120" w:line="259" w:lineRule="auto"/>
    </w:pPr>
    <w:rPr>
      <w:rFonts w:ascii="Segoe UI Semibold" w:hAnsi="Segoe UI Semibold"/>
      <w:bCs/>
      <w:color w:val="EEECE1" w:themeColor="background2"/>
      <w:sz w:val="19"/>
      <w:szCs w:val="18"/>
    </w:rPr>
  </w:style>
  <w:style w:type="paragraph" w:customStyle="1" w:styleId="TableNBullet">
    <w:name w:val="Table N Bullet"/>
    <w:basedOn w:val="Bullet"/>
    <w:link w:val="TableNBulletChar"/>
    <w:uiPriority w:val="2"/>
    <w:qFormat/>
    <w:rsid w:val="00352A0A"/>
    <w:pPr>
      <w:numPr>
        <w:numId w:val="6"/>
      </w:numPr>
      <w:tabs>
        <w:tab w:val="num" w:pos="360"/>
      </w:tabs>
      <w:spacing w:before="60" w:after="60"/>
      <w:ind w:left="360" w:hanging="360"/>
    </w:pPr>
    <w:rPr>
      <w:sz w:val="17"/>
    </w:rPr>
  </w:style>
  <w:style w:type="paragraph" w:customStyle="1" w:styleId="TableNListnumbered">
    <w:name w:val="Table N List (numbered)"/>
    <w:basedOn w:val="TableNBullet"/>
    <w:uiPriority w:val="2"/>
    <w:qFormat/>
    <w:rsid w:val="00352A0A"/>
    <w:pPr>
      <w:numPr>
        <w:numId w:val="17"/>
      </w:numPr>
      <w:tabs>
        <w:tab w:val="num" w:pos="360"/>
      </w:tabs>
      <w:ind w:left="360" w:hanging="360"/>
    </w:pPr>
  </w:style>
  <w:style w:type="paragraph" w:customStyle="1" w:styleId="xAppendixLevel1">
    <w:name w:val="xAppendix Level 1"/>
    <w:basedOn w:val="Heading1"/>
    <w:next w:val="Normal"/>
    <w:uiPriority w:val="98"/>
    <w:qFormat/>
    <w:rsid w:val="00352A0A"/>
    <w:pPr>
      <w:keepNext/>
      <w:pageBreakBefore/>
      <w:numPr>
        <w:numId w:val="4"/>
      </w:numPr>
      <w:spacing w:before="0" w:after="600" w:line="560" w:lineRule="exact"/>
      <w:contextualSpacing w:val="0"/>
    </w:pPr>
    <w:rPr>
      <w:rFonts w:ascii="Segoe UI" w:eastAsia="Times New Roman" w:hAnsi="Segoe UI" w:cs="Times New Roman"/>
      <w:b/>
      <w:bCs/>
      <w:color w:val="00264D"/>
      <w:spacing w:val="0"/>
      <w:sz w:val="44"/>
      <w:szCs w:val="19"/>
    </w:rPr>
  </w:style>
  <w:style w:type="paragraph" w:customStyle="1" w:styleId="xAppendixLevel2">
    <w:name w:val="xAppendix Level 2"/>
    <w:basedOn w:val="Heading2"/>
    <w:next w:val="Normal"/>
    <w:uiPriority w:val="98"/>
    <w:qFormat/>
    <w:rsid w:val="00352A0A"/>
    <w:pPr>
      <w:keepLines w:val="0"/>
      <w:numPr>
        <w:ilvl w:val="1"/>
        <w:numId w:val="4"/>
      </w:numPr>
      <w:spacing w:before="480" w:after="180" w:line="380" w:lineRule="exact"/>
    </w:pPr>
    <w:rPr>
      <w:rFonts w:ascii="Segoe UI Semibold" w:eastAsia="Times New Roman" w:hAnsi="Segoe UI Semibold" w:cs="Times New Roman"/>
      <w:b w:val="0"/>
      <w:color w:val="00264D"/>
      <w:sz w:val="34"/>
      <w:szCs w:val="19"/>
      <w:lang w:eastAsia="en-AU"/>
    </w:rPr>
  </w:style>
  <w:style w:type="paragraph" w:customStyle="1" w:styleId="xAppendixLevel3">
    <w:name w:val="xAppendix Level 3"/>
    <w:basedOn w:val="Heading3"/>
    <w:next w:val="Normal"/>
    <w:uiPriority w:val="98"/>
    <w:qFormat/>
    <w:rsid w:val="00352A0A"/>
    <w:pPr>
      <w:numPr>
        <w:ilvl w:val="2"/>
        <w:numId w:val="4"/>
      </w:numPr>
    </w:pPr>
    <w:rPr>
      <w:bCs/>
    </w:rPr>
  </w:style>
  <w:style w:type="paragraph" w:customStyle="1" w:styleId="Listnumbered">
    <w:name w:val="List (numbered)"/>
    <w:basedOn w:val="Normal"/>
    <w:uiPriority w:val="1"/>
    <w:qFormat/>
    <w:rsid w:val="00352A0A"/>
    <w:pPr>
      <w:numPr>
        <w:numId w:val="16"/>
      </w:numPr>
      <w:spacing w:after="120" w:line="259" w:lineRule="auto"/>
    </w:pPr>
    <w:rPr>
      <w:rFonts w:ascii="Segoe UI" w:hAnsi="Segoe UI"/>
      <w:sz w:val="19"/>
      <w:szCs w:val="22"/>
    </w:rPr>
  </w:style>
  <w:style w:type="paragraph" w:customStyle="1" w:styleId="Source">
    <w:name w:val="Source"/>
    <w:basedOn w:val="Normal"/>
    <w:next w:val="Normal"/>
    <w:link w:val="SourceChar"/>
    <w:uiPriority w:val="39"/>
    <w:rsid w:val="00352A0A"/>
    <w:pPr>
      <w:spacing w:before="120" w:after="240" w:line="259" w:lineRule="auto"/>
    </w:pPr>
    <w:rPr>
      <w:rFonts w:ascii="Segoe UI" w:eastAsia="Times New Roman" w:hAnsi="Segoe UI" w:cs="Times New Roman"/>
      <w:i/>
      <w:sz w:val="17"/>
      <w:szCs w:val="19"/>
      <w:lang w:eastAsia="en-AU"/>
    </w:rPr>
  </w:style>
  <w:style w:type="character" w:customStyle="1" w:styleId="SourceChar">
    <w:name w:val="Source Char"/>
    <w:basedOn w:val="DefaultParagraphFont"/>
    <w:link w:val="Source"/>
    <w:uiPriority w:val="39"/>
    <w:rsid w:val="00352A0A"/>
    <w:rPr>
      <w:rFonts w:ascii="Segoe UI" w:eastAsia="Times New Roman" w:hAnsi="Segoe UI" w:cs="Times New Roman"/>
      <w:i/>
      <w:sz w:val="17"/>
      <w:szCs w:val="19"/>
      <w:lang w:eastAsia="en-AU"/>
    </w:rPr>
  </w:style>
  <w:style w:type="paragraph" w:customStyle="1" w:styleId="TableExpbullet">
    <w:name w:val="Table Exp bullet"/>
    <w:basedOn w:val="Normal"/>
    <w:uiPriority w:val="3"/>
    <w:qFormat/>
    <w:rsid w:val="00352A0A"/>
    <w:pPr>
      <w:numPr>
        <w:numId w:val="14"/>
      </w:numPr>
      <w:spacing w:before="60" w:after="60" w:line="259" w:lineRule="auto"/>
      <w:ind w:left="227" w:hanging="227"/>
    </w:pPr>
    <w:rPr>
      <w:rFonts w:ascii="Segoe UI" w:hAnsi="Segoe UI"/>
      <w:sz w:val="16"/>
      <w:szCs w:val="22"/>
    </w:rPr>
  </w:style>
  <w:style w:type="paragraph" w:customStyle="1" w:styleId="Tableexpheader">
    <w:name w:val="Table exp header"/>
    <w:basedOn w:val="Normal"/>
    <w:uiPriority w:val="3"/>
    <w:qFormat/>
    <w:rsid w:val="00352A0A"/>
    <w:pPr>
      <w:spacing w:before="40" w:after="40" w:line="240" w:lineRule="auto"/>
    </w:pPr>
    <w:rPr>
      <w:rFonts w:ascii="Segoe UI Semibold" w:hAnsi="Segoe UI Semibold"/>
      <w:sz w:val="17"/>
      <w:szCs w:val="22"/>
    </w:rPr>
  </w:style>
  <w:style w:type="paragraph" w:customStyle="1" w:styleId="TableexpListnumbered">
    <w:name w:val="Table exp List (numbered)"/>
    <w:basedOn w:val="Normal"/>
    <w:uiPriority w:val="3"/>
    <w:qFormat/>
    <w:rsid w:val="00352A0A"/>
    <w:pPr>
      <w:numPr>
        <w:numId w:val="15"/>
      </w:numPr>
      <w:spacing w:before="60" w:after="60" w:line="259" w:lineRule="auto"/>
    </w:pPr>
    <w:rPr>
      <w:rFonts w:ascii="Segoe UI" w:hAnsi="Segoe UI"/>
      <w:sz w:val="16"/>
      <w:szCs w:val="22"/>
    </w:rPr>
  </w:style>
  <w:style w:type="paragraph" w:customStyle="1" w:styleId="TableExpText">
    <w:name w:val="Table Exp Text"/>
    <w:basedOn w:val="Normal"/>
    <w:uiPriority w:val="3"/>
    <w:qFormat/>
    <w:rsid w:val="00352A0A"/>
    <w:pPr>
      <w:spacing w:after="120" w:line="259" w:lineRule="auto"/>
    </w:pPr>
    <w:rPr>
      <w:rFonts w:ascii="Segoe UI" w:hAnsi="Segoe UI"/>
      <w:sz w:val="16"/>
      <w:szCs w:val="22"/>
    </w:rPr>
  </w:style>
  <w:style w:type="paragraph" w:customStyle="1" w:styleId="BioName">
    <w:name w:val="Bio Name"/>
    <w:basedOn w:val="Normal"/>
    <w:uiPriority w:val="97"/>
    <w:qFormat/>
    <w:rsid w:val="00352A0A"/>
    <w:pPr>
      <w:spacing w:before="60" w:after="60" w:line="240" w:lineRule="auto"/>
      <w:jc w:val="center"/>
    </w:pPr>
    <w:rPr>
      <w:rFonts w:ascii="Segoe UI" w:hAnsi="Segoe UI"/>
      <w:b/>
      <w:caps/>
      <w:color w:val="EEECE1" w:themeColor="background2"/>
      <w:sz w:val="19"/>
      <w:szCs w:val="19"/>
    </w:rPr>
  </w:style>
  <w:style w:type="paragraph" w:customStyle="1" w:styleId="BioPosition">
    <w:name w:val="Bio Position"/>
    <w:basedOn w:val="Normal"/>
    <w:uiPriority w:val="97"/>
    <w:qFormat/>
    <w:rsid w:val="00352A0A"/>
    <w:pPr>
      <w:spacing w:after="120" w:line="240" w:lineRule="auto"/>
      <w:jc w:val="center"/>
    </w:pPr>
    <w:rPr>
      <w:rFonts w:ascii="Segoe UI" w:hAnsi="Segoe UI"/>
      <w:color w:val="EEECE1" w:themeColor="background2"/>
      <w:sz w:val="19"/>
      <w:szCs w:val="19"/>
    </w:rPr>
  </w:style>
  <w:style w:type="table" w:styleId="LightList-Accent5">
    <w:name w:val="Light List Accent 5"/>
    <w:basedOn w:val="TableNormal"/>
    <w:uiPriority w:val="61"/>
    <w:rsid w:val="00352A0A"/>
    <w:rPr>
      <w:rFonts w:asciiTheme="minorHAnsi" w:hAnsiTheme="minorHAnsi"/>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352A0A"/>
    <w:rPr>
      <w:rFonts w:asciiTheme="minorHAnsi" w:hAnsiTheme="minorHAnsi"/>
      <w:sz w:val="22"/>
      <w:szCs w:val="22"/>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352A0A"/>
    <w:rPr>
      <w:rFonts w:ascii="Segoe UI" w:eastAsia="Times New Roman" w:hAnsi="Segoe UI" w:cs="Times New Roman"/>
      <w:sz w:val="17"/>
      <w:szCs w:val="19"/>
      <w:lang w:eastAsia="en-AU"/>
    </w:rPr>
  </w:style>
  <w:style w:type="character" w:customStyle="1" w:styleId="BulletChar">
    <w:name w:val="Bullet Char"/>
    <w:basedOn w:val="DefaultParagraphFont"/>
    <w:link w:val="Bullet"/>
    <w:uiPriority w:val="2"/>
    <w:rsid w:val="00352A0A"/>
    <w:rPr>
      <w:rFonts w:ascii="Segoe UI" w:eastAsia="Times New Roman" w:hAnsi="Segoe UI" w:cs="Times New Roman"/>
      <w:sz w:val="19"/>
      <w:szCs w:val="19"/>
      <w:lang w:eastAsia="en-AU"/>
    </w:rPr>
  </w:style>
  <w:style w:type="paragraph" w:customStyle="1" w:styleId="URL-groupcomau">
    <w:name w:val="URL - group.com.au"/>
    <w:basedOn w:val="Normal"/>
    <w:link w:val="URL-groupcomauChar"/>
    <w:uiPriority w:val="89"/>
    <w:semiHidden/>
    <w:qFormat/>
    <w:rsid w:val="00352A0A"/>
    <w:pPr>
      <w:spacing w:line="259" w:lineRule="auto"/>
    </w:pPr>
    <w:rPr>
      <w:rFonts w:ascii="Segoe UI" w:eastAsia="Times New Roman" w:hAnsi="Segoe UI" w:cs="Times New Roman"/>
      <w:color w:val="1F497D"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352A0A"/>
    <w:rPr>
      <w:rFonts w:ascii="Segoe UI" w:eastAsia="Times New Roman" w:hAnsi="Segoe UI" w:cs="Times New Roman"/>
      <w:color w:val="1F497D" w:themeColor="text2"/>
      <w:spacing w:val="20"/>
      <w:sz w:val="14"/>
      <w:szCs w:val="19"/>
      <w:lang w:eastAsia="en-AU"/>
    </w:rPr>
  </w:style>
  <w:style w:type="paragraph" w:customStyle="1" w:styleId="URL-nous">
    <w:name w:val="URL - nous"/>
    <w:basedOn w:val="Normal"/>
    <w:link w:val="URL-nousChar"/>
    <w:uiPriority w:val="89"/>
    <w:semiHidden/>
    <w:qFormat/>
    <w:rsid w:val="00352A0A"/>
    <w:pPr>
      <w:spacing w:line="259" w:lineRule="auto"/>
    </w:pPr>
    <w:rPr>
      <w:rFonts w:ascii="Segoe UI" w:eastAsia="Times New Roman" w:hAnsi="Segoe UI" w:cs="Times New Roman"/>
      <w:color w:val="4F81BD" w:themeColor="accent1"/>
      <w:spacing w:val="20"/>
      <w:sz w:val="14"/>
      <w:szCs w:val="19"/>
      <w:lang w:eastAsia="en-AU"/>
    </w:rPr>
  </w:style>
  <w:style w:type="character" w:customStyle="1" w:styleId="URL-nousChar">
    <w:name w:val="URL - nous Char"/>
    <w:basedOn w:val="DefaultParagraphFont"/>
    <w:link w:val="URL-nous"/>
    <w:uiPriority w:val="89"/>
    <w:semiHidden/>
    <w:rsid w:val="00352A0A"/>
    <w:rPr>
      <w:rFonts w:ascii="Segoe UI" w:eastAsia="Times New Roman" w:hAnsi="Segoe UI" w:cs="Times New Roman"/>
      <w:color w:val="4F81BD" w:themeColor="accent1"/>
      <w:spacing w:val="20"/>
      <w:sz w:val="14"/>
      <w:szCs w:val="19"/>
      <w:lang w:eastAsia="en-AU"/>
    </w:rPr>
  </w:style>
  <w:style w:type="table" w:customStyle="1" w:styleId="NousTableSide">
    <w:name w:val="Nous Table_Side"/>
    <w:basedOn w:val="TableNormal"/>
    <w:uiPriority w:val="99"/>
    <w:rsid w:val="00352A0A"/>
    <w:rPr>
      <w:rFonts w:ascii="Segoe UI" w:hAnsi="Segoe UI"/>
      <w:sz w:val="17"/>
      <w:szCs w:val="22"/>
      <w:lang w:val="en-US"/>
    </w:rPr>
    <w:tblPr>
      <w:tblBorders>
        <w:top w:val="single" w:sz="8" w:space="0" w:color="4BACC6" w:themeColor="accent5"/>
        <w:bottom w:val="single" w:sz="8" w:space="0" w:color="4BACC6" w:themeColor="accent5"/>
        <w:insideH w:val="single" w:sz="8" w:space="0" w:color="4BACC6" w:themeColor="accent5"/>
      </w:tblBorders>
      <w:tblCellMar>
        <w:top w:w="57" w:type="dxa"/>
        <w:left w:w="85" w:type="dxa"/>
        <w:bottom w:w="57" w:type="dxa"/>
        <w:right w:w="85" w:type="dxa"/>
      </w:tblCellMar>
    </w:tblPr>
    <w:tblStylePr w:type="firstCol">
      <w:pPr>
        <w:jc w:val="left"/>
      </w:pPr>
      <w:rPr>
        <w:rFonts w:ascii="Segoe UI Semibold" w:hAnsi="Segoe UI Semibold"/>
        <w:b w:val="0"/>
        <w:color w:val="EEECE1" w:themeColor="background2"/>
        <w:sz w:val="17"/>
      </w:rPr>
      <w:tblPr/>
      <w:tcPr>
        <w:tcBorders>
          <w:top w:val="single" w:sz="12" w:space="0" w:color="FFFFFF" w:themeColor="background1"/>
          <w:left w:val="single" w:sz="18" w:space="0" w:color="9BBB59"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4BACC6" w:themeFill="accent5"/>
      </w:tcPr>
    </w:tblStylePr>
  </w:style>
  <w:style w:type="character" w:styleId="Hyperlink">
    <w:name w:val="Hyperlink"/>
    <w:basedOn w:val="DefaultParagraphFont"/>
    <w:uiPriority w:val="99"/>
    <w:unhideWhenUsed/>
    <w:rsid w:val="00352A0A"/>
    <w:rPr>
      <w:color w:val="EEECE1" w:themeColor="background2"/>
      <w:u w:val="single"/>
    </w:rPr>
  </w:style>
  <w:style w:type="table" w:customStyle="1" w:styleId="NousTableTopandside">
    <w:name w:val="Nous Table_Top and side"/>
    <w:basedOn w:val="TableNormal"/>
    <w:uiPriority w:val="99"/>
    <w:rsid w:val="00352A0A"/>
    <w:rPr>
      <w:rFonts w:asciiTheme="minorHAnsi" w:hAnsiTheme="minorHAnsi"/>
      <w:sz w:val="22"/>
      <w:szCs w:val="22"/>
      <w:lang w:val="en-US"/>
    </w:r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EEECE1" w:themeColor="background2"/>
        <w:sz w:val="18"/>
      </w:rPr>
      <w:tblPr/>
      <w:tcPr>
        <w:tcBorders>
          <w:top w:val="single" w:sz="24" w:space="0" w:color="9BBB59" w:themeColor="accent3"/>
          <w:insideV w:val="single" w:sz="8" w:space="0" w:color="FFFFFF" w:themeColor="background1"/>
        </w:tcBorders>
        <w:shd w:val="clear" w:color="auto" w:fill="4BACC6" w:themeFill="accent5"/>
        <w:vAlign w:val="center"/>
      </w:tcPr>
    </w:tblStylePr>
    <w:tblStylePr w:type="firstCol">
      <w:pPr>
        <w:jc w:val="left"/>
      </w:pPr>
      <w:rPr>
        <w:rFonts w:ascii="Segoe UI Semibold" w:hAnsi="Segoe UI Semibold"/>
        <w:b w:val="0"/>
        <w:color w:val="EEECE1" w:themeColor="background2"/>
        <w:sz w:val="18"/>
      </w:rPr>
      <w:tblPr/>
      <w:tcPr>
        <w:tcBorders>
          <w:left w:val="single" w:sz="24" w:space="0" w:color="9BBB59" w:themeColor="accent3"/>
        </w:tcBorders>
        <w:shd w:val="clear" w:color="auto" w:fill="4BACC6" w:themeFill="accent5"/>
        <w:vAlign w:val="center"/>
      </w:tcPr>
    </w:tblStylePr>
  </w:style>
  <w:style w:type="paragraph" w:customStyle="1" w:styleId="BioHeading">
    <w:name w:val="Bio Heading"/>
    <w:basedOn w:val="TableNText"/>
    <w:uiPriority w:val="97"/>
    <w:qFormat/>
    <w:rsid w:val="00352A0A"/>
    <w:pPr>
      <w:spacing w:before="240" w:after="120" w:line="240" w:lineRule="auto"/>
    </w:pPr>
    <w:rPr>
      <w:color w:val="EEECE1" w:themeColor="background2"/>
      <w:sz w:val="19"/>
      <w:szCs w:val="19"/>
    </w:rPr>
  </w:style>
  <w:style w:type="paragraph" w:customStyle="1" w:styleId="Sectionintroduction">
    <w:name w:val="Section introduction"/>
    <w:uiPriority w:val="21"/>
    <w:qFormat/>
    <w:rsid w:val="00352A0A"/>
    <w:pPr>
      <w:spacing w:before="120" w:after="120" w:line="259" w:lineRule="auto"/>
    </w:pPr>
    <w:rPr>
      <w:rFonts w:ascii="Segoe UI Semilight" w:hAnsi="Segoe UI Semilight"/>
      <w:color w:val="EEECE1" w:themeColor="background2"/>
      <w:sz w:val="21"/>
      <w:szCs w:val="21"/>
    </w:rPr>
  </w:style>
  <w:style w:type="paragraph" w:customStyle="1" w:styleId="Callout">
    <w:name w:val="Call out"/>
    <w:basedOn w:val="Normal"/>
    <w:uiPriority w:val="98"/>
    <w:qFormat/>
    <w:rsid w:val="00352A0A"/>
    <w:pPr>
      <w:pBdr>
        <w:top w:val="single" w:sz="18" w:space="4" w:color="4BACC6" w:themeColor="accent5"/>
      </w:pBdr>
      <w:spacing w:after="120" w:line="259" w:lineRule="auto"/>
    </w:pPr>
    <w:rPr>
      <w:rFonts w:ascii="Segoe UI Semilight" w:hAnsi="Segoe UI Semilight"/>
      <w:color w:val="9BBB59" w:themeColor="accent3"/>
      <w:kern w:val="24"/>
      <w:szCs w:val="22"/>
    </w:rPr>
  </w:style>
  <w:style w:type="paragraph" w:customStyle="1" w:styleId="Longformcallout">
    <w:name w:val="Long form callout"/>
    <w:basedOn w:val="Normal"/>
    <w:uiPriority w:val="20"/>
    <w:qFormat/>
    <w:rsid w:val="00352A0A"/>
    <w:pPr>
      <w:spacing w:before="60" w:after="60" w:line="240" w:lineRule="auto"/>
    </w:pPr>
    <w:rPr>
      <w:rFonts w:ascii="Segoe UI" w:hAnsi="Segoe UI"/>
      <w:color w:val="EEECE1" w:themeColor="background2"/>
      <w:sz w:val="19"/>
      <w:szCs w:val="19"/>
      <w:lang w:eastAsia="en-AU"/>
    </w:rPr>
  </w:style>
  <w:style w:type="paragraph" w:customStyle="1" w:styleId="longformcalloutbullet">
    <w:name w:val="long form call out bullet"/>
    <w:basedOn w:val="Longformcallout"/>
    <w:uiPriority w:val="20"/>
    <w:qFormat/>
    <w:rsid w:val="00352A0A"/>
    <w:pPr>
      <w:numPr>
        <w:numId w:val="8"/>
      </w:numPr>
      <w:ind w:left="340" w:hanging="340"/>
    </w:pPr>
  </w:style>
  <w:style w:type="paragraph" w:customStyle="1" w:styleId="longformcalloutnumber">
    <w:name w:val="long form callout number"/>
    <w:basedOn w:val="longformcalloutbullet"/>
    <w:uiPriority w:val="20"/>
    <w:qFormat/>
    <w:rsid w:val="00352A0A"/>
    <w:pPr>
      <w:numPr>
        <w:numId w:val="9"/>
      </w:numPr>
      <w:ind w:left="340" w:hanging="340"/>
    </w:pPr>
  </w:style>
  <w:style w:type="paragraph" w:customStyle="1" w:styleId="NousFooter">
    <w:name w:val="Nous Footer"/>
    <w:basedOn w:val="Normal"/>
    <w:uiPriority w:val="96"/>
    <w:qFormat/>
    <w:rsid w:val="00352A0A"/>
    <w:pPr>
      <w:spacing w:line="259" w:lineRule="auto"/>
    </w:pPr>
    <w:rPr>
      <w:rFonts w:ascii="Segoe UI" w:hAnsi="Segoe UI"/>
      <w:color w:val="808080" w:themeColor="background1" w:themeShade="80"/>
      <w:sz w:val="15"/>
      <w:szCs w:val="15"/>
      <w:lang w:eastAsia="en-AU"/>
    </w:rPr>
  </w:style>
  <w:style w:type="paragraph" w:customStyle="1" w:styleId="ContentsHeading">
    <w:name w:val="Contents Heading"/>
    <w:basedOn w:val="Normal"/>
    <w:uiPriority w:val="19"/>
    <w:rsid w:val="00352A0A"/>
    <w:pPr>
      <w:spacing w:before="360" w:after="600" w:line="560" w:lineRule="exact"/>
    </w:pPr>
    <w:rPr>
      <w:rFonts w:ascii="Segoe UI" w:eastAsia="Times New Roman" w:hAnsi="Segoe UI" w:cs="Segoe UI"/>
      <w:b/>
      <w:color w:val="00264D"/>
      <w:sz w:val="36"/>
      <w:szCs w:val="36"/>
      <w:lang w:eastAsia="en-AU"/>
    </w:rPr>
  </w:style>
  <w:style w:type="paragraph" w:customStyle="1" w:styleId="BioQualifications">
    <w:name w:val="Bio Qualifications"/>
    <w:basedOn w:val="Normal"/>
    <w:uiPriority w:val="97"/>
    <w:qFormat/>
    <w:rsid w:val="00352A0A"/>
    <w:pPr>
      <w:spacing w:before="240" w:after="60" w:line="240" w:lineRule="auto"/>
      <w:jc w:val="center"/>
    </w:pPr>
    <w:rPr>
      <w:rFonts w:ascii="Segoe UI" w:hAnsi="Segoe UI"/>
      <w:b/>
      <w:color w:val="EEECE1" w:themeColor="background2"/>
      <w:sz w:val="19"/>
      <w:szCs w:val="17"/>
    </w:rPr>
  </w:style>
  <w:style w:type="paragraph" w:customStyle="1" w:styleId="introductionlist">
    <w:name w:val="introduction list"/>
    <w:basedOn w:val="Sectionintroduction"/>
    <w:uiPriority w:val="21"/>
    <w:qFormat/>
    <w:rsid w:val="00352A0A"/>
    <w:pPr>
      <w:numPr>
        <w:numId w:val="10"/>
      </w:numPr>
      <w:spacing w:before="60"/>
    </w:pPr>
  </w:style>
  <w:style w:type="paragraph" w:customStyle="1" w:styleId="intoductionbullet">
    <w:name w:val="intoduction bullet"/>
    <w:basedOn w:val="Sectionintroduction"/>
    <w:uiPriority w:val="21"/>
    <w:qFormat/>
    <w:rsid w:val="00352A0A"/>
    <w:pPr>
      <w:numPr>
        <w:numId w:val="11"/>
      </w:numPr>
    </w:pPr>
  </w:style>
  <w:style w:type="paragraph" w:customStyle="1" w:styleId="BioQualificationsText">
    <w:name w:val="Bio Qualifications Text"/>
    <w:basedOn w:val="Normal"/>
    <w:uiPriority w:val="97"/>
    <w:qFormat/>
    <w:rsid w:val="00352A0A"/>
    <w:pPr>
      <w:spacing w:after="120" w:line="240" w:lineRule="auto"/>
      <w:jc w:val="center"/>
    </w:pPr>
    <w:rPr>
      <w:rFonts w:ascii="Segoe UI" w:hAnsi="Segoe UI"/>
      <w:sz w:val="19"/>
      <w:szCs w:val="22"/>
    </w:rPr>
  </w:style>
  <w:style w:type="paragraph" w:customStyle="1" w:styleId="Covertitle">
    <w:name w:val="Cover title"/>
    <w:basedOn w:val="Normal"/>
    <w:link w:val="CovertitleChar"/>
    <w:uiPriority w:val="99"/>
    <w:semiHidden/>
    <w:rsid w:val="00352A0A"/>
    <w:pPr>
      <w:suppressAutoHyphens/>
      <w:spacing w:line="720" w:lineRule="exact"/>
    </w:pPr>
    <w:rPr>
      <w:rFonts w:ascii="Segoe UI" w:eastAsia="Times New Roman" w:hAnsi="Segoe UI" w:cs="Times New Roman"/>
      <w:color w:val="1F497D" w:themeColor="text2"/>
      <w:sz w:val="84"/>
      <w:szCs w:val="19"/>
      <w:lang w:eastAsia="en-AU"/>
    </w:rPr>
  </w:style>
  <w:style w:type="character" w:customStyle="1" w:styleId="CovertitleChar">
    <w:name w:val="Cover title Char"/>
    <w:basedOn w:val="DefaultParagraphFont"/>
    <w:link w:val="Covertitle"/>
    <w:uiPriority w:val="99"/>
    <w:semiHidden/>
    <w:rsid w:val="00352A0A"/>
    <w:rPr>
      <w:rFonts w:ascii="Segoe UI" w:eastAsia="Times New Roman" w:hAnsi="Segoe UI" w:cs="Times New Roman"/>
      <w:color w:val="1F497D" w:themeColor="text2"/>
      <w:sz w:val="84"/>
      <w:szCs w:val="19"/>
      <w:lang w:eastAsia="en-AU"/>
    </w:rPr>
  </w:style>
  <w:style w:type="paragraph" w:customStyle="1" w:styleId="CoverPage-Client">
    <w:name w:val="Cover Page - Client"/>
    <w:basedOn w:val="Normal"/>
    <w:link w:val="CoverPage-ClientChar"/>
    <w:uiPriority w:val="99"/>
    <w:semiHidden/>
    <w:rsid w:val="00352A0A"/>
    <w:pPr>
      <w:suppressAutoHyphens/>
      <w:spacing w:before="480" w:line="380" w:lineRule="exact"/>
    </w:pPr>
    <w:rPr>
      <w:rFonts w:ascii="Segoe UI" w:eastAsia="Times New Roman" w:hAnsi="Segoe UI" w:cs="Times New Roman"/>
      <w:color w:val="1F497D" w:themeColor="text2"/>
      <w:sz w:val="36"/>
      <w:szCs w:val="19"/>
      <w:lang w:eastAsia="en-AU"/>
    </w:rPr>
  </w:style>
  <w:style w:type="character" w:customStyle="1" w:styleId="CoverPage-ClientChar">
    <w:name w:val="Cover Page - Client Char"/>
    <w:basedOn w:val="DefaultParagraphFont"/>
    <w:link w:val="CoverPage-Client"/>
    <w:uiPriority w:val="99"/>
    <w:semiHidden/>
    <w:rsid w:val="00352A0A"/>
    <w:rPr>
      <w:rFonts w:ascii="Segoe UI" w:eastAsia="Times New Roman" w:hAnsi="Segoe UI" w:cs="Times New Roman"/>
      <w:color w:val="1F497D" w:themeColor="text2"/>
      <w:sz w:val="36"/>
      <w:szCs w:val="19"/>
      <w:lang w:eastAsia="en-AU"/>
    </w:rPr>
  </w:style>
  <w:style w:type="paragraph" w:customStyle="1" w:styleId="CoverPage-Date">
    <w:name w:val="Cover Page - Date"/>
    <w:basedOn w:val="Normal"/>
    <w:link w:val="CoverPage-DateChar"/>
    <w:uiPriority w:val="99"/>
    <w:semiHidden/>
    <w:rsid w:val="00352A0A"/>
    <w:pPr>
      <w:suppressAutoHyphens/>
      <w:spacing w:before="320" w:line="280" w:lineRule="exact"/>
    </w:pPr>
    <w:rPr>
      <w:rFonts w:ascii="Segoe UI" w:eastAsia="Times New Roman" w:hAnsi="Segoe UI" w:cs="Times New Roman"/>
      <w:color w:val="EEECE1" w:themeColor="background2"/>
      <w:sz w:val="24"/>
      <w:szCs w:val="19"/>
      <w:lang w:eastAsia="en-AU"/>
    </w:rPr>
  </w:style>
  <w:style w:type="character" w:customStyle="1" w:styleId="CoverPage-DateChar">
    <w:name w:val="Cover Page - Date Char"/>
    <w:basedOn w:val="DefaultParagraphFont"/>
    <w:link w:val="CoverPage-Date"/>
    <w:uiPriority w:val="99"/>
    <w:semiHidden/>
    <w:rsid w:val="00352A0A"/>
    <w:rPr>
      <w:rFonts w:ascii="Segoe UI" w:eastAsia="Times New Roman" w:hAnsi="Segoe UI" w:cs="Times New Roman"/>
      <w:color w:val="EEECE1" w:themeColor="background2"/>
      <w:sz w:val="24"/>
      <w:szCs w:val="19"/>
      <w:lang w:eastAsia="en-AU"/>
    </w:rPr>
  </w:style>
  <w:style w:type="character" w:styleId="PlaceholderText">
    <w:name w:val="Placeholder Text"/>
    <w:basedOn w:val="DefaultParagraphFont"/>
    <w:uiPriority w:val="99"/>
    <w:semiHidden/>
    <w:rsid w:val="00352A0A"/>
    <w:rPr>
      <w:color w:val="808080"/>
    </w:rPr>
  </w:style>
  <w:style w:type="table" w:customStyle="1" w:styleId="Sectionintroductiontable">
    <w:name w:val="Section introduction table"/>
    <w:basedOn w:val="TableNormal"/>
    <w:uiPriority w:val="99"/>
    <w:rsid w:val="00352A0A"/>
    <w:rPr>
      <w:rFonts w:asciiTheme="minorHAnsi" w:hAnsiTheme="minorHAnsi"/>
      <w:sz w:val="22"/>
      <w:szCs w:val="22"/>
      <w:lang w:val="en-US"/>
    </w:r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EEECE1" w:themeColor="background2"/>
        <w:sz w:val="21"/>
      </w:rPr>
      <w:tblPr/>
      <w:tcPr>
        <w:tcBorders>
          <w:top w:val="single" w:sz="8" w:space="0" w:color="EEECE1" w:themeColor="background2"/>
          <w:left w:val="nil"/>
          <w:bottom w:val="single" w:sz="8" w:space="0" w:color="EEECE1" w:themeColor="background2"/>
          <w:right w:val="nil"/>
        </w:tcBorders>
      </w:tcPr>
    </w:tblStylePr>
  </w:style>
  <w:style w:type="numbering" w:customStyle="1" w:styleId="Listnumberedmultilevel">
    <w:name w:val="List (numbered)_multilevel"/>
    <w:uiPriority w:val="99"/>
    <w:rsid w:val="00352A0A"/>
    <w:pPr>
      <w:numPr>
        <w:numId w:val="21"/>
      </w:numPr>
    </w:pPr>
  </w:style>
  <w:style w:type="numbering" w:customStyle="1" w:styleId="TableexpListnumberedmultilevel">
    <w:name w:val="Table exp List (numbered) multilevel"/>
    <w:uiPriority w:val="99"/>
    <w:rsid w:val="00352A0A"/>
    <w:pPr>
      <w:numPr>
        <w:numId w:val="13"/>
      </w:numPr>
    </w:pPr>
  </w:style>
  <w:style w:type="numbering" w:customStyle="1" w:styleId="TableNListnumberedmultilevel">
    <w:name w:val="Table N List (numbered) multilevel"/>
    <w:uiPriority w:val="99"/>
    <w:rsid w:val="00352A0A"/>
    <w:pPr>
      <w:numPr>
        <w:numId w:val="17"/>
      </w:numPr>
    </w:pPr>
  </w:style>
  <w:style w:type="table" w:customStyle="1" w:styleId="NousLongformcallout">
    <w:name w:val="Nous_Long form call out"/>
    <w:basedOn w:val="TableNormal"/>
    <w:uiPriority w:val="99"/>
    <w:rsid w:val="00352A0A"/>
    <w:rPr>
      <w:rFonts w:asciiTheme="minorHAnsi" w:hAnsiTheme="minorHAnsi"/>
      <w:color w:val="EEECE1" w:themeColor="background2"/>
      <w:sz w:val="22"/>
      <w:szCs w:val="22"/>
      <w:lang w:val="en-US"/>
    </w:rPr>
    <w:tblPr>
      <w:tblBorders>
        <w:left w:val="single" w:sz="18" w:space="0" w:color="9BBB59" w:themeColor="accent3"/>
      </w:tblBorders>
      <w:tblCellMar>
        <w:top w:w="113" w:type="dxa"/>
        <w:bottom w:w="113" w:type="dxa"/>
      </w:tblCellMar>
    </w:tblPr>
    <w:tcPr>
      <w:shd w:val="clear" w:color="auto" w:fill="4BACC6" w:themeFill="accent5"/>
    </w:tcPr>
  </w:style>
  <w:style w:type="paragraph" w:styleId="FootnoteText">
    <w:name w:val="footnote text"/>
    <w:basedOn w:val="Normal"/>
    <w:link w:val="FootnoteTextChar"/>
    <w:uiPriority w:val="99"/>
    <w:semiHidden/>
    <w:unhideWhenUsed/>
    <w:rsid w:val="00352A0A"/>
    <w:pPr>
      <w:spacing w:line="240" w:lineRule="auto"/>
    </w:pPr>
    <w:rPr>
      <w:rFonts w:ascii="Segoe UI" w:hAnsi="Segoe UI"/>
      <w:sz w:val="15"/>
    </w:rPr>
  </w:style>
  <w:style w:type="character" w:customStyle="1" w:styleId="FootnoteTextChar">
    <w:name w:val="Footnote Text Char"/>
    <w:basedOn w:val="DefaultParagraphFont"/>
    <w:link w:val="FootnoteText"/>
    <w:uiPriority w:val="99"/>
    <w:semiHidden/>
    <w:rsid w:val="00352A0A"/>
    <w:rPr>
      <w:rFonts w:ascii="Segoe UI" w:hAnsi="Segoe UI"/>
      <w:sz w:val="15"/>
    </w:rPr>
  </w:style>
  <w:style w:type="paragraph" w:styleId="TOCHeading">
    <w:name w:val="TOC Heading"/>
    <w:basedOn w:val="Heading1"/>
    <w:next w:val="Normal"/>
    <w:uiPriority w:val="39"/>
    <w:unhideWhenUsed/>
    <w:qFormat/>
    <w:rsid w:val="00352A0A"/>
    <w:pPr>
      <w:keepNext/>
      <w:keepLines/>
      <w:spacing w:before="240" w:after="0" w:line="259" w:lineRule="auto"/>
      <w:contextualSpacing w:val="0"/>
      <w:outlineLvl w:val="9"/>
    </w:pPr>
    <w:rPr>
      <w:rFonts w:asciiTheme="majorHAnsi" w:hAnsiTheme="majorHAnsi"/>
      <w:color w:val="365F91" w:themeColor="accent1" w:themeShade="BF"/>
      <w:spacing w:val="0"/>
      <w:sz w:val="32"/>
      <w:szCs w:val="32"/>
      <w:lang w:val="en-US" w:eastAsia="en-US"/>
    </w:rPr>
  </w:style>
  <w:style w:type="paragraph" w:customStyle="1" w:styleId="acthead50">
    <w:name w:val="acthead5"/>
    <w:basedOn w:val="Normal"/>
    <w:rsid w:val="00352A0A"/>
    <w:pPr>
      <w:spacing w:before="100" w:beforeAutospacing="1" w:after="100" w:afterAutospacing="1" w:line="240" w:lineRule="auto"/>
    </w:pPr>
    <w:rPr>
      <w:rFonts w:eastAsia="Times New Roman" w:cs="Times New Roman"/>
      <w:sz w:val="24"/>
      <w:szCs w:val="24"/>
      <w:lang w:eastAsia="en-AU"/>
    </w:rPr>
  </w:style>
  <w:style w:type="character" w:customStyle="1" w:styleId="charsectno0">
    <w:name w:val="charsectno"/>
    <w:basedOn w:val="DefaultParagraphFont"/>
    <w:rsid w:val="00352A0A"/>
  </w:style>
  <w:style w:type="paragraph" w:customStyle="1" w:styleId="Default">
    <w:name w:val="Default"/>
    <w:rsid w:val="00352A0A"/>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semiHidden/>
    <w:unhideWhenUsed/>
    <w:rsid w:val="00352A0A"/>
    <w:rPr>
      <w:vertAlign w:val="superscript"/>
    </w:rPr>
  </w:style>
  <w:style w:type="character" w:styleId="Emphasis">
    <w:name w:val="Emphasis"/>
    <w:basedOn w:val="DefaultParagraphFont"/>
    <w:uiPriority w:val="20"/>
    <w:qFormat/>
    <w:rsid w:val="00352A0A"/>
    <w:rPr>
      <w:i/>
      <w:iCs/>
    </w:rPr>
  </w:style>
  <w:style w:type="numbering" w:customStyle="1" w:styleId="NoList1">
    <w:name w:val="No List1"/>
    <w:next w:val="NoList"/>
    <w:uiPriority w:val="99"/>
    <w:semiHidden/>
    <w:unhideWhenUsed/>
    <w:rsid w:val="00652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4076">
      <w:bodyDiv w:val="1"/>
      <w:marLeft w:val="0"/>
      <w:marRight w:val="0"/>
      <w:marTop w:val="0"/>
      <w:marBottom w:val="0"/>
      <w:divBdr>
        <w:top w:val="none" w:sz="0" w:space="0" w:color="auto"/>
        <w:left w:val="none" w:sz="0" w:space="0" w:color="auto"/>
        <w:bottom w:val="none" w:sz="0" w:space="0" w:color="auto"/>
        <w:right w:val="none" w:sz="0" w:space="0" w:color="auto"/>
      </w:divBdr>
    </w:div>
    <w:div w:id="19552840">
      <w:bodyDiv w:val="1"/>
      <w:marLeft w:val="0"/>
      <w:marRight w:val="0"/>
      <w:marTop w:val="0"/>
      <w:marBottom w:val="0"/>
      <w:divBdr>
        <w:top w:val="none" w:sz="0" w:space="0" w:color="auto"/>
        <w:left w:val="none" w:sz="0" w:space="0" w:color="auto"/>
        <w:bottom w:val="none" w:sz="0" w:space="0" w:color="auto"/>
        <w:right w:val="none" w:sz="0" w:space="0" w:color="auto"/>
      </w:divBdr>
    </w:div>
    <w:div w:id="51776435">
      <w:bodyDiv w:val="1"/>
      <w:marLeft w:val="0"/>
      <w:marRight w:val="0"/>
      <w:marTop w:val="0"/>
      <w:marBottom w:val="0"/>
      <w:divBdr>
        <w:top w:val="none" w:sz="0" w:space="0" w:color="auto"/>
        <w:left w:val="none" w:sz="0" w:space="0" w:color="auto"/>
        <w:bottom w:val="none" w:sz="0" w:space="0" w:color="auto"/>
        <w:right w:val="none" w:sz="0" w:space="0" w:color="auto"/>
      </w:divBdr>
    </w:div>
    <w:div w:id="271009835">
      <w:bodyDiv w:val="1"/>
      <w:marLeft w:val="0"/>
      <w:marRight w:val="0"/>
      <w:marTop w:val="0"/>
      <w:marBottom w:val="0"/>
      <w:divBdr>
        <w:top w:val="none" w:sz="0" w:space="0" w:color="auto"/>
        <w:left w:val="none" w:sz="0" w:space="0" w:color="auto"/>
        <w:bottom w:val="none" w:sz="0" w:space="0" w:color="auto"/>
        <w:right w:val="none" w:sz="0" w:space="0" w:color="auto"/>
      </w:divBdr>
    </w:div>
    <w:div w:id="303656056">
      <w:bodyDiv w:val="1"/>
      <w:marLeft w:val="0"/>
      <w:marRight w:val="0"/>
      <w:marTop w:val="0"/>
      <w:marBottom w:val="0"/>
      <w:divBdr>
        <w:top w:val="none" w:sz="0" w:space="0" w:color="auto"/>
        <w:left w:val="none" w:sz="0" w:space="0" w:color="auto"/>
        <w:bottom w:val="none" w:sz="0" w:space="0" w:color="auto"/>
        <w:right w:val="none" w:sz="0" w:space="0" w:color="auto"/>
      </w:divBdr>
    </w:div>
    <w:div w:id="382994407">
      <w:bodyDiv w:val="1"/>
      <w:marLeft w:val="0"/>
      <w:marRight w:val="0"/>
      <w:marTop w:val="0"/>
      <w:marBottom w:val="0"/>
      <w:divBdr>
        <w:top w:val="none" w:sz="0" w:space="0" w:color="auto"/>
        <w:left w:val="none" w:sz="0" w:space="0" w:color="auto"/>
        <w:bottom w:val="none" w:sz="0" w:space="0" w:color="auto"/>
        <w:right w:val="none" w:sz="0" w:space="0" w:color="auto"/>
      </w:divBdr>
    </w:div>
    <w:div w:id="397945876">
      <w:bodyDiv w:val="1"/>
      <w:marLeft w:val="0"/>
      <w:marRight w:val="0"/>
      <w:marTop w:val="0"/>
      <w:marBottom w:val="0"/>
      <w:divBdr>
        <w:top w:val="none" w:sz="0" w:space="0" w:color="auto"/>
        <w:left w:val="none" w:sz="0" w:space="0" w:color="auto"/>
        <w:bottom w:val="none" w:sz="0" w:space="0" w:color="auto"/>
        <w:right w:val="none" w:sz="0" w:space="0" w:color="auto"/>
      </w:divBdr>
    </w:div>
    <w:div w:id="409424617">
      <w:bodyDiv w:val="1"/>
      <w:marLeft w:val="0"/>
      <w:marRight w:val="0"/>
      <w:marTop w:val="0"/>
      <w:marBottom w:val="0"/>
      <w:divBdr>
        <w:top w:val="none" w:sz="0" w:space="0" w:color="auto"/>
        <w:left w:val="none" w:sz="0" w:space="0" w:color="auto"/>
        <w:bottom w:val="none" w:sz="0" w:space="0" w:color="auto"/>
        <w:right w:val="none" w:sz="0" w:space="0" w:color="auto"/>
      </w:divBdr>
    </w:div>
    <w:div w:id="481968545">
      <w:bodyDiv w:val="1"/>
      <w:marLeft w:val="0"/>
      <w:marRight w:val="0"/>
      <w:marTop w:val="0"/>
      <w:marBottom w:val="0"/>
      <w:divBdr>
        <w:top w:val="none" w:sz="0" w:space="0" w:color="auto"/>
        <w:left w:val="none" w:sz="0" w:space="0" w:color="auto"/>
        <w:bottom w:val="none" w:sz="0" w:space="0" w:color="auto"/>
        <w:right w:val="none" w:sz="0" w:space="0" w:color="auto"/>
      </w:divBdr>
    </w:div>
    <w:div w:id="541673926">
      <w:bodyDiv w:val="1"/>
      <w:marLeft w:val="0"/>
      <w:marRight w:val="0"/>
      <w:marTop w:val="0"/>
      <w:marBottom w:val="0"/>
      <w:divBdr>
        <w:top w:val="none" w:sz="0" w:space="0" w:color="auto"/>
        <w:left w:val="none" w:sz="0" w:space="0" w:color="auto"/>
        <w:bottom w:val="none" w:sz="0" w:space="0" w:color="auto"/>
        <w:right w:val="none" w:sz="0" w:space="0" w:color="auto"/>
      </w:divBdr>
    </w:div>
    <w:div w:id="798187381">
      <w:bodyDiv w:val="1"/>
      <w:marLeft w:val="0"/>
      <w:marRight w:val="0"/>
      <w:marTop w:val="0"/>
      <w:marBottom w:val="0"/>
      <w:divBdr>
        <w:top w:val="none" w:sz="0" w:space="0" w:color="auto"/>
        <w:left w:val="none" w:sz="0" w:space="0" w:color="auto"/>
        <w:bottom w:val="none" w:sz="0" w:space="0" w:color="auto"/>
        <w:right w:val="none" w:sz="0" w:space="0" w:color="auto"/>
      </w:divBdr>
    </w:div>
    <w:div w:id="894388833">
      <w:bodyDiv w:val="1"/>
      <w:marLeft w:val="0"/>
      <w:marRight w:val="0"/>
      <w:marTop w:val="0"/>
      <w:marBottom w:val="0"/>
      <w:divBdr>
        <w:top w:val="none" w:sz="0" w:space="0" w:color="auto"/>
        <w:left w:val="none" w:sz="0" w:space="0" w:color="auto"/>
        <w:bottom w:val="none" w:sz="0" w:space="0" w:color="auto"/>
        <w:right w:val="none" w:sz="0" w:space="0" w:color="auto"/>
      </w:divBdr>
    </w:div>
    <w:div w:id="915869269">
      <w:bodyDiv w:val="1"/>
      <w:marLeft w:val="0"/>
      <w:marRight w:val="0"/>
      <w:marTop w:val="0"/>
      <w:marBottom w:val="0"/>
      <w:divBdr>
        <w:top w:val="none" w:sz="0" w:space="0" w:color="auto"/>
        <w:left w:val="none" w:sz="0" w:space="0" w:color="auto"/>
        <w:bottom w:val="none" w:sz="0" w:space="0" w:color="auto"/>
        <w:right w:val="none" w:sz="0" w:space="0" w:color="auto"/>
      </w:divBdr>
    </w:div>
    <w:div w:id="938023337">
      <w:bodyDiv w:val="1"/>
      <w:marLeft w:val="0"/>
      <w:marRight w:val="0"/>
      <w:marTop w:val="0"/>
      <w:marBottom w:val="0"/>
      <w:divBdr>
        <w:top w:val="none" w:sz="0" w:space="0" w:color="auto"/>
        <w:left w:val="none" w:sz="0" w:space="0" w:color="auto"/>
        <w:bottom w:val="none" w:sz="0" w:space="0" w:color="auto"/>
        <w:right w:val="none" w:sz="0" w:space="0" w:color="auto"/>
      </w:divBdr>
    </w:div>
    <w:div w:id="1117409133">
      <w:bodyDiv w:val="1"/>
      <w:marLeft w:val="0"/>
      <w:marRight w:val="0"/>
      <w:marTop w:val="0"/>
      <w:marBottom w:val="0"/>
      <w:divBdr>
        <w:top w:val="none" w:sz="0" w:space="0" w:color="auto"/>
        <w:left w:val="none" w:sz="0" w:space="0" w:color="auto"/>
        <w:bottom w:val="none" w:sz="0" w:space="0" w:color="auto"/>
        <w:right w:val="none" w:sz="0" w:space="0" w:color="auto"/>
      </w:divBdr>
    </w:div>
    <w:div w:id="1127235131">
      <w:bodyDiv w:val="1"/>
      <w:marLeft w:val="0"/>
      <w:marRight w:val="0"/>
      <w:marTop w:val="0"/>
      <w:marBottom w:val="0"/>
      <w:divBdr>
        <w:top w:val="none" w:sz="0" w:space="0" w:color="auto"/>
        <w:left w:val="none" w:sz="0" w:space="0" w:color="auto"/>
        <w:bottom w:val="none" w:sz="0" w:space="0" w:color="auto"/>
        <w:right w:val="none" w:sz="0" w:space="0" w:color="auto"/>
      </w:divBdr>
    </w:div>
    <w:div w:id="1160392558">
      <w:bodyDiv w:val="1"/>
      <w:marLeft w:val="0"/>
      <w:marRight w:val="0"/>
      <w:marTop w:val="0"/>
      <w:marBottom w:val="0"/>
      <w:divBdr>
        <w:top w:val="none" w:sz="0" w:space="0" w:color="auto"/>
        <w:left w:val="none" w:sz="0" w:space="0" w:color="auto"/>
        <w:bottom w:val="none" w:sz="0" w:space="0" w:color="auto"/>
        <w:right w:val="none" w:sz="0" w:space="0" w:color="auto"/>
      </w:divBdr>
    </w:div>
    <w:div w:id="1221676723">
      <w:bodyDiv w:val="1"/>
      <w:marLeft w:val="0"/>
      <w:marRight w:val="0"/>
      <w:marTop w:val="0"/>
      <w:marBottom w:val="0"/>
      <w:divBdr>
        <w:top w:val="none" w:sz="0" w:space="0" w:color="auto"/>
        <w:left w:val="none" w:sz="0" w:space="0" w:color="auto"/>
        <w:bottom w:val="none" w:sz="0" w:space="0" w:color="auto"/>
        <w:right w:val="none" w:sz="0" w:space="0" w:color="auto"/>
      </w:divBdr>
    </w:div>
    <w:div w:id="1433672174">
      <w:bodyDiv w:val="1"/>
      <w:marLeft w:val="0"/>
      <w:marRight w:val="0"/>
      <w:marTop w:val="0"/>
      <w:marBottom w:val="0"/>
      <w:divBdr>
        <w:top w:val="none" w:sz="0" w:space="0" w:color="auto"/>
        <w:left w:val="none" w:sz="0" w:space="0" w:color="auto"/>
        <w:bottom w:val="none" w:sz="0" w:space="0" w:color="auto"/>
        <w:right w:val="none" w:sz="0" w:space="0" w:color="auto"/>
      </w:divBdr>
    </w:div>
    <w:div w:id="1446316065">
      <w:bodyDiv w:val="1"/>
      <w:marLeft w:val="0"/>
      <w:marRight w:val="0"/>
      <w:marTop w:val="0"/>
      <w:marBottom w:val="0"/>
      <w:divBdr>
        <w:top w:val="none" w:sz="0" w:space="0" w:color="auto"/>
        <w:left w:val="none" w:sz="0" w:space="0" w:color="auto"/>
        <w:bottom w:val="none" w:sz="0" w:space="0" w:color="auto"/>
        <w:right w:val="none" w:sz="0" w:space="0" w:color="auto"/>
      </w:divBdr>
    </w:div>
    <w:div w:id="1459496925">
      <w:bodyDiv w:val="1"/>
      <w:marLeft w:val="0"/>
      <w:marRight w:val="0"/>
      <w:marTop w:val="0"/>
      <w:marBottom w:val="0"/>
      <w:divBdr>
        <w:top w:val="none" w:sz="0" w:space="0" w:color="auto"/>
        <w:left w:val="none" w:sz="0" w:space="0" w:color="auto"/>
        <w:bottom w:val="none" w:sz="0" w:space="0" w:color="auto"/>
        <w:right w:val="none" w:sz="0" w:space="0" w:color="auto"/>
      </w:divBdr>
    </w:div>
    <w:div w:id="1485003294">
      <w:bodyDiv w:val="1"/>
      <w:marLeft w:val="0"/>
      <w:marRight w:val="0"/>
      <w:marTop w:val="0"/>
      <w:marBottom w:val="0"/>
      <w:divBdr>
        <w:top w:val="none" w:sz="0" w:space="0" w:color="auto"/>
        <w:left w:val="none" w:sz="0" w:space="0" w:color="auto"/>
        <w:bottom w:val="none" w:sz="0" w:space="0" w:color="auto"/>
        <w:right w:val="none" w:sz="0" w:space="0" w:color="auto"/>
      </w:divBdr>
    </w:div>
    <w:div w:id="1560021556">
      <w:bodyDiv w:val="1"/>
      <w:marLeft w:val="0"/>
      <w:marRight w:val="0"/>
      <w:marTop w:val="0"/>
      <w:marBottom w:val="0"/>
      <w:divBdr>
        <w:top w:val="none" w:sz="0" w:space="0" w:color="auto"/>
        <w:left w:val="none" w:sz="0" w:space="0" w:color="auto"/>
        <w:bottom w:val="none" w:sz="0" w:space="0" w:color="auto"/>
        <w:right w:val="none" w:sz="0" w:space="0" w:color="auto"/>
      </w:divBdr>
    </w:div>
    <w:div w:id="1590427672">
      <w:bodyDiv w:val="1"/>
      <w:marLeft w:val="0"/>
      <w:marRight w:val="0"/>
      <w:marTop w:val="0"/>
      <w:marBottom w:val="0"/>
      <w:divBdr>
        <w:top w:val="none" w:sz="0" w:space="0" w:color="auto"/>
        <w:left w:val="none" w:sz="0" w:space="0" w:color="auto"/>
        <w:bottom w:val="none" w:sz="0" w:space="0" w:color="auto"/>
        <w:right w:val="none" w:sz="0" w:space="0" w:color="auto"/>
      </w:divBdr>
    </w:div>
    <w:div w:id="1617525086">
      <w:bodyDiv w:val="1"/>
      <w:marLeft w:val="0"/>
      <w:marRight w:val="0"/>
      <w:marTop w:val="0"/>
      <w:marBottom w:val="0"/>
      <w:divBdr>
        <w:top w:val="none" w:sz="0" w:space="0" w:color="auto"/>
        <w:left w:val="none" w:sz="0" w:space="0" w:color="auto"/>
        <w:bottom w:val="none" w:sz="0" w:space="0" w:color="auto"/>
        <w:right w:val="none" w:sz="0" w:space="0" w:color="auto"/>
      </w:divBdr>
    </w:div>
    <w:div w:id="1754424524">
      <w:bodyDiv w:val="1"/>
      <w:marLeft w:val="0"/>
      <w:marRight w:val="0"/>
      <w:marTop w:val="0"/>
      <w:marBottom w:val="0"/>
      <w:divBdr>
        <w:top w:val="none" w:sz="0" w:space="0" w:color="auto"/>
        <w:left w:val="none" w:sz="0" w:space="0" w:color="auto"/>
        <w:bottom w:val="none" w:sz="0" w:space="0" w:color="auto"/>
        <w:right w:val="none" w:sz="0" w:space="0" w:color="auto"/>
      </w:divBdr>
    </w:div>
    <w:div w:id="1854371056">
      <w:bodyDiv w:val="1"/>
      <w:marLeft w:val="0"/>
      <w:marRight w:val="0"/>
      <w:marTop w:val="0"/>
      <w:marBottom w:val="0"/>
      <w:divBdr>
        <w:top w:val="none" w:sz="0" w:space="0" w:color="auto"/>
        <w:left w:val="none" w:sz="0" w:space="0" w:color="auto"/>
        <w:bottom w:val="none" w:sz="0" w:space="0" w:color="auto"/>
        <w:right w:val="none" w:sz="0" w:space="0" w:color="auto"/>
      </w:divBdr>
    </w:div>
    <w:div w:id="1855801838">
      <w:bodyDiv w:val="1"/>
      <w:marLeft w:val="0"/>
      <w:marRight w:val="0"/>
      <w:marTop w:val="0"/>
      <w:marBottom w:val="0"/>
      <w:divBdr>
        <w:top w:val="none" w:sz="0" w:space="0" w:color="auto"/>
        <w:left w:val="none" w:sz="0" w:space="0" w:color="auto"/>
        <w:bottom w:val="none" w:sz="0" w:space="0" w:color="auto"/>
        <w:right w:val="none" w:sz="0" w:space="0" w:color="auto"/>
      </w:divBdr>
    </w:div>
    <w:div w:id="1960139208">
      <w:bodyDiv w:val="1"/>
      <w:marLeft w:val="0"/>
      <w:marRight w:val="0"/>
      <w:marTop w:val="0"/>
      <w:marBottom w:val="0"/>
      <w:divBdr>
        <w:top w:val="none" w:sz="0" w:space="0" w:color="auto"/>
        <w:left w:val="none" w:sz="0" w:space="0" w:color="auto"/>
        <w:bottom w:val="none" w:sz="0" w:space="0" w:color="auto"/>
        <w:right w:val="none" w:sz="0" w:space="0" w:color="auto"/>
      </w:divBdr>
    </w:div>
    <w:div w:id="1963267155">
      <w:bodyDiv w:val="1"/>
      <w:marLeft w:val="0"/>
      <w:marRight w:val="0"/>
      <w:marTop w:val="0"/>
      <w:marBottom w:val="0"/>
      <w:divBdr>
        <w:top w:val="none" w:sz="0" w:space="0" w:color="auto"/>
        <w:left w:val="none" w:sz="0" w:space="0" w:color="auto"/>
        <w:bottom w:val="none" w:sz="0" w:space="0" w:color="auto"/>
        <w:right w:val="none" w:sz="0" w:space="0" w:color="auto"/>
      </w:divBdr>
    </w:div>
    <w:div w:id="2072538699">
      <w:bodyDiv w:val="1"/>
      <w:marLeft w:val="0"/>
      <w:marRight w:val="0"/>
      <w:marTop w:val="0"/>
      <w:marBottom w:val="0"/>
      <w:divBdr>
        <w:top w:val="none" w:sz="0" w:space="0" w:color="auto"/>
        <w:left w:val="none" w:sz="0" w:space="0" w:color="auto"/>
        <w:bottom w:val="none" w:sz="0" w:space="0" w:color="auto"/>
        <w:right w:val="none" w:sz="0" w:space="0" w:color="auto"/>
      </w:divBdr>
    </w:div>
    <w:div w:id="2120055526">
      <w:bodyDiv w:val="1"/>
      <w:marLeft w:val="0"/>
      <w:marRight w:val="0"/>
      <w:marTop w:val="0"/>
      <w:marBottom w:val="0"/>
      <w:divBdr>
        <w:top w:val="none" w:sz="0" w:space="0" w:color="auto"/>
        <w:left w:val="none" w:sz="0" w:space="0" w:color="auto"/>
        <w:bottom w:val="none" w:sz="0" w:space="0" w:color="auto"/>
        <w:right w:val="none" w:sz="0" w:space="0" w:color="auto"/>
      </w:divBdr>
    </w:div>
    <w:div w:id="213937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4E5532D0-D251-42D6-924C-F7E62715BE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6B87AB7E9B5EF4C887C9C9395205717" ma:contentTypeVersion="" ma:contentTypeDescription="PDMS Document Site Content Type" ma:contentTypeScope="" ma:versionID="4106190557e1ca3c80563009a75e7b55">
  <xsd:schema xmlns:xsd="http://www.w3.org/2001/XMLSchema" xmlns:xs="http://www.w3.org/2001/XMLSchema" xmlns:p="http://schemas.microsoft.com/office/2006/metadata/properties" xmlns:ns2="4E5532D0-D251-42D6-924C-F7E62715BE69" targetNamespace="http://schemas.microsoft.com/office/2006/metadata/properties" ma:root="true" ma:fieldsID="0c12da24e33697a373d73be97bd3d50f" ns2:_="">
    <xsd:import namespace="4E5532D0-D251-42D6-924C-F7E62715BE6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532D0-D251-42D6-924C-F7E62715BE6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C3415-9459-4E10-80A8-96E10F0B8FF4}">
  <ds:schemaRefs>
    <ds:schemaRef ds:uri="http://schemas.microsoft.com/sharepoint/v3/contenttype/forms"/>
  </ds:schemaRefs>
</ds:datastoreItem>
</file>

<file path=customXml/itemProps2.xml><?xml version="1.0" encoding="utf-8"?>
<ds:datastoreItem xmlns:ds="http://schemas.openxmlformats.org/officeDocument/2006/customXml" ds:itemID="{CF06F9D8-9652-41F4-8764-74F7E1ACDBB7}">
  <ds:schemaRefs>
    <ds:schemaRef ds:uri="http://purl.org/dc/terms/"/>
    <ds:schemaRef ds:uri="http://schemas.openxmlformats.org/package/2006/metadata/core-properties"/>
    <ds:schemaRef ds:uri="4E5532D0-D251-42D6-924C-F7E62715BE6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3995683-4EF2-492D-8BF9-46F781F3F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532D0-D251-42D6-924C-F7E62715B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2E5D2B-93B8-4B79-BD7F-E174FE4D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Template>
  <TotalTime>0</TotalTime>
  <Pages>22</Pages>
  <Words>7253</Words>
  <Characters>41344</Characters>
  <Application>Microsoft Office Word</Application>
  <DocSecurity>0</DocSecurity>
  <PresentationFormat/>
  <Lines>344</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2013-07-15T03:46:00Z</cp:lastPrinted>
  <dcterms:created xsi:type="dcterms:W3CDTF">2019-09-25T01:11:00Z</dcterms:created>
  <dcterms:modified xsi:type="dcterms:W3CDTF">2019-09-25T01:11:00Z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National Health Security (National Notifiable Disease List) Amendment (Vectorborne Diseases) Instrument 2014</vt:lpwstr>
  </property>
  <property fmtid="{D5CDD505-2E9C-101B-9397-08002B2CF9AE}" pid="4" name="Class">
    <vt:lpwstr>Instrument</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
  </property>
  <property fmtid="{D5CDD505-2E9C-101B-9397-08002B2CF9AE}" pid="9" name="ID">
    <vt:lpwstr>OPC60485</vt:lpwstr>
  </property>
  <property fmtid="{D5CDD505-2E9C-101B-9397-08002B2CF9AE}" pid="10" name="Classification">
    <vt:lpwstr> </vt:lpwstr>
  </property>
  <property fmtid="{D5CDD505-2E9C-101B-9397-08002B2CF9AE}" pid="11" name="DLM">
    <vt:lpwstr> </vt:lpwstr>
  </property>
  <property fmtid="{D5CDD505-2E9C-101B-9397-08002B2CF9AE}" pid="12" name="ActMadeUnder">
    <vt:lpwstr>subsection 11(3) of the National Health Security Act 2007</vt:lpwstr>
  </property>
  <property fmtid="{D5CDD505-2E9C-101B-9397-08002B2CF9AE}" pid="13" name="NonLegInst">
    <vt:lpwstr>0</vt:lpwstr>
  </property>
  <property fmtid="{D5CDD505-2E9C-101B-9397-08002B2CF9AE}" pid="14" name="Number">
    <vt:lpwstr>A</vt:lpwstr>
  </property>
  <property fmtid="{D5CDD505-2E9C-101B-9397-08002B2CF9AE}" pid="15" name="CounterSign">
    <vt:lpwstr/>
  </property>
  <property fmtid="{D5CDD505-2E9C-101B-9397-08002B2CF9AE}" pid="16" name="DateMade">
    <vt:lpwstr>24 June 2014</vt:lpwstr>
  </property>
  <property fmtid="{D5CDD505-2E9C-101B-9397-08002B2CF9AE}" pid="17" name="ContentTypeId">
    <vt:lpwstr>0x010100266966F133664895A6EE3632470D45F500F6B87AB7E9B5EF4C887C9C9395205717</vt:lpwstr>
  </property>
  <property fmtid="{D5CDD505-2E9C-101B-9397-08002B2CF9AE}" pid="18" name="Project doc type">
    <vt:lpwstr>48;#E. Deliverables|0f05b71d-e5f3-4d2e-afe4-cc2f30331a3f</vt:lpwstr>
  </property>
  <property fmtid="{D5CDD505-2E9C-101B-9397-08002B2CF9AE}" pid="19" name="Doc type - level 2">
    <vt:lpwstr/>
  </property>
</Properties>
</file>