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1F3848" w14:textId="77777777" w:rsidR="007563CF" w:rsidRPr="00953BE3" w:rsidRDefault="007563CF" w:rsidP="00474F70">
      <w:pPr>
        <w:pStyle w:val="Title"/>
      </w:pPr>
      <w:r w:rsidRPr="00953BE3">
        <w:t>Evaluation Report of the Diabetes Care Project</w:t>
      </w:r>
    </w:p>
    <w:p w14:paraId="31BF1FF6" w14:textId="77777777" w:rsidR="007563CF" w:rsidRDefault="007563CF" w:rsidP="007563CF">
      <w:r>
        <w:br w:type="page"/>
      </w:r>
    </w:p>
    <w:p w14:paraId="0C39F950" w14:textId="77777777" w:rsidR="0053744B" w:rsidRDefault="0053744B" w:rsidP="002B2375">
      <w:pPr>
        <w:pStyle w:val="33contentschapter"/>
      </w:pPr>
      <w:r w:rsidRPr="0011645E">
        <w:lastRenderedPageBreak/>
        <w:t>Contents</w:t>
      </w:r>
    </w:p>
    <w:p w14:paraId="271E167B" w14:textId="77777777" w:rsidR="002B2375" w:rsidRPr="002B2375" w:rsidRDefault="002B2375" w:rsidP="002B2375">
      <w:pPr>
        <w:tabs>
          <w:tab w:val="left" w:pos="454"/>
          <w:tab w:val="left" w:pos="8165"/>
        </w:tabs>
        <w:rPr>
          <w:rFonts w:ascii="Arial" w:hAnsi="Arial" w:cs="Arial"/>
        </w:rPr>
      </w:pPr>
      <w:r w:rsidRPr="002B2375">
        <w:rPr>
          <w:rFonts w:ascii="Arial" w:hAnsi="Arial" w:cs="Arial"/>
        </w:rPr>
        <w:tab/>
        <w:t>Foreword</w:t>
      </w:r>
      <w:r w:rsidRPr="002B2375">
        <w:rPr>
          <w:rFonts w:ascii="Arial" w:hAnsi="Arial" w:cs="Arial"/>
        </w:rPr>
        <w:tab/>
        <w:t>1</w:t>
      </w:r>
    </w:p>
    <w:p w14:paraId="48512ACD" w14:textId="77777777" w:rsidR="00324D97" w:rsidRDefault="00FB6D3C">
      <w:pPr>
        <w:pStyle w:val="TOC1"/>
        <w:rPr>
          <w:rFonts w:asciiTheme="minorHAnsi" w:eastAsiaTheme="minorEastAsia" w:hAnsiTheme="minorHAnsi" w:cstheme="minorBidi"/>
          <w:noProof/>
          <w:sz w:val="22"/>
          <w:szCs w:val="22"/>
          <w:lang w:val="en-AU" w:eastAsia="en-AU"/>
        </w:rPr>
      </w:pPr>
      <w:r w:rsidRPr="00F36A0F">
        <w:rPr>
          <w:lang w:val="en-AU"/>
        </w:rPr>
        <w:fldChar w:fldCharType="begin"/>
      </w:r>
      <w:r w:rsidRPr="00FC688D">
        <w:rPr>
          <w:lang w:val="en-AU"/>
        </w:rPr>
        <w:instrText xml:space="preserve"> TOC \h \z \t "20 major,2,32 chapter title,1" </w:instrText>
      </w:r>
      <w:r w:rsidRPr="00F36A0F">
        <w:rPr>
          <w:lang w:val="en-AU"/>
        </w:rPr>
        <w:fldChar w:fldCharType="separate"/>
      </w:r>
      <w:hyperlink w:anchor="_Toc419905876" w:history="1">
        <w:r w:rsidR="00324D97" w:rsidRPr="0028130A">
          <w:rPr>
            <w:rStyle w:val="Hyperlink"/>
            <w:noProof/>
          </w:rPr>
          <w:t>Executive Summary</w:t>
        </w:r>
        <w:r w:rsidR="00324D97">
          <w:rPr>
            <w:noProof/>
            <w:webHidden/>
          </w:rPr>
          <w:tab/>
        </w:r>
        <w:r w:rsidR="00324D97">
          <w:rPr>
            <w:noProof/>
            <w:webHidden/>
          </w:rPr>
          <w:fldChar w:fldCharType="begin"/>
        </w:r>
        <w:r w:rsidR="00324D97">
          <w:rPr>
            <w:noProof/>
            <w:webHidden/>
          </w:rPr>
          <w:instrText xml:space="preserve"> PAGEREF _Toc419905876 \h </w:instrText>
        </w:r>
        <w:r w:rsidR="00324D97">
          <w:rPr>
            <w:noProof/>
            <w:webHidden/>
          </w:rPr>
        </w:r>
        <w:r w:rsidR="00324D97">
          <w:rPr>
            <w:noProof/>
            <w:webHidden/>
          </w:rPr>
          <w:fldChar w:fldCharType="separate"/>
        </w:r>
        <w:r w:rsidR="00FA7617">
          <w:rPr>
            <w:noProof/>
            <w:webHidden/>
          </w:rPr>
          <w:t>2</w:t>
        </w:r>
        <w:r w:rsidR="00324D97">
          <w:rPr>
            <w:noProof/>
            <w:webHidden/>
          </w:rPr>
          <w:fldChar w:fldCharType="end"/>
        </w:r>
      </w:hyperlink>
    </w:p>
    <w:p w14:paraId="6CE3C433" w14:textId="77777777" w:rsidR="00324D97" w:rsidRDefault="002F16C1">
      <w:pPr>
        <w:pStyle w:val="TOC1"/>
        <w:rPr>
          <w:rFonts w:asciiTheme="minorHAnsi" w:eastAsiaTheme="minorEastAsia" w:hAnsiTheme="minorHAnsi" w:cstheme="minorBidi"/>
          <w:noProof/>
          <w:sz w:val="22"/>
          <w:szCs w:val="22"/>
          <w:lang w:val="en-AU" w:eastAsia="en-AU"/>
        </w:rPr>
      </w:pPr>
      <w:hyperlink w:anchor="_Toc419905877" w:history="1">
        <w:r w:rsidR="00324D97" w:rsidRPr="0028130A">
          <w:rPr>
            <w:rStyle w:val="Hyperlink"/>
            <w:noProof/>
          </w:rPr>
          <w:t>Acronyms and Glossary of Terms</w:t>
        </w:r>
        <w:r w:rsidR="00324D97">
          <w:rPr>
            <w:noProof/>
            <w:webHidden/>
          </w:rPr>
          <w:tab/>
        </w:r>
        <w:r w:rsidR="00324D97">
          <w:rPr>
            <w:noProof/>
            <w:webHidden/>
          </w:rPr>
          <w:fldChar w:fldCharType="begin"/>
        </w:r>
        <w:r w:rsidR="00324D97">
          <w:rPr>
            <w:noProof/>
            <w:webHidden/>
          </w:rPr>
          <w:instrText xml:space="preserve"> PAGEREF _Toc419905877 \h </w:instrText>
        </w:r>
        <w:r w:rsidR="00324D97">
          <w:rPr>
            <w:noProof/>
            <w:webHidden/>
          </w:rPr>
        </w:r>
        <w:r w:rsidR="00324D97">
          <w:rPr>
            <w:noProof/>
            <w:webHidden/>
          </w:rPr>
          <w:fldChar w:fldCharType="separate"/>
        </w:r>
        <w:r w:rsidR="00FA7617">
          <w:rPr>
            <w:noProof/>
            <w:webHidden/>
          </w:rPr>
          <w:t>4</w:t>
        </w:r>
        <w:r w:rsidR="00324D97">
          <w:rPr>
            <w:noProof/>
            <w:webHidden/>
          </w:rPr>
          <w:fldChar w:fldCharType="end"/>
        </w:r>
      </w:hyperlink>
    </w:p>
    <w:p w14:paraId="78EACE89" w14:textId="77777777" w:rsidR="00324D97" w:rsidRDefault="002F16C1">
      <w:pPr>
        <w:pStyle w:val="TOC1"/>
        <w:rPr>
          <w:rFonts w:asciiTheme="minorHAnsi" w:eastAsiaTheme="minorEastAsia" w:hAnsiTheme="minorHAnsi" w:cstheme="minorBidi"/>
          <w:noProof/>
          <w:sz w:val="22"/>
          <w:szCs w:val="22"/>
          <w:lang w:val="en-AU" w:eastAsia="en-AU"/>
        </w:rPr>
      </w:pPr>
      <w:hyperlink w:anchor="_Toc419905878" w:history="1">
        <w:r w:rsidR="00324D97" w:rsidRPr="0028130A">
          <w:rPr>
            <w:rStyle w:val="Hyperlink"/>
            <w:noProof/>
          </w:rPr>
          <w:t>Chapter 1—Diabetes in Australia</w:t>
        </w:r>
        <w:r w:rsidR="00324D97">
          <w:rPr>
            <w:noProof/>
            <w:webHidden/>
          </w:rPr>
          <w:tab/>
        </w:r>
        <w:r w:rsidR="00324D97">
          <w:rPr>
            <w:noProof/>
            <w:webHidden/>
          </w:rPr>
          <w:fldChar w:fldCharType="begin"/>
        </w:r>
        <w:r w:rsidR="00324D97">
          <w:rPr>
            <w:noProof/>
            <w:webHidden/>
          </w:rPr>
          <w:instrText xml:space="preserve"> PAGEREF _Toc419905878 \h </w:instrText>
        </w:r>
        <w:r w:rsidR="00324D97">
          <w:rPr>
            <w:noProof/>
            <w:webHidden/>
          </w:rPr>
        </w:r>
        <w:r w:rsidR="00324D97">
          <w:rPr>
            <w:noProof/>
            <w:webHidden/>
          </w:rPr>
          <w:fldChar w:fldCharType="separate"/>
        </w:r>
        <w:r w:rsidR="00FA7617">
          <w:rPr>
            <w:noProof/>
            <w:webHidden/>
          </w:rPr>
          <w:t>6</w:t>
        </w:r>
        <w:r w:rsidR="00324D97">
          <w:rPr>
            <w:noProof/>
            <w:webHidden/>
          </w:rPr>
          <w:fldChar w:fldCharType="end"/>
        </w:r>
      </w:hyperlink>
    </w:p>
    <w:p w14:paraId="63026144" w14:textId="77777777" w:rsidR="00324D97" w:rsidRDefault="002F16C1">
      <w:pPr>
        <w:pStyle w:val="TOC2"/>
        <w:rPr>
          <w:rFonts w:asciiTheme="minorHAnsi" w:eastAsiaTheme="minorEastAsia" w:hAnsiTheme="minorHAnsi" w:cstheme="minorBidi"/>
          <w:noProof/>
          <w:sz w:val="22"/>
          <w:szCs w:val="22"/>
          <w:lang w:eastAsia="en-AU"/>
        </w:rPr>
      </w:pPr>
      <w:hyperlink w:anchor="_Toc419905879" w:history="1">
        <w:r w:rsidR="00324D97" w:rsidRPr="0028130A">
          <w:rPr>
            <w:rStyle w:val="Hyperlink"/>
            <w:noProof/>
          </w:rPr>
          <w:t>1.1 The Burden of Diabetes in Australia</w:t>
        </w:r>
        <w:r w:rsidR="00324D97">
          <w:rPr>
            <w:noProof/>
            <w:webHidden/>
          </w:rPr>
          <w:tab/>
        </w:r>
        <w:r w:rsidR="00324D97">
          <w:rPr>
            <w:noProof/>
            <w:webHidden/>
          </w:rPr>
          <w:fldChar w:fldCharType="begin"/>
        </w:r>
        <w:r w:rsidR="00324D97">
          <w:rPr>
            <w:noProof/>
            <w:webHidden/>
          </w:rPr>
          <w:instrText xml:space="preserve"> PAGEREF _Toc419905879 \h </w:instrText>
        </w:r>
        <w:r w:rsidR="00324D97">
          <w:rPr>
            <w:noProof/>
            <w:webHidden/>
          </w:rPr>
        </w:r>
        <w:r w:rsidR="00324D97">
          <w:rPr>
            <w:noProof/>
            <w:webHidden/>
          </w:rPr>
          <w:fldChar w:fldCharType="separate"/>
        </w:r>
        <w:r w:rsidR="00FA7617">
          <w:rPr>
            <w:noProof/>
            <w:webHidden/>
          </w:rPr>
          <w:t>6</w:t>
        </w:r>
        <w:r w:rsidR="00324D97">
          <w:rPr>
            <w:noProof/>
            <w:webHidden/>
          </w:rPr>
          <w:fldChar w:fldCharType="end"/>
        </w:r>
      </w:hyperlink>
    </w:p>
    <w:p w14:paraId="6D5A6583" w14:textId="77777777" w:rsidR="00324D97" w:rsidRDefault="002F16C1">
      <w:pPr>
        <w:pStyle w:val="TOC2"/>
        <w:rPr>
          <w:rFonts w:asciiTheme="minorHAnsi" w:eastAsiaTheme="minorEastAsia" w:hAnsiTheme="minorHAnsi" w:cstheme="minorBidi"/>
          <w:noProof/>
          <w:sz w:val="22"/>
          <w:szCs w:val="22"/>
          <w:lang w:eastAsia="en-AU"/>
        </w:rPr>
      </w:pPr>
      <w:hyperlink w:anchor="_Toc419905880" w:history="1">
        <w:r w:rsidR="00324D97" w:rsidRPr="0028130A">
          <w:rPr>
            <w:rStyle w:val="Hyperlink"/>
            <w:noProof/>
          </w:rPr>
          <w:t>1.2 Opportunities to Improve Diabetes Care in Australia</w:t>
        </w:r>
        <w:r w:rsidR="00324D97">
          <w:rPr>
            <w:noProof/>
            <w:webHidden/>
          </w:rPr>
          <w:tab/>
        </w:r>
        <w:r w:rsidR="00324D97">
          <w:rPr>
            <w:noProof/>
            <w:webHidden/>
          </w:rPr>
          <w:fldChar w:fldCharType="begin"/>
        </w:r>
        <w:r w:rsidR="00324D97">
          <w:rPr>
            <w:noProof/>
            <w:webHidden/>
          </w:rPr>
          <w:instrText xml:space="preserve"> PAGEREF _Toc419905880 \h </w:instrText>
        </w:r>
        <w:r w:rsidR="00324D97">
          <w:rPr>
            <w:noProof/>
            <w:webHidden/>
          </w:rPr>
        </w:r>
        <w:r w:rsidR="00324D97">
          <w:rPr>
            <w:noProof/>
            <w:webHidden/>
          </w:rPr>
          <w:fldChar w:fldCharType="separate"/>
        </w:r>
        <w:r w:rsidR="00FA7617">
          <w:rPr>
            <w:noProof/>
            <w:webHidden/>
          </w:rPr>
          <w:t>8</w:t>
        </w:r>
        <w:r w:rsidR="00324D97">
          <w:rPr>
            <w:noProof/>
            <w:webHidden/>
          </w:rPr>
          <w:fldChar w:fldCharType="end"/>
        </w:r>
      </w:hyperlink>
    </w:p>
    <w:p w14:paraId="3FF53D70" w14:textId="77777777" w:rsidR="00324D97" w:rsidRDefault="002F16C1">
      <w:pPr>
        <w:pStyle w:val="TOC1"/>
        <w:rPr>
          <w:rFonts w:asciiTheme="minorHAnsi" w:eastAsiaTheme="minorEastAsia" w:hAnsiTheme="minorHAnsi" w:cstheme="minorBidi"/>
          <w:noProof/>
          <w:sz w:val="22"/>
          <w:szCs w:val="22"/>
          <w:lang w:val="en-AU" w:eastAsia="en-AU"/>
        </w:rPr>
      </w:pPr>
      <w:hyperlink w:anchor="_Toc419905881" w:history="1">
        <w:r w:rsidR="00324D97" w:rsidRPr="0028130A">
          <w:rPr>
            <w:rStyle w:val="Hyperlink"/>
            <w:noProof/>
          </w:rPr>
          <w:t>Chapter 2—Design of the Diabetes Care Project (DCP)</w:t>
        </w:r>
        <w:r w:rsidR="00324D97">
          <w:rPr>
            <w:noProof/>
            <w:webHidden/>
          </w:rPr>
          <w:tab/>
        </w:r>
        <w:r w:rsidR="00324D97">
          <w:rPr>
            <w:noProof/>
            <w:webHidden/>
          </w:rPr>
          <w:fldChar w:fldCharType="begin"/>
        </w:r>
        <w:r w:rsidR="00324D97">
          <w:rPr>
            <w:noProof/>
            <w:webHidden/>
          </w:rPr>
          <w:instrText xml:space="preserve"> PAGEREF _Toc419905881 \h </w:instrText>
        </w:r>
        <w:r w:rsidR="00324D97">
          <w:rPr>
            <w:noProof/>
            <w:webHidden/>
          </w:rPr>
        </w:r>
        <w:r w:rsidR="00324D97">
          <w:rPr>
            <w:noProof/>
            <w:webHidden/>
          </w:rPr>
          <w:fldChar w:fldCharType="separate"/>
        </w:r>
        <w:r w:rsidR="00FA7617">
          <w:rPr>
            <w:noProof/>
            <w:webHidden/>
          </w:rPr>
          <w:t>11</w:t>
        </w:r>
        <w:r w:rsidR="00324D97">
          <w:rPr>
            <w:noProof/>
            <w:webHidden/>
          </w:rPr>
          <w:fldChar w:fldCharType="end"/>
        </w:r>
      </w:hyperlink>
    </w:p>
    <w:p w14:paraId="3E42CC6D" w14:textId="77777777" w:rsidR="00324D97" w:rsidRDefault="002F16C1">
      <w:pPr>
        <w:pStyle w:val="TOC2"/>
        <w:rPr>
          <w:rFonts w:asciiTheme="minorHAnsi" w:eastAsiaTheme="minorEastAsia" w:hAnsiTheme="minorHAnsi" w:cstheme="minorBidi"/>
          <w:noProof/>
          <w:sz w:val="22"/>
          <w:szCs w:val="22"/>
          <w:lang w:eastAsia="en-AU"/>
        </w:rPr>
      </w:pPr>
      <w:hyperlink w:anchor="_Toc419905882" w:history="1">
        <w:r w:rsidR="00324D97" w:rsidRPr="0028130A">
          <w:rPr>
            <w:rStyle w:val="Hyperlink"/>
            <w:noProof/>
          </w:rPr>
          <w:t>2.1 Background and Objectives of the DCP</w:t>
        </w:r>
        <w:r w:rsidR="00324D97">
          <w:rPr>
            <w:noProof/>
            <w:webHidden/>
          </w:rPr>
          <w:tab/>
        </w:r>
        <w:r w:rsidR="00324D97">
          <w:rPr>
            <w:noProof/>
            <w:webHidden/>
          </w:rPr>
          <w:fldChar w:fldCharType="begin"/>
        </w:r>
        <w:r w:rsidR="00324D97">
          <w:rPr>
            <w:noProof/>
            <w:webHidden/>
          </w:rPr>
          <w:instrText xml:space="preserve"> PAGEREF _Toc419905882 \h </w:instrText>
        </w:r>
        <w:r w:rsidR="00324D97">
          <w:rPr>
            <w:noProof/>
            <w:webHidden/>
          </w:rPr>
        </w:r>
        <w:r w:rsidR="00324D97">
          <w:rPr>
            <w:noProof/>
            <w:webHidden/>
          </w:rPr>
          <w:fldChar w:fldCharType="separate"/>
        </w:r>
        <w:r w:rsidR="00FA7617">
          <w:rPr>
            <w:noProof/>
            <w:webHidden/>
          </w:rPr>
          <w:t>11</w:t>
        </w:r>
        <w:r w:rsidR="00324D97">
          <w:rPr>
            <w:noProof/>
            <w:webHidden/>
          </w:rPr>
          <w:fldChar w:fldCharType="end"/>
        </w:r>
      </w:hyperlink>
    </w:p>
    <w:p w14:paraId="23A94A2A" w14:textId="77777777" w:rsidR="00324D97" w:rsidRDefault="002F16C1">
      <w:pPr>
        <w:pStyle w:val="TOC2"/>
        <w:rPr>
          <w:rFonts w:asciiTheme="minorHAnsi" w:eastAsiaTheme="minorEastAsia" w:hAnsiTheme="minorHAnsi" w:cstheme="minorBidi"/>
          <w:noProof/>
          <w:sz w:val="22"/>
          <w:szCs w:val="22"/>
          <w:lang w:eastAsia="en-AU"/>
        </w:rPr>
      </w:pPr>
      <w:hyperlink w:anchor="_Toc419905883" w:history="1">
        <w:r w:rsidR="00324D97" w:rsidRPr="0028130A">
          <w:rPr>
            <w:rStyle w:val="Hyperlink"/>
            <w:noProof/>
          </w:rPr>
          <w:t>2.2 DCP Interventions</w:t>
        </w:r>
        <w:r w:rsidR="00324D97">
          <w:rPr>
            <w:noProof/>
            <w:webHidden/>
          </w:rPr>
          <w:tab/>
        </w:r>
        <w:r w:rsidR="00324D97">
          <w:rPr>
            <w:noProof/>
            <w:webHidden/>
          </w:rPr>
          <w:fldChar w:fldCharType="begin"/>
        </w:r>
        <w:r w:rsidR="00324D97">
          <w:rPr>
            <w:noProof/>
            <w:webHidden/>
          </w:rPr>
          <w:instrText xml:space="preserve"> PAGEREF _Toc419905883 \h </w:instrText>
        </w:r>
        <w:r w:rsidR="00324D97">
          <w:rPr>
            <w:noProof/>
            <w:webHidden/>
          </w:rPr>
        </w:r>
        <w:r w:rsidR="00324D97">
          <w:rPr>
            <w:noProof/>
            <w:webHidden/>
          </w:rPr>
          <w:fldChar w:fldCharType="separate"/>
        </w:r>
        <w:r w:rsidR="00FA7617">
          <w:rPr>
            <w:noProof/>
            <w:webHidden/>
          </w:rPr>
          <w:t>14</w:t>
        </w:r>
        <w:r w:rsidR="00324D97">
          <w:rPr>
            <w:noProof/>
            <w:webHidden/>
          </w:rPr>
          <w:fldChar w:fldCharType="end"/>
        </w:r>
      </w:hyperlink>
    </w:p>
    <w:p w14:paraId="308EFB8F" w14:textId="77777777" w:rsidR="00324D97" w:rsidRDefault="002F16C1">
      <w:pPr>
        <w:pStyle w:val="TOC2"/>
        <w:rPr>
          <w:rFonts w:asciiTheme="minorHAnsi" w:eastAsiaTheme="minorEastAsia" w:hAnsiTheme="minorHAnsi" w:cstheme="minorBidi"/>
          <w:noProof/>
          <w:sz w:val="22"/>
          <w:szCs w:val="22"/>
          <w:lang w:eastAsia="en-AU"/>
        </w:rPr>
      </w:pPr>
      <w:hyperlink w:anchor="_Toc419905884" w:history="1">
        <w:r w:rsidR="00324D97" w:rsidRPr="0028130A">
          <w:rPr>
            <w:rStyle w:val="Hyperlink"/>
            <w:rFonts w:eastAsiaTheme="minorHAnsi"/>
            <w:noProof/>
          </w:rPr>
          <w:t>2.3 DCP Trial Design</w:t>
        </w:r>
        <w:r w:rsidR="00324D97">
          <w:rPr>
            <w:noProof/>
            <w:webHidden/>
          </w:rPr>
          <w:tab/>
        </w:r>
        <w:r w:rsidR="00324D97">
          <w:rPr>
            <w:noProof/>
            <w:webHidden/>
          </w:rPr>
          <w:fldChar w:fldCharType="begin"/>
        </w:r>
        <w:r w:rsidR="00324D97">
          <w:rPr>
            <w:noProof/>
            <w:webHidden/>
          </w:rPr>
          <w:instrText xml:space="preserve"> PAGEREF _Toc419905884 \h </w:instrText>
        </w:r>
        <w:r w:rsidR="00324D97">
          <w:rPr>
            <w:noProof/>
            <w:webHidden/>
          </w:rPr>
        </w:r>
        <w:r w:rsidR="00324D97">
          <w:rPr>
            <w:noProof/>
            <w:webHidden/>
          </w:rPr>
          <w:fldChar w:fldCharType="separate"/>
        </w:r>
        <w:r w:rsidR="00FA7617">
          <w:rPr>
            <w:noProof/>
            <w:webHidden/>
          </w:rPr>
          <w:t>24</w:t>
        </w:r>
        <w:r w:rsidR="00324D97">
          <w:rPr>
            <w:noProof/>
            <w:webHidden/>
          </w:rPr>
          <w:fldChar w:fldCharType="end"/>
        </w:r>
      </w:hyperlink>
    </w:p>
    <w:p w14:paraId="78556FAB" w14:textId="77777777" w:rsidR="00324D97" w:rsidRDefault="002F16C1">
      <w:pPr>
        <w:pStyle w:val="TOC1"/>
        <w:rPr>
          <w:rFonts w:asciiTheme="minorHAnsi" w:eastAsiaTheme="minorEastAsia" w:hAnsiTheme="minorHAnsi" w:cstheme="minorBidi"/>
          <w:noProof/>
          <w:sz w:val="22"/>
          <w:szCs w:val="22"/>
          <w:lang w:val="en-AU" w:eastAsia="en-AU"/>
        </w:rPr>
      </w:pPr>
      <w:hyperlink w:anchor="_Toc419905885" w:history="1">
        <w:r w:rsidR="00324D97" w:rsidRPr="0028130A">
          <w:rPr>
            <w:rStyle w:val="Hyperlink"/>
            <w:rFonts w:eastAsiaTheme="minorHAnsi"/>
            <w:noProof/>
          </w:rPr>
          <w:t>Chapter 3—Implementation and Results of the DCP</w:t>
        </w:r>
        <w:r w:rsidR="00324D97">
          <w:rPr>
            <w:noProof/>
            <w:webHidden/>
          </w:rPr>
          <w:tab/>
        </w:r>
        <w:r w:rsidR="00324D97">
          <w:rPr>
            <w:noProof/>
            <w:webHidden/>
          </w:rPr>
          <w:fldChar w:fldCharType="begin"/>
        </w:r>
        <w:r w:rsidR="00324D97">
          <w:rPr>
            <w:noProof/>
            <w:webHidden/>
          </w:rPr>
          <w:instrText xml:space="preserve"> PAGEREF _Toc419905885 \h </w:instrText>
        </w:r>
        <w:r w:rsidR="00324D97">
          <w:rPr>
            <w:noProof/>
            <w:webHidden/>
          </w:rPr>
        </w:r>
        <w:r w:rsidR="00324D97">
          <w:rPr>
            <w:noProof/>
            <w:webHidden/>
          </w:rPr>
          <w:fldChar w:fldCharType="separate"/>
        </w:r>
        <w:r w:rsidR="00FA7617">
          <w:rPr>
            <w:noProof/>
            <w:webHidden/>
          </w:rPr>
          <w:t>28</w:t>
        </w:r>
        <w:r w:rsidR="00324D97">
          <w:rPr>
            <w:noProof/>
            <w:webHidden/>
          </w:rPr>
          <w:fldChar w:fldCharType="end"/>
        </w:r>
      </w:hyperlink>
    </w:p>
    <w:p w14:paraId="00A9E158" w14:textId="77777777" w:rsidR="00324D97" w:rsidRDefault="002F16C1">
      <w:pPr>
        <w:pStyle w:val="TOC2"/>
        <w:rPr>
          <w:rFonts w:asciiTheme="minorHAnsi" w:eastAsiaTheme="minorEastAsia" w:hAnsiTheme="minorHAnsi" w:cstheme="minorBidi"/>
          <w:noProof/>
          <w:sz w:val="22"/>
          <w:szCs w:val="22"/>
          <w:lang w:eastAsia="en-AU"/>
        </w:rPr>
      </w:pPr>
      <w:hyperlink w:anchor="_Toc419905886" w:history="1">
        <w:r w:rsidR="00324D97" w:rsidRPr="0028130A">
          <w:rPr>
            <w:rStyle w:val="Hyperlink"/>
            <w:rFonts w:eastAsiaTheme="minorHAnsi"/>
            <w:noProof/>
          </w:rPr>
          <w:t>3.1 Participation by Practices and People with Diabetes</w:t>
        </w:r>
        <w:r w:rsidR="00324D97">
          <w:rPr>
            <w:noProof/>
            <w:webHidden/>
          </w:rPr>
          <w:tab/>
        </w:r>
        <w:r w:rsidR="00324D97">
          <w:rPr>
            <w:noProof/>
            <w:webHidden/>
          </w:rPr>
          <w:fldChar w:fldCharType="begin"/>
        </w:r>
        <w:r w:rsidR="00324D97">
          <w:rPr>
            <w:noProof/>
            <w:webHidden/>
          </w:rPr>
          <w:instrText xml:space="preserve"> PAGEREF _Toc419905886 \h </w:instrText>
        </w:r>
        <w:r w:rsidR="00324D97">
          <w:rPr>
            <w:noProof/>
            <w:webHidden/>
          </w:rPr>
        </w:r>
        <w:r w:rsidR="00324D97">
          <w:rPr>
            <w:noProof/>
            <w:webHidden/>
          </w:rPr>
          <w:fldChar w:fldCharType="separate"/>
        </w:r>
        <w:r w:rsidR="00FA7617">
          <w:rPr>
            <w:noProof/>
            <w:webHidden/>
          </w:rPr>
          <w:t>28</w:t>
        </w:r>
        <w:r w:rsidR="00324D97">
          <w:rPr>
            <w:noProof/>
            <w:webHidden/>
          </w:rPr>
          <w:fldChar w:fldCharType="end"/>
        </w:r>
      </w:hyperlink>
    </w:p>
    <w:p w14:paraId="1036A7F1" w14:textId="77777777" w:rsidR="00324D97" w:rsidRDefault="002F16C1">
      <w:pPr>
        <w:pStyle w:val="TOC2"/>
        <w:rPr>
          <w:rFonts w:asciiTheme="minorHAnsi" w:eastAsiaTheme="minorEastAsia" w:hAnsiTheme="minorHAnsi" w:cstheme="minorBidi"/>
          <w:noProof/>
          <w:sz w:val="22"/>
          <w:szCs w:val="22"/>
          <w:lang w:eastAsia="en-AU"/>
        </w:rPr>
      </w:pPr>
      <w:hyperlink w:anchor="_Toc419905887" w:history="1">
        <w:r w:rsidR="00324D97" w:rsidRPr="0028130A">
          <w:rPr>
            <w:rStyle w:val="Hyperlink"/>
            <w:rFonts w:eastAsiaTheme="minorHAnsi"/>
            <w:noProof/>
          </w:rPr>
          <w:t>3.2 Results</w:t>
        </w:r>
        <w:r w:rsidR="00324D97">
          <w:rPr>
            <w:noProof/>
            <w:webHidden/>
          </w:rPr>
          <w:tab/>
        </w:r>
        <w:r w:rsidR="00324D97">
          <w:rPr>
            <w:noProof/>
            <w:webHidden/>
          </w:rPr>
          <w:fldChar w:fldCharType="begin"/>
        </w:r>
        <w:r w:rsidR="00324D97">
          <w:rPr>
            <w:noProof/>
            <w:webHidden/>
          </w:rPr>
          <w:instrText xml:space="preserve"> PAGEREF _Toc419905887 \h </w:instrText>
        </w:r>
        <w:r w:rsidR="00324D97">
          <w:rPr>
            <w:noProof/>
            <w:webHidden/>
          </w:rPr>
        </w:r>
        <w:r w:rsidR="00324D97">
          <w:rPr>
            <w:noProof/>
            <w:webHidden/>
          </w:rPr>
          <w:fldChar w:fldCharType="separate"/>
        </w:r>
        <w:r w:rsidR="00FA7617">
          <w:rPr>
            <w:noProof/>
            <w:webHidden/>
          </w:rPr>
          <w:t>35</w:t>
        </w:r>
        <w:r w:rsidR="00324D97">
          <w:rPr>
            <w:noProof/>
            <w:webHidden/>
          </w:rPr>
          <w:fldChar w:fldCharType="end"/>
        </w:r>
      </w:hyperlink>
    </w:p>
    <w:p w14:paraId="1BD57A28" w14:textId="77777777" w:rsidR="00324D97" w:rsidRDefault="002F16C1">
      <w:pPr>
        <w:pStyle w:val="TOC1"/>
        <w:rPr>
          <w:rFonts w:asciiTheme="minorHAnsi" w:eastAsiaTheme="minorEastAsia" w:hAnsiTheme="minorHAnsi" w:cstheme="minorBidi"/>
          <w:noProof/>
          <w:sz w:val="22"/>
          <w:szCs w:val="22"/>
          <w:lang w:val="en-AU" w:eastAsia="en-AU"/>
        </w:rPr>
      </w:pPr>
      <w:hyperlink w:anchor="_Toc419905888" w:history="1">
        <w:r w:rsidR="00324D97" w:rsidRPr="0028130A">
          <w:rPr>
            <w:rStyle w:val="Hyperlink"/>
            <w:rFonts w:eastAsiaTheme="minorHAnsi"/>
            <w:noProof/>
          </w:rPr>
          <w:t>Chapter 4—Conclusions and Recommendations</w:t>
        </w:r>
        <w:r w:rsidR="00324D97">
          <w:rPr>
            <w:noProof/>
            <w:webHidden/>
          </w:rPr>
          <w:tab/>
        </w:r>
        <w:r w:rsidR="00324D97">
          <w:rPr>
            <w:noProof/>
            <w:webHidden/>
          </w:rPr>
          <w:fldChar w:fldCharType="begin"/>
        </w:r>
        <w:r w:rsidR="00324D97">
          <w:rPr>
            <w:noProof/>
            <w:webHidden/>
          </w:rPr>
          <w:instrText xml:space="preserve"> PAGEREF _Toc419905888 \h </w:instrText>
        </w:r>
        <w:r w:rsidR="00324D97">
          <w:rPr>
            <w:noProof/>
            <w:webHidden/>
          </w:rPr>
        </w:r>
        <w:r w:rsidR="00324D97">
          <w:rPr>
            <w:noProof/>
            <w:webHidden/>
          </w:rPr>
          <w:fldChar w:fldCharType="separate"/>
        </w:r>
        <w:r w:rsidR="00FA7617">
          <w:rPr>
            <w:noProof/>
            <w:webHidden/>
          </w:rPr>
          <w:t>54</w:t>
        </w:r>
        <w:r w:rsidR="00324D97">
          <w:rPr>
            <w:noProof/>
            <w:webHidden/>
          </w:rPr>
          <w:fldChar w:fldCharType="end"/>
        </w:r>
      </w:hyperlink>
    </w:p>
    <w:p w14:paraId="67BC18F3" w14:textId="77777777" w:rsidR="00324D97" w:rsidRDefault="002F16C1">
      <w:pPr>
        <w:pStyle w:val="TOC2"/>
        <w:rPr>
          <w:rFonts w:asciiTheme="minorHAnsi" w:eastAsiaTheme="minorEastAsia" w:hAnsiTheme="minorHAnsi" w:cstheme="minorBidi"/>
          <w:noProof/>
          <w:sz w:val="22"/>
          <w:szCs w:val="22"/>
          <w:lang w:eastAsia="en-AU"/>
        </w:rPr>
      </w:pPr>
      <w:hyperlink w:anchor="_Toc419905889" w:history="1">
        <w:r w:rsidR="00324D97" w:rsidRPr="0028130A">
          <w:rPr>
            <w:rStyle w:val="Hyperlink"/>
            <w:rFonts w:eastAsiaTheme="minorHAnsi"/>
            <w:noProof/>
          </w:rPr>
          <w:t>4.1 Conclusions by Program Evaluation Areas</w:t>
        </w:r>
        <w:r w:rsidR="00324D97">
          <w:rPr>
            <w:noProof/>
            <w:webHidden/>
          </w:rPr>
          <w:tab/>
        </w:r>
        <w:r w:rsidR="00324D97">
          <w:rPr>
            <w:noProof/>
            <w:webHidden/>
          </w:rPr>
          <w:fldChar w:fldCharType="begin"/>
        </w:r>
        <w:r w:rsidR="00324D97">
          <w:rPr>
            <w:noProof/>
            <w:webHidden/>
          </w:rPr>
          <w:instrText xml:space="preserve"> PAGEREF _Toc419905889 \h </w:instrText>
        </w:r>
        <w:r w:rsidR="00324D97">
          <w:rPr>
            <w:noProof/>
            <w:webHidden/>
          </w:rPr>
        </w:r>
        <w:r w:rsidR="00324D97">
          <w:rPr>
            <w:noProof/>
            <w:webHidden/>
          </w:rPr>
          <w:fldChar w:fldCharType="separate"/>
        </w:r>
        <w:r w:rsidR="00FA7617">
          <w:rPr>
            <w:noProof/>
            <w:webHidden/>
          </w:rPr>
          <w:t>54</w:t>
        </w:r>
        <w:r w:rsidR="00324D97">
          <w:rPr>
            <w:noProof/>
            <w:webHidden/>
          </w:rPr>
          <w:fldChar w:fldCharType="end"/>
        </w:r>
      </w:hyperlink>
    </w:p>
    <w:p w14:paraId="3615FE41" w14:textId="77777777" w:rsidR="00324D97" w:rsidRDefault="002F16C1">
      <w:pPr>
        <w:pStyle w:val="TOC2"/>
        <w:rPr>
          <w:rFonts w:asciiTheme="minorHAnsi" w:eastAsiaTheme="minorEastAsia" w:hAnsiTheme="minorHAnsi" w:cstheme="minorBidi"/>
          <w:noProof/>
          <w:sz w:val="22"/>
          <w:szCs w:val="22"/>
          <w:lang w:eastAsia="en-AU"/>
        </w:rPr>
      </w:pPr>
      <w:hyperlink w:anchor="_Toc419905890" w:history="1">
        <w:r w:rsidR="00324D97" w:rsidRPr="0028130A">
          <w:rPr>
            <w:rStyle w:val="Hyperlink"/>
            <w:rFonts w:eastAsiaTheme="minorHAnsi"/>
            <w:noProof/>
          </w:rPr>
          <w:t>4.2 Recommendations</w:t>
        </w:r>
        <w:r w:rsidR="00324D97">
          <w:rPr>
            <w:noProof/>
            <w:webHidden/>
          </w:rPr>
          <w:tab/>
        </w:r>
        <w:r w:rsidR="00324D97">
          <w:rPr>
            <w:noProof/>
            <w:webHidden/>
          </w:rPr>
          <w:fldChar w:fldCharType="begin"/>
        </w:r>
        <w:r w:rsidR="00324D97">
          <w:rPr>
            <w:noProof/>
            <w:webHidden/>
          </w:rPr>
          <w:instrText xml:space="preserve"> PAGEREF _Toc419905890 \h </w:instrText>
        </w:r>
        <w:r w:rsidR="00324D97">
          <w:rPr>
            <w:noProof/>
            <w:webHidden/>
          </w:rPr>
        </w:r>
        <w:r w:rsidR="00324D97">
          <w:rPr>
            <w:noProof/>
            <w:webHidden/>
          </w:rPr>
          <w:fldChar w:fldCharType="separate"/>
        </w:r>
        <w:r w:rsidR="00FA7617">
          <w:rPr>
            <w:noProof/>
            <w:webHidden/>
          </w:rPr>
          <w:t>58</w:t>
        </w:r>
        <w:r w:rsidR="00324D97">
          <w:rPr>
            <w:noProof/>
            <w:webHidden/>
          </w:rPr>
          <w:fldChar w:fldCharType="end"/>
        </w:r>
      </w:hyperlink>
    </w:p>
    <w:p w14:paraId="04C7C8DA" w14:textId="77777777" w:rsidR="00324D97" w:rsidRDefault="002F16C1">
      <w:pPr>
        <w:pStyle w:val="TOC1"/>
        <w:rPr>
          <w:rFonts w:asciiTheme="minorHAnsi" w:eastAsiaTheme="minorEastAsia" w:hAnsiTheme="minorHAnsi" w:cstheme="minorBidi"/>
          <w:noProof/>
          <w:sz w:val="22"/>
          <w:szCs w:val="22"/>
          <w:lang w:val="en-AU" w:eastAsia="en-AU"/>
        </w:rPr>
      </w:pPr>
      <w:hyperlink w:anchor="_Toc419905891" w:history="1">
        <w:r w:rsidR="00324D97" w:rsidRPr="0028130A">
          <w:rPr>
            <w:rStyle w:val="Hyperlink"/>
            <w:noProof/>
          </w:rPr>
          <w:t>References</w:t>
        </w:r>
        <w:r w:rsidR="00324D97">
          <w:rPr>
            <w:noProof/>
            <w:webHidden/>
          </w:rPr>
          <w:tab/>
        </w:r>
        <w:r w:rsidR="00324D97">
          <w:rPr>
            <w:noProof/>
            <w:webHidden/>
          </w:rPr>
          <w:fldChar w:fldCharType="begin"/>
        </w:r>
        <w:r w:rsidR="00324D97">
          <w:rPr>
            <w:noProof/>
            <w:webHidden/>
          </w:rPr>
          <w:instrText xml:space="preserve"> PAGEREF _Toc419905891 \h </w:instrText>
        </w:r>
        <w:r w:rsidR="00324D97">
          <w:rPr>
            <w:noProof/>
            <w:webHidden/>
          </w:rPr>
        </w:r>
        <w:r w:rsidR="00324D97">
          <w:rPr>
            <w:noProof/>
            <w:webHidden/>
          </w:rPr>
          <w:fldChar w:fldCharType="separate"/>
        </w:r>
        <w:r w:rsidR="00FA7617">
          <w:rPr>
            <w:noProof/>
            <w:webHidden/>
          </w:rPr>
          <w:t>63</w:t>
        </w:r>
        <w:r w:rsidR="00324D97">
          <w:rPr>
            <w:noProof/>
            <w:webHidden/>
          </w:rPr>
          <w:fldChar w:fldCharType="end"/>
        </w:r>
      </w:hyperlink>
    </w:p>
    <w:p w14:paraId="7F710060" w14:textId="77777777" w:rsidR="00FB6D3C" w:rsidRPr="0011645E" w:rsidRDefault="00FB6D3C" w:rsidP="00FB6D3C">
      <w:r w:rsidRPr="00F36A0F">
        <w:fldChar w:fldCharType="end"/>
      </w:r>
    </w:p>
    <w:p w14:paraId="2D285105" w14:textId="77777777" w:rsidR="0053744B" w:rsidRPr="00F36A0F" w:rsidRDefault="0053744B" w:rsidP="0053744B"/>
    <w:p w14:paraId="7EB90740" w14:textId="77777777" w:rsidR="0053744B" w:rsidRPr="00F36A0F" w:rsidRDefault="0053744B" w:rsidP="0053744B">
      <w:pPr>
        <w:sectPr w:rsidR="0053744B" w:rsidRPr="00F36A0F" w:rsidSect="00474F70">
          <w:pgSz w:w="11906" w:h="16838"/>
          <w:pgMar w:top="1803" w:right="1440" w:bottom="1843" w:left="1440" w:header="709" w:footer="709" w:gutter="0"/>
          <w:pgBorders w:offsetFrom="page">
            <w:top w:val="none" w:sz="0" w:space="0" w:color="000000"/>
            <w:left w:val="none" w:sz="0" w:space="0" w:color="000000"/>
            <w:bottom w:val="none" w:sz="0" w:space="0" w:color="000000"/>
            <w:right w:val="none" w:sz="0" w:space="0" w:color="000000"/>
          </w:pgBorders>
          <w:pgNumType w:start="1"/>
          <w:cols w:space="708"/>
          <w:docGrid w:linePitch="360"/>
        </w:sectPr>
      </w:pPr>
    </w:p>
    <w:p w14:paraId="1B582BAC" w14:textId="77777777" w:rsidR="00324D97" w:rsidRDefault="00324D97" w:rsidP="00324D97">
      <w:pPr>
        <w:pStyle w:val="Header"/>
        <w:jc w:val="center"/>
        <w:rPr>
          <w:noProof/>
        </w:rPr>
      </w:pPr>
      <w:r>
        <w:rPr>
          <w:noProof/>
          <w:lang w:val="en-AU" w:eastAsia="en-AU"/>
        </w:rPr>
        <w:lastRenderedPageBreak/>
        <w:drawing>
          <wp:anchor distT="0" distB="0" distL="114300" distR="114300" simplePos="0" relativeHeight="251659264" behindDoc="1" locked="0" layoutInCell="1" allowOverlap="1" wp14:anchorId="042DD0ED" wp14:editId="6CB4B49D">
            <wp:simplePos x="0" y="0"/>
            <wp:positionH relativeFrom="page">
              <wp:posOffset>423949</wp:posOffset>
            </wp:positionH>
            <wp:positionV relativeFrom="page">
              <wp:posOffset>390698</wp:posOffset>
            </wp:positionV>
            <wp:extent cx="6325986" cy="9334465"/>
            <wp:effectExtent l="0" t="0" r="0" b="635"/>
            <wp:wrapNone/>
            <wp:docPr id="10" name="Picture 10" descr="Foreword to the Evaluation Report of the Diabetes Care Project&#10;Improvements to primary care are an integral part of building a responsive, efficient and sustainable health system.  Primary health care is the part of the health system we all use the most, it’s the frontline, providing holistic care encompassing both preventive and treatment services.&#10;Australia’s primary health care system, with general practice at its centre, on the whole delivers high quality and locally relevant primary health care services – more than 25,000 general practitioners working in around 7,000 practices and more than 120,000 registered allied health practitioners, often working with GPs in multi-disciplinary care teams.&#10;The burden of disease in Australia has shifted from episodic care to chronic illnesses, placing increasing demands on the Australian health care system, particularly in terms of usage and costs, and increases the potential for a person to experience poorly integrated care delivery.   Care needs are more complex and require multiple professional interactions across the health system.  Primary health care is best positioned to manage chronic disease and support preventive health to ease pressure on the hospital system.&#10;The Diabetes Care Project was the largest randomised controlled trial conducted in Australia.  It piloted new models of healthcare delivery designed to improve care for adults with either type 1 or type 2 diabetes.&#10;&#10;We need new ways of dealing with chronic illness and the results and recommendations of the Evaluation Report of the Diabetes Care Project will inform future policy development regarding arrangements for the management of chronic disease.  It will also provide the primary health care research community with valuable data.&#10;I would like to thank all the general practices, patients and health care sector workers who took part in the Project, which has led to the delivery of this Evaluation Report.  I would also like to thank the Victorian Government for contributing funding to the Project.&#10;There is a genuine need for primary health care reform that enables services to integrate and support seamless patient care. The Primary Health Care Advisory Group I have created will advise on opportunities for reform and this piece of research will provide a better evidence base for improving the management of chronic and complex conditions.&#10;The Hon Sussan Ley MP&#10;Parliament House Canberra  ACT  2600  Telephone: (02) 6277 7220  Facsimile: (02) 6273 414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CP Evaluation Report - signed foreword - 19May15 (D15-639672).jpg"/>
                    <pic:cNvPicPr/>
                  </pic:nvPicPr>
                  <pic:blipFill rotWithShape="1">
                    <a:blip r:embed="rId11" cstate="print">
                      <a:extLst>
                        <a:ext uri="{28A0092B-C50C-407E-A947-70E740481C1C}">
                          <a14:useLocalDpi xmlns:a14="http://schemas.microsoft.com/office/drawing/2010/main" val="0"/>
                        </a:ext>
                      </a:extLst>
                    </a:blip>
                    <a:srcRect l="5663" t="3913" r="4762" b="2630"/>
                    <a:stretch/>
                  </pic:blipFill>
                  <pic:spPr bwMode="auto">
                    <a:xfrm>
                      <a:off x="0" y="0"/>
                      <a:ext cx="6330971" cy="93418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0901E0F" w14:textId="77777777" w:rsidR="00235B69" w:rsidRDefault="00235B69" w:rsidP="008C484F">
      <w:pPr>
        <w:pStyle w:val="32chaptertitle"/>
      </w:pPr>
      <w:bookmarkStart w:id="0" w:name="_Toc419905876"/>
      <w:r w:rsidRPr="00F36A0F">
        <w:lastRenderedPageBreak/>
        <w:t xml:space="preserve">Executive </w:t>
      </w:r>
      <w:r w:rsidR="00731926">
        <w:t>S</w:t>
      </w:r>
      <w:r w:rsidR="00731926" w:rsidRPr="00F36A0F">
        <w:t>ummary</w:t>
      </w:r>
      <w:bookmarkEnd w:id="0"/>
    </w:p>
    <w:p w14:paraId="53DDDE3E" w14:textId="77777777" w:rsidR="00235B69" w:rsidRDefault="00235B69" w:rsidP="00D97FCC">
      <w:r>
        <w:t xml:space="preserve">The Diabetes Care Project (DCP) was a pilot of coordinated models of primary care for diabetes conducted between 2011 and 2014. The DCP was established by the Commonwealth in response to recommendations </w:t>
      </w:r>
      <w:r w:rsidR="0061768D">
        <w:t>made by the</w:t>
      </w:r>
      <w:r>
        <w:t xml:space="preserve"> National Health and Hospital Reform Commission (NHHRC) in 2009 regarding the management of chronic disease in primary care. Five new care components were tested alongside current models of care:</w:t>
      </w:r>
    </w:p>
    <w:p w14:paraId="01A3E497" w14:textId="77777777" w:rsidR="00235B69" w:rsidRDefault="00235B69" w:rsidP="00235B69">
      <w:pPr>
        <w:pStyle w:val="05number1"/>
      </w:pPr>
      <w:r>
        <w:t>An integrated information platform for general practitioners, allied health professionals and patients.</w:t>
      </w:r>
    </w:p>
    <w:p w14:paraId="07853632" w14:textId="77777777" w:rsidR="00235B69" w:rsidRDefault="00235B69" w:rsidP="00235B69">
      <w:pPr>
        <w:pStyle w:val="05number1"/>
      </w:pPr>
      <w:r>
        <w:t xml:space="preserve">Continuous quality improvement processes </w:t>
      </w:r>
      <w:r w:rsidR="0061768D">
        <w:t xml:space="preserve">informed by </w:t>
      </w:r>
      <w:r>
        <w:t>data-driven feedback.</w:t>
      </w:r>
    </w:p>
    <w:p w14:paraId="1C7CDEA1" w14:textId="77777777" w:rsidR="00235B69" w:rsidRDefault="00235B69" w:rsidP="00235B69">
      <w:pPr>
        <w:pStyle w:val="05number1"/>
      </w:pPr>
      <w:r>
        <w:t>Flexible funding</w:t>
      </w:r>
      <w:r w:rsidR="0061768D">
        <w:t>, allocated</w:t>
      </w:r>
      <w:r>
        <w:t xml:space="preserve"> based on patient risk stratification.</w:t>
      </w:r>
    </w:p>
    <w:p w14:paraId="7D7589E2" w14:textId="77777777" w:rsidR="00235B69" w:rsidRDefault="00235B69" w:rsidP="00235B69">
      <w:pPr>
        <w:pStyle w:val="05number1"/>
      </w:pPr>
      <w:r>
        <w:t xml:space="preserve">Quality improvement support payments </w:t>
      </w:r>
      <w:r w:rsidR="0061768D">
        <w:t>linked with</w:t>
      </w:r>
      <w:r>
        <w:t xml:space="preserve"> a range of patient population outcomes.</w:t>
      </w:r>
    </w:p>
    <w:p w14:paraId="21379EEC" w14:textId="77777777" w:rsidR="00235B69" w:rsidRDefault="00235B69" w:rsidP="00235B69">
      <w:pPr>
        <w:pStyle w:val="05number1"/>
      </w:pPr>
      <w:r>
        <w:t xml:space="preserve">Funding for care facilitation, provided by dedicated </w:t>
      </w:r>
      <w:r w:rsidR="0061768D">
        <w:t>Care Facilitators</w:t>
      </w:r>
      <w:r>
        <w:t>.</w:t>
      </w:r>
    </w:p>
    <w:p w14:paraId="6DD890AF" w14:textId="77777777" w:rsidR="00235B69" w:rsidRDefault="00235B69" w:rsidP="00235B69">
      <w:r>
        <w:t xml:space="preserve">The pilot was a cluster randomised control trial (RCT) with two intervention groups </w:t>
      </w:r>
      <w:r w:rsidR="0061768D">
        <w:t xml:space="preserve">(Group 1 and Group 2) </w:t>
      </w:r>
      <w:r>
        <w:t>and a Control Group. Group 1 received only the first two of these five care components (i.e. no funding changes), while Group 2 received all five</w:t>
      </w:r>
      <w:r w:rsidR="0061768D">
        <w:t xml:space="preserve"> components</w:t>
      </w:r>
      <w:r>
        <w:t>.</w:t>
      </w:r>
    </w:p>
    <w:p w14:paraId="28337852" w14:textId="77777777" w:rsidR="00235B69" w:rsidRDefault="00235B69" w:rsidP="00235B69">
      <w:r>
        <w:t xml:space="preserve">184 general practices and 7,781 people with diabetes enrolled in the DCP over </w:t>
      </w:r>
      <w:r w:rsidR="008E11EB">
        <w:t xml:space="preserve">six </w:t>
      </w:r>
      <w:r>
        <w:t xml:space="preserve">months </w:t>
      </w:r>
      <w:r w:rsidR="008E11EB">
        <w:t>—</w:t>
      </w:r>
      <w:r>
        <w:t>the fastest enrolment rate of similarly large programs</w:t>
      </w:r>
      <w:r w:rsidR="00415C28">
        <w:t xml:space="preserve"> internationally</w:t>
      </w:r>
      <w:r>
        <w:t>.</w:t>
      </w:r>
    </w:p>
    <w:p w14:paraId="599BA73F" w14:textId="77777777" w:rsidR="00235B69" w:rsidRDefault="00235B69" w:rsidP="00235B69">
      <w:r>
        <w:t xml:space="preserve">Over the 18 months of the trial, </w:t>
      </w:r>
      <w:r w:rsidR="008E11EB">
        <w:t xml:space="preserve">participants in </w:t>
      </w:r>
      <w:r>
        <w:t>Group 2 showed a statistically significant improvement in HbA1c (blood sugar) levels</w:t>
      </w:r>
      <w:r w:rsidR="008E11EB">
        <w:t>—the primary clinical endpoint of the trial—</w:t>
      </w:r>
      <w:r>
        <w:t>of</w:t>
      </w:r>
      <w:r w:rsidR="00746259">
        <w:t xml:space="preserve"> </w:t>
      </w:r>
      <w:r w:rsidRPr="00705AC2">
        <w:t>0.2</w:t>
      </w:r>
      <w:r>
        <w:t xml:space="preserve"> percentage points compared to the Control Group. </w:t>
      </w:r>
      <w:r w:rsidR="00746259">
        <w:t>The difference was larger for those who started the trial with HbA1c levels above the target range. For example, p</w:t>
      </w:r>
      <w:r>
        <w:t>eople with starting HbA1c levels greater than or equal to 9.0 percent at baseline showed a change in mean HbA1c of -0.</w:t>
      </w:r>
      <w:r w:rsidR="00D37B6B">
        <w:t xml:space="preserve">6 </w:t>
      </w:r>
      <w:r>
        <w:t xml:space="preserve">percentage points compared to </w:t>
      </w:r>
      <w:r w:rsidR="000B7A85">
        <w:t xml:space="preserve">the </w:t>
      </w:r>
      <w:r>
        <w:t>Control</w:t>
      </w:r>
      <w:r w:rsidR="008E11EB">
        <w:t xml:space="preserve"> Group</w:t>
      </w:r>
      <w:r w:rsidR="00FF24D9">
        <w:t>. Significant</w:t>
      </w:r>
      <w:r>
        <w:t xml:space="preserve"> improvements were also seen in Group 2 for blood pressure, blood lipids, waist circumference, depression, diabetes-related stress, care-plan take-up, completion of recommended ‘annual cycles of care</w:t>
      </w:r>
      <w:r w:rsidR="00FE057C">
        <w:t>,</w:t>
      </w:r>
      <w:r>
        <w:t xml:space="preserve">’ and allied health visits. In contrast, </w:t>
      </w:r>
      <w:r w:rsidR="00FE057C">
        <w:t xml:space="preserve">participants in </w:t>
      </w:r>
      <w:r>
        <w:t xml:space="preserve">Group 1 did not improve on any of these metrics </w:t>
      </w:r>
      <w:r w:rsidR="00FE057C">
        <w:t>(</w:t>
      </w:r>
      <w:r>
        <w:t>with the exception of care</w:t>
      </w:r>
      <w:r w:rsidR="00746259">
        <w:t xml:space="preserve"> </w:t>
      </w:r>
      <w:r>
        <w:t>plan take-up</w:t>
      </w:r>
      <w:r w:rsidR="00FE057C">
        <w:t>)</w:t>
      </w:r>
      <w:r>
        <w:t>.</w:t>
      </w:r>
    </w:p>
    <w:p w14:paraId="436C0456" w14:textId="77777777" w:rsidR="00235B69" w:rsidRDefault="00235B69" w:rsidP="00235B69">
      <w:r>
        <w:t xml:space="preserve">The DCP also provided </w:t>
      </w:r>
      <w:r w:rsidR="00FE057C">
        <w:t xml:space="preserve">an </w:t>
      </w:r>
      <w:r>
        <w:t>opportunity to examine the impact of current care planning and annual cycle of care activities on clinical outcomes. Little relationship was seen between the complexity of a</w:t>
      </w:r>
      <w:r w:rsidR="007800C4">
        <w:t> </w:t>
      </w:r>
      <w:r>
        <w:t xml:space="preserve">person’s health care needs and the amount of chronic disease funding they receive. A prospective analysis of the Control Group during the trial period showed that having a care plan or </w:t>
      </w:r>
      <w:r w:rsidR="00FE057C">
        <w:t xml:space="preserve">completing an </w:t>
      </w:r>
      <w:r>
        <w:t>annual cycle of</w:t>
      </w:r>
      <w:r w:rsidR="007800C4">
        <w:t> </w:t>
      </w:r>
      <w:r>
        <w:t>care at the start of the project did not have any influence on HbA1c, cholesterol, quality of</w:t>
      </w:r>
      <w:r w:rsidR="007800C4">
        <w:t> </w:t>
      </w:r>
      <w:r>
        <w:t xml:space="preserve">life, depression, or diabetes-related stress, </w:t>
      </w:r>
      <w:r w:rsidR="00FE057C">
        <w:t xml:space="preserve">and it had </w:t>
      </w:r>
      <w:r>
        <w:t>only a small positive influence on blood pressure.</w:t>
      </w:r>
    </w:p>
    <w:p w14:paraId="21EF3907" w14:textId="77777777" w:rsidR="00235B69" w:rsidRDefault="00235B69" w:rsidP="00235B69">
      <w:r>
        <w:t>While Group 2 delivered positive outcomes, it cost $</w:t>
      </w:r>
      <w:r w:rsidR="00FE057C">
        <w:t xml:space="preserve">203 </w:t>
      </w:r>
      <w:r>
        <w:t xml:space="preserve">more per person per year compared to the Control Group. While this overall difference was not statistically significant, chronic disease payments to GPs and AHPs did increase significantly. These and other increases were offset by a reduction in the cost of </w:t>
      </w:r>
      <w:r w:rsidR="00FE057C">
        <w:t>hospitalisations—particularly potentially-preventable hospitalisations—of</w:t>
      </w:r>
      <w:r>
        <w:t xml:space="preserve"> $461 per patient</w:t>
      </w:r>
      <w:r w:rsidR="00452D66">
        <w:t xml:space="preserve"> </w:t>
      </w:r>
      <w:r w:rsidR="00FA6DEF">
        <w:t xml:space="preserve">in </w:t>
      </w:r>
      <w:r w:rsidR="00E106F9">
        <w:t>Group 2</w:t>
      </w:r>
      <w:r>
        <w:t xml:space="preserve">, </w:t>
      </w:r>
      <w:r>
        <w:lastRenderedPageBreak/>
        <w:t xml:space="preserve">although this was not </w:t>
      </w:r>
      <w:r w:rsidR="00746259">
        <w:t xml:space="preserve">statistically </w:t>
      </w:r>
      <w:r>
        <w:t>significant. While there is uncertainty around the pilot’s cost-effectiveness, it is unlikely that the particular funding model implemented</w:t>
      </w:r>
      <w:r w:rsidR="00FA6DEF">
        <w:t xml:space="preserve"> in the DCP</w:t>
      </w:r>
      <w:r>
        <w:t xml:space="preserve"> would be cost-effective if rolled out more broadly.</w:t>
      </w:r>
    </w:p>
    <w:p w14:paraId="716B7697" w14:textId="77777777" w:rsidR="00235B69" w:rsidRDefault="00235B69" w:rsidP="00235B69">
      <w:r>
        <w:t xml:space="preserve">The DCP demonstrated that improved information technology and continuous quality improvement processes were not, on their own, sufficient to improve health outcomes. However, combining these changes with a new funding model did make a significant difference. While </w:t>
      </w:r>
      <w:r w:rsidR="00FA6DEF">
        <w:t xml:space="preserve">a </w:t>
      </w:r>
      <w:r>
        <w:t>long-term extrapolation of the benefits and costs of the Group 2 funding model suggest</w:t>
      </w:r>
      <w:r w:rsidR="00FA6DEF">
        <w:t>s</w:t>
      </w:r>
      <w:r>
        <w:t xml:space="preserve"> that, on balance, it is unlikely to be cost</w:t>
      </w:r>
      <w:r w:rsidR="00FA6DEF">
        <w:t>-</w:t>
      </w:r>
      <w:r>
        <w:t>effective as implemented in the pilot, the</w:t>
      </w:r>
      <w:r w:rsidR="00FA6DEF">
        <w:t xml:space="preserve"> DCP’s</w:t>
      </w:r>
      <w:r>
        <w:t xml:space="preserve"> findings can be used to inform future programs. There are therefore three recommendations arising from the DCP:</w:t>
      </w:r>
    </w:p>
    <w:p w14:paraId="42B16FC6" w14:textId="77777777" w:rsidR="00235B69" w:rsidRDefault="00235B69" w:rsidP="00235B69">
      <w:pPr>
        <w:pStyle w:val="05number1"/>
        <w:numPr>
          <w:ilvl w:val="0"/>
          <w:numId w:val="45"/>
        </w:numPr>
      </w:pPr>
      <w:r>
        <w:t>Change the current chronic disease care funding model to incorporate flexible funding for registration with a health care home, payment for quality and funding for care facilitation, targeting resources where they can realise the greatest benefit.</w:t>
      </w:r>
    </w:p>
    <w:p w14:paraId="2C19CE94" w14:textId="77777777" w:rsidR="00235B69" w:rsidRDefault="00235B69" w:rsidP="00235B69">
      <w:pPr>
        <w:pStyle w:val="05number1"/>
      </w:pPr>
      <w:r>
        <w:t xml:space="preserve">Continue to develop both eHealth and continuous quality improvement processes. </w:t>
      </w:r>
    </w:p>
    <w:p w14:paraId="7516E0D3" w14:textId="77777777" w:rsidR="00235B69" w:rsidRPr="002900B5" w:rsidRDefault="00235B69" w:rsidP="00235B69">
      <w:pPr>
        <w:pStyle w:val="05number1"/>
      </w:pPr>
      <w:r>
        <w:t>Better integrate primary and secondary care and reduce avoidable hospital costs.</w:t>
      </w:r>
    </w:p>
    <w:p w14:paraId="09BBEF6C" w14:textId="77777777" w:rsidR="00BC796B" w:rsidRPr="00F36A0F" w:rsidRDefault="007D2643" w:rsidP="008C484F">
      <w:pPr>
        <w:pStyle w:val="32chaptertitle"/>
      </w:pPr>
      <w:bookmarkStart w:id="1" w:name="_Toc419905877"/>
      <w:r>
        <w:lastRenderedPageBreak/>
        <w:t>Acronyms and Glossary of Terms</w:t>
      </w:r>
      <w:bookmarkEnd w:id="1"/>
    </w:p>
    <w:tbl>
      <w:tblPr>
        <w:tblStyle w:val="TableGrid"/>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Caption w:val="Acronyms and glossary of terms"/>
        <w:tblDescription w:val="Displays acronyms and their definitions"/>
      </w:tblPr>
      <w:tblGrid>
        <w:gridCol w:w="2088"/>
        <w:gridCol w:w="6768"/>
      </w:tblGrid>
      <w:tr w:rsidR="00BC796B" w:rsidRPr="00F36A0F" w14:paraId="7F532DFF" w14:textId="77777777" w:rsidTr="0021423C">
        <w:trPr>
          <w:cantSplit/>
          <w:trHeight w:val="454"/>
          <w:tblHeader/>
        </w:trPr>
        <w:tc>
          <w:tcPr>
            <w:tcW w:w="2088" w:type="dxa"/>
            <w:shd w:val="clear" w:color="auto" w:fill="D9D9D9" w:themeFill="background1" w:themeFillShade="D9"/>
            <w:vAlign w:val="center"/>
          </w:tcPr>
          <w:p w14:paraId="09DCC3F3" w14:textId="77777777" w:rsidR="00BC796B" w:rsidRPr="005B3D20" w:rsidRDefault="00BC796B" w:rsidP="0021423C">
            <w:pPr>
              <w:spacing w:before="0" w:after="0" w:line="240" w:lineRule="auto"/>
              <w:rPr>
                <w:b/>
                <w:sz w:val="18"/>
                <w:szCs w:val="18"/>
              </w:rPr>
            </w:pPr>
            <w:r w:rsidRPr="005B3D20">
              <w:rPr>
                <w:b/>
                <w:sz w:val="18"/>
                <w:szCs w:val="18"/>
              </w:rPr>
              <w:t>Term</w:t>
            </w:r>
          </w:p>
        </w:tc>
        <w:tc>
          <w:tcPr>
            <w:tcW w:w="6768" w:type="dxa"/>
            <w:shd w:val="clear" w:color="auto" w:fill="D9D9D9" w:themeFill="background1" w:themeFillShade="D9"/>
            <w:vAlign w:val="center"/>
          </w:tcPr>
          <w:p w14:paraId="75560037" w14:textId="77777777" w:rsidR="00BC796B" w:rsidRPr="005B3D20" w:rsidRDefault="00BC796B" w:rsidP="0021423C">
            <w:pPr>
              <w:spacing w:before="0" w:after="0" w:line="240" w:lineRule="auto"/>
              <w:rPr>
                <w:b/>
                <w:sz w:val="18"/>
                <w:szCs w:val="18"/>
              </w:rPr>
            </w:pPr>
            <w:r w:rsidRPr="005B3D20">
              <w:rPr>
                <w:b/>
                <w:sz w:val="18"/>
                <w:szCs w:val="18"/>
              </w:rPr>
              <w:t>Definition</w:t>
            </w:r>
          </w:p>
        </w:tc>
      </w:tr>
      <w:tr w:rsidR="00BC796B" w:rsidRPr="00F36A0F" w14:paraId="7604C87B" w14:textId="77777777" w:rsidTr="0021423C">
        <w:trPr>
          <w:cantSplit/>
        </w:trPr>
        <w:tc>
          <w:tcPr>
            <w:tcW w:w="2088" w:type="dxa"/>
          </w:tcPr>
          <w:p w14:paraId="35187EC2" w14:textId="77777777" w:rsidR="00BC796B" w:rsidRPr="005B3D20" w:rsidRDefault="00BC796B" w:rsidP="00BC796B">
            <w:pPr>
              <w:spacing w:before="60" w:after="0"/>
              <w:rPr>
                <w:rFonts w:eastAsiaTheme="minorHAnsi"/>
                <w:sz w:val="18"/>
                <w:szCs w:val="18"/>
              </w:rPr>
            </w:pPr>
            <w:r w:rsidRPr="005B3D20">
              <w:rPr>
                <w:rFonts w:eastAsiaTheme="minorHAnsi"/>
                <w:sz w:val="18"/>
                <w:szCs w:val="18"/>
              </w:rPr>
              <w:t xml:space="preserve">ACCORD </w:t>
            </w:r>
          </w:p>
        </w:tc>
        <w:tc>
          <w:tcPr>
            <w:tcW w:w="6768" w:type="dxa"/>
          </w:tcPr>
          <w:p w14:paraId="07C39A58" w14:textId="77777777" w:rsidR="00BC796B" w:rsidRPr="005E7475" w:rsidRDefault="00BC796B" w:rsidP="00BC796B">
            <w:pPr>
              <w:spacing w:before="60" w:after="0"/>
              <w:rPr>
                <w:rFonts w:eastAsiaTheme="minorHAnsi"/>
                <w:sz w:val="18"/>
                <w:szCs w:val="18"/>
              </w:rPr>
            </w:pPr>
            <w:r w:rsidRPr="005E7475">
              <w:rPr>
                <w:rFonts w:eastAsiaTheme="minorHAnsi"/>
                <w:sz w:val="18"/>
                <w:szCs w:val="18"/>
              </w:rPr>
              <w:t xml:space="preserve">Action to Control </w:t>
            </w:r>
            <w:r w:rsidR="007D7124" w:rsidRPr="005E7475">
              <w:rPr>
                <w:rFonts w:eastAsiaTheme="minorHAnsi"/>
                <w:sz w:val="18"/>
                <w:szCs w:val="18"/>
              </w:rPr>
              <w:t xml:space="preserve">Cardiovascular Risk in Diabetes </w:t>
            </w:r>
            <w:r w:rsidR="007C449C" w:rsidRPr="005E7475">
              <w:rPr>
                <w:rFonts w:eastAsiaTheme="minorHAnsi"/>
                <w:sz w:val="18"/>
                <w:szCs w:val="18"/>
              </w:rPr>
              <w:t>(l</w:t>
            </w:r>
            <w:r w:rsidR="007D7124" w:rsidRPr="005E7475">
              <w:rPr>
                <w:rFonts w:eastAsiaTheme="minorHAnsi"/>
                <w:sz w:val="18"/>
                <w:szCs w:val="18"/>
              </w:rPr>
              <w:t xml:space="preserve">ipid </w:t>
            </w:r>
            <w:r w:rsidR="007C449C" w:rsidRPr="005E7475">
              <w:rPr>
                <w:rFonts w:eastAsiaTheme="minorHAnsi"/>
                <w:sz w:val="18"/>
                <w:szCs w:val="18"/>
              </w:rPr>
              <w:t>t</w:t>
            </w:r>
            <w:r w:rsidRPr="005E7475">
              <w:rPr>
                <w:rFonts w:eastAsiaTheme="minorHAnsi"/>
                <w:sz w:val="18"/>
                <w:szCs w:val="18"/>
              </w:rPr>
              <w:t>rial</w:t>
            </w:r>
            <w:r w:rsidR="007C449C" w:rsidRPr="005E7475">
              <w:rPr>
                <w:rFonts w:eastAsiaTheme="minorHAnsi"/>
                <w:sz w:val="18"/>
                <w:szCs w:val="18"/>
              </w:rPr>
              <w:t>)</w:t>
            </w:r>
          </w:p>
        </w:tc>
      </w:tr>
      <w:tr w:rsidR="00BC796B" w:rsidRPr="00F36A0F" w14:paraId="756D239E" w14:textId="77777777" w:rsidTr="0021423C">
        <w:trPr>
          <w:cantSplit/>
        </w:trPr>
        <w:tc>
          <w:tcPr>
            <w:tcW w:w="2088" w:type="dxa"/>
          </w:tcPr>
          <w:p w14:paraId="308BFE76" w14:textId="77777777" w:rsidR="00BC796B" w:rsidRPr="005B3D20" w:rsidRDefault="00BC796B" w:rsidP="00BC796B">
            <w:pPr>
              <w:spacing w:before="60" w:after="0"/>
              <w:rPr>
                <w:rFonts w:eastAsiaTheme="minorHAnsi"/>
                <w:sz w:val="18"/>
                <w:szCs w:val="18"/>
              </w:rPr>
            </w:pPr>
            <w:r w:rsidRPr="005B3D20">
              <w:rPr>
                <w:rFonts w:eastAsiaTheme="minorHAnsi"/>
                <w:sz w:val="18"/>
                <w:szCs w:val="18"/>
              </w:rPr>
              <w:t xml:space="preserve">ADVANCE </w:t>
            </w:r>
          </w:p>
        </w:tc>
        <w:tc>
          <w:tcPr>
            <w:tcW w:w="6768" w:type="dxa"/>
          </w:tcPr>
          <w:p w14:paraId="05ADBE60" w14:textId="77777777" w:rsidR="00BC796B" w:rsidRPr="005E7475" w:rsidRDefault="00BC796B" w:rsidP="007C449C">
            <w:pPr>
              <w:spacing w:before="60" w:after="0"/>
              <w:rPr>
                <w:rFonts w:eastAsiaTheme="minorHAnsi"/>
                <w:sz w:val="18"/>
                <w:szCs w:val="18"/>
              </w:rPr>
            </w:pPr>
            <w:r w:rsidRPr="005E7475">
              <w:rPr>
                <w:sz w:val="18"/>
                <w:szCs w:val="18"/>
              </w:rPr>
              <w:t xml:space="preserve">Action in Diabetes and Vascular Disease: Preterax and Diamicron MR Controlled Evaluation </w:t>
            </w:r>
            <w:r w:rsidR="007C449C" w:rsidRPr="005E7475">
              <w:rPr>
                <w:sz w:val="18"/>
                <w:szCs w:val="18"/>
              </w:rPr>
              <w:t>(t</w:t>
            </w:r>
            <w:r w:rsidRPr="005E7475">
              <w:rPr>
                <w:sz w:val="18"/>
                <w:szCs w:val="18"/>
              </w:rPr>
              <w:t>rial</w:t>
            </w:r>
            <w:r w:rsidR="007C449C" w:rsidRPr="005E7475">
              <w:rPr>
                <w:sz w:val="18"/>
                <w:szCs w:val="18"/>
              </w:rPr>
              <w:t>)</w:t>
            </w:r>
          </w:p>
        </w:tc>
      </w:tr>
      <w:tr w:rsidR="00BC796B" w:rsidRPr="00F36A0F" w14:paraId="35905CF9" w14:textId="77777777" w:rsidTr="0021423C">
        <w:trPr>
          <w:cantSplit/>
        </w:trPr>
        <w:tc>
          <w:tcPr>
            <w:tcW w:w="2088" w:type="dxa"/>
          </w:tcPr>
          <w:p w14:paraId="76FC4DD2" w14:textId="77777777" w:rsidR="00BC796B" w:rsidRPr="005B3D20" w:rsidRDefault="00BC796B" w:rsidP="00BC796B">
            <w:pPr>
              <w:spacing w:before="60" w:after="0"/>
              <w:rPr>
                <w:sz w:val="18"/>
                <w:szCs w:val="18"/>
              </w:rPr>
            </w:pPr>
            <w:r w:rsidRPr="005B3D20">
              <w:rPr>
                <w:sz w:val="18"/>
                <w:szCs w:val="18"/>
              </w:rPr>
              <w:t>AHP</w:t>
            </w:r>
          </w:p>
        </w:tc>
        <w:tc>
          <w:tcPr>
            <w:tcW w:w="6768" w:type="dxa"/>
          </w:tcPr>
          <w:p w14:paraId="48426102" w14:textId="77777777" w:rsidR="00BC796B" w:rsidRPr="005E7475" w:rsidRDefault="007D7124" w:rsidP="00BC796B">
            <w:pPr>
              <w:spacing w:before="60" w:after="0"/>
              <w:rPr>
                <w:sz w:val="18"/>
                <w:szCs w:val="18"/>
              </w:rPr>
            </w:pPr>
            <w:r w:rsidRPr="005E7475">
              <w:rPr>
                <w:sz w:val="18"/>
                <w:szCs w:val="18"/>
              </w:rPr>
              <w:t>Allied health p</w:t>
            </w:r>
            <w:r w:rsidR="00BC796B" w:rsidRPr="005E7475">
              <w:rPr>
                <w:sz w:val="18"/>
                <w:szCs w:val="18"/>
              </w:rPr>
              <w:t>rofessional</w:t>
            </w:r>
          </w:p>
        </w:tc>
      </w:tr>
      <w:tr w:rsidR="00BC796B" w:rsidRPr="00F36A0F" w14:paraId="6A0FE3A9" w14:textId="77777777" w:rsidTr="0021423C">
        <w:trPr>
          <w:cantSplit/>
        </w:trPr>
        <w:tc>
          <w:tcPr>
            <w:tcW w:w="2088" w:type="dxa"/>
          </w:tcPr>
          <w:p w14:paraId="7E4B8EBA" w14:textId="77777777" w:rsidR="00BC796B" w:rsidRPr="005B3D20" w:rsidRDefault="00BC796B" w:rsidP="00BC796B">
            <w:pPr>
              <w:spacing w:before="60" w:after="0"/>
              <w:rPr>
                <w:sz w:val="18"/>
                <w:szCs w:val="18"/>
              </w:rPr>
            </w:pPr>
            <w:r w:rsidRPr="005B3D20">
              <w:rPr>
                <w:sz w:val="18"/>
                <w:szCs w:val="18"/>
              </w:rPr>
              <w:t>AQoL-4d</w:t>
            </w:r>
          </w:p>
        </w:tc>
        <w:tc>
          <w:tcPr>
            <w:tcW w:w="6768" w:type="dxa"/>
          </w:tcPr>
          <w:p w14:paraId="33AF6058" w14:textId="77777777" w:rsidR="00BC796B" w:rsidRPr="005E7475" w:rsidRDefault="00BC796B" w:rsidP="00BC796B">
            <w:pPr>
              <w:spacing w:before="60" w:after="0"/>
              <w:rPr>
                <w:sz w:val="18"/>
                <w:szCs w:val="18"/>
              </w:rPr>
            </w:pPr>
            <w:r w:rsidRPr="005E7475">
              <w:rPr>
                <w:sz w:val="18"/>
                <w:szCs w:val="18"/>
              </w:rPr>
              <w:t>Assessment of Quality of Life (instrument) – 4 dimensions</w:t>
            </w:r>
          </w:p>
        </w:tc>
      </w:tr>
      <w:tr w:rsidR="007D2643" w:rsidRPr="00F36A0F" w14:paraId="3251D418" w14:textId="77777777" w:rsidTr="0021423C">
        <w:trPr>
          <w:cantSplit/>
        </w:trPr>
        <w:tc>
          <w:tcPr>
            <w:tcW w:w="2088" w:type="dxa"/>
          </w:tcPr>
          <w:p w14:paraId="7E9DC679" w14:textId="77777777" w:rsidR="007D2643" w:rsidRPr="005B3D20" w:rsidRDefault="007D2643" w:rsidP="00BC796B">
            <w:pPr>
              <w:spacing w:before="60" w:after="0"/>
              <w:rPr>
                <w:sz w:val="18"/>
                <w:szCs w:val="18"/>
              </w:rPr>
            </w:pPr>
            <w:r>
              <w:rPr>
                <w:sz w:val="18"/>
                <w:szCs w:val="18"/>
              </w:rPr>
              <w:t>Baseline period</w:t>
            </w:r>
          </w:p>
        </w:tc>
        <w:tc>
          <w:tcPr>
            <w:tcW w:w="6768" w:type="dxa"/>
          </w:tcPr>
          <w:p w14:paraId="05D4085F" w14:textId="77777777" w:rsidR="007D2643" w:rsidRPr="005E7475" w:rsidRDefault="007D2643" w:rsidP="00BC796B">
            <w:pPr>
              <w:spacing w:before="60" w:after="0"/>
              <w:rPr>
                <w:sz w:val="18"/>
                <w:szCs w:val="18"/>
              </w:rPr>
            </w:pPr>
            <w:r>
              <w:rPr>
                <w:sz w:val="18"/>
                <w:szCs w:val="18"/>
              </w:rPr>
              <w:t>The 18-month period preceding a patient’s enrolment in the DCP</w:t>
            </w:r>
          </w:p>
        </w:tc>
      </w:tr>
      <w:tr w:rsidR="00BC796B" w:rsidRPr="00F36A0F" w14:paraId="788AD0FF" w14:textId="77777777" w:rsidTr="0021423C">
        <w:trPr>
          <w:cantSplit/>
        </w:trPr>
        <w:tc>
          <w:tcPr>
            <w:tcW w:w="2088" w:type="dxa"/>
          </w:tcPr>
          <w:p w14:paraId="08425D50" w14:textId="77777777" w:rsidR="00BC796B" w:rsidRPr="005B3D20" w:rsidRDefault="00BC796B" w:rsidP="00BC796B">
            <w:pPr>
              <w:spacing w:before="60" w:after="0"/>
              <w:rPr>
                <w:sz w:val="18"/>
                <w:szCs w:val="18"/>
              </w:rPr>
            </w:pPr>
            <w:r w:rsidRPr="005B3D20">
              <w:rPr>
                <w:sz w:val="18"/>
                <w:szCs w:val="18"/>
              </w:rPr>
              <w:t xml:space="preserve">BEACH </w:t>
            </w:r>
          </w:p>
        </w:tc>
        <w:tc>
          <w:tcPr>
            <w:tcW w:w="6768" w:type="dxa"/>
          </w:tcPr>
          <w:p w14:paraId="75026933" w14:textId="77777777" w:rsidR="00BC796B" w:rsidRPr="005E7475" w:rsidRDefault="00BC796B" w:rsidP="00BC796B">
            <w:pPr>
              <w:spacing w:before="60" w:after="0"/>
              <w:rPr>
                <w:sz w:val="18"/>
                <w:szCs w:val="18"/>
              </w:rPr>
            </w:pPr>
            <w:r w:rsidRPr="005E7475">
              <w:rPr>
                <w:sz w:val="18"/>
                <w:szCs w:val="18"/>
              </w:rPr>
              <w:t xml:space="preserve">Bettering the Evaluation and Care of Health </w:t>
            </w:r>
            <w:r w:rsidR="007C449C" w:rsidRPr="005E7475">
              <w:rPr>
                <w:sz w:val="18"/>
                <w:szCs w:val="18"/>
              </w:rPr>
              <w:t>(</w:t>
            </w:r>
            <w:r w:rsidRPr="005E7475">
              <w:rPr>
                <w:sz w:val="18"/>
                <w:szCs w:val="18"/>
              </w:rPr>
              <w:t>report</w:t>
            </w:r>
            <w:r w:rsidR="007C449C" w:rsidRPr="005E7475">
              <w:rPr>
                <w:sz w:val="18"/>
                <w:szCs w:val="18"/>
              </w:rPr>
              <w:t>)</w:t>
            </w:r>
          </w:p>
        </w:tc>
      </w:tr>
      <w:tr w:rsidR="00BC796B" w:rsidRPr="00F36A0F" w14:paraId="678B87CA" w14:textId="77777777" w:rsidTr="0021423C">
        <w:trPr>
          <w:cantSplit/>
        </w:trPr>
        <w:tc>
          <w:tcPr>
            <w:tcW w:w="2088" w:type="dxa"/>
          </w:tcPr>
          <w:p w14:paraId="0080B011" w14:textId="77777777" w:rsidR="00BC796B" w:rsidRPr="005B3D20" w:rsidRDefault="00BC796B" w:rsidP="00BC796B">
            <w:pPr>
              <w:spacing w:before="60" w:after="0"/>
              <w:rPr>
                <w:sz w:val="18"/>
                <w:szCs w:val="18"/>
              </w:rPr>
            </w:pPr>
            <w:r w:rsidRPr="005B3D20">
              <w:rPr>
                <w:sz w:val="18"/>
                <w:szCs w:val="18"/>
              </w:rPr>
              <w:t>BMI</w:t>
            </w:r>
          </w:p>
        </w:tc>
        <w:tc>
          <w:tcPr>
            <w:tcW w:w="6768" w:type="dxa"/>
          </w:tcPr>
          <w:p w14:paraId="63EF1F2A" w14:textId="77777777" w:rsidR="00BC796B" w:rsidRPr="005E7475" w:rsidRDefault="00BC796B" w:rsidP="00BC796B">
            <w:pPr>
              <w:spacing w:before="60" w:after="0"/>
              <w:rPr>
                <w:sz w:val="18"/>
                <w:szCs w:val="18"/>
              </w:rPr>
            </w:pPr>
            <w:r w:rsidRPr="005E7475">
              <w:rPr>
                <w:sz w:val="18"/>
                <w:szCs w:val="18"/>
              </w:rPr>
              <w:t>Body mass index</w:t>
            </w:r>
          </w:p>
        </w:tc>
      </w:tr>
      <w:tr w:rsidR="00532698" w:rsidRPr="00F36A0F" w14:paraId="19029B35" w14:textId="77777777" w:rsidTr="0021423C">
        <w:trPr>
          <w:cantSplit/>
        </w:trPr>
        <w:tc>
          <w:tcPr>
            <w:tcW w:w="2088" w:type="dxa"/>
          </w:tcPr>
          <w:p w14:paraId="6EE54D83" w14:textId="77777777" w:rsidR="00532698" w:rsidRPr="005B3D20" w:rsidRDefault="00532698" w:rsidP="00BC796B">
            <w:pPr>
              <w:spacing w:before="60" w:after="0"/>
              <w:rPr>
                <w:rFonts w:eastAsiaTheme="minorHAnsi"/>
                <w:sz w:val="18"/>
                <w:szCs w:val="18"/>
              </w:rPr>
            </w:pPr>
            <w:r>
              <w:rPr>
                <w:rFonts w:eastAsiaTheme="minorHAnsi"/>
                <w:sz w:val="18"/>
                <w:szCs w:val="18"/>
              </w:rPr>
              <w:t>COPD</w:t>
            </w:r>
          </w:p>
        </w:tc>
        <w:tc>
          <w:tcPr>
            <w:tcW w:w="6768" w:type="dxa"/>
          </w:tcPr>
          <w:p w14:paraId="6DDB8177" w14:textId="77777777" w:rsidR="00532698" w:rsidRPr="005E7475" w:rsidRDefault="00532698" w:rsidP="00BC796B">
            <w:pPr>
              <w:spacing w:before="60" w:after="0"/>
              <w:rPr>
                <w:sz w:val="18"/>
                <w:szCs w:val="18"/>
              </w:rPr>
            </w:pPr>
            <w:r w:rsidRPr="00532698">
              <w:rPr>
                <w:sz w:val="18"/>
                <w:szCs w:val="18"/>
              </w:rPr>
              <w:t>Chronic obstructive pulmonary disease</w:t>
            </w:r>
          </w:p>
        </w:tc>
      </w:tr>
      <w:tr w:rsidR="00BC796B" w:rsidRPr="00F36A0F" w14:paraId="23FBBACE" w14:textId="77777777" w:rsidTr="0021423C">
        <w:trPr>
          <w:cantSplit/>
        </w:trPr>
        <w:tc>
          <w:tcPr>
            <w:tcW w:w="2088" w:type="dxa"/>
          </w:tcPr>
          <w:p w14:paraId="1409062A" w14:textId="77777777" w:rsidR="00BC796B" w:rsidRPr="005B3D20" w:rsidRDefault="00BC796B" w:rsidP="00BC796B">
            <w:pPr>
              <w:spacing w:before="60" w:after="0"/>
              <w:rPr>
                <w:rFonts w:eastAsiaTheme="minorHAnsi"/>
                <w:sz w:val="18"/>
                <w:szCs w:val="18"/>
              </w:rPr>
            </w:pPr>
            <w:r w:rsidRPr="005B3D20">
              <w:rPr>
                <w:rFonts w:eastAsiaTheme="minorHAnsi"/>
                <w:sz w:val="18"/>
                <w:szCs w:val="18"/>
              </w:rPr>
              <w:t>DALY</w:t>
            </w:r>
          </w:p>
        </w:tc>
        <w:tc>
          <w:tcPr>
            <w:tcW w:w="6768" w:type="dxa"/>
          </w:tcPr>
          <w:p w14:paraId="393E3ECB" w14:textId="77777777" w:rsidR="00BC796B" w:rsidRPr="005E7475" w:rsidRDefault="00BC796B" w:rsidP="00BC796B">
            <w:pPr>
              <w:spacing w:before="60" w:after="0"/>
              <w:rPr>
                <w:sz w:val="18"/>
                <w:szCs w:val="18"/>
              </w:rPr>
            </w:pPr>
            <w:r w:rsidRPr="005E7475">
              <w:rPr>
                <w:sz w:val="18"/>
                <w:szCs w:val="18"/>
              </w:rPr>
              <w:t>Disability-adjusted life year</w:t>
            </w:r>
          </w:p>
        </w:tc>
      </w:tr>
      <w:tr w:rsidR="007D2643" w:rsidRPr="00F36A0F" w14:paraId="3301381C" w14:textId="77777777" w:rsidTr="0021423C">
        <w:trPr>
          <w:cantSplit/>
        </w:trPr>
        <w:tc>
          <w:tcPr>
            <w:tcW w:w="2088" w:type="dxa"/>
          </w:tcPr>
          <w:p w14:paraId="0B3A2823" w14:textId="77777777" w:rsidR="007D2643" w:rsidRPr="005B3D20" w:rsidRDefault="007D2643" w:rsidP="00BC796B">
            <w:pPr>
              <w:spacing w:before="60" w:after="0"/>
              <w:rPr>
                <w:sz w:val="18"/>
                <w:szCs w:val="18"/>
              </w:rPr>
            </w:pPr>
            <w:r>
              <w:rPr>
                <w:sz w:val="18"/>
                <w:szCs w:val="18"/>
              </w:rPr>
              <w:t>DAG</w:t>
            </w:r>
          </w:p>
        </w:tc>
        <w:tc>
          <w:tcPr>
            <w:tcW w:w="6768" w:type="dxa"/>
          </w:tcPr>
          <w:p w14:paraId="51227C23" w14:textId="77777777" w:rsidR="007D2643" w:rsidRPr="005E7475" w:rsidRDefault="007D2643" w:rsidP="00BC796B">
            <w:pPr>
              <w:spacing w:before="60" w:after="0"/>
              <w:rPr>
                <w:sz w:val="18"/>
                <w:szCs w:val="18"/>
              </w:rPr>
            </w:pPr>
            <w:r>
              <w:rPr>
                <w:sz w:val="18"/>
                <w:szCs w:val="18"/>
              </w:rPr>
              <w:t>Diabetes Advisory Group</w:t>
            </w:r>
          </w:p>
        </w:tc>
      </w:tr>
      <w:tr w:rsidR="00BC796B" w:rsidRPr="00F36A0F" w14:paraId="5F99A74B" w14:textId="77777777" w:rsidTr="0021423C">
        <w:trPr>
          <w:cantSplit/>
        </w:trPr>
        <w:tc>
          <w:tcPr>
            <w:tcW w:w="2088" w:type="dxa"/>
          </w:tcPr>
          <w:p w14:paraId="50D26B81" w14:textId="77777777" w:rsidR="00BC796B" w:rsidRPr="005B3D20" w:rsidRDefault="00BC796B" w:rsidP="00BC796B">
            <w:pPr>
              <w:spacing w:before="60" w:after="0"/>
              <w:rPr>
                <w:sz w:val="18"/>
                <w:szCs w:val="18"/>
              </w:rPr>
            </w:pPr>
            <w:r w:rsidRPr="005B3D20">
              <w:rPr>
                <w:sz w:val="18"/>
                <w:szCs w:val="18"/>
              </w:rPr>
              <w:t>DCP</w:t>
            </w:r>
          </w:p>
        </w:tc>
        <w:tc>
          <w:tcPr>
            <w:tcW w:w="6768" w:type="dxa"/>
          </w:tcPr>
          <w:p w14:paraId="33730BD5" w14:textId="77777777" w:rsidR="00BC796B" w:rsidRPr="005E7475" w:rsidRDefault="00BC796B" w:rsidP="00BC796B">
            <w:pPr>
              <w:spacing w:before="60" w:after="0"/>
              <w:rPr>
                <w:sz w:val="18"/>
                <w:szCs w:val="18"/>
              </w:rPr>
            </w:pPr>
            <w:r w:rsidRPr="005E7475">
              <w:rPr>
                <w:sz w:val="18"/>
                <w:szCs w:val="18"/>
              </w:rPr>
              <w:t>Diabetes Care Project</w:t>
            </w:r>
          </w:p>
        </w:tc>
      </w:tr>
      <w:tr w:rsidR="00BC796B" w:rsidRPr="00F36A0F" w14:paraId="3690E26D" w14:textId="77777777" w:rsidTr="0021423C">
        <w:trPr>
          <w:cantSplit/>
        </w:trPr>
        <w:tc>
          <w:tcPr>
            <w:tcW w:w="2088" w:type="dxa"/>
          </w:tcPr>
          <w:p w14:paraId="24B3DBF0" w14:textId="77777777" w:rsidR="00BC796B" w:rsidRPr="005B3D20" w:rsidRDefault="00BC796B" w:rsidP="00BC796B">
            <w:pPr>
              <w:spacing w:before="60" w:after="0"/>
              <w:rPr>
                <w:rFonts w:eastAsiaTheme="minorHAnsi"/>
                <w:sz w:val="18"/>
                <w:szCs w:val="18"/>
              </w:rPr>
            </w:pPr>
            <w:r w:rsidRPr="005B3D20">
              <w:rPr>
                <w:rFonts w:eastAsiaTheme="minorHAnsi"/>
                <w:sz w:val="18"/>
                <w:szCs w:val="18"/>
              </w:rPr>
              <w:t>GDP</w:t>
            </w:r>
          </w:p>
        </w:tc>
        <w:tc>
          <w:tcPr>
            <w:tcW w:w="6768" w:type="dxa"/>
          </w:tcPr>
          <w:p w14:paraId="23094B0C" w14:textId="77777777" w:rsidR="00BC796B" w:rsidRPr="005E7475" w:rsidRDefault="00BC796B" w:rsidP="00BC796B">
            <w:pPr>
              <w:spacing w:before="60" w:after="0"/>
              <w:rPr>
                <w:sz w:val="18"/>
                <w:szCs w:val="18"/>
              </w:rPr>
            </w:pPr>
            <w:r w:rsidRPr="005E7475">
              <w:rPr>
                <w:sz w:val="18"/>
                <w:szCs w:val="18"/>
              </w:rPr>
              <w:t>Gross domestic product</w:t>
            </w:r>
          </w:p>
        </w:tc>
      </w:tr>
      <w:tr w:rsidR="00BC796B" w:rsidRPr="00F36A0F" w14:paraId="6D12F617" w14:textId="77777777" w:rsidTr="0021423C">
        <w:trPr>
          <w:cantSplit/>
        </w:trPr>
        <w:tc>
          <w:tcPr>
            <w:tcW w:w="2088" w:type="dxa"/>
          </w:tcPr>
          <w:p w14:paraId="6F4B4BFB" w14:textId="77777777" w:rsidR="00BC796B" w:rsidRPr="005B3D20" w:rsidRDefault="00BC796B" w:rsidP="00BC796B">
            <w:pPr>
              <w:spacing w:before="60" w:after="0"/>
              <w:rPr>
                <w:sz w:val="18"/>
                <w:szCs w:val="18"/>
              </w:rPr>
            </w:pPr>
            <w:r w:rsidRPr="005B3D20">
              <w:rPr>
                <w:sz w:val="18"/>
                <w:szCs w:val="18"/>
              </w:rPr>
              <w:t>GFR</w:t>
            </w:r>
          </w:p>
        </w:tc>
        <w:tc>
          <w:tcPr>
            <w:tcW w:w="6768" w:type="dxa"/>
          </w:tcPr>
          <w:p w14:paraId="36AEDAF7" w14:textId="77777777" w:rsidR="00BC796B" w:rsidRPr="005E7475" w:rsidRDefault="00BC796B" w:rsidP="00BC796B">
            <w:pPr>
              <w:spacing w:before="60" w:after="0"/>
              <w:rPr>
                <w:sz w:val="18"/>
                <w:szCs w:val="18"/>
              </w:rPr>
            </w:pPr>
            <w:r w:rsidRPr="005E7475">
              <w:rPr>
                <w:sz w:val="18"/>
                <w:szCs w:val="18"/>
              </w:rPr>
              <w:t xml:space="preserve">Glomerular filtration rate </w:t>
            </w:r>
            <w:r w:rsidR="002A77FE">
              <w:rPr>
                <w:sz w:val="18"/>
                <w:szCs w:val="18"/>
              </w:rPr>
              <w:t>(a measure of kidney function)</w:t>
            </w:r>
          </w:p>
        </w:tc>
      </w:tr>
      <w:tr w:rsidR="00BC796B" w:rsidRPr="00F36A0F" w14:paraId="27B7D441" w14:textId="77777777" w:rsidTr="0021423C">
        <w:trPr>
          <w:cantSplit/>
        </w:trPr>
        <w:tc>
          <w:tcPr>
            <w:tcW w:w="2088" w:type="dxa"/>
          </w:tcPr>
          <w:p w14:paraId="0B77D1AF" w14:textId="77777777" w:rsidR="00BC796B" w:rsidRPr="005B3D20" w:rsidRDefault="00BC796B" w:rsidP="00BC796B">
            <w:pPr>
              <w:spacing w:before="60" w:after="0"/>
              <w:rPr>
                <w:sz w:val="18"/>
                <w:szCs w:val="18"/>
              </w:rPr>
            </w:pPr>
            <w:r w:rsidRPr="005B3D20">
              <w:rPr>
                <w:sz w:val="18"/>
                <w:szCs w:val="18"/>
              </w:rPr>
              <w:t>GP</w:t>
            </w:r>
          </w:p>
        </w:tc>
        <w:tc>
          <w:tcPr>
            <w:tcW w:w="6768" w:type="dxa"/>
          </w:tcPr>
          <w:p w14:paraId="0EB3EDD6" w14:textId="77777777" w:rsidR="00BC796B" w:rsidRPr="005E7475" w:rsidRDefault="007D7124" w:rsidP="00BC796B">
            <w:pPr>
              <w:spacing w:before="60" w:after="0"/>
              <w:rPr>
                <w:sz w:val="18"/>
                <w:szCs w:val="18"/>
              </w:rPr>
            </w:pPr>
            <w:r w:rsidRPr="005E7475">
              <w:rPr>
                <w:sz w:val="18"/>
                <w:szCs w:val="18"/>
              </w:rPr>
              <w:t>General p</w:t>
            </w:r>
            <w:r w:rsidR="00BC796B" w:rsidRPr="005E7475">
              <w:rPr>
                <w:sz w:val="18"/>
                <w:szCs w:val="18"/>
              </w:rPr>
              <w:t>ractitioner</w:t>
            </w:r>
          </w:p>
        </w:tc>
      </w:tr>
      <w:tr w:rsidR="005B3D20" w:rsidRPr="00F36A0F" w14:paraId="53E2A7BA" w14:textId="77777777" w:rsidTr="0021423C">
        <w:trPr>
          <w:cantSplit/>
        </w:trPr>
        <w:tc>
          <w:tcPr>
            <w:tcW w:w="2088" w:type="dxa"/>
          </w:tcPr>
          <w:p w14:paraId="52568D37" w14:textId="77777777" w:rsidR="005B3D20" w:rsidRPr="005B3D20" w:rsidRDefault="005B3D20" w:rsidP="00BC796B">
            <w:pPr>
              <w:spacing w:before="60" w:after="0"/>
              <w:rPr>
                <w:rFonts w:eastAsiaTheme="minorHAnsi"/>
                <w:sz w:val="18"/>
                <w:szCs w:val="18"/>
              </w:rPr>
            </w:pPr>
            <w:r w:rsidRPr="005B3D20">
              <w:rPr>
                <w:rFonts w:eastAsiaTheme="minorHAnsi"/>
                <w:sz w:val="18"/>
                <w:szCs w:val="18"/>
              </w:rPr>
              <w:t>GPMP</w:t>
            </w:r>
          </w:p>
        </w:tc>
        <w:tc>
          <w:tcPr>
            <w:tcW w:w="6768" w:type="dxa"/>
          </w:tcPr>
          <w:p w14:paraId="5D745B62" w14:textId="77777777" w:rsidR="005B3D20" w:rsidRPr="005E7475" w:rsidRDefault="005B3D20" w:rsidP="00BC796B">
            <w:pPr>
              <w:spacing w:before="60" w:after="0"/>
              <w:rPr>
                <w:sz w:val="18"/>
                <w:szCs w:val="18"/>
              </w:rPr>
            </w:pPr>
            <w:r w:rsidRPr="005E7475">
              <w:rPr>
                <w:sz w:val="18"/>
                <w:szCs w:val="18"/>
              </w:rPr>
              <w:t>General Practice Management Plan</w:t>
            </w:r>
          </w:p>
        </w:tc>
      </w:tr>
      <w:tr w:rsidR="00BC796B" w:rsidRPr="00F36A0F" w14:paraId="12A5672D" w14:textId="77777777" w:rsidTr="0021423C">
        <w:trPr>
          <w:cantSplit/>
        </w:trPr>
        <w:tc>
          <w:tcPr>
            <w:tcW w:w="2088" w:type="dxa"/>
          </w:tcPr>
          <w:p w14:paraId="39495E57" w14:textId="77777777" w:rsidR="00BC796B" w:rsidRPr="005B3D20" w:rsidRDefault="00BC796B" w:rsidP="00BC796B">
            <w:pPr>
              <w:spacing w:before="60" w:after="0"/>
              <w:rPr>
                <w:rFonts w:eastAsiaTheme="minorHAnsi"/>
                <w:sz w:val="18"/>
                <w:szCs w:val="18"/>
              </w:rPr>
            </w:pPr>
            <w:r w:rsidRPr="005B3D20">
              <w:rPr>
                <w:rFonts w:eastAsiaTheme="minorHAnsi"/>
                <w:sz w:val="18"/>
                <w:szCs w:val="18"/>
              </w:rPr>
              <w:t>HbA1c</w:t>
            </w:r>
          </w:p>
        </w:tc>
        <w:tc>
          <w:tcPr>
            <w:tcW w:w="6768" w:type="dxa"/>
          </w:tcPr>
          <w:p w14:paraId="4EB50C4B" w14:textId="77777777" w:rsidR="00BC796B" w:rsidRPr="005E7475" w:rsidRDefault="00BC796B" w:rsidP="00BC796B">
            <w:pPr>
              <w:spacing w:before="60" w:after="0"/>
              <w:rPr>
                <w:sz w:val="18"/>
                <w:szCs w:val="18"/>
              </w:rPr>
            </w:pPr>
            <w:r w:rsidRPr="005E7475">
              <w:rPr>
                <w:sz w:val="18"/>
                <w:szCs w:val="18"/>
              </w:rPr>
              <w:t>Glycated haemoglobin</w:t>
            </w:r>
            <w:r w:rsidR="006C1735">
              <w:rPr>
                <w:sz w:val="18"/>
                <w:szCs w:val="18"/>
              </w:rPr>
              <w:t xml:space="preserve"> (a component of the blood that indicates the level of exposure to high blood sugar)</w:t>
            </w:r>
          </w:p>
        </w:tc>
      </w:tr>
      <w:tr w:rsidR="00BC796B" w:rsidRPr="00F36A0F" w14:paraId="4C0DDAF0" w14:textId="77777777" w:rsidTr="0021423C">
        <w:trPr>
          <w:cantSplit/>
        </w:trPr>
        <w:tc>
          <w:tcPr>
            <w:tcW w:w="2088" w:type="dxa"/>
          </w:tcPr>
          <w:p w14:paraId="6E73D939" w14:textId="77777777" w:rsidR="00BC796B" w:rsidRPr="005B3D20" w:rsidRDefault="00BC796B" w:rsidP="00BC796B">
            <w:pPr>
              <w:spacing w:before="60" w:after="0"/>
              <w:rPr>
                <w:sz w:val="18"/>
                <w:szCs w:val="18"/>
              </w:rPr>
            </w:pPr>
            <w:r w:rsidRPr="005B3D20">
              <w:rPr>
                <w:sz w:val="18"/>
                <w:szCs w:val="18"/>
              </w:rPr>
              <w:t>IT</w:t>
            </w:r>
          </w:p>
        </w:tc>
        <w:tc>
          <w:tcPr>
            <w:tcW w:w="6768" w:type="dxa"/>
          </w:tcPr>
          <w:p w14:paraId="6D616288" w14:textId="77777777" w:rsidR="00BC796B" w:rsidRPr="005E7475" w:rsidRDefault="00BC796B" w:rsidP="00BC796B">
            <w:pPr>
              <w:spacing w:before="60" w:after="0"/>
              <w:rPr>
                <w:sz w:val="18"/>
                <w:szCs w:val="18"/>
              </w:rPr>
            </w:pPr>
            <w:r w:rsidRPr="005E7475">
              <w:rPr>
                <w:sz w:val="18"/>
                <w:szCs w:val="18"/>
              </w:rPr>
              <w:t>Information technology</w:t>
            </w:r>
          </w:p>
        </w:tc>
      </w:tr>
      <w:tr w:rsidR="00BC796B" w:rsidRPr="00F36A0F" w14:paraId="40E6D722" w14:textId="77777777" w:rsidTr="0021423C">
        <w:trPr>
          <w:cantSplit/>
        </w:trPr>
        <w:tc>
          <w:tcPr>
            <w:tcW w:w="2088" w:type="dxa"/>
          </w:tcPr>
          <w:p w14:paraId="4A9519CE" w14:textId="77777777" w:rsidR="00BC796B" w:rsidRPr="005B3D20" w:rsidRDefault="00BC796B" w:rsidP="00BC796B">
            <w:pPr>
              <w:spacing w:before="60" w:after="0"/>
              <w:rPr>
                <w:sz w:val="18"/>
                <w:szCs w:val="18"/>
              </w:rPr>
            </w:pPr>
            <w:r w:rsidRPr="005B3D20">
              <w:rPr>
                <w:sz w:val="18"/>
                <w:szCs w:val="18"/>
              </w:rPr>
              <w:t>LDL / HDL</w:t>
            </w:r>
          </w:p>
        </w:tc>
        <w:tc>
          <w:tcPr>
            <w:tcW w:w="6768" w:type="dxa"/>
          </w:tcPr>
          <w:p w14:paraId="550BCDE6" w14:textId="77777777" w:rsidR="00BC796B" w:rsidRPr="005E7475" w:rsidRDefault="00BC796B" w:rsidP="00BC796B">
            <w:pPr>
              <w:spacing w:before="60" w:after="0"/>
              <w:rPr>
                <w:sz w:val="18"/>
                <w:szCs w:val="18"/>
              </w:rPr>
            </w:pPr>
            <w:r w:rsidRPr="005E7475">
              <w:rPr>
                <w:sz w:val="18"/>
                <w:szCs w:val="18"/>
              </w:rPr>
              <w:t>Low density lipoprotein / high density lipoprotein</w:t>
            </w:r>
            <w:r w:rsidR="006C1735">
              <w:rPr>
                <w:sz w:val="18"/>
                <w:szCs w:val="18"/>
              </w:rPr>
              <w:t xml:space="preserve"> (structures that allow fats to be transported in the blood)</w:t>
            </w:r>
          </w:p>
        </w:tc>
      </w:tr>
      <w:tr w:rsidR="00EE4898" w:rsidRPr="00F36A0F" w14:paraId="26BA5A1F" w14:textId="77777777" w:rsidTr="0021423C">
        <w:trPr>
          <w:cantSplit/>
        </w:trPr>
        <w:tc>
          <w:tcPr>
            <w:tcW w:w="2088" w:type="dxa"/>
          </w:tcPr>
          <w:p w14:paraId="72D80060" w14:textId="77777777" w:rsidR="00EE4898" w:rsidRPr="005B3D20" w:rsidRDefault="00EE4898" w:rsidP="00BC796B">
            <w:pPr>
              <w:spacing w:before="60" w:after="0"/>
              <w:rPr>
                <w:sz w:val="18"/>
                <w:szCs w:val="18"/>
              </w:rPr>
            </w:pPr>
            <w:r>
              <w:rPr>
                <w:sz w:val="18"/>
                <w:szCs w:val="18"/>
              </w:rPr>
              <w:t>MBS</w:t>
            </w:r>
          </w:p>
        </w:tc>
        <w:tc>
          <w:tcPr>
            <w:tcW w:w="6768" w:type="dxa"/>
          </w:tcPr>
          <w:p w14:paraId="63935896" w14:textId="77777777" w:rsidR="00EE4898" w:rsidRPr="005E7475" w:rsidRDefault="00EE4898" w:rsidP="00BC796B">
            <w:pPr>
              <w:spacing w:before="60" w:after="0"/>
              <w:rPr>
                <w:sz w:val="18"/>
                <w:szCs w:val="18"/>
              </w:rPr>
            </w:pPr>
            <w:r w:rsidRPr="005E7475">
              <w:rPr>
                <w:sz w:val="18"/>
                <w:szCs w:val="18"/>
              </w:rPr>
              <w:t>Medicare Benefits Schedule</w:t>
            </w:r>
          </w:p>
        </w:tc>
      </w:tr>
      <w:tr w:rsidR="005E7475" w:rsidRPr="00F36A0F" w14:paraId="685BC691" w14:textId="77777777" w:rsidTr="0021423C">
        <w:trPr>
          <w:cantSplit/>
        </w:trPr>
        <w:tc>
          <w:tcPr>
            <w:tcW w:w="2088" w:type="dxa"/>
          </w:tcPr>
          <w:p w14:paraId="562012C1" w14:textId="77777777" w:rsidR="005E7475" w:rsidRPr="005B3D20" w:rsidRDefault="005E7475" w:rsidP="00BC796B">
            <w:pPr>
              <w:spacing w:before="60" w:after="0"/>
              <w:rPr>
                <w:sz w:val="18"/>
                <w:szCs w:val="18"/>
              </w:rPr>
            </w:pPr>
            <w:r>
              <w:rPr>
                <w:sz w:val="18"/>
                <w:szCs w:val="18"/>
              </w:rPr>
              <w:t>NDSS</w:t>
            </w:r>
          </w:p>
        </w:tc>
        <w:tc>
          <w:tcPr>
            <w:tcW w:w="6768" w:type="dxa"/>
          </w:tcPr>
          <w:p w14:paraId="277C587F" w14:textId="77777777" w:rsidR="005E7475" w:rsidRPr="005E7475" w:rsidRDefault="005E7475" w:rsidP="00BC796B">
            <w:pPr>
              <w:spacing w:before="60" w:after="0"/>
              <w:rPr>
                <w:sz w:val="18"/>
                <w:szCs w:val="18"/>
              </w:rPr>
            </w:pPr>
            <w:r w:rsidRPr="005E7475">
              <w:rPr>
                <w:sz w:val="18"/>
                <w:szCs w:val="18"/>
              </w:rPr>
              <w:t>National Diabetes Services Scheme</w:t>
            </w:r>
          </w:p>
        </w:tc>
      </w:tr>
      <w:tr w:rsidR="00BC796B" w:rsidRPr="00F36A0F" w14:paraId="2D1CA8F8" w14:textId="77777777" w:rsidTr="0021423C">
        <w:trPr>
          <w:cantSplit/>
        </w:trPr>
        <w:tc>
          <w:tcPr>
            <w:tcW w:w="2088" w:type="dxa"/>
          </w:tcPr>
          <w:p w14:paraId="23DD9EFD" w14:textId="77777777" w:rsidR="00BC796B" w:rsidRPr="005B3D20" w:rsidRDefault="00BC796B" w:rsidP="00BC796B">
            <w:pPr>
              <w:spacing w:before="60" w:after="0"/>
              <w:rPr>
                <w:sz w:val="18"/>
                <w:szCs w:val="18"/>
              </w:rPr>
            </w:pPr>
            <w:r w:rsidRPr="005B3D20">
              <w:rPr>
                <w:sz w:val="18"/>
                <w:szCs w:val="18"/>
              </w:rPr>
              <w:t>NHHRC</w:t>
            </w:r>
          </w:p>
        </w:tc>
        <w:tc>
          <w:tcPr>
            <w:tcW w:w="6768" w:type="dxa"/>
          </w:tcPr>
          <w:p w14:paraId="0829227C" w14:textId="77777777" w:rsidR="00BC796B" w:rsidRPr="005E7475" w:rsidRDefault="00BC796B" w:rsidP="00BC796B">
            <w:pPr>
              <w:spacing w:before="60" w:after="0"/>
              <w:rPr>
                <w:sz w:val="18"/>
                <w:szCs w:val="18"/>
              </w:rPr>
            </w:pPr>
            <w:r w:rsidRPr="005E7475">
              <w:rPr>
                <w:sz w:val="18"/>
                <w:szCs w:val="18"/>
              </w:rPr>
              <w:t>National Health and Hospital Reform Commission</w:t>
            </w:r>
          </w:p>
        </w:tc>
      </w:tr>
      <w:tr w:rsidR="00BC796B" w:rsidRPr="00F36A0F" w14:paraId="6ECA09A7" w14:textId="77777777" w:rsidTr="0021423C">
        <w:trPr>
          <w:cantSplit/>
        </w:trPr>
        <w:tc>
          <w:tcPr>
            <w:tcW w:w="2088" w:type="dxa"/>
          </w:tcPr>
          <w:p w14:paraId="3F8AF53B" w14:textId="77777777" w:rsidR="00BC796B" w:rsidRPr="005B3D20" w:rsidRDefault="00BC796B" w:rsidP="00BC796B">
            <w:pPr>
              <w:spacing w:before="60" w:after="0"/>
              <w:rPr>
                <w:sz w:val="18"/>
                <w:szCs w:val="18"/>
              </w:rPr>
            </w:pPr>
            <w:r w:rsidRPr="005B3D20">
              <w:rPr>
                <w:sz w:val="18"/>
                <w:szCs w:val="18"/>
              </w:rPr>
              <w:t>OR</w:t>
            </w:r>
          </w:p>
        </w:tc>
        <w:tc>
          <w:tcPr>
            <w:tcW w:w="6768" w:type="dxa"/>
          </w:tcPr>
          <w:p w14:paraId="50EEA8AE" w14:textId="77777777" w:rsidR="00BC796B" w:rsidRPr="005E7475" w:rsidRDefault="00BC796B" w:rsidP="00BC796B">
            <w:pPr>
              <w:spacing w:before="60" w:after="0"/>
              <w:rPr>
                <w:sz w:val="18"/>
                <w:szCs w:val="18"/>
              </w:rPr>
            </w:pPr>
            <w:r w:rsidRPr="005E7475">
              <w:rPr>
                <w:sz w:val="18"/>
                <w:szCs w:val="18"/>
              </w:rPr>
              <w:t>Odds ratio</w:t>
            </w:r>
            <w:r w:rsidR="00895523">
              <w:rPr>
                <w:sz w:val="18"/>
                <w:szCs w:val="18"/>
              </w:rPr>
              <w:t xml:space="preserve"> (a measure of the strength of an association between two properties in a population)</w:t>
            </w:r>
          </w:p>
        </w:tc>
      </w:tr>
      <w:tr w:rsidR="00BC796B" w:rsidRPr="00F36A0F" w14:paraId="6845347C" w14:textId="77777777" w:rsidTr="0021423C">
        <w:trPr>
          <w:cantSplit/>
        </w:trPr>
        <w:tc>
          <w:tcPr>
            <w:tcW w:w="2088" w:type="dxa"/>
          </w:tcPr>
          <w:p w14:paraId="57E141D4" w14:textId="77777777" w:rsidR="00BC796B" w:rsidRPr="005B3D20" w:rsidRDefault="00BC796B" w:rsidP="00BC796B">
            <w:pPr>
              <w:spacing w:before="60" w:after="0"/>
              <w:rPr>
                <w:sz w:val="18"/>
                <w:szCs w:val="18"/>
              </w:rPr>
            </w:pPr>
            <w:r w:rsidRPr="005B3D20">
              <w:rPr>
                <w:sz w:val="18"/>
                <w:szCs w:val="18"/>
              </w:rPr>
              <w:t>p</w:t>
            </w:r>
          </w:p>
        </w:tc>
        <w:tc>
          <w:tcPr>
            <w:tcW w:w="6768" w:type="dxa"/>
          </w:tcPr>
          <w:p w14:paraId="77A74D16" w14:textId="77777777" w:rsidR="00BC796B" w:rsidRPr="005E7475" w:rsidRDefault="00BC796B" w:rsidP="00BC796B">
            <w:pPr>
              <w:spacing w:before="60" w:after="0"/>
              <w:rPr>
                <w:sz w:val="18"/>
                <w:szCs w:val="18"/>
              </w:rPr>
            </w:pPr>
            <w:r w:rsidRPr="005E7475">
              <w:rPr>
                <w:sz w:val="18"/>
                <w:szCs w:val="18"/>
              </w:rPr>
              <w:t>p-value</w:t>
            </w:r>
            <w:r w:rsidR="00895523">
              <w:rPr>
                <w:sz w:val="18"/>
                <w:szCs w:val="18"/>
              </w:rPr>
              <w:t xml:space="preserve"> (</w:t>
            </w:r>
            <w:r w:rsidR="004D144C">
              <w:rPr>
                <w:sz w:val="18"/>
                <w:szCs w:val="18"/>
              </w:rPr>
              <w:t>reflects the likelihood of a hypothesis being true)</w:t>
            </w:r>
          </w:p>
        </w:tc>
      </w:tr>
      <w:tr w:rsidR="00EE4898" w:rsidRPr="00F36A0F" w14:paraId="7E52C85B" w14:textId="77777777" w:rsidTr="0021423C">
        <w:trPr>
          <w:cantSplit/>
        </w:trPr>
        <w:tc>
          <w:tcPr>
            <w:tcW w:w="2088" w:type="dxa"/>
          </w:tcPr>
          <w:p w14:paraId="41FB5DAD" w14:textId="77777777" w:rsidR="00EE4898" w:rsidRPr="005B3D20" w:rsidRDefault="00EE4898" w:rsidP="00BC796B">
            <w:pPr>
              <w:spacing w:before="60" w:after="0"/>
              <w:rPr>
                <w:rFonts w:eastAsiaTheme="minorHAnsi"/>
                <w:sz w:val="18"/>
                <w:szCs w:val="18"/>
              </w:rPr>
            </w:pPr>
            <w:r>
              <w:rPr>
                <w:rFonts w:eastAsiaTheme="minorHAnsi"/>
                <w:sz w:val="18"/>
                <w:szCs w:val="18"/>
              </w:rPr>
              <w:t>PBS</w:t>
            </w:r>
          </w:p>
        </w:tc>
        <w:tc>
          <w:tcPr>
            <w:tcW w:w="6768" w:type="dxa"/>
          </w:tcPr>
          <w:p w14:paraId="63458D83" w14:textId="77777777" w:rsidR="00EE4898" w:rsidRPr="005E7475" w:rsidRDefault="00EE4898" w:rsidP="00BC796B">
            <w:pPr>
              <w:spacing w:before="60" w:after="0"/>
              <w:rPr>
                <w:sz w:val="18"/>
                <w:szCs w:val="18"/>
              </w:rPr>
            </w:pPr>
            <w:r w:rsidRPr="005E7475">
              <w:rPr>
                <w:sz w:val="18"/>
                <w:szCs w:val="18"/>
              </w:rPr>
              <w:t>Pharmaceutical Benefits Scheme</w:t>
            </w:r>
          </w:p>
        </w:tc>
      </w:tr>
      <w:tr w:rsidR="00BC796B" w:rsidRPr="00F36A0F" w14:paraId="36B607AF" w14:textId="77777777" w:rsidTr="0021423C">
        <w:trPr>
          <w:cantSplit/>
        </w:trPr>
        <w:tc>
          <w:tcPr>
            <w:tcW w:w="2088" w:type="dxa"/>
          </w:tcPr>
          <w:p w14:paraId="48DD4F3B" w14:textId="77777777" w:rsidR="00BC796B" w:rsidRPr="005B3D20" w:rsidRDefault="00BC796B" w:rsidP="00BC796B">
            <w:pPr>
              <w:spacing w:before="60" w:after="0"/>
              <w:rPr>
                <w:sz w:val="18"/>
                <w:szCs w:val="18"/>
              </w:rPr>
            </w:pPr>
            <w:r w:rsidRPr="005B3D20">
              <w:rPr>
                <w:sz w:val="18"/>
                <w:szCs w:val="18"/>
              </w:rPr>
              <w:t>PHQ-9</w:t>
            </w:r>
          </w:p>
        </w:tc>
        <w:tc>
          <w:tcPr>
            <w:tcW w:w="6768" w:type="dxa"/>
          </w:tcPr>
          <w:p w14:paraId="6D357428" w14:textId="77777777" w:rsidR="00BC796B" w:rsidRPr="005E7475" w:rsidRDefault="00BC796B" w:rsidP="00BC796B">
            <w:pPr>
              <w:spacing w:before="60" w:after="0"/>
              <w:rPr>
                <w:sz w:val="18"/>
                <w:szCs w:val="18"/>
              </w:rPr>
            </w:pPr>
            <w:r w:rsidRPr="005E7475">
              <w:rPr>
                <w:sz w:val="18"/>
                <w:szCs w:val="18"/>
              </w:rPr>
              <w:t>Patient Health Questionnaire-9</w:t>
            </w:r>
            <w:r w:rsidR="004D144C">
              <w:rPr>
                <w:sz w:val="18"/>
                <w:szCs w:val="18"/>
              </w:rPr>
              <w:t xml:space="preserve"> (standardised questionnaire)</w:t>
            </w:r>
          </w:p>
        </w:tc>
      </w:tr>
      <w:tr w:rsidR="00387468" w:rsidRPr="00F36A0F" w14:paraId="59C283DB" w14:textId="77777777" w:rsidTr="0021423C">
        <w:trPr>
          <w:cantSplit/>
        </w:trPr>
        <w:tc>
          <w:tcPr>
            <w:tcW w:w="2088" w:type="dxa"/>
          </w:tcPr>
          <w:p w14:paraId="0051A6CF" w14:textId="77777777" w:rsidR="00387468" w:rsidRPr="005B3D20" w:rsidRDefault="00387468" w:rsidP="00BC796B">
            <w:pPr>
              <w:spacing w:before="60" w:after="0"/>
              <w:rPr>
                <w:rFonts w:eastAsiaTheme="minorHAnsi"/>
                <w:sz w:val="18"/>
                <w:szCs w:val="18"/>
              </w:rPr>
            </w:pPr>
            <w:r>
              <w:rPr>
                <w:rFonts w:eastAsiaTheme="minorHAnsi"/>
                <w:sz w:val="18"/>
                <w:szCs w:val="18"/>
              </w:rPr>
              <w:t>PN</w:t>
            </w:r>
          </w:p>
        </w:tc>
        <w:tc>
          <w:tcPr>
            <w:tcW w:w="6768" w:type="dxa"/>
          </w:tcPr>
          <w:p w14:paraId="57790BB2" w14:textId="77777777" w:rsidR="00387468" w:rsidRPr="005E7475" w:rsidRDefault="00387468" w:rsidP="00FA6DEF">
            <w:pPr>
              <w:spacing w:before="60" w:after="0"/>
              <w:rPr>
                <w:rFonts w:eastAsiaTheme="minorHAnsi"/>
                <w:sz w:val="18"/>
                <w:szCs w:val="18"/>
              </w:rPr>
            </w:pPr>
            <w:r w:rsidRPr="005E7475">
              <w:rPr>
                <w:rFonts w:eastAsiaTheme="minorHAnsi"/>
                <w:sz w:val="18"/>
                <w:szCs w:val="18"/>
              </w:rPr>
              <w:t xml:space="preserve">Practice </w:t>
            </w:r>
            <w:r w:rsidR="00FA6DEF">
              <w:rPr>
                <w:rFonts w:eastAsiaTheme="minorHAnsi"/>
                <w:sz w:val="18"/>
                <w:szCs w:val="18"/>
              </w:rPr>
              <w:t>N</w:t>
            </w:r>
            <w:r w:rsidR="00FA6DEF" w:rsidRPr="005E7475">
              <w:rPr>
                <w:rFonts w:eastAsiaTheme="minorHAnsi"/>
                <w:sz w:val="18"/>
                <w:szCs w:val="18"/>
              </w:rPr>
              <w:t>urse</w:t>
            </w:r>
          </w:p>
        </w:tc>
      </w:tr>
      <w:tr w:rsidR="00BC796B" w:rsidRPr="00F36A0F" w14:paraId="10DA25AB" w14:textId="77777777" w:rsidTr="0021423C">
        <w:trPr>
          <w:cantSplit/>
        </w:trPr>
        <w:tc>
          <w:tcPr>
            <w:tcW w:w="2088" w:type="dxa"/>
          </w:tcPr>
          <w:p w14:paraId="164948C5" w14:textId="77777777" w:rsidR="00BC796B" w:rsidRPr="005B3D20" w:rsidRDefault="00BC796B" w:rsidP="00BC796B">
            <w:pPr>
              <w:spacing w:before="60" w:after="0"/>
              <w:rPr>
                <w:rFonts w:eastAsiaTheme="minorHAnsi"/>
                <w:sz w:val="18"/>
                <w:szCs w:val="18"/>
              </w:rPr>
            </w:pPr>
            <w:r w:rsidRPr="005B3D20">
              <w:rPr>
                <w:rFonts w:eastAsiaTheme="minorHAnsi"/>
                <w:sz w:val="18"/>
                <w:szCs w:val="18"/>
              </w:rPr>
              <w:t>PoCT</w:t>
            </w:r>
          </w:p>
        </w:tc>
        <w:tc>
          <w:tcPr>
            <w:tcW w:w="6768" w:type="dxa"/>
          </w:tcPr>
          <w:p w14:paraId="147969BD" w14:textId="77777777" w:rsidR="00BC796B" w:rsidRPr="005E7475" w:rsidRDefault="00BC796B" w:rsidP="00BC796B">
            <w:pPr>
              <w:spacing w:before="60" w:after="0"/>
              <w:rPr>
                <w:rFonts w:eastAsiaTheme="minorHAnsi"/>
                <w:sz w:val="18"/>
                <w:szCs w:val="18"/>
              </w:rPr>
            </w:pPr>
            <w:r w:rsidRPr="005E7475">
              <w:rPr>
                <w:rFonts w:eastAsiaTheme="minorHAnsi"/>
                <w:sz w:val="18"/>
                <w:szCs w:val="18"/>
              </w:rPr>
              <w:t>Point of Care Testing in General Practice Trial</w:t>
            </w:r>
          </w:p>
        </w:tc>
      </w:tr>
      <w:tr w:rsidR="0021423C" w:rsidRPr="00F36A0F" w14:paraId="5D398C7B" w14:textId="77777777" w:rsidTr="0021423C">
        <w:trPr>
          <w:cantSplit/>
        </w:trPr>
        <w:tc>
          <w:tcPr>
            <w:tcW w:w="2088" w:type="dxa"/>
          </w:tcPr>
          <w:p w14:paraId="1BE3D8D4" w14:textId="77777777" w:rsidR="0021423C" w:rsidRPr="005B3D20" w:rsidRDefault="0021423C" w:rsidP="00BC796B">
            <w:pPr>
              <w:spacing w:before="60" w:after="0"/>
              <w:rPr>
                <w:rFonts w:eastAsiaTheme="minorHAnsi"/>
                <w:sz w:val="18"/>
                <w:szCs w:val="18"/>
              </w:rPr>
            </w:pPr>
            <w:r>
              <w:rPr>
                <w:rFonts w:eastAsiaTheme="minorHAnsi"/>
                <w:sz w:val="18"/>
                <w:szCs w:val="18"/>
              </w:rPr>
              <w:lastRenderedPageBreak/>
              <w:t>Primary Care Organisations</w:t>
            </w:r>
          </w:p>
        </w:tc>
        <w:tc>
          <w:tcPr>
            <w:tcW w:w="6768" w:type="dxa"/>
          </w:tcPr>
          <w:p w14:paraId="0F021057" w14:textId="77777777" w:rsidR="0021423C" w:rsidRPr="005E7475" w:rsidRDefault="0021423C" w:rsidP="00BA5E5D">
            <w:pPr>
              <w:spacing w:before="60" w:after="0"/>
              <w:rPr>
                <w:sz w:val="18"/>
                <w:szCs w:val="18"/>
              </w:rPr>
            </w:pPr>
            <w:r>
              <w:rPr>
                <w:shd w:val="clear" w:color="auto" w:fill="FFFFFF"/>
              </w:rPr>
              <w:t>Independent entities</w:t>
            </w:r>
            <w:r w:rsidRPr="00AE050C">
              <w:rPr>
                <w:shd w:val="clear" w:color="auto" w:fill="FFFFFF"/>
              </w:rPr>
              <w:t xml:space="preserve"> responsible for coordinating local primary health care services, such as Divisions of General Practice and Medicare Locals</w:t>
            </w:r>
          </w:p>
        </w:tc>
      </w:tr>
      <w:tr w:rsidR="00BC796B" w:rsidRPr="00F36A0F" w14:paraId="4871E363" w14:textId="77777777" w:rsidTr="0021423C">
        <w:trPr>
          <w:cantSplit/>
        </w:trPr>
        <w:tc>
          <w:tcPr>
            <w:tcW w:w="2088" w:type="dxa"/>
          </w:tcPr>
          <w:p w14:paraId="03CF3157" w14:textId="77777777" w:rsidR="00BC796B" w:rsidRPr="005B3D20" w:rsidRDefault="00BC796B" w:rsidP="00BC796B">
            <w:pPr>
              <w:spacing w:before="60" w:after="0"/>
              <w:rPr>
                <w:rFonts w:eastAsiaTheme="minorHAnsi"/>
                <w:sz w:val="18"/>
                <w:szCs w:val="18"/>
              </w:rPr>
            </w:pPr>
            <w:r w:rsidRPr="005B3D20">
              <w:rPr>
                <w:rFonts w:eastAsiaTheme="minorHAnsi"/>
                <w:sz w:val="18"/>
                <w:szCs w:val="18"/>
              </w:rPr>
              <w:t>QALY</w:t>
            </w:r>
          </w:p>
        </w:tc>
        <w:tc>
          <w:tcPr>
            <w:tcW w:w="6768" w:type="dxa"/>
          </w:tcPr>
          <w:p w14:paraId="3EA4843D" w14:textId="77777777" w:rsidR="00BC796B" w:rsidRPr="005E7475" w:rsidRDefault="00BC796B" w:rsidP="00BC796B">
            <w:pPr>
              <w:spacing w:before="60" w:after="0"/>
              <w:rPr>
                <w:sz w:val="18"/>
                <w:szCs w:val="18"/>
              </w:rPr>
            </w:pPr>
            <w:r w:rsidRPr="005E7475">
              <w:rPr>
                <w:sz w:val="18"/>
                <w:szCs w:val="18"/>
              </w:rPr>
              <w:t>Quality-adjusted life year</w:t>
            </w:r>
          </w:p>
        </w:tc>
      </w:tr>
      <w:tr w:rsidR="00BC796B" w:rsidRPr="00F36A0F" w14:paraId="3855DE10" w14:textId="77777777" w:rsidTr="0021423C">
        <w:trPr>
          <w:cantSplit/>
        </w:trPr>
        <w:tc>
          <w:tcPr>
            <w:tcW w:w="2088" w:type="dxa"/>
          </w:tcPr>
          <w:p w14:paraId="542D34E4" w14:textId="77777777" w:rsidR="00BC796B" w:rsidRPr="005B3D20" w:rsidRDefault="00BC796B" w:rsidP="00BC796B">
            <w:pPr>
              <w:spacing w:before="60" w:after="0"/>
              <w:rPr>
                <w:sz w:val="18"/>
                <w:szCs w:val="18"/>
              </w:rPr>
            </w:pPr>
            <w:r w:rsidRPr="005B3D20">
              <w:rPr>
                <w:sz w:val="18"/>
                <w:szCs w:val="18"/>
              </w:rPr>
              <w:t>QISP</w:t>
            </w:r>
          </w:p>
        </w:tc>
        <w:tc>
          <w:tcPr>
            <w:tcW w:w="6768" w:type="dxa"/>
          </w:tcPr>
          <w:p w14:paraId="6552E631" w14:textId="77777777" w:rsidR="00BC796B" w:rsidRPr="005E7475" w:rsidRDefault="00BC796B" w:rsidP="00BC796B">
            <w:pPr>
              <w:spacing w:before="60" w:after="0"/>
              <w:rPr>
                <w:sz w:val="18"/>
                <w:szCs w:val="18"/>
              </w:rPr>
            </w:pPr>
            <w:r w:rsidRPr="005E7475">
              <w:rPr>
                <w:sz w:val="18"/>
                <w:szCs w:val="18"/>
              </w:rPr>
              <w:t>Quality Improvement Support Payment</w:t>
            </w:r>
          </w:p>
        </w:tc>
      </w:tr>
      <w:tr w:rsidR="00BC796B" w:rsidRPr="00F36A0F" w14:paraId="4CC54C20" w14:textId="77777777" w:rsidTr="0021423C">
        <w:trPr>
          <w:cantSplit/>
        </w:trPr>
        <w:tc>
          <w:tcPr>
            <w:tcW w:w="2088" w:type="dxa"/>
          </w:tcPr>
          <w:p w14:paraId="5134D3BE" w14:textId="77777777" w:rsidR="00BC796B" w:rsidRPr="005B3D20" w:rsidRDefault="00452764" w:rsidP="00BC796B">
            <w:pPr>
              <w:spacing w:before="60" w:after="0"/>
              <w:rPr>
                <w:sz w:val="18"/>
                <w:szCs w:val="18"/>
              </w:rPr>
            </w:pPr>
            <w:r>
              <w:rPr>
                <w:sz w:val="18"/>
                <w:szCs w:val="18"/>
              </w:rPr>
              <w:t>Qo</w:t>
            </w:r>
            <w:r w:rsidR="00BC796B" w:rsidRPr="005B3D20">
              <w:rPr>
                <w:sz w:val="18"/>
                <w:szCs w:val="18"/>
              </w:rPr>
              <w:t>F</w:t>
            </w:r>
          </w:p>
        </w:tc>
        <w:tc>
          <w:tcPr>
            <w:tcW w:w="6768" w:type="dxa"/>
          </w:tcPr>
          <w:p w14:paraId="72AC083F" w14:textId="77777777" w:rsidR="00BC796B" w:rsidRPr="005E7475" w:rsidRDefault="00BC796B" w:rsidP="00BC796B">
            <w:pPr>
              <w:spacing w:before="60" w:after="0"/>
              <w:rPr>
                <w:sz w:val="18"/>
                <w:szCs w:val="18"/>
              </w:rPr>
            </w:pPr>
            <w:r w:rsidRPr="005E7475">
              <w:rPr>
                <w:sz w:val="18"/>
                <w:szCs w:val="18"/>
              </w:rPr>
              <w:t>Quality and Outcomes Framework (UK)</w:t>
            </w:r>
          </w:p>
        </w:tc>
      </w:tr>
      <w:tr w:rsidR="00BC796B" w:rsidRPr="00F36A0F" w14:paraId="279191C1" w14:textId="77777777" w:rsidTr="0021423C">
        <w:trPr>
          <w:cantSplit/>
        </w:trPr>
        <w:tc>
          <w:tcPr>
            <w:tcW w:w="2088" w:type="dxa"/>
          </w:tcPr>
          <w:p w14:paraId="48064F8D" w14:textId="77777777" w:rsidR="00BC796B" w:rsidRPr="005B3D20" w:rsidRDefault="00BC796B" w:rsidP="00BC796B">
            <w:pPr>
              <w:spacing w:before="60" w:after="0"/>
              <w:rPr>
                <w:sz w:val="18"/>
                <w:szCs w:val="18"/>
              </w:rPr>
            </w:pPr>
            <w:r w:rsidRPr="005B3D20">
              <w:rPr>
                <w:sz w:val="18"/>
                <w:szCs w:val="18"/>
              </w:rPr>
              <w:t>RACGP</w:t>
            </w:r>
          </w:p>
        </w:tc>
        <w:tc>
          <w:tcPr>
            <w:tcW w:w="6768" w:type="dxa"/>
          </w:tcPr>
          <w:p w14:paraId="3526AB97" w14:textId="77777777" w:rsidR="00BC796B" w:rsidRPr="005E7475" w:rsidRDefault="00BC796B" w:rsidP="00BC796B">
            <w:pPr>
              <w:spacing w:before="60" w:after="0"/>
              <w:rPr>
                <w:sz w:val="18"/>
                <w:szCs w:val="18"/>
              </w:rPr>
            </w:pPr>
            <w:r w:rsidRPr="005E7475">
              <w:rPr>
                <w:sz w:val="18"/>
                <w:szCs w:val="18"/>
              </w:rPr>
              <w:t>Royal Australian College of General Practitioners</w:t>
            </w:r>
          </w:p>
        </w:tc>
      </w:tr>
      <w:tr w:rsidR="00BC796B" w:rsidRPr="00F36A0F" w14:paraId="04351696" w14:textId="77777777" w:rsidTr="0021423C">
        <w:trPr>
          <w:cantSplit/>
        </w:trPr>
        <w:tc>
          <w:tcPr>
            <w:tcW w:w="2088" w:type="dxa"/>
          </w:tcPr>
          <w:p w14:paraId="1691610C" w14:textId="77777777" w:rsidR="00BC796B" w:rsidRPr="005B3D20" w:rsidRDefault="00BC796B" w:rsidP="00BC796B">
            <w:pPr>
              <w:spacing w:before="60" w:after="0"/>
              <w:rPr>
                <w:rFonts w:eastAsiaTheme="minorHAnsi"/>
                <w:sz w:val="18"/>
                <w:szCs w:val="18"/>
              </w:rPr>
            </w:pPr>
            <w:r w:rsidRPr="005B3D20">
              <w:rPr>
                <w:rFonts w:eastAsiaTheme="minorHAnsi"/>
                <w:sz w:val="18"/>
                <w:szCs w:val="18"/>
              </w:rPr>
              <w:t xml:space="preserve">RECORD </w:t>
            </w:r>
          </w:p>
        </w:tc>
        <w:tc>
          <w:tcPr>
            <w:tcW w:w="6768" w:type="dxa"/>
          </w:tcPr>
          <w:p w14:paraId="6244CB38" w14:textId="77777777" w:rsidR="00BC796B" w:rsidRPr="005B3D20" w:rsidRDefault="00BC796B" w:rsidP="007C449C">
            <w:pPr>
              <w:spacing w:before="60" w:after="0"/>
              <w:rPr>
                <w:rFonts w:eastAsiaTheme="minorHAnsi"/>
                <w:sz w:val="18"/>
                <w:szCs w:val="18"/>
              </w:rPr>
            </w:pPr>
            <w:r w:rsidRPr="005B3D20">
              <w:rPr>
                <w:rFonts w:eastAsiaTheme="minorHAnsi"/>
                <w:sz w:val="18"/>
                <w:szCs w:val="18"/>
              </w:rPr>
              <w:t xml:space="preserve">Regulation of Coagulation in Orthopedic Surgery to Prevent Deep Venous </w:t>
            </w:r>
            <w:r w:rsidRPr="005B3D20">
              <w:rPr>
                <w:sz w:val="18"/>
                <w:szCs w:val="18"/>
              </w:rPr>
              <w:t>Thrombosis</w:t>
            </w:r>
            <w:r w:rsidRPr="005B3D20">
              <w:rPr>
                <w:rFonts w:eastAsiaTheme="minorHAnsi"/>
                <w:sz w:val="18"/>
                <w:szCs w:val="18"/>
              </w:rPr>
              <w:t xml:space="preserve"> and Pulmonary Embolism </w:t>
            </w:r>
            <w:r w:rsidR="007C449C" w:rsidRPr="005B3D20">
              <w:rPr>
                <w:rFonts w:eastAsiaTheme="minorHAnsi"/>
                <w:sz w:val="18"/>
                <w:szCs w:val="18"/>
              </w:rPr>
              <w:t>(</w:t>
            </w:r>
            <w:r w:rsidRPr="005B3D20">
              <w:rPr>
                <w:rFonts w:eastAsiaTheme="minorHAnsi"/>
                <w:sz w:val="18"/>
                <w:szCs w:val="18"/>
              </w:rPr>
              <w:t>clinical trial</w:t>
            </w:r>
            <w:r w:rsidR="007C449C" w:rsidRPr="005B3D20">
              <w:rPr>
                <w:rFonts w:eastAsiaTheme="minorHAnsi"/>
                <w:sz w:val="18"/>
                <w:szCs w:val="18"/>
              </w:rPr>
              <w:t>)</w:t>
            </w:r>
          </w:p>
        </w:tc>
      </w:tr>
      <w:tr w:rsidR="004D144C" w:rsidRPr="00F36A0F" w14:paraId="10CE1A42" w14:textId="77777777" w:rsidTr="0021423C">
        <w:trPr>
          <w:cantSplit/>
        </w:trPr>
        <w:tc>
          <w:tcPr>
            <w:tcW w:w="2088" w:type="dxa"/>
          </w:tcPr>
          <w:p w14:paraId="03B039E9" w14:textId="77777777" w:rsidR="004D144C" w:rsidRPr="005B3D20" w:rsidRDefault="004D144C" w:rsidP="008C6D57">
            <w:pPr>
              <w:spacing w:before="60" w:after="0"/>
              <w:rPr>
                <w:rFonts w:eastAsiaTheme="minorHAnsi"/>
                <w:sz w:val="18"/>
                <w:szCs w:val="18"/>
              </w:rPr>
            </w:pPr>
            <w:r>
              <w:rPr>
                <w:rFonts w:eastAsiaTheme="minorHAnsi"/>
                <w:sz w:val="18"/>
                <w:szCs w:val="18"/>
              </w:rPr>
              <w:t>Risk stratification</w:t>
            </w:r>
          </w:p>
        </w:tc>
        <w:tc>
          <w:tcPr>
            <w:tcW w:w="6768" w:type="dxa"/>
          </w:tcPr>
          <w:p w14:paraId="1AAA42B7" w14:textId="77777777" w:rsidR="004D144C" w:rsidRPr="005B3D20" w:rsidRDefault="00173A3A" w:rsidP="008C6D57">
            <w:pPr>
              <w:spacing w:before="60" w:after="0"/>
              <w:rPr>
                <w:sz w:val="18"/>
                <w:szCs w:val="18"/>
              </w:rPr>
            </w:pPr>
            <w:r>
              <w:rPr>
                <w:sz w:val="18"/>
                <w:szCs w:val="18"/>
              </w:rPr>
              <w:t>The process of allocating individuals to two or more groups based on measures of the likelihood of future adverse events</w:t>
            </w:r>
          </w:p>
        </w:tc>
      </w:tr>
      <w:tr w:rsidR="005B3D20" w:rsidRPr="00F36A0F" w14:paraId="1C9B6633" w14:textId="77777777" w:rsidTr="0021423C">
        <w:trPr>
          <w:cantSplit/>
        </w:trPr>
        <w:tc>
          <w:tcPr>
            <w:tcW w:w="2088" w:type="dxa"/>
          </w:tcPr>
          <w:p w14:paraId="4DD21D28" w14:textId="77777777" w:rsidR="005B3D20" w:rsidRPr="005B3D20" w:rsidRDefault="005B3D20" w:rsidP="00BC796B">
            <w:pPr>
              <w:spacing w:before="60" w:after="0"/>
              <w:rPr>
                <w:rFonts w:eastAsiaTheme="minorHAnsi"/>
                <w:sz w:val="18"/>
                <w:szCs w:val="18"/>
              </w:rPr>
            </w:pPr>
            <w:r w:rsidRPr="005B3D20">
              <w:rPr>
                <w:rFonts w:eastAsiaTheme="minorHAnsi"/>
                <w:sz w:val="18"/>
                <w:szCs w:val="18"/>
              </w:rPr>
              <w:t>TCA</w:t>
            </w:r>
          </w:p>
        </w:tc>
        <w:tc>
          <w:tcPr>
            <w:tcW w:w="6768" w:type="dxa"/>
          </w:tcPr>
          <w:p w14:paraId="10B576CE" w14:textId="77777777" w:rsidR="005B3D20" w:rsidRPr="005B3D20" w:rsidRDefault="005B3D20" w:rsidP="00BC796B">
            <w:pPr>
              <w:spacing w:before="60" w:after="0"/>
              <w:rPr>
                <w:sz w:val="18"/>
                <w:szCs w:val="18"/>
              </w:rPr>
            </w:pPr>
            <w:r w:rsidRPr="005B3D20">
              <w:rPr>
                <w:sz w:val="18"/>
                <w:szCs w:val="18"/>
              </w:rPr>
              <w:t>Team Care Arrangements</w:t>
            </w:r>
          </w:p>
        </w:tc>
      </w:tr>
      <w:tr w:rsidR="00BC796B" w:rsidRPr="00F36A0F" w14:paraId="69A6A1C9" w14:textId="77777777" w:rsidTr="0021423C">
        <w:trPr>
          <w:cantSplit/>
        </w:trPr>
        <w:tc>
          <w:tcPr>
            <w:tcW w:w="2088" w:type="dxa"/>
          </w:tcPr>
          <w:p w14:paraId="10AC7032" w14:textId="77777777" w:rsidR="00BC796B" w:rsidRPr="005B3D20" w:rsidRDefault="00BC796B" w:rsidP="00BC796B">
            <w:pPr>
              <w:spacing w:before="60" w:after="0"/>
              <w:rPr>
                <w:rFonts w:eastAsiaTheme="minorHAnsi"/>
                <w:sz w:val="18"/>
                <w:szCs w:val="18"/>
              </w:rPr>
            </w:pPr>
            <w:r w:rsidRPr="005B3D20">
              <w:rPr>
                <w:rFonts w:eastAsiaTheme="minorHAnsi"/>
                <w:sz w:val="18"/>
                <w:szCs w:val="18"/>
              </w:rPr>
              <w:t>UKPDS</w:t>
            </w:r>
          </w:p>
        </w:tc>
        <w:tc>
          <w:tcPr>
            <w:tcW w:w="6768" w:type="dxa"/>
          </w:tcPr>
          <w:p w14:paraId="4258F472" w14:textId="77777777" w:rsidR="00BC796B" w:rsidRPr="005B3D20" w:rsidRDefault="00D12F9A" w:rsidP="00BC796B">
            <w:pPr>
              <w:spacing w:before="60" w:after="0"/>
              <w:rPr>
                <w:sz w:val="18"/>
                <w:szCs w:val="18"/>
              </w:rPr>
            </w:pPr>
            <w:r>
              <w:rPr>
                <w:sz w:val="18"/>
                <w:szCs w:val="18"/>
              </w:rPr>
              <w:t>United Kingdom</w:t>
            </w:r>
            <w:r w:rsidR="00BC796B" w:rsidRPr="005B3D20">
              <w:rPr>
                <w:sz w:val="18"/>
                <w:szCs w:val="18"/>
              </w:rPr>
              <w:t xml:space="preserve"> Prospective Diabetes Study</w:t>
            </w:r>
          </w:p>
        </w:tc>
      </w:tr>
      <w:tr w:rsidR="00BC796B" w:rsidRPr="00F36A0F" w14:paraId="73E0AB34" w14:textId="77777777" w:rsidTr="0021423C">
        <w:trPr>
          <w:cantSplit/>
        </w:trPr>
        <w:tc>
          <w:tcPr>
            <w:tcW w:w="2088" w:type="dxa"/>
          </w:tcPr>
          <w:p w14:paraId="38999D32" w14:textId="77777777" w:rsidR="00BC796B" w:rsidRPr="005B3D20" w:rsidRDefault="00BC796B" w:rsidP="008C6D57">
            <w:pPr>
              <w:spacing w:before="60" w:after="0"/>
              <w:rPr>
                <w:rFonts w:eastAsiaTheme="minorHAnsi"/>
                <w:sz w:val="18"/>
                <w:szCs w:val="18"/>
              </w:rPr>
            </w:pPr>
            <w:r w:rsidRPr="005B3D20">
              <w:rPr>
                <w:rFonts w:eastAsiaTheme="minorHAnsi"/>
                <w:sz w:val="18"/>
                <w:szCs w:val="18"/>
              </w:rPr>
              <w:t>95% CI</w:t>
            </w:r>
          </w:p>
        </w:tc>
        <w:tc>
          <w:tcPr>
            <w:tcW w:w="6768" w:type="dxa"/>
          </w:tcPr>
          <w:p w14:paraId="783066B2" w14:textId="77777777" w:rsidR="00BC796B" w:rsidRPr="005B3D20" w:rsidRDefault="00BC796B" w:rsidP="00FD4E20">
            <w:pPr>
              <w:spacing w:before="60" w:after="0"/>
              <w:rPr>
                <w:sz w:val="18"/>
                <w:szCs w:val="18"/>
              </w:rPr>
            </w:pPr>
            <w:r w:rsidRPr="005B3D20">
              <w:rPr>
                <w:sz w:val="18"/>
                <w:szCs w:val="18"/>
              </w:rPr>
              <w:t>95 percent confidence interval</w:t>
            </w:r>
            <w:r w:rsidR="000B2918">
              <w:rPr>
                <w:sz w:val="18"/>
                <w:szCs w:val="18"/>
              </w:rPr>
              <w:t xml:space="preserve"> (the range of values for a measure </w:t>
            </w:r>
            <w:r w:rsidR="00FD4E20">
              <w:rPr>
                <w:sz w:val="18"/>
                <w:szCs w:val="18"/>
              </w:rPr>
              <w:t xml:space="preserve">within which </w:t>
            </w:r>
            <w:r w:rsidR="000B2918">
              <w:rPr>
                <w:sz w:val="18"/>
                <w:szCs w:val="18"/>
              </w:rPr>
              <w:t>one can be 95</w:t>
            </w:r>
            <w:r w:rsidR="00FA6DEF">
              <w:rPr>
                <w:sz w:val="18"/>
                <w:szCs w:val="18"/>
              </w:rPr>
              <w:t xml:space="preserve"> percent </w:t>
            </w:r>
            <w:r w:rsidR="000B2918">
              <w:rPr>
                <w:sz w:val="18"/>
                <w:szCs w:val="18"/>
              </w:rPr>
              <w:t>confident that the true value lies)</w:t>
            </w:r>
          </w:p>
        </w:tc>
      </w:tr>
    </w:tbl>
    <w:p w14:paraId="0D14E381" w14:textId="77777777" w:rsidR="00BC796B" w:rsidRDefault="00BC796B">
      <w:pPr>
        <w:spacing w:before="0" w:after="200" w:line="276" w:lineRule="auto"/>
        <w:rPr>
          <w:color w:val="009EE0"/>
          <w:sz w:val="36"/>
        </w:rPr>
      </w:pPr>
    </w:p>
    <w:p w14:paraId="756877D8" w14:textId="77777777" w:rsidR="008527F4" w:rsidRDefault="008527F4">
      <w:pPr>
        <w:spacing w:before="0" w:after="200" w:line="276" w:lineRule="auto"/>
        <w:rPr>
          <w:color w:val="009EE0"/>
          <w:sz w:val="36"/>
        </w:rPr>
      </w:pPr>
    </w:p>
    <w:p w14:paraId="43CA8B36" w14:textId="77777777" w:rsidR="00650257" w:rsidRDefault="00650257">
      <w:pPr>
        <w:spacing w:before="0" w:after="200" w:line="276" w:lineRule="auto"/>
      </w:pPr>
      <w:r>
        <w:br w:type="page"/>
      </w:r>
    </w:p>
    <w:p w14:paraId="4C4B6644" w14:textId="77777777" w:rsidR="000A6B14" w:rsidRPr="00F36A0F" w:rsidRDefault="000A6B14" w:rsidP="0079343F">
      <w:pPr>
        <w:sectPr w:rsidR="000A6B14" w:rsidRPr="00F36A0F" w:rsidSect="00324D97">
          <w:footerReference w:type="default" r:id="rId12"/>
          <w:pgSz w:w="11906" w:h="16838"/>
          <w:pgMar w:top="1803" w:right="1440" w:bottom="1843" w:left="1440" w:header="709" w:footer="709" w:gutter="0"/>
          <w:pgBorders w:offsetFrom="page">
            <w:top w:val="none" w:sz="0" w:space="0" w:color="000000"/>
            <w:left w:val="none" w:sz="0" w:space="0" w:color="000000"/>
            <w:bottom w:val="none" w:sz="0" w:space="0" w:color="000000"/>
            <w:right w:val="none" w:sz="0" w:space="0" w:color="000000"/>
          </w:pgBorders>
          <w:pgNumType w:start="1"/>
          <w:cols w:space="708"/>
          <w:docGrid w:linePitch="360"/>
        </w:sectPr>
      </w:pPr>
    </w:p>
    <w:p w14:paraId="039F1BC5" w14:textId="77777777" w:rsidR="000A467D" w:rsidRPr="0011645E" w:rsidRDefault="000A467D" w:rsidP="008C484F">
      <w:pPr>
        <w:pStyle w:val="32chaptertitle"/>
      </w:pPr>
      <w:bookmarkStart w:id="2" w:name="_Toc419905878"/>
      <w:r w:rsidRPr="0011645E">
        <w:lastRenderedPageBreak/>
        <w:t>Chapter 1—Diabetes in Australia</w:t>
      </w:r>
      <w:bookmarkEnd w:id="2"/>
      <w:r w:rsidRPr="0011645E">
        <w:tab/>
      </w:r>
      <w:r w:rsidRPr="0011645E">
        <w:tab/>
      </w:r>
    </w:p>
    <w:p w14:paraId="09F8F89C" w14:textId="77777777" w:rsidR="005E619F" w:rsidRPr="00F36A0F" w:rsidRDefault="005E619F" w:rsidP="005E619F">
      <w:r w:rsidRPr="00F36A0F">
        <w:t>This chapter describes the current state of diabetes in Australia and outlines a number of opportunities to improve how the disease is managed. The chapter is divided into two sections:</w:t>
      </w:r>
    </w:p>
    <w:p w14:paraId="2F663A4F" w14:textId="77777777" w:rsidR="005E619F" w:rsidRPr="00F36A0F" w:rsidRDefault="005E619F" w:rsidP="005E619F">
      <w:pPr>
        <w:pStyle w:val="01squarebullet"/>
        <w:spacing w:after="60" w:line="264" w:lineRule="auto"/>
        <w:ind w:left="360" w:hanging="360"/>
      </w:pPr>
      <w:r w:rsidRPr="00F36A0F">
        <w:t xml:space="preserve">Section 1.1 </w:t>
      </w:r>
      <w:r w:rsidR="00FF24D9">
        <w:t>The</w:t>
      </w:r>
      <w:r w:rsidRPr="00F36A0F">
        <w:t xml:space="preserve"> </w:t>
      </w:r>
      <w:r w:rsidR="00A636AD">
        <w:t>burden of diabetes in Australia</w:t>
      </w:r>
    </w:p>
    <w:p w14:paraId="7FD7C708" w14:textId="77777777" w:rsidR="005E619F" w:rsidRPr="00F36A0F" w:rsidRDefault="005E619F" w:rsidP="005E619F">
      <w:pPr>
        <w:pStyle w:val="01squarebullet"/>
        <w:spacing w:after="60" w:line="264" w:lineRule="auto"/>
        <w:ind w:left="360" w:hanging="360"/>
      </w:pPr>
      <w:r w:rsidRPr="00F36A0F">
        <w:t>Section 1.2 Opportunities to improve diabetes care in Australia</w:t>
      </w:r>
    </w:p>
    <w:p w14:paraId="13FB720C" w14:textId="77777777" w:rsidR="005E619F" w:rsidRPr="00F36A0F" w:rsidRDefault="00ED0D02" w:rsidP="005E619F">
      <w:pPr>
        <w:pStyle w:val="20major"/>
      </w:pPr>
      <w:bookmarkStart w:id="3" w:name="_Toc419905879"/>
      <w:r>
        <w:t>1.1 The Burden of Diabetes in A</w:t>
      </w:r>
      <w:r w:rsidR="005E619F" w:rsidRPr="00F36A0F">
        <w:t>ustralia</w:t>
      </w:r>
      <w:bookmarkEnd w:id="3"/>
    </w:p>
    <w:p w14:paraId="3052FED1" w14:textId="77777777" w:rsidR="005E619F" w:rsidRPr="00F36A0F" w:rsidRDefault="005E619F" w:rsidP="005E619F">
      <w:r w:rsidRPr="00F36A0F">
        <w:t xml:space="preserve">Diabetes </w:t>
      </w:r>
      <w:r w:rsidR="001575ED">
        <w:t xml:space="preserve">mellitus </w:t>
      </w:r>
      <w:r w:rsidRPr="00F36A0F">
        <w:t>is a significant problem in Austra</w:t>
      </w:r>
      <w:r w:rsidR="002B10AB">
        <w:t xml:space="preserve">lia. In 2011-12, </w:t>
      </w:r>
      <w:r w:rsidR="00532BC2">
        <w:t xml:space="preserve">an estimated </w:t>
      </w:r>
      <w:r w:rsidR="002B10AB">
        <w:t>one</w:t>
      </w:r>
      <w:r w:rsidR="00FD6E3F">
        <w:t xml:space="preserve"> million Australians </w:t>
      </w:r>
      <w:r w:rsidR="00452D66">
        <w:t xml:space="preserve">over the age of </w:t>
      </w:r>
      <w:r w:rsidR="00FD4E20">
        <w:t xml:space="preserve">two </w:t>
      </w:r>
      <w:r w:rsidR="00452D66">
        <w:t xml:space="preserve">years </w:t>
      </w:r>
      <w:r w:rsidRPr="00F36A0F">
        <w:t>had diabetes, 85 percen</w:t>
      </w:r>
      <w:r w:rsidR="00C96A5E">
        <w:t>t of whom had type 2 diabetes</w:t>
      </w:r>
      <w:r w:rsidRPr="00F36A0F">
        <w:t>.</w:t>
      </w:r>
      <w:r w:rsidR="00A76144">
        <w:rPr>
          <w:vertAlign w:val="superscript"/>
        </w:rPr>
        <w:fldChar w:fldCharType="begin" w:fldLock="1"/>
      </w:r>
      <w:r w:rsidR="00113335">
        <w:rPr>
          <w:vertAlign w:val="superscript"/>
        </w:rPr>
        <w:instrText>ADDIN CSL_CITATION { "citationItems" : [ { "id" : "ITEM-1", "itemData" : { "abstract" : "Key Findings", "author" : [ { "dropping-particle" : "", "family" : "Australian Bureau of Statistics", "given" : "", "non-dropping-particle" : "", "parse-names" : false, "suffix" : "" } ], "id" : "ITEM-1", "issued" : { "date-parts" : [ [ "2012" ] ] }, "publisher" : "Australian Bureau of Statistics", "publisher-place" : "Canberra", "title" : "Australian Health Survey: updated results, 2011\u201312. ABS cat. no. 4364.0.55.003.", "type" : "report" }, "uris" : [ "http://www.mendeley.com/documents/?uuid=88d14e68-15fc-4d51-aff4-33956d607ff2" ] } ], "mendeley" : { "previouslyFormattedCitation" : "&lt;sup&gt;1&lt;/sup&gt;" }, "properties" : { "noteIndex" : 0 }, "schema" : "https://github.com/citation-style-language/schema/raw/master/csl-citation.json" }</w:instrText>
      </w:r>
      <w:r w:rsidR="00A76144">
        <w:rPr>
          <w:vertAlign w:val="superscript"/>
        </w:rPr>
        <w:fldChar w:fldCharType="separate"/>
      </w:r>
      <w:r w:rsidR="00113335" w:rsidRPr="00113335">
        <w:rPr>
          <w:noProof/>
          <w:vertAlign w:val="superscript"/>
        </w:rPr>
        <w:t>1</w:t>
      </w:r>
      <w:r w:rsidR="00A76144">
        <w:rPr>
          <w:vertAlign w:val="superscript"/>
        </w:rPr>
        <w:fldChar w:fldCharType="end"/>
      </w:r>
      <w:r w:rsidRPr="00F36A0F">
        <w:t xml:space="preserve"> While these figures are already substantial, it is likely that they underestimate the actual prevalence of the disease. Indeed, recent </w:t>
      </w:r>
      <w:r w:rsidR="00452D66">
        <w:t>biomedical surveys</w:t>
      </w:r>
      <w:r w:rsidR="00452D66" w:rsidRPr="00F36A0F">
        <w:t xml:space="preserve"> </w:t>
      </w:r>
      <w:r w:rsidRPr="00F36A0F">
        <w:t>suggest that there is one case of undiagnosed diabetes for every four people diagnosed with the</w:t>
      </w:r>
      <w:r w:rsidR="00B0223C">
        <w:t xml:space="preserve"> disease</w:t>
      </w:r>
      <w:r w:rsidR="00452D66">
        <w:t xml:space="preserve"> (</w:t>
      </w:r>
      <w:r w:rsidR="00FD4E20">
        <w:t>among</w:t>
      </w:r>
      <w:r w:rsidR="00452D66">
        <w:t xml:space="preserve"> Australians aged 18 years or more)</w:t>
      </w:r>
      <w:r w:rsidRPr="00F36A0F">
        <w:t>.</w:t>
      </w:r>
      <w:r w:rsidR="00A76144">
        <w:rPr>
          <w:vertAlign w:val="superscript"/>
        </w:rPr>
        <w:fldChar w:fldCharType="begin" w:fldLock="1"/>
      </w:r>
      <w:r w:rsidR="00113335">
        <w:rPr>
          <w:vertAlign w:val="superscript"/>
        </w:rPr>
        <w:instrText>ADDIN CSL_CITATION { "citationItems" : [ { "id" : "ITEM-1", "itemData" : { "author" : [ { "dropping-particle" : "", "family" : "Australian Institute of Health and Welfare", "given" : "", "non-dropping-particle" : "", "parse-names" : false, "suffix" : "" } ], "id" : "ITEM-1", "issued" : { "date-parts" : [ [ "2014" ] ] }, "publisher" : "AIHW", "publisher-place" : "Canberra", "title" : "Australia\u2019s health 2014. Australia\u2019s health series no. 14. Cat. no. AUS 178", "type" : "book" }, "uris" : [ "http://www.mendeley.com/documents/?uuid=f489145f-10f5-4bed-a3d9-4193505f439d" ] } ], "mendeley" : { "previouslyFormattedCitation" : "&lt;sup&gt;2&lt;/sup&gt;" }, "properties" : { "noteIndex" : 0 }, "schema" : "https://github.com/citation-style-language/schema/raw/master/csl-citation.json" }</w:instrText>
      </w:r>
      <w:r w:rsidR="00A76144">
        <w:rPr>
          <w:vertAlign w:val="superscript"/>
        </w:rPr>
        <w:fldChar w:fldCharType="separate"/>
      </w:r>
      <w:r w:rsidR="00113335" w:rsidRPr="00113335">
        <w:rPr>
          <w:noProof/>
          <w:vertAlign w:val="superscript"/>
        </w:rPr>
        <w:t>2</w:t>
      </w:r>
      <w:r w:rsidR="00A76144">
        <w:rPr>
          <w:vertAlign w:val="superscript"/>
        </w:rPr>
        <w:fldChar w:fldCharType="end"/>
      </w:r>
    </w:p>
    <w:p w14:paraId="7B066433" w14:textId="77777777" w:rsidR="005E619F" w:rsidRPr="00DA6CB0" w:rsidRDefault="005E619F" w:rsidP="005E619F">
      <w:r w:rsidRPr="00F36A0F">
        <w:t xml:space="preserve">The number of people with diabetes is expected to increase rapidly over the coming years. According to </w:t>
      </w:r>
      <w:r w:rsidRPr="00F36A0F">
        <w:rPr>
          <w:rFonts w:eastAsiaTheme="minorHAnsi"/>
        </w:rPr>
        <w:t xml:space="preserve">National Health Survey reports, the prevalence of diabetes has more than tripled in Australia over the last twenty years, increasing from 1.3 percent of the population in 1989–90 to 4.5 percent of </w:t>
      </w:r>
      <w:r w:rsidR="00F976FB">
        <w:rPr>
          <w:rFonts w:eastAsiaTheme="minorHAnsi"/>
        </w:rPr>
        <w:t xml:space="preserve">persons aged 18 years and over </w:t>
      </w:r>
      <w:r w:rsidRPr="00F36A0F">
        <w:rPr>
          <w:rFonts w:eastAsiaTheme="minorHAnsi"/>
        </w:rPr>
        <w:t>in 2011–12</w:t>
      </w:r>
      <w:r w:rsidRPr="00F36A0F">
        <w:t>.</w:t>
      </w:r>
      <w:r w:rsidR="0090388C">
        <w:rPr>
          <w:vertAlign w:val="superscript"/>
        </w:rPr>
        <w:fldChar w:fldCharType="begin" w:fldLock="1"/>
      </w:r>
      <w:r w:rsidR="00113335">
        <w:rPr>
          <w:vertAlign w:val="superscript"/>
        </w:rPr>
        <w:instrText>ADDIN CSL_CITATION { "citationItems" : [ { "id" : "ITEM-1", "itemData" : { "abstract" : "Key Findings", "author" : [ { "dropping-particle" : "", "family" : "Australian Bureau of Statistics", "given" : "", "non-dropping-particle" : "", "parse-names" : false, "suffix" : "" } ], "id" : "ITEM-1", "issued" : { "date-parts" : [ [ "2012" ] ] }, "publisher" : "Australian Bureau of Statistics", "publisher-place" : "Canberra", "title" : "Australian Health Survey: updated results, 2011\u201312. ABS cat. no. 4364.0.55.003.", "type" : "report" }, "uris" : [ "http://www.mendeley.com/documents/?uuid=88d14e68-15fc-4d51-aff4-33956d607ff2" ] } ], "mendeley" : { "previouslyFormattedCitation" : "&lt;sup&gt;1&lt;/sup&gt;" }, "properties" : { "noteIndex" : 0 }, "schema" : "https://github.com/citation-style-language/schema/raw/master/csl-citation.json" }</w:instrText>
      </w:r>
      <w:r w:rsidR="0090388C">
        <w:rPr>
          <w:vertAlign w:val="superscript"/>
        </w:rPr>
        <w:fldChar w:fldCharType="separate"/>
      </w:r>
      <w:r w:rsidR="00113335" w:rsidRPr="00113335">
        <w:rPr>
          <w:noProof/>
          <w:vertAlign w:val="superscript"/>
        </w:rPr>
        <w:t>1</w:t>
      </w:r>
      <w:r w:rsidR="0090388C">
        <w:rPr>
          <w:vertAlign w:val="superscript"/>
        </w:rPr>
        <w:fldChar w:fldCharType="end"/>
      </w:r>
      <w:r w:rsidRPr="00F36A0F">
        <w:t xml:space="preserve"> </w:t>
      </w:r>
      <w:r w:rsidR="00953D2F">
        <w:t xml:space="preserve">The </w:t>
      </w:r>
      <w:r w:rsidRPr="00F36A0F">
        <w:t xml:space="preserve">major drivers </w:t>
      </w:r>
      <w:r w:rsidR="00953D2F">
        <w:t xml:space="preserve">of </w:t>
      </w:r>
      <w:r w:rsidR="00212F64">
        <w:t>this increased prevalence</w:t>
      </w:r>
      <w:r w:rsidR="00953D2F">
        <w:t xml:space="preserve"> </w:t>
      </w:r>
      <w:r w:rsidR="00212F64">
        <w:t>include an</w:t>
      </w:r>
      <w:r w:rsidRPr="00F36A0F">
        <w:t xml:space="preserve"> </w:t>
      </w:r>
      <w:r w:rsidRPr="00F36A0F">
        <w:rPr>
          <w:rFonts w:eastAsiaTheme="minorHAnsi"/>
        </w:rPr>
        <w:t>ag</w:t>
      </w:r>
      <w:r w:rsidR="00212F64">
        <w:rPr>
          <w:rFonts w:eastAsiaTheme="minorHAnsi"/>
        </w:rPr>
        <w:t>e</w:t>
      </w:r>
      <w:r w:rsidRPr="00F36A0F">
        <w:rPr>
          <w:rFonts w:eastAsiaTheme="minorHAnsi"/>
        </w:rPr>
        <w:t>ing population (the prevalence of diabetes increases with age), rising levels of obesity (which increases the incidence of diabetes), and greater life expectancy among people with diabetes.</w:t>
      </w:r>
      <w:r w:rsidR="0090388C">
        <w:rPr>
          <w:rFonts w:eastAsiaTheme="minorHAnsi"/>
          <w:vertAlign w:val="superscript"/>
        </w:rPr>
        <w:fldChar w:fldCharType="begin" w:fldLock="1"/>
      </w:r>
      <w:r w:rsidR="00113335">
        <w:rPr>
          <w:rFonts w:eastAsiaTheme="minorHAnsi"/>
          <w:vertAlign w:val="superscript"/>
        </w:rPr>
        <w:instrText>ADDIN CSL_CITATION { "citationItems" : [ { "id" : "ITEM-1", "itemData" : { "author" : [ { "dropping-particle" : "", "family" : "Australian Institute of Health and Welfare", "given" : "", "non-dropping-particle" : "", "parse-names" : false, "suffix" : "" } ], "id" : "ITEM-1", "issued" : { "date-parts" : [ [ "2013" ] ] }, "publisher" : "Australian Institute of Health and Welfare", "publisher-place" : "Canberra", "title" : "Diabetes expenditure in Australia 2008-09", "type" : "book" }, "uris" : [ "http://www.mendeley.com/documents/?uuid=241237af-488b-4804-8ce1-d7421b28e9eb" ] } ], "mendeley" : { "previouslyFormattedCitation" : "&lt;sup&gt;3&lt;/sup&gt;" }, "properties" : { "noteIndex" : 0 }, "schema" : "https://github.com/citation-style-language/schema/raw/master/csl-citation.json" }</w:instrText>
      </w:r>
      <w:r w:rsidR="0090388C">
        <w:rPr>
          <w:rFonts w:eastAsiaTheme="minorHAnsi"/>
          <w:vertAlign w:val="superscript"/>
        </w:rPr>
        <w:fldChar w:fldCharType="separate"/>
      </w:r>
      <w:r w:rsidR="00113335" w:rsidRPr="00113335">
        <w:rPr>
          <w:rFonts w:eastAsiaTheme="minorHAnsi"/>
          <w:noProof/>
          <w:vertAlign w:val="superscript"/>
        </w:rPr>
        <w:t>3</w:t>
      </w:r>
      <w:r w:rsidR="0090388C">
        <w:rPr>
          <w:rFonts w:eastAsiaTheme="minorHAnsi"/>
          <w:vertAlign w:val="superscript"/>
        </w:rPr>
        <w:fldChar w:fldCharType="end"/>
      </w:r>
      <w:r w:rsidR="004574C9">
        <w:rPr>
          <w:rFonts w:eastAsiaTheme="minorHAnsi"/>
        </w:rPr>
        <w:t xml:space="preserve"> Projections made in 2010 suggested that the prevalence may rise to 8.5 percent of the population aged between 20 and 79 by 2030, however the latest National Health Survey indicates that prevalence may have stabilised between 200</w:t>
      </w:r>
      <w:r w:rsidR="004111F5">
        <w:rPr>
          <w:rFonts w:eastAsiaTheme="minorHAnsi"/>
        </w:rPr>
        <w:t>7</w:t>
      </w:r>
      <w:r w:rsidR="00FD4E20">
        <w:rPr>
          <w:rFonts w:eastAsiaTheme="minorHAnsi"/>
        </w:rPr>
        <w:t>–</w:t>
      </w:r>
      <w:r w:rsidR="004574C9">
        <w:rPr>
          <w:rFonts w:eastAsiaTheme="minorHAnsi"/>
        </w:rPr>
        <w:t>08 and 2011</w:t>
      </w:r>
      <w:r w:rsidR="00FD4E20">
        <w:rPr>
          <w:rFonts w:eastAsiaTheme="minorHAnsi"/>
        </w:rPr>
        <w:t>–</w:t>
      </w:r>
      <w:r w:rsidR="004574C9">
        <w:rPr>
          <w:rFonts w:eastAsiaTheme="minorHAnsi"/>
        </w:rPr>
        <w:t>12.</w:t>
      </w:r>
      <w:r w:rsidR="0090388C">
        <w:rPr>
          <w:rFonts w:eastAsiaTheme="minorHAnsi"/>
          <w:vertAlign w:val="superscript"/>
        </w:rPr>
        <w:fldChar w:fldCharType="begin" w:fldLock="1"/>
      </w:r>
      <w:r w:rsidR="00113335">
        <w:rPr>
          <w:rFonts w:eastAsiaTheme="minorHAnsi"/>
          <w:vertAlign w:val="superscript"/>
        </w:rPr>
        <w:instrText>ADDIN CSL_CITATION { "citationItems" : [ { "id" : "ITEM-1", "itemData" : { "DOI" : "10.1016/j.diabres.2009.10.007", "ISSN" : "1872-8227", "PMID" : "19896746", "abstract" : "AIM: We estimated the number of people worldwide with diabetes for the years 2010 and 2030.\n\nMETHODS: Studies from 91 countries were used to calculate age- and sex-specific diabetes prevalences, which were applied to national population estimates, to determine national diabetes prevalences for all 216 countries for 2010 and 2030. Studies were identified using Medline, and contact with all national and regional International Diabetes Federation offices. Studies were included if diabetes prevalence was assessed using a population-based methodology, and was based on World Health Organization or American Diabetes Association diagnostic criteria for at least three separate age-groups within the 20-79 year range. Self-report or registry data were used if blood glucose assessment was not available.\n\nRESULTS: The world prevalence of diabetes among adults (aged 20-79 years) will be 6.4%, affecting 285 million adults, in 2010, and will increase to 7.7%, and 439 million adults by 2030. Between 2010 and 2030, there will be a 69% increase in numbers of adults with diabetes in developing countries and a 20% increase in developed countries.\n\nCONCLUSION: These predictions, based on a larger number of studies than previous estimates, indicate a growing burden of diabetes, particularly in developing countries.", "author" : [ { "dropping-particle" : "", "family" : "Shaw", "given" : "J E", "non-dropping-particle" : "", "parse-names" : false, "suffix" : "" }, { "dropping-particle" : "", "family" : "Sicree", "given" : "R A", "non-dropping-particle" : "", "parse-names" : false, "suffix" : "" }, { "dropping-particle" : "", "family" : "Zimmet", "given" : "P Z", "non-dropping-particle" : "", "parse-names" : false, "suffix" : "" } ], "container-title" : "Diabetes research and clinical practice", "id" : "ITEM-1", "issue" : "1", "issued" : { "date-parts" : [ [ "2010", "1" ] ] }, "page" : "4-14", "title" : "Global estimates of the prevalence of diabetes for 2010 and 2030.", "type" : "article-journal", "volume" : "87" }, "uris" : [ "http://www.mendeley.com/documents/?uuid=40313b04-b8dc-4e40-bb3f-be48f93287c0" ] }, { "id" : "ITEM-2", "itemData" : { "abstract" : "Key Findings", "author" : [ { "dropping-particle" : "", "family" : "Australian Bureau of Statistics", "given" : "", "non-dropping-particle" : "", "parse-names" : false, "suffix" : "" } ], "id" : "ITEM-2", "issued" : { "date-parts" : [ [ "2012" ] ] }, "publisher" : "Australian Bureau of Statistics", "publisher-place" : "Canberra", "title" : "Australian Health Survey: updated results, 2011\u201312. ABS cat. no. 4364.0.55.003.", "type" : "report" }, "uris" : [ "http://www.mendeley.com/documents/?uuid=88d14e68-15fc-4d51-aff4-33956d607ff2" ] } ], "mendeley" : { "previouslyFormattedCitation" : "&lt;sup&gt;1,4&lt;/sup&gt;" }, "properties" : { "noteIndex" : 0 }, "schema" : "https://github.com/citation-style-language/schema/raw/master/csl-citation.json" }</w:instrText>
      </w:r>
      <w:r w:rsidR="0090388C">
        <w:rPr>
          <w:rFonts w:eastAsiaTheme="minorHAnsi"/>
          <w:vertAlign w:val="superscript"/>
        </w:rPr>
        <w:fldChar w:fldCharType="separate"/>
      </w:r>
      <w:r w:rsidR="00113335" w:rsidRPr="00113335">
        <w:rPr>
          <w:rFonts w:eastAsiaTheme="minorHAnsi"/>
          <w:noProof/>
          <w:vertAlign w:val="superscript"/>
        </w:rPr>
        <w:t>1,4</w:t>
      </w:r>
      <w:r w:rsidR="0090388C">
        <w:rPr>
          <w:rFonts w:eastAsiaTheme="minorHAnsi"/>
          <w:vertAlign w:val="superscript"/>
        </w:rPr>
        <w:fldChar w:fldCharType="end"/>
      </w:r>
    </w:p>
    <w:p w14:paraId="3F3EF549" w14:textId="77777777" w:rsidR="00531B23" w:rsidRPr="003301EF" w:rsidRDefault="005E619F" w:rsidP="00767C0C">
      <w:pPr>
        <w:rPr>
          <w:rFonts w:eastAsia="MyriadPro-Light"/>
          <w:vertAlign w:val="superscript"/>
        </w:rPr>
      </w:pPr>
      <w:r w:rsidRPr="0011645E">
        <w:t>The prevalence of diabetes is a significant concern</w:t>
      </w:r>
      <w:r w:rsidR="00BA6A75">
        <w:t xml:space="preserve"> for the Australian health system</w:t>
      </w:r>
      <w:r w:rsidR="00FD4E20">
        <w:t xml:space="preserve"> because</w:t>
      </w:r>
      <w:r w:rsidRPr="0011645E">
        <w:t xml:space="preserve"> the disease is a major cause of morbidity and mortality. People with diabetes</w:t>
      </w:r>
      <w:r w:rsidRPr="00F36A0F">
        <w:rPr>
          <w:rFonts w:eastAsia="MyriadPro-Light"/>
        </w:rPr>
        <w:t xml:space="preserve"> can experience a range of health complications as the disease progresses, including heart disease, stroke, kidney disease, </w:t>
      </w:r>
      <w:r w:rsidR="00EE742F">
        <w:rPr>
          <w:rFonts w:eastAsia="MyriadPro-Light"/>
        </w:rPr>
        <w:t>vision loss</w:t>
      </w:r>
      <w:r w:rsidRPr="00F36A0F">
        <w:rPr>
          <w:rFonts w:eastAsia="MyriadPro-Light"/>
        </w:rPr>
        <w:t xml:space="preserve">, peripheral neuropathy and depression (Figure </w:t>
      </w:r>
      <w:r w:rsidR="00974B3F">
        <w:rPr>
          <w:rFonts w:eastAsia="MyriadPro-Light"/>
        </w:rPr>
        <w:t>1</w:t>
      </w:r>
      <w:r w:rsidRPr="00F36A0F">
        <w:rPr>
          <w:rFonts w:eastAsia="MyriadPro-Light"/>
        </w:rPr>
        <w:t>).</w:t>
      </w:r>
      <w:r w:rsidR="00212F64">
        <w:t xml:space="preserve"> As such,</w:t>
      </w:r>
      <w:r w:rsidRPr="00F36A0F">
        <w:t xml:space="preserve"> five percent of lost disability-adjusted life years (DALYs) were attributable to di</w:t>
      </w:r>
      <w:r w:rsidR="002B00FD">
        <w:t>abetes in Australia</w:t>
      </w:r>
      <w:r w:rsidR="00212F64">
        <w:t xml:space="preserve"> in 2003</w:t>
      </w:r>
      <w:r w:rsidR="00692631">
        <w:t>.</w:t>
      </w:r>
      <w:r w:rsidR="007246BC">
        <w:rPr>
          <w:vertAlign w:val="superscript"/>
        </w:rPr>
        <w:fldChar w:fldCharType="begin" w:fldLock="1"/>
      </w:r>
      <w:r w:rsidR="00113335">
        <w:rPr>
          <w:vertAlign w:val="superscript"/>
        </w:rPr>
        <w:instrText>ADDIN CSL_CITATION { "citationItems" : [ { "id" : "ITEM-1", "itemData" : { "author" : [ { "dropping-particle" : "", "family" : "Australian Institute of Health and Welfare", "given" : "", "non-dropping-particle" : "", "parse-names" : false, "suffix" : "" }, { "dropping-particle" : "", "family" : "Begg", "given" : "S", "non-dropping-particle" : "", "parse-names" : false, "suffix" : "" }, { "dropping-particle" : "", "family" : "Vos", "given" : "T", "non-dropping-particle" : "", "parse-names" : false, "suffix" : "" }, { "dropping-particle" : "", "family" : "Barker", "given" : "B", "non-dropping-particle" : "", "parse-names" : false, "suffix" : "" }, { "dropping-particle" : "", "family" : "Stevenson", "given" : "C", "non-dropping-particle" : "", "parse-names" : false, "suffix" : "" }, { "dropping-particle" : "", "family" : "Stanley", "given" : "L", "non-dropping-particle" : "", "parse-names" : false, "suffix" : "" }, { "dropping-particle" : "", "family" : "Lopez", "given" : "AD", "non-dropping-particle" : "", "parse-names" : false, "suffix" : "" } ], "id" : "ITEM-1", "issued" : { "date-parts" : [ [ "2007" ] ] }, "publisher" : "Australian Institute of Health and Welfare", "publisher-place" : "Canberra", "title" : "The burden of disease and injury in Australia 2003. PHE 82", "type" : "book" }, "uris" : [ "http://www.mendeley.com/documents/?uuid=bc42b3c0-0657-4b69-9576-ebceb662feb8" ] } ], "mendeley" : { "previouslyFormattedCitation" : "&lt;sup&gt;5&lt;/sup&gt;" }, "properties" : { "noteIndex" : 0 }, "schema" : "https://github.com/citation-style-language/schema/raw/master/csl-citation.json" }</w:instrText>
      </w:r>
      <w:r w:rsidR="007246BC">
        <w:rPr>
          <w:vertAlign w:val="superscript"/>
        </w:rPr>
        <w:fldChar w:fldCharType="separate"/>
      </w:r>
      <w:r w:rsidR="00113335" w:rsidRPr="00113335">
        <w:rPr>
          <w:noProof/>
          <w:vertAlign w:val="superscript"/>
        </w:rPr>
        <w:t>5</w:t>
      </w:r>
      <w:r w:rsidR="007246BC">
        <w:rPr>
          <w:vertAlign w:val="superscript"/>
        </w:rPr>
        <w:fldChar w:fldCharType="end"/>
      </w:r>
      <w:r w:rsidRPr="00F36A0F">
        <w:t xml:space="preserve"> In 2011, diabetes contributed to</w:t>
      </w:r>
      <w:r w:rsidR="002B62EC">
        <w:t xml:space="preserve"> (i.e. was the underlying or associated cause of)</w:t>
      </w:r>
      <w:r w:rsidRPr="00F36A0F">
        <w:t xml:space="preserve"> </w:t>
      </w:r>
      <w:r w:rsidR="00212F64">
        <w:t>ten</w:t>
      </w:r>
      <w:r w:rsidRPr="00F36A0F">
        <w:t xml:space="preserve"> percent of all deaths in the country, making it the </w:t>
      </w:r>
      <w:r w:rsidRPr="00F36A0F">
        <w:rPr>
          <w:rFonts w:eastAsia="MyriadPro-Light"/>
        </w:rPr>
        <w:t>sixth leading cause of death in Australia</w:t>
      </w:r>
      <w:r w:rsidRPr="0011645E">
        <w:rPr>
          <w:rFonts w:eastAsia="MyriadPro-Light"/>
        </w:rPr>
        <w:t>.</w:t>
      </w:r>
      <w:r w:rsidR="00C95608">
        <w:rPr>
          <w:rFonts w:eastAsia="MyriadPro-Light"/>
          <w:vertAlign w:val="superscript"/>
        </w:rPr>
        <w:fldChar w:fldCharType="begin" w:fldLock="1"/>
      </w:r>
      <w:r w:rsidR="00113335">
        <w:rPr>
          <w:rFonts w:eastAsia="MyriadPro-Light"/>
          <w:vertAlign w:val="superscript"/>
        </w:rPr>
        <w:instrText>ADDIN CSL_CITATION { "citationItems" : [ { "id" : "ITEM-1", "itemData" : { "author" : [ { "dropping-particle" : "", "family" : "Australian Institute of Health and Welfare", "given" : "", "non-dropping-particle" : "", "parse-names" : false, "suffix" : "" } ], "id" : "ITEM-1", "issued" : { "date-parts" : [ [ "2014" ] ] }, "publisher" : "AIHW", "publisher-place" : "Canberra", "title" : "Australia\u2019s health 2014. Australia\u2019s health series no. 14. Cat. no. AUS 178", "type" : "book" }, "uris" : [ "http://www.mendeley.com/documents/?uuid=f489145f-10f5-4bed-a3d9-4193505f439d" ] } ], "mendeley" : { "previouslyFormattedCitation" : "&lt;sup&gt;2&lt;/sup&gt;" }, "properties" : { "noteIndex" : 0 }, "schema" : "https://github.com/citation-style-language/schema/raw/master/csl-citation.json" }</w:instrText>
      </w:r>
      <w:r w:rsidR="00C95608">
        <w:rPr>
          <w:rFonts w:eastAsia="MyriadPro-Light"/>
          <w:vertAlign w:val="superscript"/>
        </w:rPr>
        <w:fldChar w:fldCharType="separate"/>
      </w:r>
      <w:r w:rsidR="00113335" w:rsidRPr="00113335">
        <w:rPr>
          <w:rFonts w:eastAsia="MyriadPro-Light"/>
          <w:noProof/>
          <w:vertAlign w:val="superscript"/>
        </w:rPr>
        <w:t>2</w:t>
      </w:r>
      <w:r w:rsidR="00C95608">
        <w:rPr>
          <w:rFonts w:eastAsia="MyriadPro-Light"/>
          <w:vertAlign w:val="superscript"/>
        </w:rPr>
        <w:fldChar w:fldCharType="end"/>
      </w:r>
    </w:p>
    <w:p w14:paraId="6D54B5A0" w14:textId="77777777" w:rsidR="005C7F46" w:rsidRDefault="00252F0B">
      <w:pPr>
        <w:pStyle w:val="60exhnormal"/>
        <w:keepNext/>
        <w:rPr>
          <w:caps w:val="0"/>
        </w:rPr>
      </w:pPr>
      <w:r w:rsidRPr="00FD2578">
        <w:rPr>
          <w:caps w:val="0"/>
        </w:rPr>
        <w:lastRenderedPageBreak/>
        <w:t xml:space="preserve">FIGURE </w:t>
      </w:r>
      <w:r w:rsidR="00630BD3">
        <w:rPr>
          <w:caps w:val="0"/>
        </w:rPr>
        <w:t>1</w:t>
      </w:r>
      <w:r w:rsidR="00531B23" w:rsidRPr="00FD2578">
        <w:rPr>
          <w:caps w:val="0"/>
        </w:rPr>
        <w:t xml:space="preserve"> </w:t>
      </w:r>
      <w:r w:rsidR="00DE4017">
        <w:rPr>
          <w:caps w:val="0"/>
        </w:rPr>
        <w:fldChar w:fldCharType="begin" w:fldLock="1"/>
      </w:r>
      <w:r w:rsidR="00113335">
        <w:rPr>
          <w:caps w:val="0"/>
        </w:rPr>
        <w:instrText>ADDIN CSL_CITATION { "citationItems" : [ { "id" : "ITEM-1", "itemData" : { "ISBN" : "9781742494999", "author" : [ { "dropping-particle" : "", "family" : "Australian Institute of Health and Welfare", "given" : "", "non-dropping-particle" : "", "parse-names" : false, "suffix" : "" } ], "id" : "ITEM-1", "issue" : "20", "issued" : { "date-parts" : [ [ "2013" ] ] }, "publisher" : "Australian Institute of Health and Welfare", "publisher-place" : "Canberra", "title" : "Diabetes and disability: Impairments, activity limitations, participation restrictions and comorbidities. Diabetes series no. 20. Cat. no. CVD 63", "type" : "book" }, "uris" : [ "http://www.mendeley.com/documents/?uuid=ae1d2909-e4e6-4370-a169-8e4d9aef7935" ] } ], "mendeley" : { "previouslyFormattedCitation" : "&lt;sup&gt;6&lt;/sup&gt;" }, "properties" : { "noteIndex" : 0 }, "schema" : "https://github.com/citation-style-language/schema/raw/master/csl-citation.json" }</w:instrText>
      </w:r>
      <w:r w:rsidR="00DE4017">
        <w:rPr>
          <w:caps w:val="0"/>
        </w:rPr>
        <w:fldChar w:fldCharType="separate"/>
      </w:r>
      <w:r w:rsidR="00113335" w:rsidRPr="00113335">
        <w:rPr>
          <w:caps w:val="0"/>
          <w:noProof/>
          <w:vertAlign w:val="superscript"/>
        </w:rPr>
        <w:t>6</w:t>
      </w:r>
      <w:r w:rsidR="00DE4017">
        <w:rPr>
          <w:caps w:val="0"/>
        </w:rPr>
        <w:fldChar w:fldCharType="end"/>
      </w:r>
      <w:r w:rsidR="009A71A1">
        <w:rPr>
          <w:caps w:val="0"/>
        </w:rPr>
        <w:t xml:space="preserve"> </w:t>
      </w:r>
    </w:p>
    <w:p w14:paraId="65C8BF99" w14:textId="77777777" w:rsidR="00380251" w:rsidRPr="00E5281C" w:rsidRDefault="006646E5" w:rsidP="00E5281C">
      <w:pPr>
        <w:pStyle w:val="60exhnormal"/>
        <w:keepNext/>
        <w:jc w:val="center"/>
        <w:rPr>
          <w:caps w:val="0"/>
        </w:rPr>
      </w:pPr>
      <w:r>
        <w:rPr>
          <w:noProof/>
          <w:lang w:eastAsia="en-AU"/>
        </w:rPr>
        <w:drawing>
          <wp:inline distT="0" distB="0" distL="0" distR="0" wp14:anchorId="6B81E4CB" wp14:editId="71332007">
            <wp:extent cx="4906645" cy="3683000"/>
            <wp:effectExtent l="0" t="0" r="8255" b="0"/>
            <wp:docPr id="6" name="Picture 6" descr="Certain health complications are more common among people with diabetes. For example, 16 percent of Australians with diabetes have heart disease, compared with only three percent of Australians without diabetes. Ten percent of Australians with diabetes have had a stroke, compared with only two percent of Australians without diabetes. Seven percent of Australians with diabetes have depression, compared with only three percent of Australians without diabetes. Six percent of Australians with diabetes have vision loss, compared with only one percent of Australians without diabetes. Lastly, two percent of Australians with diabetes have kidney disease, compared with less than one percent of Australians without diabetes." title="Chart displaying prevalence of selected comorbidities in people with and without diabetes in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906645" cy="3683000"/>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616B2FD0" w14:textId="77777777" w:rsidR="009977B7" w:rsidRPr="00FD2578" w:rsidRDefault="004179DA" w:rsidP="004179DA">
      <w:pPr>
        <w:rPr>
          <w:vertAlign w:val="superscript"/>
        </w:rPr>
      </w:pPr>
      <w:r w:rsidRPr="00F36A0F">
        <w:t>The mortality and morbidity rates associated with diabetes mean that the cost of the disease, both for the individual and for the health system, is considerable.</w:t>
      </w:r>
      <w:r w:rsidRPr="00F36A0F">
        <w:rPr>
          <w:rFonts w:eastAsiaTheme="minorHAnsi"/>
        </w:rPr>
        <w:t xml:space="preserve"> The DiabCo$t Australia Study</w:t>
      </w:r>
      <w:r w:rsidR="007246BC">
        <w:rPr>
          <w:rFonts w:eastAsiaTheme="minorHAnsi"/>
          <w:vertAlign w:val="superscript"/>
        </w:rPr>
        <w:fldChar w:fldCharType="begin" w:fldLock="1"/>
      </w:r>
      <w:r w:rsidR="00113335">
        <w:rPr>
          <w:rFonts w:eastAsiaTheme="minorHAnsi"/>
          <w:vertAlign w:val="superscript"/>
        </w:rPr>
        <w:instrText>ADDIN CSL_CITATION { "citationItems" : [ { "id" : "ITEM-1", "itemData" : { "DOI" : "10.1023/A:1017247208927", "ISSN" : "1381-5741", "PMID" : "10650330", "author" : [ { "dropping-particle" : "", "family" : "Colagiuri", "given" : "S", "non-dropping-particle" : "", "parse-names" : false, "suffix" : "" }, { "dropping-particle" : "", "family" : "Colagiuri", "given" : "R", "non-dropping-particle" : "", "parse-names" : false, "suffix" : "" }, { "dropping-particle" : "", "family" : "Conway", "given" : "B", "non-dropping-particle" : "", "parse-names" : false, "suffix" : "" }, { "dropping-particle" : "", "family" : "Grainage", "given" : "D", "non-dropping-particle" : "", "parse-names" : false, "suffix" : "" }, { "dropping-particle" : "", "family" : "Davey", "given" : "P", "non-dropping-particle" : "", "parse-names" : false, "suffix" : "" } ], "id" : "ITEM-1", "issued" : { "date-parts" : [ [ "2003", "3" ] ] }, "publisher-place" : "Canberra", "title" : "DiabCo$t Australia: assessing the burden of type 2 diabetes in Australia", "type" : "report" }, "uris" : [ "http://www.mendeley.com/documents/?uuid=62c486ce-5af1-448d-a505-394b4116e150" ] } ], "mendeley" : { "previouslyFormattedCitation" : "&lt;sup&gt;7&lt;/sup&gt;" }, "properties" : { "noteIndex" : 0 }, "schema" : "https://github.com/citation-style-language/schema/raw/master/csl-citation.json" }</w:instrText>
      </w:r>
      <w:r w:rsidR="007246BC">
        <w:rPr>
          <w:rFonts w:eastAsiaTheme="minorHAnsi"/>
          <w:vertAlign w:val="superscript"/>
        </w:rPr>
        <w:fldChar w:fldCharType="separate"/>
      </w:r>
      <w:r w:rsidR="00113335" w:rsidRPr="00113335">
        <w:rPr>
          <w:rFonts w:eastAsiaTheme="minorHAnsi"/>
          <w:noProof/>
          <w:vertAlign w:val="superscript"/>
        </w:rPr>
        <w:t>7</w:t>
      </w:r>
      <w:r w:rsidR="007246BC">
        <w:rPr>
          <w:rFonts w:eastAsiaTheme="minorHAnsi"/>
          <w:vertAlign w:val="superscript"/>
        </w:rPr>
        <w:fldChar w:fldCharType="end"/>
      </w:r>
      <w:r w:rsidRPr="00F36A0F">
        <w:rPr>
          <w:rFonts w:eastAsiaTheme="minorHAnsi"/>
        </w:rPr>
        <w:t xml:space="preserve"> (conducted in 2001) and the AusDiab study</w:t>
      </w:r>
      <w:r w:rsidR="0077358E">
        <w:rPr>
          <w:rFonts w:eastAsiaTheme="minorHAnsi"/>
          <w:vertAlign w:val="superscript"/>
        </w:rPr>
        <w:fldChar w:fldCharType="begin" w:fldLock="1"/>
      </w:r>
      <w:r w:rsidR="00113335">
        <w:rPr>
          <w:rFonts w:eastAsiaTheme="minorHAnsi"/>
          <w:vertAlign w:val="superscript"/>
        </w:rPr>
        <w:instrText>ADDIN CSL_CITATION { "citationItems" : [ { "id" : "ITEM-1", "itemData" : { "ISBN" : "0646459392", "author" : [ { "dropping-particle" : "", "family" : "Barr", "given" : "ELM", "non-dropping-particle" : "", "parse-names" : false, "suffix" : "" }, { "dropping-particle" : "", "family" : "Magliano", "given" : "DJ", "non-dropping-particle" : "", "parse-names" : false, "suffix" : "" }, { "dropping-particle" : "", "family" : "Zimmet", "given" : "PZ", "non-dropping-particle" : "", "parse-names" : false, "suffix" : "" }, { "dropping-particle" : "", "family" : "Polkinghorne", "given" : "KR", "non-dropping-particle" : "", "parse-names" : false, "suffix" : "" }, { "dropping-particle" : "", "family" : "Atkins", "given" : "RC", "non-dropping-particle" : "", "parse-names" : false, "suffix" : "" }, { "dropping-particle" : "", "family" : "Dunstan", "given" : "DW", "non-dropping-particle" : "", "parse-names" : false, "suffix" : "" }, { "dropping-particle" : "", "family" : "Murray", "given" : "SG", "non-dropping-particle" : "", "parse-names" : false, "suffix" : "" }, { "dropping-particle" : "", "family" : "Shaw", "given" : "JE", "non-dropping-particle" : "", "parse-names" : false, "suffix" : "" } ], "id" : "ITEM-1", "issued" : { "date-parts" : [ [ "2006" ] ] }, "publisher" : "International Diabetes Institute", "publisher-place" : "Melbourne", "title" : "AusDiab 2005: The Australian Diabetes, Obesity and Lifestyle Study. Tracking the accelerating epidemic: its causes and outcomes", "type" : "book" }, "uris" : [ "http://www.mendeley.com/documents/?uuid=ab7560fa-b059-4943-8291-fc992cbca3d2" ] } ], "mendeley" : { "previouslyFormattedCitation" : "&lt;sup&gt;8&lt;/sup&gt;" }, "properties" : { "noteIndex" : 0 }, "schema" : "https://github.com/citation-style-language/schema/raw/master/csl-citation.json" }</w:instrText>
      </w:r>
      <w:r w:rsidR="0077358E">
        <w:rPr>
          <w:rFonts w:eastAsiaTheme="minorHAnsi"/>
          <w:vertAlign w:val="superscript"/>
        </w:rPr>
        <w:fldChar w:fldCharType="separate"/>
      </w:r>
      <w:r w:rsidR="00113335" w:rsidRPr="00113335">
        <w:rPr>
          <w:rFonts w:eastAsiaTheme="minorHAnsi"/>
          <w:noProof/>
          <w:vertAlign w:val="superscript"/>
        </w:rPr>
        <w:t>8</w:t>
      </w:r>
      <w:r w:rsidR="0077358E">
        <w:rPr>
          <w:rFonts w:eastAsiaTheme="minorHAnsi"/>
          <w:vertAlign w:val="superscript"/>
        </w:rPr>
        <w:fldChar w:fldCharType="end"/>
      </w:r>
      <w:r w:rsidRPr="00F36A0F">
        <w:rPr>
          <w:rFonts w:eastAsiaTheme="minorHAnsi"/>
        </w:rPr>
        <w:t xml:space="preserve"> (conducted in 2004–05) estimated that direct healthcare costs for a person with diabetes range from</w:t>
      </w:r>
      <w:r w:rsidRPr="00F36A0F">
        <w:t xml:space="preserve"> approximately $3,800 to $6,100 per person per year (in 2014 dollars)</w:t>
      </w:r>
      <w:r w:rsidR="00FD4E20">
        <w:t>,</w:t>
      </w:r>
      <w:r w:rsidRPr="0011645E">
        <w:rPr>
          <w:rStyle w:val="FootnoteReference"/>
        </w:rPr>
        <w:footnoteReference w:id="1"/>
      </w:r>
      <w:r w:rsidR="00096836">
        <w:t xml:space="preserve"> although the costs are substantially higher</w:t>
      </w:r>
      <w:r w:rsidR="00F976FB">
        <w:t xml:space="preserve"> for people with complications</w:t>
      </w:r>
      <w:r w:rsidRPr="0011645E">
        <w:t>. Based on these estimates and 2011</w:t>
      </w:r>
      <w:r w:rsidR="00FD4E20">
        <w:t>–</w:t>
      </w:r>
      <w:r w:rsidRPr="0011645E">
        <w:t>12 prevalence estimates</w:t>
      </w:r>
      <w:r w:rsidRPr="00F36A0F">
        <w:t xml:space="preserve">, the total direct healthcare cost of caring for people with diabetes in Australia </w:t>
      </w:r>
      <w:r w:rsidR="00C06E1E">
        <w:t>would equate to</w:t>
      </w:r>
      <w:r w:rsidRPr="00F36A0F">
        <w:t xml:space="preserve"> </w:t>
      </w:r>
      <w:r w:rsidR="00FD4E20">
        <w:t>between</w:t>
      </w:r>
      <w:r w:rsidR="00FD4E20" w:rsidRPr="00F36A0F">
        <w:t xml:space="preserve"> </w:t>
      </w:r>
      <w:r w:rsidRPr="00F36A0F">
        <w:t xml:space="preserve">$4 billion and $6 billion per year. </w:t>
      </w:r>
      <w:r w:rsidR="009977B7">
        <w:t>The</w:t>
      </w:r>
      <w:r w:rsidR="009977B7" w:rsidRPr="009977B7">
        <w:t xml:space="preserve"> Australian </w:t>
      </w:r>
      <w:r w:rsidR="009977B7">
        <w:t>Institute of Health and Welfare</w:t>
      </w:r>
      <w:r w:rsidR="009977B7" w:rsidRPr="009977B7">
        <w:t xml:space="preserve"> estimated </w:t>
      </w:r>
      <w:r w:rsidR="009977B7">
        <w:t xml:space="preserve">this figure to be </w:t>
      </w:r>
      <w:r w:rsidR="009977B7" w:rsidRPr="009977B7">
        <w:t>$1.</w:t>
      </w:r>
      <w:r w:rsidR="00FD4E20" w:rsidRPr="009977B7">
        <w:t>6</w:t>
      </w:r>
      <w:r w:rsidR="00FD4E20">
        <w:t xml:space="preserve"> billion</w:t>
      </w:r>
      <w:r w:rsidR="00FD4E20" w:rsidRPr="009977B7">
        <w:t xml:space="preserve"> </w:t>
      </w:r>
      <w:r w:rsidR="00FD4E20">
        <w:t xml:space="preserve"> </w:t>
      </w:r>
      <w:r w:rsidR="009977B7" w:rsidRPr="009977B7">
        <w:t>in 2008</w:t>
      </w:r>
      <w:r w:rsidR="00FD4E20">
        <w:t>–</w:t>
      </w:r>
      <w:r w:rsidR="009977B7" w:rsidRPr="009977B7">
        <w:t>09, with around 43</w:t>
      </w:r>
      <w:r w:rsidR="000A0759">
        <w:t xml:space="preserve"> percent </w:t>
      </w:r>
      <w:r w:rsidR="009977B7" w:rsidRPr="009977B7">
        <w:t>of these costs coming from ho</w:t>
      </w:r>
      <w:r w:rsidR="009977B7">
        <w:t>spitalisations for the disease.</w:t>
      </w:r>
      <w:r w:rsidR="0077358E">
        <w:rPr>
          <w:vertAlign w:val="superscript"/>
        </w:rPr>
        <w:fldChar w:fldCharType="begin" w:fldLock="1"/>
      </w:r>
      <w:r w:rsidR="00113335">
        <w:rPr>
          <w:vertAlign w:val="superscript"/>
        </w:rPr>
        <w:instrText>ADDIN CSL_CITATION { "citationItems" : [ { "id" : "ITEM-1", "itemData" : { "author" : [ { "dropping-particle" : "", "family" : "Australian Institute of Health and Welfare", "given" : "", "non-dropping-particle" : "", "parse-names" : false, "suffix" : "" } ], "id" : "ITEM-1", "issued" : { "date-parts" : [ [ "2013" ] ] }, "publisher" : "Australian Institute of Health and Welfare", "publisher-place" : "Canberra", "title" : "Diabetes expenditure in Australia 2008-09", "type" : "book" }, "uris" : [ "http://www.mendeley.com/documents/?uuid=241237af-488b-4804-8ce1-d7421b28e9eb" ] } ], "mendeley" : { "previouslyFormattedCitation" : "&lt;sup&gt;3&lt;/sup&gt;" }, "properties" : { "noteIndex" : 0 }, "schema" : "https://github.com/citation-style-language/schema/raw/master/csl-citation.json" }</w:instrText>
      </w:r>
      <w:r w:rsidR="0077358E">
        <w:rPr>
          <w:vertAlign w:val="superscript"/>
        </w:rPr>
        <w:fldChar w:fldCharType="separate"/>
      </w:r>
      <w:r w:rsidR="00113335" w:rsidRPr="00113335">
        <w:rPr>
          <w:noProof/>
          <w:vertAlign w:val="superscript"/>
        </w:rPr>
        <w:t>3</w:t>
      </w:r>
      <w:r w:rsidR="0077358E">
        <w:rPr>
          <w:vertAlign w:val="superscript"/>
        </w:rPr>
        <w:fldChar w:fldCharType="end"/>
      </w:r>
    </w:p>
    <w:p w14:paraId="68163998" w14:textId="77777777" w:rsidR="004179DA" w:rsidRPr="00552846" w:rsidRDefault="004179DA" w:rsidP="004179DA">
      <w:pPr>
        <w:spacing w:after="0"/>
        <w:rPr>
          <w:vertAlign w:val="superscript"/>
        </w:rPr>
      </w:pPr>
      <w:r w:rsidRPr="00F36A0F">
        <w:rPr>
          <w:rFonts w:eastAsiaTheme="minorHAnsi"/>
        </w:rPr>
        <w:t xml:space="preserve">The largest categories of direct healthcare </w:t>
      </w:r>
      <w:r w:rsidR="000E2205" w:rsidRPr="00F36A0F">
        <w:rPr>
          <w:rFonts w:eastAsiaTheme="minorHAnsi"/>
        </w:rPr>
        <w:t xml:space="preserve">diabetes </w:t>
      </w:r>
      <w:r w:rsidRPr="00F36A0F">
        <w:rPr>
          <w:rFonts w:eastAsiaTheme="minorHAnsi"/>
        </w:rPr>
        <w:t xml:space="preserve">costs </w:t>
      </w:r>
      <w:r w:rsidR="000E2205">
        <w:rPr>
          <w:rFonts w:eastAsiaTheme="minorHAnsi"/>
        </w:rPr>
        <w:t>are hospitalisations (35 percent) and pharmaceuticals (32 percent</w:t>
      </w:r>
      <w:r w:rsidRPr="00F36A0F">
        <w:rPr>
          <w:rFonts w:eastAsiaTheme="minorHAnsi"/>
        </w:rPr>
        <w:t>)</w:t>
      </w:r>
      <w:r w:rsidRPr="0011645E">
        <w:rPr>
          <w:rFonts w:eastAsiaTheme="minorHAnsi"/>
        </w:rPr>
        <w:t>.</w:t>
      </w:r>
      <w:r w:rsidR="0077358E">
        <w:rPr>
          <w:rFonts w:eastAsiaTheme="minorHAnsi"/>
        </w:rPr>
        <w:fldChar w:fldCharType="begin" w:fldLock="1"/>
      </w:r>
      <w:r w:rsidR="00113335">
        <w:rPr>
          <w:rFonts w:eastAsiaTheme="minorHAnsi"/>
        </w:rPr>
        <w:instrText>ADDIN CSL_CITATION { "citationItems" : [ { "id" : "ITEM-1", "itemData" : { "DOI" : "10.1016/j.diabres.2012.12.002", "ISSN" : "1872-8227", "PMID" : "23298663", "abstract" : "AIMS: To assess and compare costs associated with diabetes and lesser degrees of glucose intolerance in Australia.\n\nMETHODS: The Australian Diabetes, Obesity and Lifestyle study collected data on the use of health services and health related expenditure in 2004-2005. Complications data were collected through physical examination and biochemical tests or questionnaire. Data were available on 6101 participants. Age- and sex-adjusted direct healthcare costs, direct non-healthcare costs and government subsidies were estimated according to glucose tolerance status.\n\nRESULTS: Annual direct per person costs were A$1898 for those with normal glucose tolerance to A$4390 for those with known diabetes. Costs were substantially higher in people with diabetes and both micro- and macrovascular complications. The total annual cost of diabetes in 2005 for Australians aged \u226530 years was A$10.6 billion (A$4.4 billion in direct costs; A$6.2 billion in government subsidies) which equates to A$14.6 billion in 2010 dollars. Total annual excess cost associated with diabetes in 2005 was A$4.5 billion (A$2.2 billion in direct costs; A$2.3 billion in government subsidies).\n\nCONCLUSION: The excess cost of diabetes to individuals and government is substantial and is greater in those with complications. Costs could potentially be reduced by preventing the development of diabetes or its complications.", "author" : [ { "dropping-particle" : "", "family" : "Lee", "given" : "Crystal Man Ying", "non-dropping-particle" : "", "parse-names" : false, "suffix" : "" }, { "dropping-particle" : "", "family" : "Colagiuri", "given" : "Ruth", "non-dropping-particle" : "", "parse-names" : false, "suffix" : "" }, { "dropping-particle" : "", "family" : "Magliano", "given" : "Dianna J", "non-dropping-particle" : "", "parse-names" : false, "suffix" : "" }, { "dropping-particle" : "", "family" : "Cameron", "given" : "Adrian J", "non-dropping-particle" : "", "parse-names" : false, "suffix" : "" }, { "dropping-particle" : "", "family" : "Shaw", "given" : "Jonathan", "non-dropping-particle" : "", "parse-names" : false, "suffix" : "" }, { "dropping-particle" : "", "family" : "Zimmet", "given" : "Paul", "non-dropping-particle" : "", "parse-names" : false, "suffix" : "" }, { "dropping-particle" : "", "family" : "Colagiuri", "given" : "Stephen", "non-dropping-particle" : "", "parse-names" : false, "suffix" : "" } ], "container-title" : "Diabetes research and clinical practice", "id" : "ITEM-1", "issue" : "3", "issued" : { "date-parts" : [ [ "2013", "3" ] ] }, "page" : "385-90", "title" : "The cost of diabetes in adults in Australia.", "type" : "article-journal", "volume" : "99" }, "uris" : [ "http://www.mendeley.com/documents/?uuid=4025c0b4-3ee1-4334-9f52-979eec592115" ] } ], "mendeley" : { "previouslyFormattedCitation" : "&lt;sup&gt;9&lt;/sup&gt;" }, "properties" : { "noteIndex" : 0 }, "schema" : "https://github.com/citation-style-language/schema/raw/master/csl-citation.json" }</w:instrText>
      </w:r>
      <w:r w:rsidR="0077358E">
        <w:rPr>
          <w:rFonts w:eastAsiaTheme="minorHAnsi"/>
        </w:rPr>
        <w:fldChar w:fldCharType="separate"/>
      </w:r>
      <w:r w:rsidR="00113335" w:rsidRPr="00113335">
        <w:rPr>
          <w:rFonts w:eastAsiaTheme="minorHAnsi"/>
          <w:noProof/>
          <w:vertAlign w:val="superscript"/>
        </w:rPr>
        <w:t>9</w:t>
      </w:r>
      <w:r w:rsidR="0077358E">
        <w:rPr>
          <w:rFonts w:eastAsiaTheme="minorHAnsi"/>
        </w:rPr>
        <w:fldChar w:fldCharType="end"/>
      </w:r>
      <w:r w:rsidRPr="0011645E">
        <w:rPr>
          <w:rFonts w:eastAsiaTheme="minorHAnsi"/>
        </w:rPr>
        <w:t xml:space="preserve"> </w:t>
      </w:r>
      <w:r w:rsidR="00513456" w:rsidRPr="0011645E">
        <w:rPr>
          <w:rFonts w:eastAsiaTheme="minorHAnsi"/>
        </w:rPr>
        <w:t>In 2010–11</w:t>
      </w:r>
      <w:r w:rsidRPr="00F36A0F">
        <w:rPr>
          <w:rFonts w:eastAsiaTheme="minorHAnsi"/>
        </w:rPr>
        <w:t>, d</w:t>
      </w:r>
      <w:r w:rsidRPr="00F36A0F">
        <w:rPr>
          <w:rFonts w:eastAsia="MyriadPro-Light"/>
        </w:rPr>
        <w:t xml:space="preserve">iabetes-related hospitalisations accounted for </w:t>
      </w:r>
      <w:r w:rsidR="00A31179">
        <w:rPr>
          <w:rFonts w:eastAsia="MyriadPro-Light"/>
        </w:rPr>
        <w:t>2.5 percent</w:t>
      </w:r>
      <w:r w:rsidRPr="00F36A0F">
        <w:rPr>
          <w:rFonts w:eastAsia="MyriadPro-Light"/>
        </w:rPr>
        <w:t xml:space="preserve"> </w:t>
      </w:r>
      <w:r w:rsidR="00A31179">
        <w:rPr>
          <w:rFonts w:eastAsia="MyriadPro-Light"/>
        </w:rPr>
        <w:t>(</w:t>
      </w:r>
      <w:r w:rsidR="00A31179" w:rsidRPr="00F36A0F">
        <w:rPr>
          <w:rFonts w:eastAsia="MyriadPro-Light"/>
        </w:rPr>
        <w:t>220,000</w:t>
      </w:r>
      <w:r w:rsidR="00A31179">
        <w:rPr>
          <w:rFonts w:eastAsia="MyriadPro-Light"/>
        </w:rPr>
        <w:t>)</w:t>
      </w:r>
      <w:r w:rsidR="00A31179" w:rsidRPr="00F36A0F">
        <w:rPr>
          <w:rFonts w:eastAsia="MyriadPro-Light"/>
        </w:rPr>
        <w:t xml:space="preserve"> </w:t>
      </w:r>
      <w:r w:rsidRPr="00F36A0F">
        <w:rPr>
          <w:rFonts w:eastAsia="MyriadPro-Light"/>
        </w:rPr>
        <w:t>of all the hospitalisations t</w:t>
      </w:r>
      <w:r w:rsidR="00513456" w:rsidRPr="00F36A0F">
        <w:rPr>
          <w:rFonts w:eastAsia="MyriadPro-Light"/>
        </w:rPr>
        <w:t>hat occurred during that period</w:t>
      </w:r>
      <w:r w:rsidRPr="0011645E">
        <w:t xml:space="preserve">. Furthermore, </w:t>
      </w:r>
      <w:r w:rsidR="009F1941" w:rsidRPr="0011645E">
        <w:t xml:space="preserve">diabetes is the largest contributor to </w:t>
      </w:r>
      <w:r w:rsidR="000A0759" w:rsidRPr="0011645E">
        <w:t>potentially</w:t>
      </w:r>
      <w:r w:rsidR="000A0759">
        <w:t>-</w:t>
      </w:r>
      <w:r w:rsidR="009F1941" w:rsidRPr="0011645E">
        <w:t>preventable hospitalisations, accounting for 26 percent of all such hos</w:t>
      </w:r>
      <w:r w:rsidR="009F1941" w:rsidRPr="00F36A0F">
        <w:t>pitalisations in Australia</w:t>
      </w:r>
      <w:r w:rsidRPr="0011645E">
        <w:t>.</w:t>
      </w:r>
      <w:r w:rsidR="00252F0B">
        <w:fldChar w:fldCharType="begin" w:fldLock="1"/>
      </w:r>
      <w:r w:rsidR="00113335">
        <w:instrText>ADDIN CSL_CITATION { "citationItems" : [ { "id" : "ITEM-1", "itemData" : { "ISBN" : "9781742495613", "author" : [ { "dropping-particle" : "", "family" : "Australian Institute of Health and Welfare", "given" : "", "non-dropping-particle" : "", "parse-names" : false, "suffix" : "" } ], "id" : "ITEM-1", "issued" : { "date-parts" : [ [ "2014" ] ] }, "publisher" : "Australian Institute of Health and Welfare", "publisher-place" : "Canberra", "title" : "Australian hospital statistics 2012\u201313. Health services series no. 54. Cat. no. HSE 145", "type" : "book" }, "uris" : [ "http://www.mendeley.com/documents/?uuid=cdae55cf-9515-44c2-b665-d121dfb312a9" ] } ], "mendeley" : { "previouslyFormattedCitation" : "&lt;sup&gt;10&lt;/sup&gt;" }, "properties" : { "noteIndex" : 0 }, "schema" : "https://github.com/citation-style-language/schema/raw/master/csl-citation.json" }</w:instrText>
      </w:r>
      <w:r w:rsidR="00252F0B">
        <w:fldChar w:fldCharType="separate"/>
      </w:r>
      <w:r w:rsidR="00113335" w:rsidRPr="00113335">
        <w:rPr>
          <w:noProof/>
          <w:vertAlign w:val="superscript"/>
        </w:rPr>
        <w:t>10</w:t>
      </w:r>
      <w:r w:rsidR="00252F0B">
        <w:fldChar w:fldCharType="end"/>
      </w:r>
      <w:r w:rsidRPr="0011645E">
        <w:t xml:space="preserve"> In terms of drug therapy, </w:t>
      </w:r>
      <w:r w:rsidRPr="0011645E">
        <w:rPr>
          <w:rFonts w:eastAsia="MyriadPro-Light"/>
        </w:rPr>
        <w:t>around 8.2 million prescriptions were dispensed in 2012 for blood glucose-lowering medications such as insulin (11 percent) and metformin (approximately hal</w:t>
      </w:r>
      <w:r w:rsidR="00552846">
        <w:rPr>
          <w:rFonts w:eastAsia="MyriadPro-Light"/>
        </w:rPr>
        <w:t>f of the remaining medications)</w:t>
      </w:r>
      <w:r w:rsidRPr="00F36A0F">
        <w:rPr>
          <w:rFonts w:eastAsia="MyriadPro-Light"/>
        </w:rPr>
        <w:t>.</w:t>
      </w:r>
      <w:r w:rsidR="00252F0B">
        <w:rPr>
          <w:rFonts w:eastAsia="MyriadPro-Light"/>
          <w:vertAlign w:val="superscript"/>
        </w:rPr>
        <w:fldChar w:fldCharType="begin" w:fldLock="1"/>
      </w:r>
      <w:r w:rsidR="00113335">
        <w:rPr>
          <w:rFonts w:eastAsia="MyriadPro-Light"/>
          <w:vertAlign w:val="superscript"/>
        </w:rPr>
        <w:instrText>ADDIN CSL_CITATION { "citationItems" : [ { "id" : "ITEM-1", "itemData" : { "author" : [ { "dropping-particle" : "", "family" : "Australian Institute of Health and Welfare", "given" : "", "non-dropping-particle" : "", "parse-names" : false, "suffix" : "" } ], "id" : "ITEM-1", "issued" : { "date-parts" : [ [ "2014" ] ] }, "publisher" : "AIHW", "publisher-place" : "Canberra", "title" : "Australia\u2019s health 2014. Australia\u2019s health series no. 14. Cat. no. AUS 178", "type" : "book" }, "uris" : [ "http://www.mendeley.com/documents/?uuid=f489145f-10f5-4bed-a3d9-4193505f439d" ] } ], "mendeley" : { "previouslyFormattedCitation" : "&lt;sup&gt;2&lt;/sup&gt;" }, "properties" : { "noteIndex" : 0 }, "schema" : "https://github.com/citation-style-language/schema/raw/master/csl-citation.json" }</w:instrText>
      </w:r>
      <w:r w:rsidR="00252F0B">
        <w:rPr>
          <w:rFonts w:eastAsia="MyriadPro-Light"/>
          <w:vertAlign w:val="superscript"/>
        </w:rPr>
        <w:fldChar w:fldCharType="separate"/>
      </w:r>
      <w:r w:rsidR="00113335" w:rsidRPr="00113335">
        <w:rPr>
          <w:rFonts w:eastAsia="MyriadPro-Light"/>
          <w:noProof/>
          <w:vertAlign w:val="superscript"/>
        </w:rPr>
        <w:t>2</w:t>
      </w:r>
      <w:r w:rsidR="00252F0B">
        <w:rPr>
          <w:rFonts w:eastAsia="MyriadPro-Light"/>
          <w:vertAlign w:val="superscript"/>
        </w:rPr>
        <w:fldChar w:fldCharType="end"/>
      </w:r>
    </w:p>
    <w:p w14:paraId="37AC5FCD" w14:textId="77777777" w:rsidR="004179DA" w:rsidRPr="00F36A0F" w:rsidRDefault="004179DA" w:rsidP="004179DA">
      <w:pPr>
        <w:pStyle w:val="20major"/>
      </w:pPr>
      <w:bookmarkStart w:id="4" w:name="_Toc419905880"/>
      <w:r w:rsidRPr="00F36A0F">
        <w:lastRenderedPageBreak/>
        <w:t xml:space="preserve">1.2 </w:t>
      </w:r>
      <w:r w:rsidR="00AC06B4" w:rsidRPr="00F36A0F">
        <w:t xml:space="preserve">Opportunities to </w:t>
      </w:r>
      <w:r w:rsidR="00ED0D02">
        <w:t>I</w:t>
      </w:r>
      <w:r w:rsidR="00AC06B4" w:rsidRPr="00F36A0F">
        <w:t xml:space="preserve">mprove </w:t>
      </w:r>
      <w:r w:rsidR="00ED0D02">
        <w:t>D</w:t>
      </w:r>
      <w:r w:rsidR="00AC06B4" w:rsidRPr="00F36A0F">
        <w:t xml:space="preserve">iabetes </w:t>
      </w:r>
      <w:r w:rsidR="00ED0D02">
        <w:t>C</w:t>
      </w:r>
      <w:r w:rsidR="00AC06B4" w:rsidRPr="00F36A0F">
        <w:t xml:space="preserve">are in </w:t>
      </w:r>
      <w:r w:rsidR="00ED0D02">
        <w:t>A</w:t>
      </w:r>
      <w:r w:rsidR="00AC06B4" w:rsidRPr="00F36A0F">
        <w:t>ustralia</w:t>
      </w:r>
      <w:bookmarkEnd w:id="4"/>
    </w:p>
    <w:p w14:paraId="6AE3FE4E" w14:textId="77777777" w:rsidR="00DF119F" w:rsidRDefault="004179DA" w:rsidP="004179DA">
      <w:r w:rsidRPr="00F36A0F">
        <w:t xml:space="preserve">There </w:t>
      </w:r>
      <w:r w:rsidR="00B03000">
        <w:t>are</w:t>
      </w:r>
      <w:r w:rsidRPr="00F36A0F">
        <w:t xml:space="preserve"> opportunities to improve outcomes and the quality of care for people with diabetes in Australia. </w:t>
      </w:r>
    </w:p>
    <w:p w14:paraId="479FF770" w14:textId="77777777" w:rsidR="004179DA" w:rsidRDefault="004179DA" w:rsidP="004179DA">
      <w:pPr>
        <w:rPr>
          <w:vertAlign w:val="superscript"/>
        </w:rPr>
      </w:pPr>
      <w:r w:rsidRPr="00F36A0F">
        <w:t>First, there is an opportunity to increase the number of people with diabetes who receive care in accordance with the recommended clinical guidelines. In</w:t>
      </w:r>
      <w:r w:rsidRPr="00F36A0F">
        <w:rPr>
          <w:bCs/>
        </w:rPr>
        <w:t xml:space="preserve"> 2009–10, </w:t>
      </w:r>
      <w:r w:rsidR="00A31179">
        <w:rPr>
          <w:bCs/>
        </w:rPr>
        <w:t xml:space="preserve">only </w:t>
      </w:r>
      <w:r w:rsidRPr="00F36A0F">
        <w:rPr>
          <w:bCs/>
        </w:rPr>
        <w:t xml:space="preserve">18 percent of Australians </w:t>
      </w:r>
      <w:r w:rsidRPr="00F36A0F">
        <w:t>with diabetes had a claim made by their GP for an annual cycle of care.</w:t>
      </w:r>
      <w:r w:rsidR="00380251">
        <w:rPr>
          <w:vertAlign w:val="superscript"/>
        </w:rPr>
        <w:fldChar w:fldCharType="begin" w:fldLock="1"/>
      </w:r>
      <w:r w:rsidR="00113335">
        <w:rPr>
          <w:vertAlign w:val="superscript"/>
        </w:rPr>
        <w:instrText>ADDIN CSL_CITATION { "citationItems" : [ { "id" : "ITEM-1", "itemData" : { "URL" : "http://www.aihw.gov.au/diabetes-indicators/annual-cycle-of-care/", "accessed" : { "date-parts" : [ [ "2014", "9", "24" ] ] }, "author" : [ { "dropping-particle" : "", "family" : "Australian Institute of Health and Welfare", "given" : "", "non-dropping-particle" : "", "parse-names" : false, "suffix" : "" } ], "id" : "ITEM-1", "issued" : { "date-parts" : [ [ "2013" ] ] }, "title" : "Annual cycle of care", "type" : "webpage" }, "uris" : [ "http://www.mendeley.com/documents/?uuid=01f32426-ee07-4abb-9ef0-f816dfd313af" ] } ], "mendeley" : { "previouslyFormattedCitation" : "&lt;sup&gt;11&lt;/sup&gt;" }, "properties" : { "noteIndex" : 0 }, "schema" : "https://github.com/citation-style-language/schema/raw/master/csl-citation.json" }</w:instrText>
      </w:r>
      <w:r w:rsidR="00380251">
        <w:rPr>
          <w:vertAlign w:val="superscript"/>
        </w:rPr>
        <w:fldChar w:fldCharType="separate"/>
      </w:r>
      <w:r w:rsidR="00113335" w:rsidRPr="00113335">
        <w:rPr>
          <w:noProof/>
          <w:vertAlign w:val="superscript"/>
        </w:rPr>
        <w:t>11</w:t>
      </w:r>
      <w:r w:rsidR="00380251">
        <w:rPr>
          <w:vertAlign w:val="superscript"/>
        </w:rPr>
        <w:fldChar w:fldCharType="end"/>
      </w:r>
      <w:r w:rsidRPr="0011645E">
        <w:t xml:space="preserve"> It has also been estimated that the relevant clinical guidelines are not followed in 37 percent of diabetes-related clinical encounters.</w:t>
      </w:r>
      <w:r w:rsidR="00380251">
        <w:rPr>
          <w:bCs/>
          <w:vertAlign w:val="superscript"/>
        </w:rPr>
        <w:fldChar w:fldCharType="begin" w:fldLock="1"/>
      </w:r>
      <w:r w:rsidR="00113335">
        <w:rPr>
          <w:bCs/>
          <w:vertAlign w:val="superscript"/>
        </w:rPr>
        <w:instrText>ADDIN CSL_CITATION { "citationItems" : [ { "id" : "ITEM-1", "itemData" : { "ISSN" : "1326-5377", "PMID" : "22794056", "abstract" : "OBJECTIVE: To determine the percentage of health care encounters at which a sample of adult Australians received appropriate care (ie, care in line with evidence-based or consensus-based guidelines). DESIGN, SETTING AND PARTICIPANTS: Computer-assisted telephone interviews and retrospective review of the medical records (for 2009-2010) of a sample of at least 1000 Australian adults to measure compliance with 522 expert consensus indicators representing appropriate care for 22 common conditions. Participants were selected from households in areas of South Australia and New South Wales chosen to be representative of the socioeconomic profile of Australians. Health care encounters occurred in health care practices and hospitals with general practitioners, specialists, physiotherapists, chiropractors, psychologists and counsellors. MAIN OUTCOME MEASURE: Percentage of health care encounters at which the sample received appropriate care. RESULTS: From 15 292 households contacted by telephone, 7649 individuals agreed to participate, 3567 consented, 2638 proved eligible, and 1154 were included after gaining the consent of their health care providers. The adult Australians in this sample received appropriate care at 57% (95% CI, 54%-60%) of 35 573 eligible health care encounters. Compliance with indicators of appropriate care at condition level ranged from 13% (95% CI, 1%-43%) for alcohol dependence to 90% (95% CI, 85%-93%) for coronary artery disease. For health care providers with more than 300 eligible encounters each, overall compliance ranged from 32% to 86%. CONCLUSIONS: Although there were pockets of excellence and some aspects of care were well managed across health care providers, the consistent delivery of appropriate care needs improvement, and gaps in care should be addressed. There is a need for national agreement on clinical standards and better structuring of medical records to facilitate the delivery of more appropriate care.", "author" : [ { "dropping-particle" : "", "family" : "Runciman", "given" : "William B", "non-dropping-particle" : "", "parse-names" : false, "suffix" : "" }, { "dropping-particle" : "", "family" : "Hunt", "given" : "Tamara D", "non-dropping-particle" : "", "parse-names" : false, "suffix" : "" }, { "dropping-particle" : "", "family" : "Hannaford", "given" : "Natalie A", "non-dropping-particle" : "", "parse-names" : false, "suffix" : "" }, { "dropping-particle" : "", "family" : "Hibbert", "given" : "Peter D", "non-dropping-particle" : "", "parse-names" : false, "suffix" : "" }, { "dropping-particle" : "", "family" : "Westbrook", "given" : "Johanna I", "non-dropping-particle" : "", "parse-names" : false, "suffix" : "" }, { "dropping-particle" : "", "family" : "Coiera", "given" : "Enrico W", "non-dropping-particle" : "", "parse-names" : false, "suffix" : "" }, { "dropping-particle" : "", "family" : "Day", "given" : "Richard O", "non-dropping-particle" : "", "parse-names" : false, "suffix" : "" }, { "dropping-particle" : "", "family" : "Hindmarsh", "given" : "Diane M", "non-dropping-particle" : "", "parse-names" : false, "suffix" : "" }, { "dropping-particle" : "", "family" : "McGlynn", "given" : "Elizabeth A", "non-dropping-particle" : "", "parse-names" : false, "suffix" : "" }, { "dropping-particle" : "", "family" : "Braithwaite", "given" : "Jeffrey", "non-dropping-particle" : "", "parse-names" : false, "suffix" : "" } ], "container-title" : "The Medical journal of Australia", "id" : "ITEM-1", "issue" : "2", "issued" : { "date-parts" : [ [ "2012", "7", "16" ] ] }, "page" : "100-5", "title" : "CareTrack: assessing the appropriateness of health care delivery in Australia.", "type" : "article-journal", "volume" : "197" }, "uris" : [ "http://www.mendeley.com/documents/?uuid=bdef2a05-c903-4ba1-bb96-58a3556d9a55" ] } ], "mendeley" : { "previouslyFormattedCitation" : "&lt;sup&gt;12&lt;/sup&gt;" }, "properties" : { "noteIndex" : 0 }, "schema" : "https://github.com/citation-style-language/schema/raw/master/csl-citation.json" }</w:instrText>
      </w:r>
      <w:r w:rsidR="00380251">
        <w:rPr>
          <w:bCs/>
          <w:vertAlign w:val="superscript"/>
        </w:rPr>
        <w:fldChar w:fldCharType="separate"/>
      </w:r>
      <w:r w:rsidR="00113335" w:rsidRPr="00113335">
        <w:rPr>
          <w:bCs/>
          <w:noProof/>
          <w:vertAlign w:val="superscript"/>
        </w:rPr>
        <w:t>12</w:t>
      </w:r>
      <w:r w:rsidR="00380251">
        <w:rPr>
          <w:bCs/>
          <w:vertAlign w:val="superscript"/>
        </w:rPr>
        <w:fldChar w:fldCharType="end"/>
      </w:r>
      <w:r w:rsidR="00380251">
        <w:rPr>
          <w:bCs/>
          <w:vertAlign w:val="superscript"/>
        </w:rPr>
        <w:t xml:space="preserve"> </w:t>
      </w:r>
      <w:r w:rsidRPr="0011645E">
        <w:t>Improving care processes in diabetes care should lead to improved clinical outcomes for people with diabetes</w:t>
      </w:r>
      <w:r w:rsidR="003521E0">
        <w:t>. P</w:t>
      </w:r>
      <w:r w:rsidRPr="0011645E">
        <w:t>ublished Australian data sugge</w:t>
      </w:r>
      <w:r w:rsidRPr="00F36A0F">
        <w:t xml:space="preserve">sts that there is a significant shortfall in meeting the clinical targets for diabetes management (Figure </w:t>
      </w:r>
      <w:r w:rsidR="00552846">
        <w:t>2</w:t>
      </w:r>
      <w:r w:rsidRPr="00F36A0F">
        <w:t xml:space="preserve">). </w:t>
      </w:r>
      <w:r w:rsidRPr="00415C28">
        <w:t>For example, the Australian Bureau of Statistics’ Australian Health Survey found that 45 percent of Australian adults with known diabet</w:t>
      </w:r>
      <w:r w:rsidRPr="001C5551">
        <w:t>es did not achieve</w:t>
      </w:r>
      <w:r w:rsidR="00A31179" w:rsidRPr="001C5551">
        <w:t xml:space="preserve"> the</w:t>
      </w:r>
      <w:r w:rsidRPr="001C5551">
        <w:t xml:space="preserve"> recommended glycaemic targets, and that almost two-thirds of people </w:t>
      </w:r>
      <w:r w:rsidR="004C11B8" w:rsidRPr="001C5551">
        <w:t>had high blood pressure</w:t>
      </w:r>
      <w:r w:rsidRPr="001C5551">
        <w:t>. Weight control is also a major priority for people with diabetes, 87 percent</w:t>
      </w:r>
      <w:r w:rsidR="00A31179" w:rsidRPr="001C5551">
        <w:t xml:space="preserve"> of </w:t>
      </w:r>
      <w:r w:rsidR="000A0759">
        <w:t>whom</w:t>
      </w:r>
      <w:r w:rsidR="000A0759" w:rsidRPr="001C5551">
        <w:t xml:space="preserve"> </w:t>
      </w:r>
      <w:r w:rsidR="004D6CD6">
        <w:t xml:space="preserve">are </w:t>
      </w:r>
      <w:r w:rsidR="00A31179" w:rsidRPr="001C5551">
        <w:t>outside the ideal body m</w:t>
      </w:r>
      <w:r w:rsidRPr="001C5551">
        <w:t>as</w:t>
      </w:r>
      <w:r w:rsidR="00A31179" w:rsidRPr="001C5551">
        <w:t>s i</w:t>
      </w:r>
      <w:r w:rsidR="004C11B8" w:rsidRPr="001C5551">
        <w:t>ndex (BMI) range</w:t>
      </w:r>
      <w:r w:rsidRPr="001C5551">
        <w:t>.</w:t>
      </w:r>
      <w:r w:rsidR="00380251">
        <w:rPr>
          <w:vertAlign w:val="superscript"/>
        </w:rPr>
        <w:fldChar w:fldCharType="begin" w:fldLock="1"/>
      </w:r>
      <w:r w:rsidR="00113335">
        <w:rPr>
          <w:vertAlign w:val="superscript"/>
        </w:rPr>
        <w:instrText>ADDIN CSL_CITATION { "citationItems" : [ { "id" : "ITEM-1", "itemData" : { "abstract" : "Key Findings", "author" : [ { "dropping-particle" : "", "family" : "Australian Bureau of Statistics", "given" : "", "non-dropping-particle" : "", "parse-names" : false, "suffix" : "" } ], "id" : "ITEM-1", "issued" : { "date-parts" : [ [ "2012" ] ] }, "publisher" : "Australian Bureau of Statistics", "publisher-place" : "Canberra", "title" : "Australian Health Survey: updated results, 2011\u201312. ABS cat. no. 4364.0.55.003.", "type" : "report" }, "uris" : [ "http://www.mendeley.com/documents/?uuid=88d14e68-15fc-4d51-aff4-33956d607ff2" ] } ], "mendeley" : { "previouslyFormattedCitation" : "&lt;sup&gt;1&lt;/sup&gt;" }, "properties" : { "noteIndex" : 0 }, "schema" : "https://github.com/citation-style-language/schema/raw/master/csl-citation.json" }</w:instrText>
      </w:r>
      <w:r w:rsidR="00380251">
        <w:rPr>
          <w:vertAlign w:val="superscript"/>
        </w:rPr>
        <w:fldChar w:fldCharType="separate"/>
      </w:r>
      <w:r w:rsidR="00113335" w:rsidRPr="00113335">
        <w:rPr>
          <w:noProof/>
          <w:vertAlign w:val="superscript"/>
        </w:rPr>
        <w:t>1</w:t>
      </w:r>
      <w:r w:rsidR="00380251">
        <w:rPr>
          <w:vertAlign w:val="superscript"/>
        </w:rPr>
        <w:fldChar w:fldCharType="end"/>
      </w:r>
    </w:p>
    <w:p w14:paraId="5EE45C53" w14:textId="77777777" w:rsidR="004D6CD6" w:rsidRDefault="004D6CD6">
      <w:pPr>
        <w:pStyle w:val="60exhnormal"/>
        <w:keepNext/>
        <w:rPr>
          <w:caps w:val="0"/>
        </w:rPr>
      </w:pPr>
      <w:r>
        <w:t xml:space="preserve">Figure 2 </w:t>
      </w:r>
      <w:r w:rsidRPr="00FD2578">
        <w:rPr>
          <w:caps w:val="0"/>
        </w:rPr>
        <w:fldChar w:fldCharType="begin" w:fldLock="1"/>
      </w:r>
      <w:r>
        <w:rPr>
          <w:caps w:val="0"/>
        </w:rPr>
        <w:instrText>ADDIN CSL_CITATION { "citationItems" : [ { "id" : "ITEM-1", "itemData" : { "abstract" : "Key Findings", "author" : [ { "dropping-particle" : "", "family" : "Australian Bureau of Statistics", "given" : "", "non-dropping-particle" : "", "parse-names" : false, "suffix" : "" } ], "id" : "ITEM-1", "issued" : { "date-parts" : [ [ "2012" ] ] }, "publisher" : "Australian Bureau of Statistics", "publisher-place" : "Canberra", "title" : "Australian Health Survey: updated results, 2011\u201312. ABS cat. no. 4364.0.55.003.", "type" : "report" }, "uris" : [ "http://www.mendeley.com/documents/?uuid=88d14e68-15fc-4d51-aff4-33956d607ff2" ] } ], "mendeley" : { "previouslyFormattedCitation" : "&lt;sup&gt;1&lt;/sup&gt;" }, "properties" : { "noteIndex" : 0 }, "schema" : "https://github.com/citation-style-language/schema/raw/master/csl-citation.json" }</w:instrText>
      </w:r>
      <w:r w:rsidRPr="00FD2578">
        <w:rPr>
          <w:caps w:val="0"/>
        </w:rPr>
        <w:fldChar w:fldCharType="separate"/>
      </w:r>
      <w:r w:rsidRPr="00113335">
        <w:rPr>
          <w:caps w:val="0"/>
          <w:noProof/>
          <w:vertAlign w:val="superscript"/>
        </w:rPr>
        <w:t>1</w:t>
      </w:r>
      <w:r w:rsidRPr="00FD2578">
        <w:rPr>
          <w:caps w:val="0"/>
        </w:rPr>
        <w:fldChar w:fldCharType="end"/>
      </w:r>
    </w:p>
    <w:p w14:paraId="79B6D7C8" w14:textId="77777777" w:rsidR="004D6CD6" w:rsidRDefault="006646E5" w:rsidP="009A2D6A">
      <w:pPr>
        <w:pStyle w:val="60exhnormal"/>
        <w:keepNext/>
        <w:jc w:val="center"/>
      </w:pPr>
      <w:r>
        <w:rPr>
          <w:noProof/>
          <w:lang w:eastAsia="en-AU"/>
        </w:rPr>
        <w:drawing>
          <wp:inline distT="0" distB="0" distL="0" distR="0" wp14:anchorId="5160961E" wp14:editId="627E8C70">
            <wp:extent cx="4906645" cy="3676015"/>
            <wp:effectExtent l="0" t="0" r="8255" b="635"/>
            <wp:docPr id="4" name="Picture 4" descr="Figure 2 is a stacked bar chart  displaying Australians with known diabetes who are within range for clinical targets. It is estimated that only 55 percent of Australians over the age of 18 with known diabetes have HbA1c levels within the clinical target range (less than or equal to 7.0 percent). Similarly, only 80 percent have total cholesterol levels that are within range (less than 5.5 mmol/L); only 37 percent are within range for blood pressure (less than or equal to 130/80 mmHg); and only 13 percent are within range for body mass index (18.00–2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906645" cy="367601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7681089E" w14:textId="77777777" w:rsidR="004179DA" w:rsidRPr="0011645E" w:rsidRDefault="004179DA" w:rsidP="004179DA">
      <w:r w:rsidRPr="00F36A0F">
        <w:t>Second</w:t>
      </w:r>
      <w:r w:rsidR="00DA2687">
        <w:t>ly</w:t>
      </w:r>
      <w:r w:rsidRPr="00F36A0F">
        <w:t>, it is important to monitor and maintain high standards of patient experience in the primary care of diabetes. As the National Health and Hospitals Reform Commission (NHHRC) explained, ‘</w:t>
      </w:r>
      <w:r w:rsidRPr="00F36A0F">
        <w:rPr>
          <w:rFonts w:eastAsiaTheme="minorHAnsi"/>
        </w:rPr>
        <w:t>how consumers experience the health system and how they value the outcomes is essential to promoting an agile and self-improving h</w:t>
      </w:r>
      <w:r w:rsidR="00BE3EFD">
        <w:rPr>
          <w:rFonts w:eastAsiaTheme="minorHAnsi"/>
        </w:rPr>
        <w:t>ealth system’</w:t>
      </w:r>
      <w:r w:rsidR="00FD2578">
        <w:rPr>
          <w:vertAlign w:val="superscript"/>
        </w:rPr>
        <w:fldChar w:fldCharType="begin" w:fldLock="1"/>
      </w:r>
      <w:r w:rsidR="00113335">
        <w:rPr>
          <w:vertAlign w:val="superscript"/>
        </w:rPr>
        <w:instrText>ADDIN CSL_CITATION { "citationItems" : [ { "id" : "ITEM-1", "itemData" : { "ISBN" : "1741869404", "author" : [ { "dropping-particle" : "", "family" : "National Health and Hospitals Reform Commission", "given" : "", "non-dropping-particle" : "", "parse-names" : false, "suffix" : "" } ], "id" : "ITEM-1", "issue" : "June", "issued" : { "date-parts" : [ [ "2009" ] ] }, "publisher" : "Commonwealth of Australia", "publisher-place" : "Canberra", "title" : "A Healthier Future For All Australians \u2013 Final Report of the National Health and Hospitals Reform Commission", "type" : "book" }, "uris" : [ "http://www.mendeley.com/documents/?uuid=a34bd526-5ec4-4287-9275-3fe28b946664" ] } ], "mendeley" : { "previouslyFormattedCitation" : "&lt;sup&gt;13&lt;/sup&gt;" }, "properties" : { "noteIndex" : 0 }, "schema" : "https://github.com/citation-style-language/schema/raw/master/csl-citation.json" }</w:instrText>
      </w:r>
      <w:r w:rsidR="00FD2578">
        <w:rPr>
          <w:vertAlign w:val="superscript"/>
        </w:rPr>
        <w:fldChar w:fldCharType="separate"/>
      </w:r>
      <w:r w:rsidR="00113335" w:rsidRPr="00113335">
        <w:rPr>
          <w:noProof/>
          <w:vertAlign w:val="superscript"/>
        </w:rPr>
        <w:t>13</w:t>
      </w:r>
      <w:r w:rsidR="00FD2578">
        <w:rPr>
          <w:vertAlign w:val="superscript"/>
        </w:rPr>
        <w:fldChar w:fldCharType="end"/>
      </w:r>
      <w:r w:rsidR="000A0759" w:rsidRPr="00F36A0F">
        <w:t>.</w:t>
      </w:r>
      <w:r w:rsidRPr="00F36A0F">
        <w:t xml:space="preserve"> </w:t>
      </w:r>
      <w:r w:rsidR="00DA2687">
        <w:t xml:space="preserve">Up </w:t>
      </w:r>
      <w:r w:rsidRPr="00F36A0F">
        <w:t xml:space="preserve">to 41 percent of Australians with diabetes have indicated that </w:t>
      </w:r>
      <w:r w:rsidR="003112C9">
        <w:t xml:space="preserve">they experience anxiety, stress, </w:t>
      </w:r>
      <w:r w:rsidRPr="00F36A0F">
        <w:t xml:space="preserve">depression </w:t>
      </w:r>
      <w:r w:rsidR="003112C9">
        <w:t>or</w:t>
      </w:r>
      <w:r w:rsidRPr="00F36A0F">
        <w:t xml:space="preserve"> feel ‘burned out’ from coping with </w:t>
      </w:r>
      <w:r w:rsidR="0029005F">
        <w:t>their diabetes</w:t>
      </w:r>
      <w:r w:rsidRPr="00F36A0F">
        <w:t>.</w:t>
      </w:r>
      <w:r w:rsidR="00FD2578">
        <w:rPr>
          <w:vertAlign w:val="superscript"/>
        </w:rPr>
        <w:fldChar w:fldCharType="begin" w:fldLock="1"/>
      </w:r>
      <w:r w:rsidR="00113335">
        <w:rPr>
          <w:vertAlign w:val="superscript"/>
        </w:rPr>
        <w:instrText>ADDIN CSL_CITATION { "citationItems" : [ { "id" : "ITEM-1", "itemData" : { "author" : [ { "dropping-particle" : "", "family" : "Shaw", "given" : "J", "non-dropping-particle" : "", "parse-names" : false, "suffix" : "" }, { "dropping-particle" : "", "family" : "Tanamas", "given" : "S", "non-dropping-particle" : "", "parse-names" : false, "suffix" : "" } ], "id" : "ITEM-1", "issued" : { "date-parts" : [ [ "2012" ] ] }, "publisher" : "Diabetes Australia", "title" : "Diabetes : the silent pandemic and its impact on Australia", "type" : "book" }, "uris" : [ "http://www.mendeley.com/documents/?uuid=e90f846a-463b-4698-bd70-c2202f7a6e7d" ] } ], "mendeley" : { "previouslyFormattedCitation" : "&lt;sup&gt;14&lt;/sup&gt;" }, "properties" : { "noteIndex" : 0 }, "schema" : "https://github.com/citation-style-language/schema/raw/master/csl-citation.json" }</w:instrText>
      </w:r>
      <w:r w:rsidR="00FD2578">
        <w:rPr>
          <w:vertAlign w:val="superscript"/>
        </w:rPr>
        <w:fldChar w:fldCharType="separate"/>
      </w:r>
      <w:r w:rsidR="00113335" w:rsidRPr="00113335">
        <w:rPr>
          <w:noProof/>
          <w:vertAlign w:val="superscript"/>
        </w:rPr>
        <w:t>14</w:t>
      </w:r>
      <w:r w:rsidR="00FD2578">
        <w:rPr>
          <w:vertAlign w:val="superscript"/>
        </w:rPr>
        <w:fldChar w:fldCharType="end"/>
      </w:r>
      <w:r w:rsidRPr="0011645E">
        <w:t xml:space="preserve"> Improving patient experience through the provision of high-quality care can contribute significantly to the </w:t>
      </w:r>
      <w:r w:rsidRPr="0011645E">
        <w:lastRenderedPageBreak/>
        <w:t xml:space="preserve">psychological well-being of people with diabetes, and research suggests that it may also be associated with achieving </w:t>
      </w:r>
      <w:r w:rsidR="00FD6E3F">
        <w:t>better</w:t>
      </w:r>
      <w:r w:rsidRPr="0011645E">
        <w:t xml:space="preserve"> glycaemic control.</w:t>
      </w:r>
      <w:r w:rsidR="00FD2578">
        <w:rPr>
          <w:vertAlign w:val="superscript"/>
        </w:rPr>
        <w:fldChar w:fldCharType="begin" w:fldLock="1"/>
      </w:r>
      <w:r w:rsidR="00113335">
        <w:rPr>
          <w:vertAlign w:val="superscript"/>
        </w:rPr>
        <w:instrText>ADDIN CSL_CITATION { "citationItems" : [ { "id" : "ITEM-1", "itemData" : { "DOI" : "10.1111/j.1369-7625.2011.00729.x", "ISSN" : "1369-7625", "PMID" : "22066800", "abstract" : "AIMS: It has long been held that high-quality care has both technical and interpersonal aspects. The nature and strength of any association between both aspects remain poorly explored. This study investigated the associations between diabetes patients' reports of receiving recommended care (as measures of technical quality) and their experience and ratings (as measures of interpersonal care).\n\nMETHODS: Using data from a cross section of 3096 patients with diabetes nested within 24 diabetes-care-networks, we conducted multilevel regression analysis of the relationships between nine indicators of receiving care recommended in practice guidelines and: six scales of patient experience and global ratings of general practitioner, nurses, and overall diabetes care.\n\nRESULTS: On average, reporting having received recommended care was associated with reporting better patient experience and ratings. The extent and frequencies of these associations varied across the different care processes. Receiving foot examination, physical activity advice, smoking status check, eye examination, and HbA1c testing, but not nutritional advice, urine, cholesterol or blood pressure checks, were statistically associated with better patient experience and global ratings. Those who received HbA1c testing rated their overall care 1.002 points higher (95% confidence interval: 0.726-1.278) on a scale of 0-10 than those who did not.\n\nCONCLUSIONS: Higher self-reported technical quality of care in diabetes appears to be frequently but not always associated with better experiences and ratings. It is possible that the former leads to the latter and/or that both share a common cause within providers. Both care aspects do not seem interchangeable during performance assessment.", "author" : [ { "dropping-particle" : "", "family" : "Arah", "given" : "Onyebuchi A", "non-dropping-particle" : "", "parse-names" : false, "suffix" : "" }, { "dropping-particle" : "", "family" : "Roset", "given" : "Bastiaan", "non-dropping-particle" : "", "parse-names" : false, "suffix" : "" }, { "dropping-particle" : "", "family" : "Delnoij", "given" : "Diana M J", "non-dropping-particle" : "", "parse-names" : false, "suffix" : "" }, { "dropping-particle" : "", "family" : "Klazinga", "given" : "Niek S", "non-dropping-particle" : "", "parse-names" : false, "suffix" : "" }, { "dropping-particle" : "", "family" : "Stronks", "given" : "Karien", "non-dropping-particle" : "", "parse-names" : false, "suffix" : "" } ], "container-title" : "Health expectations : an international journal of public participation in health care and health policy", "id" : "ITEM-1", "issue" : "4", "issued" : { "date-parts" : [ [ "2013", "12" ] ] }, "page" : "e136-45", "title" : "Associations between technical quality of diabetes care and patient experience.", "type" : "article-journal", "volume" : "16" }, "uris" : [ "http://www.mendeley.com/documents/?uuid=253b06c0-0926-4b9b-bb03-e4e551a7d947" ] } ], "mendeley" : { "previouslyFormattedCitation" : "&lt;sup&gt;15&lt;/sup&gt;" }, "properties" : { "noteIndex" : 0 }, "schema" : "https://github.com/citation-style-language/schema/raw/master/csl-citation.json" }</w:instrText>
      </w:r>
      <w:r w:rsidR="00FD2578">
        <w:rPr>
          <w:vertAlign w:val="superscript"/>
        </w:rPr>
        <w:fldChar w:fldCharType="separate"/>
      </w:r>
      <w:r w:rsidR="00113335" w:rsidRPr="00113335">
        <w:rPr>
          <w:noProof/>
          <w:vertAlign w:val="superscript"/>
        </w:rPr>
        <w:t>15</w:t>
      </w:r>
      <w:r w:rsidR="00FD2578">
        <w:rPr>
          <w:vertAlign w:val="superscript"/>
        </w:rPr>
        <w:fldChar w:fldCharType="end"/>
      </w:r>
    </w:p>
    <w:p w14:paraId="4F348411" w14:textId="77777777" w:rsidR="009C6122" w:rsidRPr="003867E4" w:rsidRDefault="004179DA" w:rsidP="009C6122">
      <w:pPr>
        <w:rPr>
          <w:rFonts w:eastAsiaTheme="minorHAnsi"/>
          <w:vertAlign w:val="superscript"/>
        </w:rPr>
      </w:pPr>
      <w:r w:rsidRPr="0011645E">
        <w:t>Third</w:t>
      </w:r>
      <w:r w:rsidR="00525372">
        <w:t>ly</w:t>
      </w:r>
      <w:r w:rsidRPr="0011645E">
        <w:t xml:space="preserve">, it is important </w:t>
      </w:r>
      <w:r w:rsidR="00525372">
        <w:t>that</w:t>
      </w:r>
      <w:r w:rsidRPr="0011645E">
        <w:t xml:space="preserve"> new models of care</w:t>
      </w:r>
      <w:r w:rsidR="00525372">
        <w:t xml:space="preserve"> are developed</w:t>
      </w:r>
      <w:r w:rsidRPr="0011645E">
        <w:t xml:space="preserve"> that can improve outcomes in a financially sustainable way for the </w:t>
      </w:r>
      <w:r w:rsidR="00525372">
        <w:t xml:space="preserve">Australian </w:t>
      </w:r>
      <w:r w:rsidRPr="0011645E">
        <w:t>health system</w:t>
      </w:r>
      <w:r w:rsidRPr="00F36A0F">
        <w:t xml:space="preserve">. </w:t>
      </w:r>
      <w:r w:rsidRPr="00F36A0F">
        <w:rPr>
          <w:rFonts w:eastAsiaTheme="minorHAnsi"/>
        </w:rPr>
        <w:t>A ‘top down’ analysis of allocated healthcare expenditure for diabetes suggests that healthcare costs associated with the disease increased by 86 percent between 2000–01 and 2008–09 (</w:t>
      </w:r>
      <w:r w:rsidR="00A31179">
        <w:rPr>
          <w:rFonts w:eastAsiaTheme="minorHAnsi"/>
        </w:rPr>
        <w:t>an increase of around</w:t>
      </w:r>
      <w:r w:rsidRPr="00F36A0F">
        <w:rPr>
          <w:rFonts w:eastAsiaTheme="minorHAnsi"/>
        </w:rPr>
        <w:t xml:space="preserve"> seven percent per annum), while expenditure for all diseases increased by 60 percent in total over the same period (</w:t>
      </w:r>
      <w:r w:rsidR="00A31179">
        <w:rPr>
          <w:rFonts w:eastAsiaTheme="minorHAnsi"/>
        </w:rPr>
        <w:t>an increase of around</w:t>
      </w:r>
      <w:r w:rsidR="00A31179" w:rsidRPr="00F36A0F">
        <w:rPr>
          <w:rFonts w:eastAsiaTheme="minorHAnsi"/>
        </w:rPr>
        <w:t xml:space="preserve"> </w:t>
      </w:r>
      <w:r w:rsidR="00A31179">
        <w:rPr>
          <w:rFonts w:eastAsiaTheme="minorHAnsi"/>
        </w:rPr>
        <w:t>five</w:t>
      </w:r>
      <w:r w:rsidR="00A31179" w:rsidRPr="00F36A0F">
        <w:rPr>
          <w:rFonts w:eastAsiaTheme="minorHAnsi"/>
        </w:rPr>
        <w:t xml:space="preserve"> percent per annum</w:t>
      </w:r>
      <w:r w:rsidRPr="00F36A0F">
        <w:rPr>
          <w:rFonts w:eastAsiaTheme="minorHAnsi"/>
        </w:rPr>
        <w:t>).</w:t>
      </w:r>
      <w:r w:rsidR="00FD2578">
        <w:rPr>
          <w:rFonts w:eastAsiaTheme="minorHAnsi"/>
          <w:vertAlign w:val="superscript"/>
        </w:rPr>
        <w:fldChar w:fldCharType="begin" w:fldLock="1"/>
      </w:r>
      <w:r w:rsidR="00113335">
        <w:rPr>
          <w:rFonts w:eastAsiaTheme="minorHAnsi"/>
          <w:vertAlign w:val="superscript"/>
        </w:rPr>
        <w:instrText>ADDIN CSL_CITATION { "citationItems" : [ { "id" : "ITEM-1", "itemData" : { "author" : [ { "dropping-particle" : "", "family" : "Australian Institute of Health and Welfare", "given" : "", "non-dropping-particle" : "", "parse-names" : false, "suffix" : "" } ], "id" : "ITEM-1", "issued" : { "date-parts" : [ [ "2013" ] ] }, "publisher" : "Australian Institute of Health and Welfare", "publisher-place" : "Canberra", "title" : "Diabetes expenditure in Australia 2008-09", "type" : "book" }, "uris" : [ "http://www.mendeley.com/documents/?uuid=241237af-488b-4804-8ce1-d7421b28e9eb" ] } ], "mendeley" : { "previouslyFormattedCitation" : "&lt;sup&gt;3&lt;/sup&gt;" }, "properties" : { "noteIndex" : 0 }, "schema" : "https://github.com/citation-style-language/schema/raw/master/csl-citation.json" }</w:instrText>
      </w:r>
      <w:r w:rsidR="00FD2578">
        <w:rPr>
          <w:rFonts w:eastAsiaTheme="minorHAnsi"/>
          <w:vertAlign w:val="superscript"/>
        </w:rPr>
        <w:fldChar w:fldCharType="separate"/>
      </w:r>
      <w:r w:rsidR="00113335" w:rsidRPr="00113335">
        <w:rPr>
          <w:rFonts w:eastAsiaTheme="minorHAnsi"/>
          <w:noProof/>
          <w:vertAlign w:val="superscript"/>
        </w:rPr>
        <w:t>3</w:t>
      </w:r>
      <w:r w:rsidR="00FD2578">
        <w:rPr>
          <w:rFonts w:eastAsiaTheme="minorHAnsi"/>
          <w:vertAlign w:val="superscript"/>
        </w:rPr>
        <w:fldChar w:fldCharType="end"/>
      </w:r>
      <w:r w:rsidRPr="00F36A0F">
        <w:rPr>
          <w:rFonts w:eastAsiaTheme="minorHAnsi"/>
        </w:rPr>
        <w:t xml:space="preserve"> </w:t>
      </w:r>
      <w:r w:rsidR="00111334">
        <w:rPr>
          <w:rFonts w:eastAsiaTheme="minorHAnsi"/>
        </w:rPr>
        <w:t>As an example, p</w:t>
      </w:r>
      <w:r w:rsidRPr="00F36A0F">
        <w:rPr>
          <w:rFonts w:eastAsiaTheme="minorHAnsi"/>
        </w:rPr>
        <w:t xml:space="preserve">harmaceutical expenditure on diabetes medication </w:t>
      </w:r>
      <w:r w:rsidR="00D27E11">
        <w:rPr>
          <w:rFonts w:eastAsiaTheme="minorHAnsi"/>
        </w:rPr>
        <w:t>grew</w:t>
      </w:r>
      <w:r w:rsidRPr="00F36A0F">
        <w:rPr>
          <w:rFonts w:eastAsiaTheme="minorHAnsi"/>
        </w:rPr>
        <w:t xml:space="preserve"> by 12 percent per annum </w:t>
      </w:r>
      <w:r w:rsidR="00D27E11">
        <w:rPr>
          <w:rFonts w:eastAsiaTheme="minorHAnsi"/>
        </w:rPr>
        <w:t>from FY06 to FY13</w:t>
      </w:r>
      <w:r w:rsidRPr="00F36A0F">
        <w:rPr>
          <w:rFonts w:eastAsiaTheme="minorHAnsi"/>
        </w:rPr>
        <w:t xml:space="preserve">, driven both by the growing prevalence of diabetes and the increased availability and use of </w:t>
      </w:r>
      <w:r w:rsidR="00E11840">
        <w:rPr>
          <w:rFonts w:eastAsiaTheme="minorHAnsi"/>
        </w:rPr>
        <w:t xml:space="preserve">more </w:t>
      </w:r>
      <w:r w:rsidRPr="00F36A0F">
        <w:rPr>
          <w:rFonts w:eastAsiaTheme="minorHAnsi"/>
        </w:rPr>
        <w:t>expensive, newer anti</w:t>
      </w:r>
      <w:r w:rsidR="00BF4C96">
        <w:rPr>
          <w:rFonts w:eastAsiaTheme="minorHAnsi"/>
        </w:rPr>
        <w:t>-</w:t>
      </w:r>
      <w:r w:rsidRPr="00F36A0F">
        <w:rPr>
          <w:rFonts w:eastAsiaTheme="minorHAnsi"/>
        </w:rPr>
        <w:t>diabetic drugs (such as long-acting insulins, oral DPP4-inhibitors, and injectable GLP1-agonists)</w:t>
      </w:r>
      <w:r w:rsidR="00450714">
        <w:rPr>
          <w:rFonts w:eastAsiaTheme="minorHAnsi"/>
        </w:rPr>
        <w:t xml:space="preserve"> (Figure 3)</w:t>
      </w:r>
      <w:r w:rsidRPr="00F36A0F">
        <w:rPr>
          <w:rFonts w:eastAsiaTheme="minorHAnsi"/>
        </w:rPr>
        <w:t>.</w:t>
      </w:r>
      <w:r w:rsidR="00A7121B">
        <w:rPr>
          <w:rFonts w:eastAsia="MyriadPro-Light"/>
        </w:rPr>
        <w:fldChar w:fldCharType="begin" w:fldLock="1"/>
      </w:r>
      <w:r w:rsidR="00113335">
        <w:rPr>
          <w:rFonts w:eastAsia="MyriadPro-Light"/>
        </w:rPr>
        <w:instrText>ADDIN CSL_CITATION { "citationItems" : [ { "id" : "ITEM-1", "itemData" : { "id" : "ITEM-1", "issued" : { "date-parts" : [ [ "2014" ] ] }, "publisher" : "Department of Human Services", "publisher-place" : "Canberra", "title" : "Medicare Australia - Statistics - Pharmaceutical Benefits Schedule Item Statistics", "type" : "book" }, "uris" : [ "http://www.mendeley.com/documents/?uuid=2229aeee-3e33-4026-acbd-22c8f03a35e1" ] } ], "mendeley" : { "previouslyFormattedCitation" : "&lt;sup&gt;16&lt;/sup&gt;" }, "properties" : { "noteIndex" : 0 }, "schema" : "https://github.com/citation-style-language/schema/raw/master/csl-citation.json" }</w:instrText>
      </w:r>
      <w:r w:rsidR="00A7121B">
        <w:rPr>
          <w:rFonts w:eastAsia="MyriadPro-Light"/>
        </w:rPr>
        <w:fldChar w:fldCharType="separate"/>
      </w:r>
      <w:r w:rsidR="00113335" w:rsidRPr="00113335">
        <w:rPr>
          <w:rFonts w:eastAsia="MyriadPro-Light"/>
          <w:noProof/>
          <w:vertAlign w:val="superscript"/>
        </w:rPr>
        <w:t>16</w:t>
      </w:r>
      <w:r w:rsidR="00A7121B">
        <w:rPr>
          <w:rFonts w:eastAsia="MyriadPro-Light"/>
        </w:rPr>
        <w:fldChar w:fldCharType="end"/>
      </w:r>
      <w:r w:rsidR="009C6122">
        <w:rPr>
          <w:rFonts w:eastAsia="MyriadPro-Light"/>
        </w:rPr>
        <w:t xml:space="preserve"> </w:t>
      </w:r>
      <w:r w:rsidR="009C6122">
        <w:t xml:space="preserve">Similarly, </w:t>
      </w:r>
      <w:r w:rsidR="00D7522F">
        <w:t xml:space="preserve">expenditure on </w:t>
      </w:r>
      <w:r w:rsidR="009C6122" w:rsidRPr="00F36A0F">
        <w:t>Commonwealth-funded chronic disease management</w:t>
      </w:r>
      <w:r w:rsidR="009C6122">
        <w:t xml:space="preserve"> services</w:t>
      </w:r>
      <w:r w:rsidR="009C6122" w:rsidRPr="00F36A0F">
        <w:t xml:space="preserve"> (relating to all chroni</w:t>
      </w:r>
      <w:r w:rsidR="00D7522F">
        <w:t xml:space="preserve">c diseases, including diabetes) </w:t>
      </w:r>
      <w:r w:rsidR="009C6122" w:rsidRPr="00F36A0F">
        <w:rPr>
          <w:rFonts w:eastAsiaTheme="minorHAnsi"/>
        </w:rPr>
        <w:t xml:space="preserve">has </w:t>
      </w:r>
      <w:r w:rsidR="00D7522F">
        <w:rPr>
          <w:rFonts w:eastAsiaTheme="minorHAnsi"/>
        </w:rPr>
        <w:t>grown</w:t>
      </w:r>
      <w:r w:rsidR="009C6122" w:rsidRPr="00F36A0F">
        <w:rPr>
          <w:rFonts w:eastAsiaTheme="minorHAnsi"/>
        </w:rPr>
        <w:t xml:space="preserve"> at a rate of 25 percent per annum </w:t>
      </w:r>
      <w:r w:rsidR="009C6122">
        <w:rPr>
          <w:rFonts w:eastAsiaTheme="minorHAnsi"/>
        </w:rPr>
        <w:t>from FY06 to FY14 (Figure 4)</w:t>
      </w:r>
      <w:r w:rsidR="009C6122" w:rsidRPr="00F36A0F">
        <w:rPr>
          <w:rFonts w:eastAsiaTheme="minorHAnsi"/>
        </w:rPr>
        <w:t xml:space="preserve">. In addition to increased care plan </w:t>
      </w:r>
      <w:r w:rsidR="009C6122">
        <w:rPr>
          <w:rFonts w:eastAsiaTheme="minorHAnsi"/>
        </w:rPr>
        <w:t>uptake</w:t>
      </w:r>
      <w:r w:rsidR="009C6122" w:rsidRPr="00F36A0F">
        <w:rPr>
          <w:rFonts w:eastAsiaTheme="minorHAnsi"/>
        </w:rPr>
        <w:t xml:space="preserve">, this growth has been driven by an increased number of </w:t>
      </w:r>
      <w:r w:rsidR="009C6122">
        <w:rPr>
          <w:rFonts w:eastAsiaTheme="minorHAnsi"/>
        </w:rPr>
        <w:t>services per care plan (</w:t>
      </w:r>
      <w:r w:rsidR="009C6122" w:rsidRPr="00F36A0F">
        <w:rPr>
          <w:rFonts w:eastAsiaTheme="minorHAnsi"/>
        </w:rPr>
        <w:t xml:space="preserve">such as team care arrangements </w:t>
      </w:r>
      <w:r w:rsidR="009C6122">
        <w:rPr>
          <w:rFonts w:eastAsiaTheme="minorHAnsi"/>
        </w:rPr>
        <w:t>[</w:t>
      </w:r>
      <w:r w:rsidR="009C6122" w:rsidRPr="00F36A0F">
        <w:rPr>
          <w:rFonts w:eastAsiaTheme="minorHAnsi"/>
        </w:rPr>
        <w:t>TCAs</w:t>
      </w:r>
      <w:r w:rsidR="009C6122">
        <w:rPr>
          <w:rFonts w:eastAsiaTheme="minorHAnsi"/>
        </w:rPr>
        <w:t>]</w:t>
      </w:r>
      <w:r w:rsidR="009C6122" w:rsidRPr="00F36A0F">
        <w:rPr>
          <w:rFonts w:eastAsiaTheme="minorHAnsi"/>
        </w:rPr>
        <w:t>, reviews, and AHP visits</w:t>
      </w:r>
      <w:r w:rsidR="009C6122">
        <w:rPr>
          <w:rFonts w:eastAsiaTheme="minorHAnsi"/>
        </w:rPr>
        <w:t>)</w:t>
      </w:r>
      <w:r w:rsidR="009C6122" w:rsidRPr="00F36A0F">
        <w:rPr>
          <w:rFonts w:eastAsiaTheme="minorHAnsi"/>
        </w:rPr>
        <w:t xml:space="preserve">. </w:t>
      </w:r>
      <w:r w:rsidR="009C6122" w:rsidRPr="00F36A0F">
        <w:t xml:space="preserve">In addition to the cost burden of chronic disease management items, 79 percent of </w:t>
      </w:r>
      <w:r w:rsidR="009C6122">
        <w:t>GPs</w:t>
      </w:r>
      <w:r w:rsidR="009C6122" w:rsidRPr="00F36A0F">
        <w:t xml:space="preserve"> surveyed by the Australian Medical Association (AMA) as part of the AMA Red Tape Survey 2011 agreed that there was too much red tape </w:t>
      </w:r>
      <w:r w:rsidR="009C6122">
        <w:t>involved in</w:t>
      </w:r>
      <w:r w:rsidR="009C6122" w:rsidRPr="00F36A0F">
        <w:t xml:space="preserve"> complying with the requirements </w:t>
      </w:r>
      <w:r w:rsidR="009C6122">
        <w:t>associated with these items</w:t>
      </w:r>
      <w:r w:rsidR="009C6122" w:rsidRPr="0011645E">
        <w:rPr>
          <w:rFonts w:eastAsiaTheme="minorHAnsi"/>
        </w:rPr>
        <w:t>.</w:t>
      </w:r>
      <w:r w:rsidR="009C6122">
        <w:rPr>
          <w:rFonts w:eastAsiaTheme="minorHAnsi"/>
          <w:vertAlign w:val="superscript"/>
        </w:rPr>
        <w:fldChar w:fldCharType="begin" w:fldLock="1"/>
      </w:r>
      <w:r w:rsidR="009C6122">
        <w:rPr>
          <w:rFonts w:eastAsiaTheme="minorHAnsi"/>
          <w:vertAlign w:val="superscript"/>
        </w:rPr>
        <w:instrText>ADDIN CSL_CITATION { "citationItems" : [ { "id" : "ITEM-1", "itemData" : { "URL" : "https://ama.com.au/ausmed/node/2843", "accessed" : { "date-parts" : [ [ "2014", "9", "29" ] ] }, "author" : [ { "dropping-particle" : "", "family" : "Australian Medical Association", "given" : "", "non-dropping-particle" : "", "parse-names" : false, "suffix" : "" } ], "id" : "ITEM-1", "issued" : { "date-parts" : [ [ "2011" ] ] }, "title" : "AMA red tape survey 2011", "type" : "webpage" }, "uris" : [ "http://www.mendeley.com/documents/?uuid=af729600-2943-48a9-bb36-92eb2b89fdfa" ] } ], "mendeley" : { "previouslyFormattedCitation" : "&lt;sup&gt;17&lt;/sup&gt;" }, "properties" : { "noteIndex" : 0 }, "schema" : "https://github.com/citation-style-language/schema/raw/master/csl-citation.json" }</w:instrText>
      </w:r>
      <w:r w:rsidR="009C6122">
        <w:rPr>
          <w:rFonts w:eastAsiaTheme="minorHAnsi"/>
          <w:vertAlign w:val="superscript"/>
        </w:rPr>
        <w:fldChar w:fldCharType="separate"/>
      </w:r>
      <w:r w:rsidR="009C6122" w:rsidRPr="00113335">
        <w:rPr>
          <w:rFonts w:eastAsiaTheme="minorHAnsi"/>
          <w:noProof/>
          <w:vertAlign w:val="superscript"/>
        </w:rPr>
        <w:t>17</w:t>
      </w:r>
      <w:r w:rsidR="009C6122">
        <w:rPr>
          <w:rFonts w:eastAsiaTheme="minorHAnsi"/>
          <w:vertAlign w:val="superscript"/>
        </w:rPr>
        <w:fldChar w:fldCharType="end"/>
      </w:r>
    </w:p>
    <w:p w14:paraId="2CBB64F5" w14:textId="77777777" w:rsidR="00A5399B" w:rsidRDefault="00A5399B" w:rsidP="009A2D6A">
      <w:pPr>
        <w:pStyle w:val="60exhnormal"/>
        <w:rPr>
          <w:caps w:val="0"/>
        </w:rPr>
      </w:pPr>
      <w:r>
        <w:t xml:space="preserve">FIGURE 3 </w:t>
      </w:r>
      <w:r>
        <w:rPr>
          <w:caps w:val="0"/>
        </w:rPr>
        <w:fldChar w:fldCharType="begin" w:fldLock="1"/>
      </w:r>
      <w:r>
        <w:rPr>
          <w:caps w:val="0"/>
        </w:rPr>
        <w:instrText>ADDIN CSL_CITATION { "citationItems" : [ { "id" : "ITEM-1", "itemData" : { "id" : "ITEM-1", "issued" : { "date-parts" : [ [ "2014" ] ] }, "publisher" : "Department of Human Services", "publisher-place" : "Canberra", "title" : "Medicare Australia - Statistics - Pharmaceutical Benefits Schedule Item Statistics", "type" : "book" }, "uris" : [ "http://www.mendeley.com/documents/?uuid=2229aeee-3e33-4026-acbd-22c8f03a35e1" ] } ], "mendeley" : { "previouslyFormattedCitation" : "&lt;sup&gt;16&lt;/sup&gt;" }, "properties" : { "noteIndex" : 0 }, "schema" : "https://github.com/citation-style-language/schema/raw/master/csl-citation.json" }</w:instrText>
      </w:r>
      <w:r>
        <w:rPr>
          <w:caps w:val="0"/>
        </w:rPr>
        <w:fldChar w:fldCharType="separate"/>
      </w:r>
      <w:r w:rsidRPr="00113335">
        <w:rPr>
          <w:caps w:val="0"/>
          <w:noProof/>
          <w:vertAlign w:val="superscript"/>
        </w:rPr>
        <w:t>16</w:t>
      </w:r>
      <w:r>
        <w:rPr>
          <w:caps w:val="0"/>
        </w:rPr>
        <w:fldChar w:fldCharType="end"/>
      </w:r>
    </w:p>
    <w:p w14:paraId="2C1CCA3F" w14:textId="77777777" w:rsidR="006646E5" w:rsidRDefault="006646E5" w:rsidP="009A2D6A">
      <w:pPr>
        <w:pStyle w:val="60exhnormal"/>
        <w:jc w:val="center"/>
      </w:pPr>
      <w:r>
        <w:rPr>
          <w:noProof/>
          <w:lang w:eastAsia="en-AU"/>
        </w:rPr>
        <w:drawing>
          <wp:inline distT="0" distB="0" distL="0" distR="0" wp14:anchorId="20B826BB" wp14:editId="4A82AB29">
            <wp:extent cx="4906645" cy="3676015"/>
            <wp:effectExtent l="0" t="0" r="8255" b="635"/>
            <wp:docPr id="8" name="Picture 8" descr="Figure 3 is a stacked bar chart displaying growth of PBS expenditure on diabetes drugs.&#10;Between the 2006 and 2013 financial years, PBS spending on diabetes drugs increased by 12 percent per year, from $215 million to $473 million. In part, this growth was driven by the increased availability and use of newer and more expensive anti-diabetic drugs. For example, while the average cost per script for older generation diabetes drugs—specifically, sulfonamides and metformin—is only $10, the average cost per script for a newer long-acting insulin is $413. Between the 2006 and 2013 financial years, use of these more expensive long-lasting insulins grew by 30 percent. Other newer generation diabetes drugs—such as DPP4-inhibitors—are also more expensive, with an average script costing $82. Use of these drugs increased by 22 percent during the same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906645" cy="367601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6787920D" w14:textId="77777777" w:rsidR="00030E22" w:rsidRDefault="00030E22" w:rsidP="00030E22">
      <w:pPr>
        <w:pStyle w:val="60exhnormal"/>
        <w:keepNext/>
        <w:rPr>
          <w:caps w:val="0"/>
        </w:rPr>
      </w:pPr>
      <w:bookmarkStart w:id="5" w:name="ExhibitNum"/>
      <w:bookmarkEnd w:id="5"/>
      <w:r>
        <w:rPr>
          <w:caps w:val="0"/>
        </w:rPr>
        <w:lastRenderedPageBreak/>
        <w:t xml:space="preserve">FIGURE 4 </w:t>
      </w:r>
      <w:r>
        <w:rPr>
          <w:caps w:val="0"/>
        </w:rPr>
        <w:fldChar w:fldCharType="begin" w:fldLock="1"/>
      </w:r>
      <w:r>
        <w:rPr>
          <w:caps w:val="0"/>
        </w:rPr>
        <w:instrText>ADDIN CSL_CITATION { "citationItems" : [ { "id" : "ITEM-1", "itemData" : { "id" : "ITEM-1", "issued" : { "date-parts" : [ [ "2014" ] ] }, "publisher" : "Department of Human Services", "publisher-place" : "Canberra", "title" : "Medicare Australia - Statistics - Item Reports", "type" : "book" }, "uris" : [ "http://www.mendeley.com/documents/?uuid=b05a40cf-4be1-4358-963e-fa1d9f4acab7" ] } ], "mendeley" : { "previouslyFormattedCitation" : "&lt;sup&gt;18&lt;/sup&gt;" }, "properties" : { "noteIndex" : 0 }, "schema" : "https://github.com/citation-style-language/schema/raw/master/csl-citation.json" }</w:instrText>
      </w:r>
      <w:r>
        <w:rPr>
          <w:caps w:val="0"/>
        </w:rPr>
        <w:fldChar w:fldCharType="separate"/>
      </w:r>
      <w:r w:rsidRPr="00113335">
        <w:rPr>
          <w:caps w:val="0"/>
          <w:noProof/>
          <w:vertAlign w:val="superscript"/>
        </w:rPr>
        <w:t>18</w:t>
      </w:r>
      <w:r>
        <w:rPr>
          <w:caps w:val="0"/>
        </w:rPr>
        <w:fldChar w:fldCharType="end"/>
      </w:r>
    </w:p>
    <w:p w14:paraId="56FADB48" w14:textId="77777777" w:rsidR="006646E5" w:rsidRDefault="006646E5" w:rsidP="009A2D6A">
      <w:pPr>
        <w:pStyle w:val="60exhnormal"/>
        <w:keepNext/>
        <w:jc w:val="center"/>
      </w:pPr>
      <w:r>
        <w:rPr>
          <w:noProof/>
          <w:lang w:eastAsia="en-AU"/>
        </w:rPr>
        <w:drawing>
          <wp:inline distT="0" distB="0" distL="0" distR="0" wp14:anchorId="06B079E7" wp14:editId="44BBC362">
            <wp:extent cx="4906645" cy="3673475"/>
            <wp:effectExtent l="0" t="0" r="8255" b="3175"/>
            <wp:docPr id="399" name="Picture 399" descr="Figure 4 is a stacked bar chart displaying growth of Medicare chronic disease funding.&#10;Medicare spending on chronic disease funding increased by 25 percent per year between the 2006 financial year and the 2014 financial year, from $141 million to $848 million. Spending on chronic disease funding is expected to grow at a rate of 19 percent per year from the 2015 financial year to the 2020 financial year. As such, it is expected that Medicare spending on chronic disease funding will exceed $2.4 billion by 2020. Spending on chronic disease funding includes spending on GP management plans, team care arrangement plans, GP management plan and team care arrangement plan reviews, Practice Nurse and Aboriginal health worker consults, and Allied Health Professional visi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906645" cy="367347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70BB3BD6" w14:textId="77777777" w:rsidR="00030E22" w:rsidRPr="00845F48" w:rsidRDefault="00030E22" w:rsidP="00B324D0">
      <w:pPr>
        <w:pStyle w:val="60exhnormal"/>
        <w:keepNext/>
        <w:rPr>
          <w:caps w:val="0"/>
          <w:sz w:val="2"/>
          <w:szCs w:val="2"/>
        </w:rPr>
      </w:pPr>
    </w:p>
    <w:p w14:paraId="59F3630C" w14:textId="77777777" w:rsidR="000A467D" w:rsidRPr="00F36A0F" w:rsidRDefault="000A467D" w:rsidP="008C484F">
      <w:pPr>
        <w:pStyle w:val="32chaptertitle"/>
      </w:pPr>
      <w:bookmarkStart w:id="6" w:name="_Toc419905881"/>
      <w:r w:rsidRPr="0011645E">
        <w:lastRenderedPageBreak/>
        <w:t>Chapter 2—Design of the Diabet</w:t>
      </w:r>
      <w:r w:rsidR="00C64A1F" w:rsidRPr="0011645E">
        <w:t>es Care Project (DCP)</w:t>
      </w:r>
      <w:bookmarkEnd w:id="6"/>
    </w:p>
    <w:p w14:paraId="692BA92F" w14:textId="77777777" w:rsidR="000A467D" w:rsidRPr="00F36A0F" w:rsidRDefault="000A467D" w:rsidP="000A467D">
      <w:r w:rsidRPr="00F36A0F">
        <w:t>This chapter describes the Diabetes Care Project and is divided into three sections:</w:t>
      </w:r>
    </w:p>
    <w:p w14:paraId="4B066A82" w14:textId="77777777" w:rsidR="000A467D" w:rsidRPr="00F36A0F" w:rsidRDefault="000A467D" w:rsidP="000A467D">
      <w:pPr>
        <w:pStyle w:val="01squarebullet"/>
      </w:pPr>
      <w:r w:rsidRPr="00F36A0F">
        <w:t xml:space="preserve">2.1 </w:t>
      </w:r>
      <w:r w:rsidR="00C45D16" w:rsidRPr="00F36A0F">
        <w:t xml:space="preserve">Background </w:t>
      </w:r>
      <w:r w:rsidR="00A05CA8">
        <w:t>and objectives of</w:t>
      </w:r>
      <w:r w:rsidR="00C45D16" w:rsidRPr="00F36A0F">
        <w:t xml:space="preserve"> the</w:t>
      </w:r>
      <w:r w:rsidRPr="00F36A0F">
        <w:t xml:space="preserve"> DCP </w:t>
      </w:r>
    </w:p>
    <w:p w14:paraId="5030CF6C" w14:textId="77777777" w:rsidR="000A467D" w:rsidRPr="00F36A0F" w:rsidRDefault="000A467D" w:rsidP="000A467D">
      <w:pPr>
        <w:pStyle w:val="01squarebullet"/>
      </w:pPr>
      <w:r w:rsidRPr="00F36A0F">
        <w:t xml:space="preserve">2.2 DCP interventions </w:t>
      </w:r>
    </w:p>
    <w:p w14:paraId="7B924609" w14:textId="77777777" w:rsidR="000A467D" w:rsidRPr="00F36A0F" w:rsidRDefault="000A467D" w:rsidP="000A467D">
      <w:pPr>
        <w:pStyle w:val="01squarebullet"/>
      </w:pPr>
      <w:r w:rsidRPr="00F36A0F">
        <w:t xml:space="preserve">2.3 DCP </w:t>
      </w:r>
      <w:r w:rsidR="004F7835">
        <w:t xml:space="preserve">trial </w:t>
      </w:r>
      <w:r w:rsidRPr="00F36A0F">
        <w:t xml:space="preserve">design </w:t>
      </w:r>
    </w:p>
    <w:p w14:paraId="3595C560" w14:textId="77777777" w:rsidR="000A467D" w:rsidRPr="00F36A0F" w:rsidRDefault="000A467D" w:rsidP="000A467D">
      <w:pPr>
        <w:pStyle w:val="20major"/>
      </w:pPr>
      <w:bookmarkStart w:id="7" w:name="_Toc419905882"/>
      <w:r w:rsidRPr="00F36A0F">
        <w:t xml:space="preserve">2.1 </w:t>
      </w:r>
      <w:r w:rsidR="00C45D16" w:rsidRPr="00F36A0F">
        <w:t>Background</w:t>
      </w:r>
      <w:r w:rsidR="00A05CA8">
        <w:t xml:space="preserve"> and </w:t>
      </w:r>
      <w:r w:rsidR="00ED0D02">
        <w:t>O</w:t>
      </w:r>
      <w:r w:rsidR="00A05CA8">
        <w:t xml:space="preserve">bjectives of </w:t>
      </w:r>
      <w:r w:rsidR="008431D4" w:rsidRPr="00F36A0F">
        <w:t>the DCP</w:t>
      </w:r>
      <w:bookmarkEnd w:id="7"/>
    </w:p>
    <w:p w14:paraId="4DC1C253" w14:textId="77777777" w:rsidR="00A81552" w:rsidRDefault="004179DA" w:rsidP="00116AA8">
      <w:r w:rsidRPr="00F36A0F">
        <w:t xml:space="preserve">The Diabetes Care Project (DCP) was established in response to two of the recommendations published by the National Health and Hospital Reform Commission (NHHRC) in 2009. </w:t>
      </w:r>
    </w:p>
    <w:p w14:paraId="1D48CAD0" w14:textId="77777777" w:rsidR="00DF7D78" w:rsidRPr="008E441A" w:rsidRDefault="004179DA" w:rsidP="00DF7D78">
      <w:pPr>
        <w:rPr>
          <w:rFonts w:eastAsiaTheme="minorHAnsi"/>
          <w:vertAlign w:val="superscript"/>
        </w:rPr>
      </w:pPr>
      <w:r w:rsidRPr="00F36A0F">
        <w:t xml:space="preserve">First, </w:t>
      </w:r>
      <w:r w:rsidR="00A81552">
        <w:t xml:space="preserve">the NHHRC recommended </w:t>
      </w:r>
      <w:r w:rsidRPr="00F36A0F">
        <w:t xml:space="preserve">that chronic disease should be managed in primary care settings through voluntary patient registration in </w:t>
      </w:r>
      <w:r w:rsidR="00DB17E8">
        <w:t>‘</w:t>
      </w:r>
      <w:r w:rsidRPr="00F36A0F">
        <w:t>health care homes</w:t>
      </w:r>
      <w:r w:rsidR="00BC3520">
        <w:t>.</w:t>
      </w:r>
      <w:r w:rsidR="00DB17E8">
        <w:t>’</w:t>
      </w:r>
      <w:r w:rsidR="00AD6DED">
        <w:fldChar w:fldCharType="begin" w:fldLock="1"/>
      </w:r>
      <w:r w:rsidR="00113335">
        <w:instrText>ADDIN CSL_CITATION { "citationItems" : [ { "id" : "ITEM-1", "itemData" : { "ISBN" : "1741869404", "author" : [ { "dropping-particle" : "", "family" : "National Health and Hospitals Reform Commission", "given" : "", "non-dropping-particle" : "", "parse-names" : false, "suffix" : "" } ], "id" : "ITEM-1", "issue" : "June", "issued" : { "date-parts" : [ [ "2009" ] ] }, "publisher" : "Commonwealth of Australia", "publisher-place" : "Canberra", "title" : "A Healthier Future For All Australians \u2013 Final Report of the National Health and Hospitals Reform Commission", "type" : "book" }, "uris" : [ "http://www.mendeley.com/documents/?uuid=a34bd526-5ec4-4287-9275-3fe28b946664" ] } ], "mendeley" : { "previouslyFormattedCitation" : "&lt;sup&gt;13&lt;/sup&gt;" }, "properties" : { "noteIndex" : 0 }, "schema" : "https://github.com/citation-style-language/schema/raw/master/csl-citation.json" }</w:instrText>
      </w:r>
      <w:r w:rsidR="00AD6DED">
        <w:fldChar w:fldCharType="separate"/>
      </w:r>
      <w:r w:rsidR="00113335" w:rsidRPr="00113335">
        <w:rPr>
          <w:noProof/>
          <w:vertAlign w:val="superscript"/>
        </w:rPr>
        <w:t>13</w:t>
      </w:r>
      <w:r w:rsidR="00AD6DED">
        <w:fldChar w:fldCharType="end"/>
      </w:r>
      <w:r w:rsidRPr="00F36A0F">
        <w:t xml:space="preserve"> </w:t>
      </w:r>
      <w:r w:rsidR="00A81552">
        <w:rPr>
          <w:rFonts w:eastAsiaTheme="minorHAnsi"/>
        </w:rPr>
        <w:t>T</w:t>
      </w:r>
      <w:r w:rsidR="00DF7D78" w:rsidRPr="00F36A0F">
        <w:rPr>
          <w:rFonts w:eastAsiaTheme="minorHAnsi"/>
        </w:rPr>
        <w:t xml:space="preserve">he Australian Medical Association (AMA) defines a health care home or ‘patient-centred medical home’ (as it is referred to in some jurisdictions) as a ‘simple extension of the family doctor, where the GP leads a multi-disciplinary team and is recognised and remunerated appropriately for coordinating comprehensive </w:t>
      </w:r>
      <w:r w:rsidR="00DB17E8">
        <w:rPr>
          <w:rFonts w:eastAsiaTheme="minorHAnsi"/>
        </w:rPr>
        <w:t>and quality longitudinal care</w:t>
      </w:r>
      <w:r w:rsidR="00BC3520" w:rsidRPr="00F36A0F">
        <w:rPr>
          <w:rFonts w:eastAsiaTheme="minorHAnsi"/>
        </w:rPr>
        <w:t>.</w:t>
      </w:r>
      <w:r w:rsidR="00DB17E8">
        <w:rPr>
          <w:rFonts w:eastAsiaTheme="minorHAnsi"/>
        </w:rPr>
        <w:t>’</w:t>
      </w:r>
      <w:r w:rsidR="00AD6DED">
        <w:rPr>
          <w:rFonts w:eastAsiaTheme="minorHAnsi"/>
          <w:vertAlign w:val="superscript"/>
        </w:rPr>
        <w:fldChar w:fldCharType="begin" w:fldLock="1"/>
      </w:r>
      <w:r w:rsidR="00113335">
        <w:rPr>
          <w:rFonts w:eastAsiaTheme="minorHAnsi"/>
          <w:vertAlign w:val="superscript"/>
        </w:rPr>
        <w:instrText>ADDIN CSL_CITATION { "citationItems" : [ { "id" : "ITEM-1", "itemData" : { "URL" : "https://ama.com.au/system/files/microsoft_word_-_medical_home_member_survey_report_final.pdf", "accessed" : { "date-parts" : [ [ "2014", "9", "29" ] ] }, "author" : [ { "dropping-particle" : "", "family" : "Australian Medical Association", "given" : "", "non-dropping-particle" : "", "parse-names" : false, "suffix" : "" } ], "id" : "ITEM-1", "issued" : { "date-parts" : [ [ "2013" ] ] }, "publisher" : "Australian Medical Association", "publisher-place" : "Canberra", "title" : "AMA Member Survey, Patient-Centred Medical Home: Report of Findings", "type" : "webpage" }, "uris" : [ "http://www.mendeley.com/documents/?uuid=aa147814-b583-4977-b729-a957b925b308" ] } ], "mendeley" : { "previouslyFormattedCitation" : "&lt;sup&gt;19&lt;/sup&gt;" }, "properties" : { "noteIndex" : 0 }, "schema" : "https://github.com/citation-style-language/schema/raw/master/csl-citation.json" }</w:instrText>
      </w:r>
      <w:r w:rsidR="00AD6DED">
        <w:rPr>
          <w:rFonts w:eastAsiaTheme="minorHAnsi"/>
          <w:vertAlign w:val="superscript"/>
        </w:rPr>
        <w:fldChar w:fldCharType="separate"/>
      </w:r>
      <w:r w:rsidR="00113335" w:rsidRPr="00113335">
        <w:rPr>
          <w:rFonts w:eastAsiaTheme="minorHAnsi"/>
          <w:noProof/>
          <w:vertAlign w:val="superscript"/>
        </w:rPr>
        <w:t>19</w:t>
      </w:r>
      <w:r w:rsidR="00AD6DED">
        <w:rPr>
          <w:rFonts w:eastAsiaTheme="minorHAnsi"/>
          <w:vertAlign w:val="superscript"/>
        </w:rPr>
        <w:fldChar w:fldCharType="end"/>
      </w:r>
      <w:r w:rsidR="00DF7D78" w:rsidRPr="0011645E">
        <w:rPr>
          <w:rFonts w:eastAsiaTheme="minorHAnsi"/>
        </w:rPr>
        <w:t xml:space="preserve"> Medical homes have been adopted in various forms in the United States, Canada, France, the UK, Germany, the Netherlands, Sweden and New Zealand, where they have been shown to provide cost and utilisation benefits (</w:t>
      </w:r>
      <w:r w:rsidR="00107122">
        <w:rPr>
          <w:rFonts w:eastAsiaTheme="minorHAnsi"/>
        </w:rPr>
        <w:t>such as</w:t>
      </w:r>
      <w:r w:rsidR="00DF7D78" w:rsidRPr="0011645E">
        <w:rPr>
          <w:rFonts w:eastAsiaTheme="minorHAnsi"/>
        </w:rPr>
        <w:t xml:space="preserve"> improved clinical outcomes and </w:t>
      </w:r>
      <w:r w:rsidR="00EE22AD">
        <w:rPr>
          <w:rFonts w:eastAsiaTheme="minorHAnsi"/>
        </w:rPr>
        <w:t xml:space="preserve">a </w:t>
      </w:r>
      <w:r w:rsidR="00DF7D78" w:rsidRPr="0011645E">
        <w:rPr>
          <w:rFonts w:eastAsiaTheme="minorHAnsi"/>
        </w:rPr>
        <w:t>reduced number of hospitalisations); enhance population health and preventative services; reduce disparities in access to care across a population; and improve patient and clinician experie</w:t>
      </w:r>
      <w:r w:rsidR="00DF7D78" w:rsidRPr="00F36A0F">
        <w:rPr>
          <w:rFonts w:eastAsiaTheme="minorHAnsi"/>
        </w:rPr>
        <w:t>nces.</w:t>
      </w:r>
      <w:r w:rsidR="00AD6DED">
        <w:rPr>
          <w:rFonts w:eastAsiaTheme="minorHAnsi"/>
          <w:vertAlign w:val="superscript"/>
        </w:rPr>
        <w:fldChar w:fldCharType="begin" w:fldLock="1"/>
      </w:r>
      <w:r w:rsidR="00113335">
        <w:rPr>
          <w:rFonts w:eastAsiaTheme="minorHAnsi"/>
          <w:vertAlign w:val="superscript"/>
        </w:rPr>
        <w:instrText>ADDIN CSL_CITATION { "citationItems" : [ { "id" : "ITEM-1", "itemData" : { "author" : [ { "dropping-particle" : "", "family" : "Nielsen", "given" : "M", "non-dropping-particle" : "", "parse-names" : false, "suffix" : "" }, { "dropping-particle" : "", "family" : "Olayiwola", "given" : "J N", "non-dropping-particle" : "", "parse-names" : false, "suffix" : "" }, { "dropping-particle" : "", "family" : "Grundy", "given" : "P", "non-dropping-particle" : "", "parse-names" : false, "suffix" : "" }, { "dropping-particle" : "", "family" : "Grumbach", "given" : "K", "non-dropping-particle" : "", "parse-names" : false, "suffix" : "" } ], "id" : "ITEM-1", "issued" : { "date-parts" : [ [ "2014" ] ] }, "publisher" : "Patient-Centred Primary Care Collaborative", "title" : "The Patient-Centered Medical Home\u2019s Impact on Cost &amp; Quality: An Annual Update of the Evidence, 2012-2013", "type" : "book" }, "uris" : [ "http://www.mendeley.com/documents/?uuid=58ac937f-c722-4550-91d2-74f3a1955ff9" ] } ], "mendeley" : { "previouslyFormattedCitation" : "&lt;sup&gt;20&lt;/sup&gt;" }, "properties" : { "noteIndex" : 0 }, "schema" : "https://github.com/citation-style-language/schema/raw/master/csl-citation.json" }</w:instrText>
      </w:r>
      <w:r w:rsidR="00AD6DED">
        <w:rPr>
          <w:rFonts w:eastAsiaTheme="minorHAnsi"/>
          <w:vertAlign w:val="superscript"/>
        </w:rPr>
        <w:fldChar w:fldCharType="separate"/>
      </w:r>
      <w:r w:rsidR="00113335" w:rsidRPr="00113335">
        <w:rPr>
          <w:rFonts w:eastAsiaTheme="minorHAnsi"/>
          <w:noProof/>
          <w:vertAlign w:val="superscript"/>
        </w:rPr>
        <w:t>20</w:t>
      </w:r>
      <w:r w:rsidR="00AD6DED">
        <w:rPr>
          <w:rFonts w:eastAsiaTheme="minorHAnsi"/>
          <w:vertAlign w:val="superscript"/>
        </w:rPr>
        <w:fldChar w:fldCharType="end"/>
      </w:r>
    </w:p>
    <w:p w14:paraId="0C994D2E" w14:textId="77777777" w:rsidR="00DF7D78" w:rsidRPr="00115504" w:rsidRDefault="00A81552" w:rsidP="00275880">
      <w:pPr>
        <w:rPr>
          <w:rFonts w:ascii="Arial" w:eastAsiaTheme="minorHAnsi" w:hAnsi="Arial" w:cs="Arial"/>
          <w:vertAlign w:val="superscript"/>
        </w:rPr>
      </w:pPr>
      <w:r w:rsidRPr="00F36A0F">
        <w:t xml:space="preserve">Second, </w:t>
      </w:r>
      <w:r>
        <w:t xml:space="preserve">the NHHRC recommended </w:t>
      </w:r>
      <w:r w:rsidRPr="00F36A0F">
        <w:t xml:space="preserve">that the Commonwealth consider innovative funding models that </w:t>
      </w:r>
      <w:r w:rsidR="00BC3520">
        <w:t>include</w:t>
      </w:r>
      <w:r w:rsidR="00BC3520" w:rsidRPr="00F36A0F">
        <w:t xml:space="preserve"> </w:t>
      </w:r>
      <w:r w:rsidRPr="00F36A0F">
        <w:t>quality-based funding to manage population health.</w:t>
      </w:r>
      <w:r>
        <w:t xml:space="preserve"> It was suggested that</w:t>
      </w:r>
      <w:r w:rsidR="00DF7D78" w:rsidRPr="00F36A0F">
        <w:rPr>
          <w:rFonts w:eastAsiaTheme="minorHAnsi"/>
        </w:rPr>
        <w:t xml:space="preserve"> the ‘Commonwealth Government [would] need to consider … a next generation Medicare [with] a broader range of services … involving, for example, a mix of salary</w:t>
      </w:r>
      <w:r w:rsidR="00DF7D78" w:rsidRPr="00F36A0F">
        <w:rPr>
          <w:rFonts w:eastAsiaTheme="minorHAnsi"/>
          <w:bCs/>
        </w:rPr>
        <w:t>,</w:t>
      </w:r>
      <w:r w:rsidR="00DF7D78" w:rsidRPr="00F36A0F">
        <w:rPr>
          <w:rFonts w:eastAsiaTheme="minorHAnsi"/>
          <w:b/>
          <w:bCs/>
        </w:rPr>
        <w:t xml:space="preserve"> </w:t>
      </w:r>
      <w:r w:rsidR="00DF7D78" w:rsidRPr="00F36A0F">
        <w:rPr>
          <w:rFonts w:eastAsiaTheme="minorHAnsi"/>
          <w:bCs/>
        </w:rPr>
        <w:t>fee-for-service</w:t>
      </w:r>
      <w:r w:rsidR="00DF7D78" w:rsidRPr="00F36A0F">
        <w:rPr>
          <w:rFonts w:eastAsiaTheme="minorHAnsi"/>
        </w:rPr>
        <w:t>, grants, payments for performance and quality, and payments for episodes of care.’</w:t>
      </w:r>
      <w:r w:rsidR="00AD6DED">
        <w:fldChar w:fldCharType="begin" w:fldLock="1"/>
      </w:r>
      <w:r w:rsidR="00113335">
        <w:instrText>ADDIN CSL_CITATION { "citationItems" : [ { "id" : "ITEM-1", "itemData" : { "ISBN" : "1741869404", "author" : [ { "dropping-particle" : "", "family" : "National Health and Hospitals Reform Commission", "given" : "", "non-dropping-particle" : "", "parse-names" : false, "suffix" : "" } ], "id" : "ITEM-1", "issue" : "June", "issued" : { "date-parts" : [ [ "2009" ] ] }, "publisher" : "Commonwealth of Australia", "publisher-place" : "Canberra", "title" : "A Healthier Future For All Australians \u2013 Final Report of the National Health and Hospitals Reform Commission", "type" : "book" }, "uris" : [ "http://www.mendeley.com/documents/?uuid=a34bd526-5ec4-4287-9275-3fe28b946664" ] } ], "mendeley" : { "previouslyFormattedCitation" : "&lt;sup&gt;13&lt;/sup&gt;" }, "properties" : { "noteIndex" : 0 }, "schema" : "https://github.com/citation-style-language/schema/raw/master/csl-citation.json" }</w:instrText>
      </w:r>
      <w:r w:rsidR="00AD6DED">
        <w:fldChar w:fldCharType="separate"/>
      </w:r>
      <w:r w:rsidR="00113335" w:rsidRPr="00113335">
        <w:rPr>
          <w:noProof/>
          <w:vertAlign w:val="superscript"/>
        </w:rPr>
        <w:t>13</w:t>
      </w:r>
      <w:r w:rsidR="00AD6DED">
        <w:fldChar w:fldCharType="end"/>
      </w:r>
      <w:r w:rsidR="00D17449">
        <w:rPr>
          <w:vertAlign w:val="superscript"/>
        </w:rPr>
        <w:t xml:space="preserve"> </w:t>
      </w:r>
      <w:r w:rsidR="00EE22AD">
        <w:rPr>
          <w:rFonts w:eastAsiaTheme="minorHAnsi"/>
        </w:rPr>
        <w:t>Innovative</w:t>
      </w:r>
      <w:r w:rsidR="00DF7D78" w:rsidRPr="00F36A0F">
        <w:rPr>
          <w:rFonts w:eastAsiaTheme="minorHAnsi"/>
        </w:rPr>
        <w:t xml:space="preserve"> funding models </w:t>
      </w:r>
      <w:r w:rsidR="00EE22AD">
        <w:rPr>
          <w:rFonts w:eastAsiaTheme="minorHAnsi"/>
        </w:rPr>
        <w:t xml:space="preserve">that extend </w:t>
      </w:r>
      <w:r w:rsidR="00DF7D78" w:rsidRPr="00F36A0F">
        <w:rPr>
          <w:rFonts w:eastAsiaTheme="minorHAnsi"/>
        </w:rPr>
        <w:t>beyond a</w:t>
      </w:r>
      <w:r w:rsidR="007800C4">
        <w:rPr>
          <w:rFonts w:eastAsiaTheme="minorHAnsi"/>
        </w:rPr>
        <w:t> </w:t>
      </w:r>
      <w:r w:rsidR="00DF7D78" w:rsidRPr="00F36A0F">
        <w:rPr>
          <w:rFonts w:eastAsiaTheme="minorHAnsi"/>
        </w:rPr>
        <w:t xml:space="preserve">purely fee-for-service model </w:t>
      </w:r>
      <w:r w:rsidR="00EE22AD">
        <w:rPr>
          <w:rFonts w:eastAsiaTheme="minorHAnsi"/>
        </w:rPr>
        <w:t>have</w:t>
      </w:r>
      <w:r w:rsidR="00DF7D78" w:rsidRPr="00F36A0F">
        <w:rPr>
          <w:rFonts w:eastAsiaTheme="minorHAnsi"/>
        </w:rPr>
        <w:t xml:space="preserve"> been considered or implemented in Australia and other countries for some time. In Australia, </w:t>
      </w:r>
      <w:r w:rsidR="00BC3520">
        <w:rPr>
          <w:rFonts w:eastAsiaTheme="minorHAnsi"/>
        </w:rPr>
        <w:t xml:space="preserve">for example, </w:t>
      </w:r>
      <w:r w:rsidR="00DF7D78" w:rsidRPr="00F36A0F">
        <w:rPr>
          <w:rFonts w:eastAsiaTheme="minorHAnsi"/>
        </w:rPr>
        <w:t>the Practice Incentive Program (PIP) was introduced in 1999 to improve the quality of care provided in asthma, diabetes, mental health and cervical screening</w:t>
      </w:r>
      <w:r w:rsidR="00DF7D78" w:rsidRPr="0011645E">
        <w:rPr>
          <w:rFonts w:eastAsiaTheme="minorHAnsi"/>
        </w:rPr>
        <w:t>.</w:t>
      </w:r>
      <w:r w:rsidR="00B15B0A">
        <w:rPr>
          <w:rFonts w:eastAsiaTheme="minorHAnsi"/>
          <w:vertAlign w:val="superscript"/>
        </w:rPr>
        <w:fldChar w:fldCharType="begin" w:fldLock="1"/>
      </w:r>
      <w:r w:rsidR="00113335">
        <w:rPr>
          <w:rFonts w:eastAsiaTheme="minorHAnsi"/>
          <w:vertAlign w:val="superscript"/>
        </w:rPr>
        <w:instrText>ADDIN CSL_CITATION { "citationItems" : [ { "id" : "ITEM-1", "itemData" : { "DOI" : "10.1002/hec.1536", "ISSN" : "1099-1050", "PMID" : "19644938", "abstract" : "An incentive program for general practitioners to encourage systematic and igh-quality care in chronic disease management was introduced in Australia in 1999. There is little empirical evidence and ambiguous theoretical guidance on which effects to expect. This paper evaluates the impact of the incentive program on quality of care in diabetes, as measured by the probability of ordering an HbA1c test. The empirical analysis is conducted with a unique data set and a bivariate probit model to control for the self-selection process of practices into the program. The study finds that the incentive program increased the probability of an HbA1c test being ordered by 20 percentage points and that participation in the program is facilitated by the support of Divisions of General Practice.", "author" : [ { "dropping-particle" : "", "family" : "Scott", "given" : "Anthony", "non-dropping-particle" : "", "parse-names" : false, "suffix" : "" }, { "dropping-particle" : "", "family" : "Schurer", "given" : "Stefanie", "non-dropping-particle" : "", "parse-names" : false, "suffix" : "" }, { "dropping-particle" : "", "family" : "Jensen", "given" : "Paul H", "non-dropping-particle" : "", "parse-names" : false, "suffix" : "" }, { "dropping-particle" : "", "family" : "Sivey", "given" : "Peter", "non-dropping-particle" : "", "parse-names" : false, "suffix" : "" } ], "container-title" : "Health economics", "id" : "ITEM-1", "issue" : "9", "issued" : { "date-parts" : [ [ "2009", "9" ] ] }, "page" : "1091-108", "title" : "The effects of an incentive program on quality of care in diabetes management.", "type" : "article-journal", "volume" : "18" }, "uris" : [ "http://www.mendeley.com/documents/?uuid=15b4ebb5-903c-4d34-9856-dcfca8f1f7d2" ] } ], "mendeley" : { "previouslyFormattedCitation" : "&lt;sup&gt;21&lt;/sup&gt;" }, "properties" : { "noteIndex" : 0 }, "schema" : "https://github.com/citation-style-language/schema/raw/master/csl-citation.json" }</w:instrText>
      </w:r>
      <w:r w:rsidR="00B15B0A">
        <w:rPr>
          <w:rFonts w:eastAsiaTheme="minorHAnsi"/>
          <w:vertAlign w:val="superscript"/>
        </w:rPr>
        <w:fldChar w:fldCharType="separate"/>
      </w:r>
      <w:r w:rsidR="00113335" w:rsidRPr="00113335">
        <w:rPr>
          <w:rFonts w:eastAsiaTheme="minorHAnsi"/>
          <w:noProof/>
          <w:vertAlign w:val="superscript"/>
        </w:rPr>
        <w:t>21</w:t>
      </w:r>
      <w:r w:rsidR="00B15B0A">
        <w:rPr>
          <w:rFonts w:eastAsiaTheme="minorHAnsi"/>
          <w:vertAlign w:val="superscript"/>
        </w:rPr>
        <w:fldChar w:fldCharType="end"/>
      </w:r>
      <w:r w:rsidR="00DF7D78" w:rsidRPr="0011645E">
        <w:rPr>
          <w:rFonts w:eastAsiaTheme="minorHAnsi"/>
        </w:rPr>
        <w:t xml:space="preserve"> In 2008, a</w:t>
      </w:r>
      <w:r w:rsidR="007800C4">
        <w:rPr>
          <w:rFonts w:eastAsiaTheme="minorHAnsi"/>
        </w:rPr>
        <w:t> </w:t>
      </w:r>
      <w:r w:rsidR="00DF7D78" w:rsidRPr="0011645E">
        <w:rPr>
          <w:rFonts w:eastAsiaTheme="minorHAnsi"/>
        </w:rPr>
        <w:t xml:space="preserve">paper commissioned for the National Preventative Health Taskforce </w:t>
      </w:r>
      <w:r w:rsidR="00BD504B">
        <w:rPr>
          <w:rFonts w:eastAsiaTheme="minorHAnsi"/>
        </w:rPr>
        <w:t>suggested</w:t>
      </w:r>
      <w:r w:rsidR="00BD504B" w:rsidRPr="0011645E">
        <w:rPr>
          <w:rFonts w:eastAsiaTheme="minorHAnsi"/>
        </w:rPr>
        <w:t xml:space="preserve"> </w:t>
      </w:r>
      <w:r w:rsidR="00DF7D78" w:rsidRPr="0011645E">
        <w:rPr>
          <w:rFonts w:eastAsiaTheme="minorHAnsi"/>
        </w:rPr>
        <w:t>that ‘</w:t>
      </w:r>
      <w:r w:rsidR="00DF7D78" w:rsidRPr="0011645E">
        <w:t>t</w:t>
      </w:r>
      <w:r w:rsidR="00DF7D78" w:rsidRPr="00F36A0F">
        <w:rPr>
          <w:rFonts w:eastAsiaTheme="minorHAnsi"/>
        </w:rPr>
        <w:t>he needs of specific groups may be better achieved by funding performanc</w:t>
      </w:r>
      <w:r w:rsidR="00EE22AD">
        <w:rPr>
          <w:rFonts w:eastAsiaTheme="minorHAnsi"/>
        </w:rPr>
        <w:t>e rather than fee for service—</w:t>
      </w:r>
      <w:r w:rsidR="00DF7D78" w:rsidRPr="00F36A0F">
        <w:rPr>
          <w:rFonts w:eastAsiaTheme="minorHAnsi"/>
        </w:rPr>
        <w:t>for example the proportion of disadvantaged or recently unemployed patients who have a health check</w:t>
      </w:r>
      <w:r w:rsidR="00BC3520" w:rsidRPr="00F36A0F">
        <w:rPr>
          <w:rFonts w:eastAsiaTheme="minorHAnsi"/>
        </w:rPr>
        <w:t>.</w:t>
      </w:r>
      <w:r w:rsidR="00DF7D78" w:rsidRPr="00F36A0F">
        <w:rPr>
          <w:rFonts w:eastAsiaTheme="minorHAnsi"/>
        </w:rPr>
        <w:t>’</w:t>
      </w:r>
      <w:r w:rsidR="00B15B0A">
        <w:rPr>
          <w:rFonts w:eastAsiaTheme="minorHAnsi"/>
          <w:vertAlign w:val="superscript"/>
        </w:rPr>
        <w:fldChar w:fldCharType="begin" w:fldLock="1"/>
      </w:r>
      <w:r w:rsidR="00113335">
        <w:rPr>
          <w:rFonts w:eastAsiaTheme="minorHAnsi"/>
          <w:vertAlign w:val="superscript"/>
        </w:rPr>
        <w:instrText>ADDIN CSL_CITATION { "citationItems" : [ { "id" : "ITEM-1", "itemData" : { "author" : [ { "dropping-particle" : "", "family" : "Harris", "given" : "Mark", "non-dropping-particle" : "", "parse-names" : false, "suffix" : "" } ], "id" : "ITEM-1", "issued" : { "date-parts" : [ [ "2008" ] ] }, "title" : "The role of primary health care in preventing the onset of chronic disease , with a particular focus on the lifestyle risk factors of obesity , tobacco and alcohol .", "type" : "report" }, "uris" : [ "http://www.mendeley.com/documents/?uuid=e37d28f6-2113-40d7-b2be-e607ce64cff9" ] } ], "mendeley" : { "previouslyFormattedCitation" : "&lt;sup&gt;22&lt;/sup&gt;" }, "properties" : { "noteIndex" : 0 }, "schema" : "https://github.com/citation-style-language/schema/raw/master/csl-citation.json" }</w:instrText>
      </w:r>
      <w:r w:rsidR="00B15B0A">
        <w:rPr>
          <w:rFonts w:eastAsiaTheme="minorHAnsi"/>
          <w:vertAlign w:val="superscript"/>
        </w:rPr>
        <w:fldChar w:fldCharType="separate"/>
      </w:r>
      <w:r w:rsidR="00113335" w:rsidRPr="00113335">
        <w:rPr>
          <w:rFonts w:eastAsiaTheme="minorHAnsi"/>
          <w:noProof/>
          <w:vertAlign w:val="superscript"/>
        </w:rPr>
        <w:t>22</w:t>
      </w:r>
      <w:r w:rsidR="00B15B0A">
        <w:rPr>
          <w:rFonts w:eastAsiaTheme="minorHAnsi"/>
          <w:vertAlign w:val="superscript"/>
        </w:rPr>
        <w:fldChar w:fldCharType="end"/>
      </w:r>
      <w:r w:rsidR="00DF7D78" w:rsidRPr="0011645E">
        <w:rPr>
          <w:rFonts w:eastAsiaTheme="minorHAnsi"/>
          <w:vertAlign w:val="superscript"/>
        </w:rPr>
        <w:t xml:space="preserve"> </w:t>
      </w:r>
      <w:r w:rsidR="00DF7D78" w:rsidRPr="0011645E">
        <w:rPr>
          <w:rFonts w:eastAsiaTheme="minorHAnsi"/>
        </w:rPr>
        <w:t>Beyond Australia, the numerous patient-centred medical home schemes in</w:t>
      </w:r>
      <w:r w:rsidR="00DF7D78" w:rsidRPr="00F36A0F">
        <w:rPr>
          <w:rFonts w:eastAsiaTheme="minorHAnsi"/>
        </w:rPr>
        <w:t xml:space="preserve"> the United States typically involve elements of population-based flexible funding and payments for quality in addition to fees</w:t>
      </w:r>
      <w:r w:rsidR="00BC3520">
        <w:rPr>
          <w:rFonts w:eastAsiaTheme="minorHAnsi"/>
        </w:rPr>
        <w:t xml:space="preserve"> </w:t>
      </w:r>
      <w:r w:rsidR="00DF7D78" w:rsidRPr="00F36A0F">
        <w:rPr>
          <w:rFonts w:eastAsiaTheme="minorHAnsi"/>
        </w:rPr>
        <w:t>for</w:t>
      </w:r>
      <w:r w:rsidR="00BC3520">
        <w:rPr>
          <w:rFonts w:eastAsiaTheme="minorHAnsi"/>
        </w:rPr>
        <w:t xml:space="preserve"> </w:t>
      </w:r>
      <w:r w:rsidR="00DF7D78" w:rsidRPr="00F36A0F">
        <w:rPr>
          <w:rFonts w:eastAsiaTheme="minorHAnsi"/>
        </w:rPr>
        <w:t>service.</w:t>
      </w:r>
      <w:r w:rsidR="00B15B0A">
        <w:rPr>
          <w:rFonts w:eastAsiaTheme="minorHAnsi"/>
          <w:vertAlign w:val="superscript"/>
        </w:rPr>
        <w:fldChar w:fldCharType="begin" w:fldLock="1"/>
      </w:r>
      <w:r w:rsidR="00113335">
        <w:rPr>
          <w:rFonts w:eastAsiaTheme="minorHAnsi"/>
          <w:vertAlign w:val="superscript"/>
        </w:rPr>
        <w:instrText>ADDIN CSL_CITATION { "citationItems" : [ { "id" : "ITEM-1", "itemData" : { "DOI" : "10.1377/hlthaff.2009.0995", "ISSN" : "1544-5208", "PMID" : "20439871", "abstract" : "Despite widespread interest in the medical home model, there has been a lack of careful assessment of alternative methods to pay practices that serve as medical homes. This paper examines four specific payment approaches: enhanced fee-for-service payments for evaluation and management; additional codes for medical home activities within fee-for-service payments; per patient per month medical home payments to augment fee-for-service visit payments; and risk-adjusted, comprehensive per patient per month payments. Payment policies selected will affect both the adoption of the model and its longer-term evaluation. Evaluations of ongoing demonstrations should focus on payment design as well as on care--and cost.", "author" : [ { "dropping-particle" : "", "family" : "Merrell", "given" : "Katie", "non-dropping-particle" : "", "parse-names" : false, "suffix" : "" }, { "dropping-particle" : "", "family" : "Berenson", "given" : "Robert A", "non-dropping-particle" : "", "parse-names" : false, "suffix" : "" } ], "container-title" : "Health affairs (Project Hope)", "id" : "ITEM-1", "issue" : "5", "issued" : { "date-parts" : [ [ "2010", "5" ] ] }, "page" : "852-8", "title" : "Structuring payment for medical homes.", "type" : "article-journal", "volume" : "29" }, "uris" : [ "http://www.mendeley.com/documents/?uuid=9dd0e628-7915-491a-9c06-c69e161dd849" ] } ], "mendeley" : { "previouslyFormattedCitation" : "&lt;sup&gt;23&lt;/sup&gt;" }, "properties" : { "noteIndex" : 0 }, "schema" : "https://github.com/citation-style-language/schema/raw/master/csl-citation.json" }</w:instrText>
      </w:r>
      <w:r w:rsidR="00B15B0A">
        <w:rPr>
          <w:rFonts w:eastAsiaTheme="minorHAnsi"/>
          <w:vertAlign w:val="superscript"/>
        </w:rPr>
        <w:fldChar w:fldCharType="separate"/>
      </w:r>
      <w:r w:rsidR="00113335" w:rsidRPr="00113335">
        <w:rPr>
          <w:rFonts w:eastAsiaTheme="minorHAnsi"/>
          <w:noProof/>
          <w:vertAlign w:val="superscript"/>
        </w:rPr>
        <w:t>23</w:t>
      </w:r>
      <w:r w:rsidR="00B15B0A">
        <w:rPr>
          <w:rFonts w:eastAsiaTheme="minorHAnsi"/>
          <w:vertAlign w:val="superscript"/>
        </w:rPr>
        <w:fldChar w:fldCharType="end"/>
      </w:r>
      <w:r w:rsidR="00DF7D78" w:rsidRPr="0011645E">
        <w:rPr>
          <w:rFonts w:eastAsiaTheme="minorHAnsi"/>
        </w:rPr>
        <w:t xml:space="preserve"> In the UK, the Quality and Outcomes Framework (QoF) for </w:t>
      </w:r>
      <w:r w:rsidR="000930AD">
        <w:rPr>
          <w:rFonts w:eastAsiaTheme="minorHAnsi"/>
        </w:rPr>
        <w:t>GPs</w:t>
      </w:r>
      <w:r w:rsidR="00DF7D78" w:rsidRPr="0011645E">
        <w:rPr>
          <w:rFonts w:eastAsiaTheme="minorHAnsi"/>
        </w:rPr>
        <w:t xml:space="preserve"> </w:t>
      </w:r>
      <w:r w:rsidR="004115E0">
        <w:rPr>
          <w:rFonts w:eastAsiaTheme="minorHAnsi"/>
        </w:rPr>
        <w:t>represents</w:t>
      </w:r>
      <w:r w:rsidR="00B15B0A">
        <w:rPr>
          <w:rFonts w:eastAsiaTheme="minorHAnsi"/>
        </w:rPr>
        <w:t xml:space="preserve"> a</w:t>
      </w:r>
      <w:r w:rsidR="00DF7D78" w:rsidRPr="0011645E">
        <w:rPr>
          <w:rFonts w:eastAsiaTheme="minorHAnsi"/>
        </w:rPr>
        <w:t xml:space="preserve"> large-scale system-wide reform that incentivises </w:t>
      </w:r>
      <w:r w:rsidR="000930AD">
        <w:rPr>
          <w:rFonts w:eastAsiaTheme="minorHAnsi"/>
        </w:rPr>
        <w:t>GPs</w:t>
      </w:r>
      <w:r w:rsidR="00DF7D78" w:rsidRPr="0011645E">
        <w:rPr>
          <w:rFonts w:eastAsiaTheme="minorHAnsi"/>
        </w:rPr>
        <w:t xml:space="preserve"> to meet population clinical targets. These Australian and international models in primary care funding are used where health care funders want to encourage efficient and equitable health care for a population.</w:t>
      </w:r>
      <w:r w:rsidR="00B15B0A">
        <w:rPr>
          <w:rFonts w:eastAsiaTheme="minorHAnsi"/>
          <w:vertAlign w:val="superscript"/>
        </w:rPr>
        <w:fldChar w:fldCharType="begin" w:fldLock="1"/>
      </w:r>
      <w:r w:rsidR="00113335">
        <w:rPr>
          <w:rFonts w:eastAsiaTheme="minorHAnsi"/>
          <w:vertAlign w:val="superscript"/>
        </w:rPr>
        <w:instrText>ADDIN CSL_CITATION { "citationItems" : [ { "id" : "ITEM-1", "itemData" : { "DOI" : "10.1002/14651858.CD008451.pub2", "ISSN" : "1469-493X", "PMID" : "21901722", "abstract" : "BACKGROUND: The use of blended payment schemes in primary care, including the use of financial incentives to directly reward 'performance' and 'quality' is increasing in a number of countries. There are many examples in the US, and the Quality and Outcomes Framework (QoF) for general practitioners (GPs) in the UK is an example of a major system-wide reform. Despite the popularity of these schemes, there is currently little rigorous evidence of their success in improving the quality of primary health care, or of whether such an approach is cost-effective relative to other ways to improve the quality of care.\n\nOBJECTIVES: The aim of this review is to examine the effect of changes in the method and level of payment on the quality of care provided by primary care physicians (PCPs) and to identify:i)\u00a0the different types of financial incentives that have improved quality;ii)\u00a0the characteristics of patient populations for whom quality of care has been improved by financial incentives; andiii)\u00a0the characteristics of PCPs who have responded to financial incentives.\n\nSEARCH STRATEGY: We searched the Cochrane Effective Practice and Organisation of Care (EPOC) Trials Register, Cochrane Central Register of Controlled Trials (CENTRAL) and Cochrane Database of Systematic Reviews (CDSR) (The Cochrane Library), MEDLINE, HealthSTAR, EMBASE, CINAHL, PsychLIT, and ECONLIT. Searches of Internet-based economics and health economics working paper collections were also conducted. Finally, studies were identified through the reference lists of retrieved articles, websites of key organisations, and from direct contact with key authors in the field. Articles were included if they were published from 2000 to August 2009.\n\nSELECTION CRITERIA: Randomised controlled trials (RCT), controlled before and after studies (CBA), and interrupted time series analyses (ITS) evaluating the impact of different financial interventions on the quality of\u00a0care delivered by primary healthcare physicians (PCPs). Quality of care was defined as patient reported outcome measures, clinical behaviours, and intermediate clinical and physiological measures.\n\nDATA COLLECTION AND ANALYSIS: Two review authors independently extracted data and assessed study quality, in consultation with two other review authors where there was disagreement. For each included study, we reported the estimated effect sizes and confidence intervals.\n\nMAIN RESULTS: Seven studies were included in this review. Three of the studies eval\u2026", "author" : [ { "dropping-particle" : "", "family" : "Scott", "given" : "Anthony", "non-dropping-particle" : "", "parse-names" : false, "suffix" : "" }, { "dropping-particle" : "", "family" : "Sivey", "given" : "Peter", "non-dropping-particle" : "", "parse-names" : false, "suffix" : "" }, { "dropping-particle" : "", "family" : "Ait Ouakrim", "given" : "Driss", "non-dropping-particle" : "", "parse-names" : false, "suffix" : "" }, { "dropping-particle" : "", "family" : "Willenberg", "given" : "Lisa", "non-dropping-particle" : "", "parse-names" : false, "suffix" : "" }, { "dropping-particle" : "", "family" : "Naccarella", "given" : "Lucio", "non-dropping-particle" : "", "parse-names" : false, "suffix" : "" }, { "dropping-particle" : "", "family" : "Furler", "given" : "John", "non-dropping-particle" : "", "parse-names" : false, "suffix" : "" }, { "dropping-particle" : "", "family" : "Young", "given" : "Doris", "non-dropping-particle" : "", "parse-names" : false, "suffix" : "" } ], "container-title" : "The Cochrane database of systematic reviews", "id" : "ITEM-1", "issue" : "9", "issued" : { "date-parts" : [ [ "2011", "1" ] ] }, "page" : "CD008451", "title" : "The effect of financial incentives on the quality of health care provided by primary care physicians.", "type" : "article-journal" }, "uris" : [ "http://www.mendeley.com/documents/?uuid=342cbffb-5d41-4981-bda1-038362ca2df6" ] } ], "mendeley" : { "previouslyFormattedCitation" : "&lt;sup&gt;24&lt;/sup&gt;" }, "properties" : { "noteIndex" : 0 }, "schema" : "https://github.com/citation-style-language/schema/raw/master/csl-citation.json" }</w:instrText>
      </w:r>
      <w:r w:rsidR="00B15B0A">
        <w:rPr>
          <w:rFonts w:eastAsiaTheme="minorHAnsi"/>
          <w:vertAlign w:val="superscript"/>
        </w:rPr>
        <w:fldChar w:fldCharType="separate"/>
      </w:r>
      <w:r w:rsidR="00113335" w:rsidRPr="00113335">
        <w:rPr>
          <w:rFonts w:eastAsiaTheme="minorHAnsi"/>
          <w:noProof/>
          <w:vertAlign w:val="superscript"/>
        </w:rPr>
        <w:t>24</w:t>
      </w:r>
      <w:r w:rsidR="00B15B0A">
        <w:rPr>
          <w:rFonts w:eastAsiaTheme="minorHAnsi"/>
          <w:vertAlign w:val="superscript"/>
        </w:rPr>
        <w:fldChar w:fldCharType="end"/>
      </w:r>
    </w:p>
    <w:p w14:paraId="7032995A" w14:textId="77777777" w:rsidR="004C5D02" w:rsidRDefault="00BC3520" w:rsidP="004C5D02">
      <w:r>
        <w:lastRenderedPageBreak/>
        <w:t xml:space="preserve">Australia’s </w:t>
      </w:r>
      <w:r w:rsidR="004C5D02">
        <w:t>Coordinated Care for Diabetes Health Reform measure was originally announced in March 2010, with funding of $449.2 million over four years allocated in the 2010</w:t>
      </w:r>
      <w:r w:rsidR="004B1DD3">
        <w:t>–</w:t>
      </w:r>
      <w:r w:rsidR="00FF24D9">
        <w:t>11 Budget.</w:t>
      </w:r>
      <w:r w:rsidR="004C5D02">
        <w:t xml:space="preserve"> It was intended to fund the flexible delivery of primary health care services through general practice for the treatment and ongoing management of people with diabetes who voluntarily enrolled with their general practice.</w:t>
      </w:r>
    </w:p>
    <w:p w14:paraId="60320203" w14:textId="77777777" w:rsidR="004C5D02" w:rsidRDefault="004C5D02" w:rsidP="004C5D02">
      <w:r>
        <w:t>Following this announcement, a range of concerns were raised by stakeholder groups such as the Australian Medical Association (AMA) and the Royal Australian College of General Practitioners (RACGP), in both media commentary and informal stakeholder discussions. Key areas of concern included the ‘fundholding’ arrangements (over- and under- expenditure), ‘capitation’ concerns, ‘cherry-picking’ by practices only enrolling the ‘least sick’ patients with diabetes, and the pay-for-performance targets for general practice.</w:t>
      </w:r>
    </w:p>
    <w:p w14:paraId="798411B7" w14:textId="77777777" w:rsidR="004B1DD3" w:rsidRDefault="004B1DD3" w:rsidP="004B1DD3">
      <w:r>
        <w:t>On 12 November 2010, the then Minister for Health and Ageing announced—in response to these stakeholder concerns—that a pilot of the Coordinated Care for Diabetes reform would commence in July 2011. (This</w:t>
      </w:r>
      <w:r w:rsidRPr="00191580">
        <w:t xml:space="preserve"> pilot would subsequently be renamed the Diabetes Care Project</w:t>
      </w:r>
      <w:r>
        <w:t>.)</w:t>
      </w:r>
    </w:p>
    <w:p w14:paraId="5AA89782" w14:textId="77777777" w:rsidR="004C5D02" w:rsidRDefault="004F63E8" w:rsidP="00116AA8">
      <w:r>
        <w:t xml:space="preserve">An open </w:t>
      </w:r>
      <w:r w:rsidR="00E341CA">
        <w:t xml:space="preserve">competitive </w:t>
      </w:r>
      <w:r>
        <w:t xml:space="preserve">Request for Tender </w:t>
      </w:r>
      <w:r w:rsidR="004C5D02" w:rsidRPr="004C5D02">
        <w:t>was undertaken by the Commonwealth</w:t>
      </w:r>
      <w:r>
        <w:t xml:space="preserve"> </w:t>
      </w:r>
      <w:r w:rsidRPr="004C5D02">
        <w:t>on 2 May 2011</w:t>
      </w:r>
      <w:r w:rsidR="004C5D02" w:rsidRPr="004C5D02">
        <w:t xml:space="preserve"> to sele</w:t>
      </w:r>
      <w:r>
        <w:t xml:space="preserve">ct </w:t>
      </w:r>
      <w:r w:rsidR="004150D6">
        <w:t>an organisation</w:t>
      </w:r>
      <w:r>
        <w:t xml:space="preserve"> </w:t>
      </w:r>
      <w:r w:rsidR="004150D6" w:rsidRPr="004C5D02">
        <w:t>to oversee the development, implementation and evaluation of the</w:t>
      </w:r>
      <w:r w:rsidR="004150D6">
        <w:t xml:space="preserve"> pilot. I</w:t>
      </w:r>
      <w:r w:rsidR="004C5D02" w:rsidRPr="004C5D02">
        <w:t xml:space="preserve">nternational consulting firm McKinsey </w:t>
      </w:r>
      <w:r>
        <w:t>&amp;</w:t>
      </w:r>
      <w:r w:rsidR="004C5D02" w:rsidRPr="004C5D02">
        <w:t xml:space="preserve"> Company (McKinsey)</w:t>
      </w:r>
      <w:r w:rsidR="004150D6">
        <w:t xml:space="preserve"> was</w:t>
      </w:r>
      <w:r w:rsidR="004C5D02" w:rsidRPr="004C5D02">
        <w:t xml:space="preserve"> announced as the successful tender</w:t>
      </w:r>
      <w:r>
        <w:t>er</w:t>
      </w:r>
      <w:r w:rsidR="004C5D02" w:rsidRPr="004C5D02">
        <w:t xml:space="preserve"> on 29</w:t>
      </w:r>
      <w:r w:rsidR="007800C4">
        <w:t> </w:t>
      </w:r>
      <w:r w:rsidR="004C5D02" w:rsidRPr="004C5D02">
        <w:t>June 2011</w:t>
      </w:r>
      <w:r w:rsidR="004150D6">
        <w:t>.</w:t>
      </w:r>
      <w:r w:rsidR="004C5D02" w:rsidRPr="004C5D02">
        <w:t xml:space="preserve"> McKinsey formed a consortium with a range of organisations listed below:</w:t>
      </w:r>
    </w:p>
    <w:p w14:paraId="10C94426" w14:textId="77777777" w:rsidR="004179DA" w:rsidRPr="00F36A0F" w:rsidRDefault="004179DA" w:rsidP="00116AA8">
      <w:pPr>
        <w:pStyle w:val="01squarebullet"/>
      </w:pPr>
      <w:r w:rsidRPr="00F36A0F">
        <w:t xml:space="preserve">Australian Institute of Health and Welfare </w:t>
      </w:r>
    </w:p>
    <w:p w14:paraId="14482B31" w14:textId="77777777" w:rsidR="004179DA" w:rsidRPr="00F36A0F" w:rsidRDefault="004179DA" w:rsidP="00116AA8">
      <w:pPr>
        <w:pStyle w:val="01squarebullet"/>
      </w:pPr>
      <w:r w:rsidRPr="00F36A0F">
        <w:t xml:space="preserve">Baker IDI </w:t>
      </w:r>
      <w:r w:rsidR="00E11840">
        <w:t>Heart and Diabetes Institute</w:t>
      </w:r>
    </w:p>
    <w:p w14:paraId="2FADB1EC" w14:textId="77777777" w:rsidR="004179DA" w:rsidRPr="00F36A0F" w:rsidRDefault="004179DA" w:rsidP="00116AA8">
      <w:pPr>
        <w:pStyle w:val="01squarebullet"/>
      </w:pPr>
      <w:r w:rsidRPr="00F36A0F">
        <w:t>CheckUp</w:t>
      </w:r>
    </w:p>
    <w:p w14:paraId="358F6A46" w14:textId="77777777" w:rsidR="004179DA" w:rsidRPr="00F36A0F" w:rsidRDefault="004179DA" w:rsidP="00212231">
      <w:pPr>
        <w:pStyle w:val="01squarebullet"/>
      </w:pPr>
      <w:r w:rsidRPr="00F36A0F">
        <w:t xml:space="preserve">Darling Downs - South West Queensland Medicare Local </w:t>
      </w:r>
      <w:r w:rsidR="00BE299E">
        <w:t>Ltd</w:t>
      </w:r>
      <w:r w:rsidR="00212231">
        <w:t xml:space="preserve"> (formerly </w:t>
      </w:r>
      <w:r w:rsidR="00212231" w:rsidRPr="00212231">
        <w:t>Queensland Toowoomba &amp; District Division</w:t>
      </w:r>
      <w:r w:rsidR="00212231">
        <w:t xml:space="preserve"> of General Practice)</w:t>
      </w:r>
    </w:p>
    <w:p w14:paraId="59ECDA77" w14:textId="77777777" w:rsidR="004179DA" w:rsidRPr="00F36A0F" w:rsidRDefault="004179DA" w:rsidP="00116AA8">
      <w:pPr>
        <w:pStyle w:val="01squarebullet"/>
      </w:pPr>
      <w:r w:rsidRPr="00F36A0F">
        <w:t xml:space="preserve">Department of Health (Victoria) </w:t>
      </w:r>
    </w:p>
    <w:p w14:paraId="6E85FBAB" w14:textId="77777777" w:rsidR="004179DA" w:rsidRDefault="004179DA" w:rsidP="00116AA8">
      <w:pPr>
        <w:pStyle w:val="01squarebullet"/>
      </w:pPr>
      <w:r w:rsidRPr="00F36A0F">
        <w:t>Diabetes Australia Queensland</w:t>
      </w:r>
    </w:p>
    <w:p w14:paraId="2514B34D" w14:textId="77777777" w:rsidR="00BE299E" w:rsidRPr="00F36A0F" w:rsidRDefault="00BE299E" w:rsidP="00116AA8">
      <w:pPr>
        <w:pStyle w:val="01squarebullet"/>
      </w:pPr>
      <w:r>
        <w:t>General Practice Queensland (GPQ)</w:t>
      </w:r>
      <w:r w:rsidR="001F3CE2">
        <w:t xml:space="preserve"> </w:t>
      </w:r>
    </w:p>
    <w:p w14:paraId="262F6545" w14:textId="77777777" w:rsidR="004179DA" w:rsidRPr="00F36A0F" w:rsidRDefault="004179DA" w:rsidP="00116AA8">
      <w:pPr>
        <w:pStyle w:val="01squarebullet"/>
      </w:pPr>
      <w:r w:rsidRPr="00F36A0F">
        <w:t>Gold Coast Medicare Local</w:t>
      </w:r>
      <w:r w:rsidR="00212231">
        <w:t xml:space="preserve"> (formerly General Practice Gold Coast; also took over contract with Ipswich and West Moreton Division of General Practice).</w:t>
      </w:r>
    </w:p>
    <w:p w14:paraId="034CC8CF" w14:textId="77777777" w:rsidR="004179DA" w:rsidRPr="00A91E1A" w:rsidRDefault="004179DA" w:rsidP="00116AA8">
      <w:pPr>
        <w:pStyle w:val="01squarebullet"/>
      </w:pPr>
      <w:r w:rsidRPr="00A91E1A">
        <w:t xml:space="preserve">Healthfirst </w:t>
      </w:r>
      <w:r w:rsidR="00053A0A" w:rsidRPr="00DA6CB0">
        <w:t>Network</w:t>
      </w:r>
      <w:r w:rsidR="004748A4" w:rsidRPr="00DA6CB0">
        <w:t xml:space="preserve"> (</w:t>
      </w:r>
      <w:r w:rsidR="00212231">
        <w:t>trading name for</w:t>
      </w:r>
      <w:r w:rsidR="004748A4" w:rsidRPr="00DA6CB0">
        <w:t xml:space="preserve"> Adelaide Western General Practice Network Inc)</w:t>
      </w:r>
    </w:p>
    <w:p w14:paraId="33C05E47" w14:textId="77777777" w:rsidR="004179DA" w:rsidRPr="00A91E1A" w:rsidRDefault="004179DA" w:rsidP="00116AA8">
      <w:pPr>
        <w:pStyle w:val="01squarebullet"/>
      </w:pPr>
      <w:r w:rsidRPr="00A91E1A">
        <w:t xml:space="preserve">Infiniti Health Solutions Ltd </w:t>
      </w:r>
    </w:p>
    <w:p w14:paraId="75EDA2A8" w14:textId="77777777" w:rsidR="004179DA" w:rsidRPr="00A91E1A" w:rsidRDefault="004179DA" w:rsidP="00116AA8">
      <w:pPr>
        <w:pStyle w:val="01squarebullet"/>
      </w:pPr>
      <w:r w:rsidRPr="00333755">
        <w:t>Networking Health Victoria</w:t>
      </w:r>
      <w:r w:rsidR="00313272" w:rsidRPr="00DA6CB0">
        <w:t xml:space="preserve"> (formerly General Practice Victoria)</w:t>
      </w:r>
    </w:p>
    <w:p w14:paraId="38860835" w14:textId="77777777" w:rsidR="004179DA" w:rsidRPr="00F36A0F" w:rsidRDefault="004179DA" w:rsidP="00116AA8">
      <w:pPr>
        <w:pStyle w:val="01squarebullet"/>
      </w:pPr>
      <w:r w:rsidRPr="00F36A0F">
        <w:t xml:space="preserve">Precedence Health Care Pty Ltd </w:t>
      </w:r>
    </w:p>
    <w:p w14:paraId="08F5B8CB" w14:textId="77777777" w:rsidR="004179DA" w:rsidRPr="00F36A0F" w:rsidRDefault="004179DA" w:rsidP="00116AA8">
      <w:pPr>
        <w:pStyle w:val="01squarebullet"/>
      </w:pPr>
      <w:r w:rsidRPr="00F36A0F">
        <w:t xml:space="preserve">Queensland Department of Health </w:t>
      </w:r>
    </w:p>
    <w:p w14:paraId="55BEE790" w14:textId="77777777" w:rsidR="004179DA" w:rsidRPr="00F36A0F" w:rsidRDefault="004179DA" w:rsidP="00116AA8">
      <w:pPr>
        <w:pStyle w:val="01squarebullet"/>
      </w:pPr>
      <w:r w:rsidRPr="00F36A0F">
        <w:t xml:space="preserve">SA Health </w:t>
      </w:r>
    </w:p>
    <w:p w14:paraId="17C65269" w14:textId="77777777" w:rsidR="004179DA" w:rsidRPr="00F36A0F" w:rsidRDefault="004179DA" w:rsidP="00116AA8">
      <w:pPr>
        <w:pStyle w:val="01squarebullet"/>
      </w:pPr>
      <w:r w:rsidRPr="00F36A0F">
        <w:lastRenderedPageBreak/>
        <w:t xml:space="preserve">The University of Melbourne </w:t>
      </w:r>
    </w:p>
    <w:p w14:paraId="2E544A7B" w14:textId="77777777" w:rsidR="004179DA" w:rsidRPr="00F36A0F" w:rsidRDefault="004179DA" w:rsidP="00116AA8">
      <w:pPr>
        <w:pStyle w:val="01squarebullet"/>
      </w:pPr>
      <w:r w:rsidRPr="00F36A0F">
        <w:t xml:space="preserve">The University of New South Wales </w:t>
      </w:r>
    </w:p>
    <w:p w14:paraId="72BA1D55" w14:textId="77777777" w:rsidR="004179DA" w:rsidRPr="00F36A0F" w:rsidRDefault="004179DA" w:rsidP="00116AA8">
      <w:pPr>
        <w:pStyle w:val="01squarebullet"/>
      </w:pPr>
      <w:r w:rsidRPr="00F36A0F">
        <w:t xml:space="preserve">The University of South Australia </w:t>
      </w:r>
    </w:p>
    <w:p w14:paraId="69043F1C" w14:textId="77777777" w:rsidR="004179DA" w:rsidRPr="00F36A0F" w:rsidRDefault="004179DA" w:rsidP="00116AA8">
      <w:pPr>
        <w:pStyle w:val="01squarebullet"/>
      </w:pPr>
      <w:r w:rsidRPr="00F36A0F">
        <w:t xml:space="preserve">Wide Bay Medicare Local Ltd </w:t>
      </w:r>
      <w:r w:rsidR="00BE299E">
        <w:t>(formerly GP Links Wide Bay Ltd)</w:t>
      </w:r>
    </w:p>
    <w:p w14:paraId="62F6117A" w14:textId="77777777" w:rsidR="004179DA" w:rsidRPr="00F36A0F" w:rsidRDefault="004179DA" w:rsidP="00116AA8">
      <w:pPr>
        <w:pStyle w:val="01squarebullet"/>
      </w:pPr>
      <w:r w:rsidRPr="00F36A0F">
        <w:t>Workstar Pty Ltd</w:t>
      </w:r>
    </w:p>
    <w:p w14:paraId="15095C46" w14:textId="77777777" w:rsidR="004179DA" w:rsidRPr="00F36A0F" w:rsidRDefault="004179DA" w:rsidP="00116AA8">
      <w:r w:rsidRPr="00F36A0F">
        <w:t>During 2011</w:t>
      </w:r>
      <w:r w:rsidR="004B1DD3">
        <w:t>–</w:t>
      </w:r>
      <w:r w:rsidRPr="00F36A0F">
        <w:t xml:space="preserve">12, a broad set of stakeholders from across the health system designed the DCP to test the NHHRC recommendations, as well as other potential changes in the provision of integrated care. </w:t>
      </w:r>
      <w:r w:rsidR="00D4406B">
        <w:t>A</w:t>
      </w:r>
      <w:r w:rsidR="007800C4">
        <w:t> </w:t>
      </w:r>
      <w:r w:rsidRPr="00F36A0F">
        <w:t>Diabetes Advisory Group</w:t>
      </w:r>
      <w:r w:rsidR="00BC5BB8">
        <w:t xml:space="preserve"> (DAG)</w:t>
      </w:r>
      <w:r w:rsidRPr="00F36A0F">
        <w:t xml:space="preserve"> was </w:t>
      </w:r>
      <w:r w:rsidR="00BC5BB8">
        <w:t>appointed</w:t>
      </w:r>
      <w:r w:rsidR="00BC5BB8" w:rsidRPr="00F36A0F">
        <w:t xml:space="preserve"> </w:t>
      </w:r>
      <w:r w:rsidRPr="00F36A0F">
        <w:t xml:space="preserve">by the </w:t>
      </w:r>
      <w:r w:rsidR="004B1DD3">
        <w:t>Commonwealth</w:t>
      </w:r>
      <w:r w:rsidRPr="00F36A0F">
        <w:t xml:space="preserve"> to inform </w:t>
      </w:r>
      <w:r w:rsidR="00BC5BB8">
        <w:t>the design, implementation and evaluation of the project</w:t>
      </w:r>
      <w:r w:rsidRPr="00F36A0F">
        <w:t xml:space="preserve">. </w:t>
      </w:r>
      <w:r w:rsidR="00E341CA">
        <w:t>The</w:t>
      </w:r>
      <w:r w:rsidR="00E341CA" w:rsidRPr="00F36A0F">
        <w:t xml:space="preserve"> </w:t>
      </w:r>
      <w:r w:rsidRPr="00F36A0F">
        <w:t xml:space="preserve">group </w:t>
      </w:r>
      <w:r w:rsidR="00E341CA" w:rsidRPr="00F36A0F">
        <w:t>include</w:t>
      </w:r>
      <w:r w:rsidR="00E341CA">
        <w:t>d</w:t>
      </w:r>
      <w:r w:rsidR="00E341CA" w:rsidRPr="00F36A0F">
        <w:t xml:space="preserve"> </w:t>
      </w:r>
      <w:r w:rsidRPr="00F36A0F">
        <w:t xml:space="preserve">government, clinician, patient and academic stakeholders and </w:t>
      </w:r>
      <w:r w:rsidR="00E341CA" w:rsidRPr="00F36A0F">
        <w:t>focuse</w:t>
      </w:r>
      <w:r w:rsidR="00E341CA">
        <w:t>d</w:t>
      </w:r>
      <w:r w:rsidR="00E341CA" w:rsidRPr="00F36A0F">
        <w:t xml:space="preserve"> </w:t>
      </w:r>
      <w:r w:rsidRPr="00F36A0F">
        <w:t xml:space="preserve">on improving integrated care for Australians living with diabetes. The </w:t>
      </w:r>
      <w:r w:rsidR="00E341CA">
        <w:t>DAG</w:t>
      </w:r>
      <w:r w:rsidRPr="00F36A0F">
        <w:t xml:space="preserve"> </w:t>
      </w:r>
      <w:r w:rsidR="005647D8">
        <w:t>was</w:t>
      </w:r>
      <w:r w:rsidR="005647D8" w:rsidRPr="00F36A0F">
        <w:t xml:space="preserve"> </w:t>
      </w:r>
      <w:r w:rsidRPr="00F36A0F">
        <w:t xml:space="preserve">chaired by the Department of Health's Chief Medical Officer and </w:t>
      </w:r>
      <w:r w:rsidR="005647D8">
        <w:t xml:space="preserve">consisted of members from a broad range of stakeholder groups </w:t>
      </w:r>
      <w:r w:rsidR="004B1DD3">
        <w:t>(</w:t>
      </w:r>
      <w:r w:rsidR="005647D8" w:rsidRPr="00203517">
        <w:t xml:space="preserve">outlined in </w:t>
      </w:r>
      <w:r w:rsidR="005647D8" w:rsidRPr="00FD2578">
        <w:t xml:space="preserve">Appendix </w:t>
      </w:r>
      <w:r w:rsidR="00203517" w:rsidRPr="00203517">
        <w:t>6</w:t>
      </w:r>
      <w:r w:rsidR="004B1DD3">
        <w:t>)</w:t>
      </w:r>
      <w:r w:rsidR="005647D8" w:rsidRPr="00203517">
        <w:t>.</w:t>
      </w:r>
    </w:p>
    <w:p w14:paraId="2325B2F0" w14:textId="77777777" w:rsidR="00116AA8" w:rsidRDefault="004179DA" w:rsidP="00116AA8">
      <w:r w:rsidRPr="00F36A0F">
        <w:t xml:space="preserve">In addition to the </w:t>
      </w:r>
      <w:r w:rsidR="005647D8">
        <w:t>DAG</w:t>
      </w:r>
      <w:r w:rsidR="00DB17E8">
        <w:t>, local reference groups—</w:t>
      </w:r>
      <w:r w:rsidRPr="00F36A0F">
        <w:t>which included both clin</w:t>
      </w:r>
      <w:r w:rsidR="00DB17E8">
        <w:t>icians and people with diabetes—</w:t>
      </w:r>
      <w:r w:rsidR="005647D8">
        <w:t xml:space="preserve">were </w:t>
      </w:r>
      <w:r w:rsidRPr="00F36A0F">
        <w:t xml:space="preserve">consulted on the detailed design of the </w:t>
      </w:r>
      <w:r w:rsidR="00CF0EC4" w:rsidRPr="00F36A0F">
        <w:t>DCP</w:t>
      </w:r>
      <w:r w:rsidR="00CF0EC4">
        <w:t>’</w:t>
      </w:r>
      <w:r w:rsidR="00CF0EC4" w:rsidRPr="00F36A0F">
        <w:t xml:space="preserve">s </w:t>
      </w:r>
      <w:r w:rsidRPr="00F36A0F">
        <w:t>models of care, including evaluation of different IT care planning tools</w:t>
      </w:r>
      <w:r w:rsidR="00CF0EC4">
        <w:t>.</w:t>
      </w:r>
      <w:r w:rsidRPr="00F36A0F">
        <w:t xml:space="preserve"> (</w:t>
      </w:r>
      <w:r w:rsidR="00CF0EC4">
        <w:t>A</w:t>
      </w:r>
      <w:r w:rsidR="00CF0EC4" w:rsidRPr="00F36A0F">
        <w:t xml:space="preserve">n </w:t>
      </w:r>
      <w:r w:rsidRPr="00F36A0F">
        <w:t>IT reference group</w:t>
      </w:r>
      <w:r w:rsidR="00CF0EC4">
        <w:t>, for example,</w:t>
      </w:r>
      <w:r w:rsidRPr="00F36A0F">
        <w:t xml:space="preserve"> involved around 20 clinicians and other practice staff</w:t>
      </w:r>
      <w:r w:rsidR="00CF0EC4" w:rsidRPr="00F36A0F">
        <w:t>.</w:t>
      </w:r>
      <w:r w:rsidRPr="00F36A0F">
        <w:t>) During August and September 2011, six local reference group workshops were held across Queensland and South Australia with health providers and consumers, including (but not limited to) GPs, dieti</w:t>
      </w:r>
      <w:r w:rsidR="009D66A5">
        <w:t>t</w:t>
      </w:r>
      <w:r w:rsidRPr="00F36A0F">
        <w:t>ians, pharmacists, practice nurses</w:t>
      </w:r>
      <w:r w:rsidR="00771FC0">
        <w:t>,</w:t>
      </w:r>
      <w:r w:rsidRPr="00F36A0F">
        <w:t xml:space="preserve"> endocrinologists, mental health workers, podiatrists, exercise physiologists, and people with diabetes. The local reference groups provided perspectives from the </w:t>
      </w:r>
      <w:r w:rsidR="00771FC0">
        <w:t>‘</w:t>
      </w:r>
      <w:r w:rsidRPr="00F36A0F">
        <w:t>front line</w:t>
      </w:r>
      <w:r w:rsidR="00771FC0">
        <w:t>’</w:t>
      </w:r>
      <w:r w:rsidRPr="00F36A0F">
        <w:t xml:space="preserve"> of primary care to assist in defining the new care pathways that would be tested as part of the DCP. </w:t>
      </w:r>
    </w:p>
    <w:p w14:paraId="784E5BEE" w14:textId="77777777" w:rsidR="00A05CA8" w:rsidRDefault="00A05CA8" w:rsidP="00116AA8">
      <w:r>
        <w:t xml:space="preserve">Eight </w:t>
      </w:r>
      <w:r w:rsidR="00104D38">
        <w:t xml:space="preserve">areas of evaluation were defined </w:t>
      </w:r>
      <w:r w:rsidR="00203517">
        <w:t xml:space="preserve">by the Department of Health </w:t>
      </w:r>
      <w:r w:rsidR="00104D38">
        <w:t xml:space="preserve">for the </w:t>
      </w:r>
      <w:r w:rsidR="006319D4">
        <w:t>pilot</w:t>
      </w:r>
      <w:r w:rsidR="00104D38">
        <w:t>:</w:t>
      </w:r>
    </w:p>
    <w:p w14:paraId="7129A2E2" w14:textId="77777777" w:rsidR="00104D38" w:rsidRDefault="00104D38" w:rsidP="00DA6CB0">
      <w:pPr>
        <w:pStyle w:val="05number1"/>
        <w:numPr>
          <w:ilvl w:val="0"/>
          <w:numId w:val="44"/>
        </w:numPr>
      </w:pPr>
      <w:r>
        <w:t>The quality of diabetes care provided to enrolled patients;</w:t>
      </w:r>
    </w:p>
    <w:p w14:paraId="655AA7D1" w14:textId="77777777" w:rsidR="00104D38" w:rsidRDefault="00104D38" w:rsidP="00DA6CB0">
      <w:pPr>
        <w:pStyle w:val="05number1"/>
      </w:pPr>
      <w:r>
        <w:t>The level of flexibility offered by the new funding arrangements in supporting the delivery of diabetes services and development of new ways to provide innovative, patient-centred care that is appropriately tailored to the needs of individual patients;</w:t>
      </w:r>
    </w:p>
    <w:p w14:paraId="61E4F688" w14:textId="77777777" w:rsidR="00104D38" w:rsidRDefault="00104D38" w:rsidP="00DA6CB0">
      <w:pPr>
        <w:pStyle w:val="05number1"/>
      </w:pPr>
      <w:r>
        <w:t xml:space="preserve">The impact of flexible funding arrangements on the affordability of care for patients (i.e. </w:t>
      </w:r>
      <w:r w:rsidR="00CF0EC4">
        <w:t>out-of-</w:t>
      </w:r>
      <w:r>
        <w:t>pocket expenses);</w:t>
      </w:r>
    </w:p>
    <w:p w14:paraId="27D2B80B" w14:textId="77777777" w:rsidR="00104D38" w:rsidRDefault="00104D38" w:rsidP="00DA6CB0">
      <w:pPr>
        <w:pStyle w:val="05number1"/>
      </w:pPr>
      <w:r>
        <w:t>The impact of flexible funding arrangements on the quality of care coordination, and the level of</w:t>
      </w:r>
      <w:r w:rsidR="001B4C77">
        <w:t> </w:t>
      </w:r>
      <w:r>
        <w:t>collaboration and interactions across the multidisciplinary team;</w:t>
      </w:r>
    </w:p>
    <w:p w14:paraId="59EB4268" w14:textId="77777777" w:rsidR="00104D38" w:rsidRDefault="00104D38" w:rsidP="00DA6CB0">
      <w:pPr>
        <w:pStyle w:val="05number1"/>
      </w:pPr>
      <w:r>
        <w:t xml:space="preserve">The impact of </w:t>
      </w:r>
      <w:r w:rsidR="00CF0EC4">
        <w:t>pay-for-</w:t>
      </w:r>
      <w:r>
        <w:t>performance incentives on the quality of diabetes care, as measured against key process and intermediate clinical indicators;</w:t>
      </w:r>
    </w:p>
    <w:p w14:paraId="315F6367" w14:textId="77777777" w:rsidR="00104D38" w:rsidRDefault="00104D38" w:rsidP="00DA6CB0">
      <w:pPr>
        <w:pStyle w:val="05number1"/>
      </w:pPr>
      <w:r>
        <w:t xml:space="preserve">The impact of </w:t>
      </w:r>
      <w:r w:rsidR="00CF0EC4">
        <w:t>pay-for-performance</w:t>
      </w:r>
      <w:r>
        <w:t xml:space="preserve"> incentives on the recording of information on diabetes care provided for enrolled patients;</w:t>
      </w:r>
    </w:p>
    <w:p w14:paraId="3375352B" w14:textId="77777777" w:rsidR="00104D38" w:rsidRDefault="00104D38" w:rsidP="00DA6CB0">
      <w:pPr>
        <w:pStyle w:val="05number1"/>
      </w:pPr>
      <w:r>
        <w:lastRenderedPageBreak/>
        <w:t>The impact of voluntary patient enrolment on continuity and coordination of care, and client satisfaction with their care;</w:t>
      </w:r>
    </w:p>
    <w:p w14:paraId="328588CA" w14:textId="77777777" w:rsidR="00104D38" w:rsidRPr="00F36A0F" w:rsidRDefault="00104D38" w:rsidP="00DA6CB0">
      <w:pPr>
        <w:pStyle w:val="05number1"/>
      </w:pPr>
      <w:r>
        <w:t>The sustainability of the payment types and levels under any future wider rollout of the Pilot.</w:t>
      </w:r>
    </w:p>
    <w:p w14:paraId="47DD82E0" w14:textId="77777777" w:rsidR="004179DA" w:rsidRPr="00F36A0F" w:rsidRDefault="004179DA" w:rsidP="00116AA8">
      <w:pPr>
        <w:pStyle w:val="20major"/>
      </w:pPr>
      <w:bookmarkStart w:id="8" w:name="_Toc419905883"/>
      <w:r w:rsidRPr="00F36A0F">
        <w:t xml:space="preserve">2.2 DCP </w:t>
      </w:r>
      <w:r w:rsidR="00ED0D02">
        <w:t>I</w:t>
      </w:r>
      <w:r w:rsidR="00A91E1A" w:rsidRPr="00F36A0F">
        <w:t>nterventions</w:t>
      </w:r>
      <w:bookmarkEnd w:id="8"/>
    </w:p>
    <w:p w14:paraId="17F2AEE2" w14:textId="77777777" w:rsidR="004179DA" w:rsidRPr="00F36A0F" w:rsidRDefault="004179DA" w:rsidP="00116AA8">
      <w:r w:rsidRPr="00F36A0F">
        <w:t xml:space="preserve">The DCP was designed to test the impact of two different models of care (in comparison with usual care) on clinical quality and patient and provider experience (Figure </w:t>
      </w:r>
      <w:r w:rsidR="00115504">
        <w:t>5</w:t>
      </w:r>
      <w:r w:rsidRPr="00F36A0F">
        <w:t xml:space="preserve">). These models of care were designed to evaluate changes that the NHHRC and the </w:t>
      </w:r>
      <w:r w:rsidR="00E341CA">
        <w:t>DAG</w:t>
      </w:r>
      <w:r w:rsidRPr="00F36A0F">
        <w:t xml:space="preserve"> identified as having the potential to improve the way care is organised and delivered. Group 1 tested improvements that could be made within the current funding model</w:t>
      </w:r>
      <w:r w:rsidR="00CF0EC4">
        <w:t>—</w:t>
      </w:r>
      <w:r w:rsidRPr="00F36A0F">
        <w:t xml:space="preserve">specifically adopting an integrated information platform and continuous quality improvement processes. Group 2 </w:t>
      </w:r>
      <w:r w:rsidR="004115E0">
        <w:t>tested</w:t>
      </w:r>
      <w:r w:rsidRPr="00F36A0F">
        <w:t xml:space="preserve"> the same components as Group 1,</w:t>
      </w:r>
      <w:r w:rsidR="00BF4C96">
        <w:t xml:space="preserve"> </w:t>
      </w:r>
      <w:r w:rsidRPr="00F36A0F">
        <w:t xml:space="preserve">as well as flexible funding based on risk stratification, payments for quality and funding for care facilitation. </w:t>
      </w:r>
    </w:p>
    <w:p w14:paraId="542BCFF8" w14:textId="77777777" w:rsidR="004179DA" w:rsidRPr="00F36A0F" w:rsidRDefault="004179DA" w:rsidP="00116AA8">
      <w:r w:rsidRPr="00F36A0F">
        <w:t xml:space="preserve">In total, five major changes were tested across the two groups, the details of which are described </w:t>
      </w:r>
      <w:r w:rsidR="004115E0">
        <w:t>in the following sections</w:t>
      </w:r>
      <w:r w:rsidRPr="00F36A0F">
        <w:t>:</w:t>
      </w:r>
    </w:p>
    <w:p w14:paraId="2FD63BF4" w14:textId="77777777" w:rsidR="004179DA" w:rsidRPr="00F36A0F" w:rsidRDefault="004179DA" w:rsidP="00116AA8">
      <w:pPr>
        <w:pStyle w:val="01squarebullet"/>
      </w:pPr>
      <w:r w:rsidRPr="00F36A0F">
        <w:t xml:space="preserve">2.2.1. </w:t>
      </w:r>
      <w:r w:rsidR="00DB17E8">
        <w:t>I</w:t>
      </w:r>
      <w:r w:rsidRPr="00F36A0F">
        <w:t>ntegrated information platform</w:t>
      </w:r>
    </w:p>
    <w:p w14:paraId="48C6D7D5" w14:textId="77777777" w:rsidR="004179DA" w:rsidRPr="00F36A0F" w:rsidRDefault="004179DA" w:rsidP="00116AA8">
      <w:pPr>
        <w:pStyle w:val="01squarebullet"/>
      </w:pPr>
      <w:r w:rsidRPr="00F36A0F">
        <w:t>2.2.2. Continuous quality improvement processes</w:t>
      </w:r>
    </w:p>
    <w:p w14:paraId="0F52D834" w14:textId="77777777" w:rsidR="004179DA" w:rsidRPr="00F36A0F" w:rsidRDefault="004179DA" w:rsidP="00116AA8">
      <w:pPr>
        <w:pStyle w:val="01squarebullet"/>
      </w:pPr>
      <w:r w:rsidRPr="00F36A0F">
        <w:t>2.2.3. Flexible funding based on risk stratification</w:t>
      </w:r>
    </w:p>
    <w:p w14:paraId="783D03DA" w14:textId="77777777" w:rsidR="004179DA" w:rsidRPr="00F36A0F" w:rsidRDefault="004179DA" w:rsidP="00116AA8">
      <w:pPr>
        <w:pStyle w:val="01squarebullet"/>
      </w:pPr>
      <w:r w:rsidRPr="00F36A0F">
        <w:t xml:space="preserve">2.2.4. Quality improvement support payments (QISP) </w:t>
      </w:r>
    </w:p>
    <w:p w14:paraId="57C9AE8A" w14:textId="77777777" w:rsidR="004179DA" w:rsidRDefault="004179DA" w:rsidP="00116AA8">
      <w:pPr>
        <w:pStyle w:val="01squarebullet"/>
      </w:pPr>
      <w:r w:rsidRPr="00F36A0F">
        <w:t xml:space="preserve">2.2.5. Funding for care facilitation </w:t>
      </w:r>
    </w:p>
    <w:p w14:paraId="6F39D725" w14:textId="77777777" w:rsidR="004115E0" w:rsidRDefault="004115E0">
      <w:pPr>
        <w:pStyle w:val="60exhnormal"/>
        <w:keepNext/>
      </w:pPr>
      <w:r>
        <w:lastRenderedPageBreak/>
        <w:t xml:space="preserve">figure </w:t>
      </w:r>
      <w:r w:rsidR="00811EA3">
        <w:t>5</w:t>
      </w:r>
    </w:p>
    <w:p w14:paraId="18FF9FAE" w14:textId="77777777" w:rsidR="009A2D6A" w:rsidRDefault="009A2D6A" w:rsidP="00F73C26">
      <w:pPr>
        <w:pStyle w:val="60exhnormal"/>
        <w:keepNext/>
        <w:jc w:val="center"/>
      </w:pPr>
      <w:r>
        <w:rPr>
          <w:noProof/>
          <w:lang w:eastAsia="en-AU"/>
        </w:rPr>
        <w:drawing>
          <wp:inline distT="0" distB="0" distL="0" distR="0" wp14:anchorId="52FCB970" wp14:editId="7AC94E4F">
            <wp:extent cx="4906645" cy="3679825"/>
            <wp:effectExtent l="0" t="0" r="8255" b="0"/>
            <wp:docPr id="1" name="Picture 1" descr="Fugure 5 is a list of Intervention groups. The DCP included two intervention groups: Group 1 and Group 2. Group 1 tested the integrated information platform and continuous quality improvement processes. Group 2 tested the integrated information platform, continuous quality improvement processes, flexible funding based on risk stratification, quality improvement support payments and funding for care facili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219D85CB" w14:textId="77777777" w:rsidR="003B6B6F" w:rsidRPr="00F36A0F" w:rsidRDefault="003B6B6F" w:rsidP="003B6B6F">
      <w:pPr>
        <w:pStyle w:val="21minor"/>
        <w:rPr>
          <w:rFonts w:eastAsiaTheme="minorHAnsi"/>
        </w:rPr>
      </w:pPr>
      <w:r w:rsidRPr="00F36A0F">
        <w:rPr>
          <w:rFonts w:eastAsiaTheme="minorHAnsi"/>
        </w:rPr>
        <w:t>2.2.1. Integrated Information Platform</w:t>
      </w:r>
    </w:p>
    <w:p w14:paraId="33227D56" w14:textId="77777777" w:rsidR="003B6B6F" w:rsidRPr="00F36A0F" w:rsidRDefault="003B6B6F" w:rsidP="003B6B6F">
      <w:pPr>
        <w:rPr>
          <w:rFonts w:eastAsiaTheme="minorHAnsi"/>
        </w:rPr>
      </w:pPr>
      <w:r w:rsidRPr="00F36A0F">
        <w:rPr>
          <w:rFonts w:eastAsiaTheme="minorHAnsi"/>
        </w:rPr>
        <w:t>This intervention provided practices with a new IT tool</w:t>
      </w:r>
      <w:r w:rsidR="004158B4" w:rsidRPr="00F36A0F">
        <w:rPr>
          <w:rFonts w:eastAsiaTheme="minorHAnsi"/>
        </w:rPr>
        <w:t>—</w:t>
      </w:r>
      <w:r w:rsidRPr="00F36A0F">
        <w:rPr>
          <w:rFonts w:eastAsiaTheme="minorHAnsi"/>
        </w:rPr>
        <w:t>a modified version of a commercially available product called cdmNet</w:t>
      </w:r>
      <w:r w:rsidR="004158B4" w:rsidRPr="00F36A0F">
        <w:rPr>
          <w:rFonts w:eastAsiaTheme="minorHAnsi"/>
        </w:rPr>
        <w:t>—</w:t>
      </w:r>
      <w:r w:rsidR="00CF2ED4" w:rsidRPr="00F36A0F">
        <w:rPr>
          <w:rFonts w:eastAsiaTheme="minorHAnsi"/>
        </w:rPr>
        <w:t>with</w:t>
      </w:r>
      <w:r w:rsidRPr="00F36A0F">
        <w:rPr>
          <w:rFonts w:eastAsiaTheme="minorHAnsi"/>
        </w:rPr>
        <w:t xml:space="preserve"> nine functionalities t</w:t>
      </w:r>
      <w:r w:rsidR="008F234F">
        <w:rPr>
          <w:rFonts w:eastAsiaTheme="minorHAnsi"/>
        </w:rPr>
        <w:t xml:space="preserve">o support better integrated </w:t>
      </w:r>
      <w:r w:rsidRPr="00F36A0F">
        <w:rPr>
          <w:rFonts w:eastAsiaTheme="minorHAnsi"/>
        </w:rPr>
        <w:t xml:space="preserve">care: </w:t>
      </w:r>
    </w:p>
    <w:p w14:paraId="4D2F15BF" w14:textId="77777777" w:rsidR="009E17F2" w:rsidRPr="00F36A0F" w:rsidRDefault="003B6B6F" w:rsidP="00E0067B">
      <w:pPr>
        <w:pStyle w:val="05number1"/>
        <w:numPr>
          <w:ilvl w:val="0"/>
          <w:numId w:val="38"/>
        </w:numPr>
        <w:rPr>
          <w:rFonts w:eastAsiaTheme="minorHAnsi"/>
        </w:rPr>
      </w:pPr>
      <w:r w:rsidRPr="00F36A0F">
        <w:rPr>
          <w:rFonts w:eastAsiaTheme="minorHAnsi"/>
          <w:b/>
        </w:rPr>
        <w:t>Patient registration</w:t>
      </w:r>
      <w:r w:rsidR="008F234F">
        <w:rPr>
          <w:rFonts w:eastAsiaTheme="minorHAnsi"/>
        </w:rPr>
        <w:t>.</w:t>
      </w:r>
      <w:r w:rsidRPr="00F36A0F">
        <w:rPr>
          <w:rFonts w:eastAsiaTheme="minorHAnsi"/>
        </w:rPr>
        <w:t xml:space="preserve"> </w:t>
      </w:r>
      <w:r w:rsidR="00167B76" w:rsidRPr="00F36A0F">
        <w:rPr>
          <w:rFonts w:eastAsiaTheme="minorHAnsi"/>
        </w:rPr>
        <w:t xml:space="preserve">The IT system maintained a list of all patients registered with a given </w:t>
      </w:r>
      <w:r w:rsidR="009E17F2" w:rsidRPr="00F36A0F">
        <w:rPr>
          <w:rFonts w:eastAsiaTheme="minorHAnsi"/>
        </w:rPr>
        <w:t xml:space="preserve">general practice, along with information about their clinical status and gaps in their clinical care. </w:t>
      </w:r>
    </w:p>
    <w:p w14:paraId="2262217F" w14:textId="77777777" w:rsidR="00031FF3" w:rsidRPr="00972AC8" w:rsidRDefault="003B6B6F" w:rsidP="00972AC8">
      <w:pPr>
        <w:pStyle w:val="05number1"/>
        <w:numPr>
          <w:ilvl w:val="0"/>
          <w:numId w:val="38"/>
        </w:numPr>
        <w:rPr>
          <w:rFonts w:eastAsiaTheme="minorHAnsi"/>
        </w:rPr>
      </w:pPr>
      <w:r w:rsidRPr="003C7AEF">
        <w:rPr>
          <w:rFonts w:eastAsiaTheme="minorHAnsi"/>
          <w:b/>
        </w:rPr>
        <w:t>Risk scoring</w:t>
      </w:r>
      <w:r w:rsidR="003C7AEF">
        <w:rPr>
          <w:rFonts w:eastAsiaTheme="minorHAnsi"/>
        </w:rPr>
        <w:t>.</w:t>
      </w:r>
      <w:r w:rsidR="003C7AEF" w:rsidRPr="003C7AEF">
        <w:rPr>
          <w:rFonts w:eastAsiaTheme="minorHAnsi"/>
        </w:rPr>
        <w:t xml:space="preserve"> </w:t>
      </w:r>
      <w:r w:rsidR="00995FFF" w:rsidRPr="003C7AEF">
        <w:rPr>
          <w:rFonts w:eastAsiaTheme="minorHAnsi"/>
        </w:rPr>
        <w:t>When a person registered with the DCP</w:t>
      </w:r>
      <w:r w:rsidR="00337341">
        <w:rPr>
          <w:rFonts w:eastAsiaTheme="minorHAnsi"/>
        </w:rPr>
        <w:t>,</w:t>
      </w:r>
      <w:r w:rsidR="00995FFF" w:rsidRPr="003C7AEF">
        <w:rPr>
          <w:rFonts w:eastAsiaTheme="minorHAnsi"/>
        </w:rPr>
        <w:t xml:space="preserve"> the IT system would ask the person</w:t>
      </w:r>
      <w:r w:rsidR="00FC56B1" w:rsidRPr="003C7AEF">
        <w:rPr>
          <w:rFonts w:eastAsiaTheme="minorHAnsi"/>
        </w:rPr>
        <w:t>’</w:t>
      </w:r>
      <w:r w:rsidR="00995FFF" w:rsidRPr="003C7AEF">
        <w:rPr>
          <w:rFonts w:eastAsiaTheme="minorHAnsi"/>
        </w:rPr>
        <w:t xml:space="preserve">s </w:t>
      </w:r>
      <w:r w:rsidR="00FC56B1" w:rsidRPr="003C7AEF">
        <w:rPr>
          <w:rFonts w:eastAsiaTheme="minorHAnsi"/>
        </w:rPr>
        <w:t>GP</w:t>
      </w:r>
      <w:r w:rsidR="00995FFF" w:rsidRPr="00355DD2">
        <w:rPr>
          <w:rFonts w:eastAsiaTheme="minorHAnsi"/>
        </w:rPr>
        <w:t xml:space="preserve"> to</w:t>
      </w:r>
      <w:r w:rsidR="00E027EA" w:rsidRPr="00972AC8">
        <w:rPr>
          <w:rFonts w:eastAsiaTheme="minorHAnsi"/>
        </w:rPr>
        <w:t> </w:t>
      </w:r>
      <w:r w:rsidR="00995FFF" w:rsidRPr="00972AC8">
        <w:rPr>
          <w:rFonts w:eastAsiaTheme="minorHAnsi"/>
        </w:rPr>
        <w:t xml:space="preserve">confirm their </w:t>
      </w:r>
      <w:r w:rsidR="00031FF3" w:rsidRPr="00972AC8">
        <w:rPr>
          <w:rFonts w:eastAsiaTheme="minorHAnsi"/>
        </w:rPr>
        <w:t>medical history and ensure their clinical results were up to date. This information was then used to automatically assign people to a risk stratification category (</w:t>
      </w:r>
      <w:r w:rsidR="008F234F" w:rsidRPr="00972AC8">
        <w:rPr>
          <w:rFonts w:eastAsiaTheme="minorHAnsi"/>
        </w:rPr>
        <w:t>the risk stratification system is described below</w:t>
      </w:r>
      <w:r w:rsidR="00031FF3" w:rsidRPr="00972AC8">
        <w:rPr>
          <w:rFonts w:eastAsiaTheme="minorHAnsi"/>
        </w:rPr>
        <w:t>)</w:t>
      </w:r>
      <w:r w:rsidR="008F234F" w:rsidRPr="00972AC8">
        <w:rPr>
          <w:rFonts w:eastAsiaTheme="minorHAnsi"/>
        </w:rPr>
        <w:t>.</w:t>
      </w:r>
      <w:r w:rsidR="00FC56B1" w:rsidRPr="00972AC8">
        <w:rPr>
          <w:rFonts w:eastAsiaTheme="minorHAnsi"/>
        </w:rPr>
        <w:t xml:space="preserve"> In G</w:t>
      </w:r>
      <w:r w:rsidR="00031FF3" w:rsidRPr="00972AC8">
        <w:rPr>
          <w:rFonts w:eastAsiaTheme="minorHAnsi"/>
        </w:rPr>
        <w:t>roup 1</w:t>
      </w:r>
      <w:r w:rsidR="008F234F" w:rsidRPr="00972AC8">
        <w:rPr>
          <w:rFonts w:eastAsiaTheme="minorHAnsi"/>
        </w:rPr>
        <w:t>,</w:t>
      </w:r>
      <w:r w:rsidR="00031FF3" w:rsidRPr="00972AC8">
        <w:rPr>
          <w:rFonts w:eastAsiaTheme="minorHAnsi"/>
        </w:rPr>
        <w:t xml:space="preserve"> this information was used for research </w:t>
      </w:r>
      <w:r w:rsidR="003C7AEF" w:rsidRPr="00F36A0F">
        <w:rPr>
          <w:rFonts w:eastAsiaTheme="minorHAnsi"/>
        </w:rPr>
        <w:t>purposes only</w:t>
      </w:r>
      <w:r w:rsidR="003C7AEF">
        <w:rPr>
          <w:rFonts w:eastAsiaTheme="minorHAnsi"/>
        </w:rPr>
        <w:t xml:space="preserve">—specifically, </w:t>
      </w:r>
      <w:r w:rsidR="003C7AEF" w:rsidRPr="00F36A0F">
        <w:rPr>
          <w:rFonts w:eastAsiaTheme="minorHAnsi"/>
        </w:rPr>
        <w:t>to ensure up</w:t>
      </w:r>
      <w:r w:rsidR="003C7AEF">
        <w:rPr>
          <w:rFonts w:eastAsiaTheme="minorHAnsi"/>
        </w:rPr>
        <w:t>-</w:t>
      </w:r>
      <w:r w:rsidR="003C7AEF" w:rsidRPr="00F36A0F">
        <w:rPr>
          <w:rFonts w:eastAsiaTheme="minorHAnsi"/>
        </w:rPr>
        <w:t>to</w:t>
      </w:r>
      <w:r w:rsidR="003C7AEF">
        <w:rPr>
          <w:rFonts w:eastAsiaTheme="minorHAnsi"/>
        </w:rPr>
        <w:t>-</w:t>
      </w:r>
      <w:r w:rsidR="003C7AEF" w:rsidRPr="00F36A0F">
        <w:rPr>
          <w:rFonts w:eastAsiaTheme="minorHAnsi"/>
        </w:rPr>
        <w:t>date clinica</w:t>
      </w:r>
      <w:r w:rsidR="003C7AEF">
        <w:rPr>
          <w:rFonts w:eastAsiaTheme="minorHAnsi"/>
        </w:rPr>
        <w:t xml:space="preserve">l </w:t>
      </w:r>
      <w:r w:rsidR="00031FF3" w:rsidRPr="003C7AEF">
        <w:rPr>
          <w:rFonts w:eastAsiaTheme="minorHAnsi"/>
        </w:rPr>
        <w:t>parameters</w:t>
      </w:r>
      <w:r w:rsidR="00401C59" w:rsidRPr="003C7AEF">
        <w:rPr>
          <w:rFonts w:eastAsiaTheme="minorHAnsi"/>
        </w:rPr>
        <w:t xml:space="preserve"> at the</w:t>
      </w:r>
      <w:r w:rsidR="00401C59" w:rsidRPr="00355DD2">
        <w:rPr>
          <w:rFonts w:eastAsiaTheme="minorHAnsi"/>
        </w:rPr>
        <w:t xml:space="preserve"> start and end of the trial</w:t>
      </w:r>
      <w:r w:rsidR="008F234F" w:rsidRPr="00972AC8">
        <w:rPr>
          <w:rFonts w:eastAsiaTheme="minorHAnsi"/>
        </w:rPr>
        <w:t xml:space="preserve"> period</w:t>
      </w:r>
      <w:r w:rsidR="00FC56B1" w:rsidRPr="00972AC8">
        <w:rPr>
          <w:rFonts w:eastAsiaTheme="minorHAnsi"/>
        </w:rPr>
        <w:t>. In G</w:t>
      </w:r>
      <w:r w:rsidR="00031FF3" w:rsidRPr="00972AC8">
        <w:rPr>
          <w:rFonts w:eastAsiaTheme="minorHAnsi"/>
        </w:rPr>
        <w:t>roup 2, risk stratification was the basis for flexible funding allocations</w:t>
      </w:r>
      <w:r w:rsidR="008F234F" w:rsidRPr="00972AC8">
        <w:rPr>
          <w:rFonts w:eastAsiaTheme="minorHAnsi"/>
        </w:rPr>
        <w:t>,</w:t>
      </w:r>
      <w:r w:rsidR="00031FF3" w:rsidRPr="00972AC8">
        <w:rPr>
          <w:rFonts w:eastAsiaTheme="minorHAnsi"/>
        </w:rPr>
        <w:t xml:space="preserve"> and </w:t>
      </w:r>
      <w:r w:rsidR="008F234F" w:rsidRPr="00972AC8">
        <w:rPr>
          <w:rFonts w:eastAsiaTheme="minorHAnsi"/>
        </w:rPr>
        <w:t xml:space="preserve">it </w:t>
      </w:r>
      <w:r w:rsidR="00031FF3" w:rsidRPr="00972AC8">
        <w:rPr>
          <w:rFonts w:eastAsiaTheme="minorHAnsi"/>
        </w:rPr>
        <w:t xml:space="preserve">allowed the system to </w:t>
      </w:r>
      <w:r w:rsidR="00401C59" w:rsidRPr="00972AC8">
        <w:rPr>
          <w:rFonts w:eastAsiaTheme="minorHAnsi"/>
        </w:rPr>
        <w:t>provide</w:t>
      </w:r>
      <w:r w:rsidR="00031FF3" w:rsidRPr="00972AC8">
        <w:rPr>
          <w:rFonts w:eastAsiaTheme="minorHAnsi"/>
        </w:rPr>
        <w:t xml:space="preserve"> recommendations </w:t>
      </w:r>
      <w:r w:rsidR="008F234F" w:rsidRPr="00972AC8">
        <w:rPr>
          <w:rFonts w:eastAsiaTheme="minorHAnsi"/>
        </w:rPr>
        <w:t>for an</w:t>
      </w:r>
      <w:r w:rsidR="00031FF3" w:rsidRPr="00972AC8">
        <w:rPr>
          <w:rFonts w:eastAsiaTheme="minorHAnsi"/>
        </w:rPr>
        <w:t xml:space="preserve"> optimal care plan </w:t>
      </w:r>
      <w:r w:rsidR="00401C59" w:rsidRPr="00972AC8">
        <w:rPr>
          <w:rFonts w:eastAsiaTheme="minorHAnsi"/>
        </w:rPr>
        <w:t>based on a person’s needs</w:t>
      </w:r>
      <w:r w:rsidR="00031FF3" w:rsidRPr="00972AC8">
        <w:rPr>
          <w:rFonts w:eastAsiaTheme="minorHAnsi"/>
        </w:rPr>
        <w:t>.</w:t>
      </w:r>
    </w:p>
    <w:p w14:paraId="29ABC833" w14:textId="77777777" w:rsidR="008F234F" w:rsidRDefault="003B6B6F" w:rsidP="00972AC8">
      <w:pPr>
        <w:pStyle w:val="05number1"/>
        <w:numPr>
          <w:ilvl w:val="0"/>
          <w:numId w:val="38"/>
        </w:numPr>
        <w:rPr>
          <w:rFonts w:eastAsiaTheme="minorHAnsi"/>
        </w:rPr>
      </w:pPr>
      <w:r w:rsidRPr="008F234F">
        <w:rPr>
          <w:rFonts w:eastAsiaTheme="minorHAnsi"/>
          <w:b/>
        </w:rPr>
        <w:t>Care planning and clinical protocols</w:t>
      </w:r>
      <w:r w:rsidR="008F234F">
        <w:rPr>
          <w:rFonts w:eastAsiaTheme="minorHAnsi"/>
        </w:rPr>
        <w:t>.</w:t>
      </w:r>
      <w:r w:rsidRPr="008F234F">
        <w:rPr>
          <w:rFonts w:eastAsiaTheme="minorHAnsi"/>
        </w:rPr>
        <w:t xml:space="preserve"> An individual, automatically generated care plan was created for each </w:t>
      </w:r>
      <w:r w:rsidR="00A83B18">
        <w:rPr>
          <w:rFonts w:eastAsiaTheme="minorHAnsi"/>
        </w:rPr>
        <w:t>participant</w:t>
      </w:r>
      <w:r w:rsidRPr="008F234F">
        <w:rPr>
          <w:rFonts w:eastAsiaTheme="minorHAnsi"/>
        </w:rPr>
        <w:t>.</w:t>
      </w:r>
      <w:r w:rsidR="00401C59" w:rsidRPr="008F234F">
        <w:rPr>
          <w:rFonts w:eastAsiaTheme="minorHAnsi"/>
        </w:rPr>
        <w:t xml:space="preserve"> In Group 1</w:t>
      </w:r>
      <w:r w:rsidR="00DB17E8">
        <w:rPr>
          <w:rFonts w:eastAsiaTheme="minorHAnsi"/>
        </w:rPr>
        <w:t>,</w:t>
      </w:r>
      <w:r w:rsidR="00401C59" w:rsidRPr="008F234F">
        <w:rPr>
          <w:rFonts w:eastAsiaTheme="minorHAnsi"/>
        </w:rPr>
        <w:t xml:space="preserve"> </w:t>
      </w:r>
      <w:r w:rsidR="00DB17E8">
        <w:rPr>
          <w:rFonts w:eastAsiaTheme="minorHAnsi"/>
        </w:rPr>
        <w:t>there was a single standardised care plan template</w:t>
      </w:r>
      <w:r w:rsidR="00401C59" w:rsidRPr="008F234F">
        <w:rPr>
          <w:rFonts w:eastAsiaTheme="minorHAnsi"/>
        </w:rPr>
        <w:t xml:space="preserve">. </w:t>
      </w:r>
      <w:r w:rsidR="008F234F" w:rsidRPr="00D80F3C">
        <w:rPr>
          <w:rFonts w:eastAsiaTheme="minorHAnsi"/>
        </w:rPr>
        <w:t>In Group 2</w:t>
      </w:r>
      <w:r w:rsidR="008F234F">
        <w:rPr>
          <w:rFonts w:eastAsiaTheme="minorHAnsi"/>
        </w:rPr>
        <w:t>,</w:t>
      </w:r>
      <w:r w:rsidR="008F234F" w:rsidRPr="00D80F3C">
        <w:rPr>
          <w:rFonts w:eastAsiaTheme="minorHAnsi"/>
        </w:rPr>
        <w:t xml:space="preserve"> </w:t>
      </w:r>
      <w:r w:rsidR="00530BBF">
        <w:rPr>
          <w:rFonts w:eastAsiaTheme="minorHAnsi"/>
        </w:rPr>
        <w:t>templates</w:t>
      </w:r>
      <w:r w:rsidR="008F234F">
        <w:rPr>
          <w:rFonts w:eastAsiaTheme="minorHAnsi"/>
        </w:rPr>
        <w:t xml:space="preserve"> differed</w:t>
      </w:r>
      <w:r w:rsidR="008F234F" w:rsidRPr="00D80F3C">
        <w:rPr>
          <w:rFonts w:eastAsiaTheme="minorHAnsi"/>
        </w:rPr>
        <w:t xml:space="preserve"> based on </w:t>
      </w:r>
      <w:r w:rsidR="008F234F">
        <w:rPr>
          <w:rFonts w:eastAsiaTheme="minorHAnsi"/>
        </w:rPr>
        <w:t>people’s</w:t>
      </w:r>
      <w:r w:rsidR="008F234F" w:rsidRPr="00D80F3C">
        <w:rPr>
          <w:rFonts w:eastAsiaTheme="minorHAnsi"/>
        </w:rPr>
        <w:t xml:space="preserve"> </w:t>
      </w:r>
      <w:r w:rsidR="008F234F">
        <w:rPr>
          <w:rFonts w:eastAsiaTheme="minorHAnsi"/>
        </w:rPr>
        <w:t xml:space="preserve">individual </w:t>
      </w:r>
      <w:r w:rsidR="008F234F" w:rsidRPr="00D80F3C">
        <w:rPr>
          <w:rFonts w:eastAsiaTheme="minorHAnsi"/>
        </w:rPr>
        <w:t>risk stratification level. In all cases</w:t>
      </w:r>
      <w:r w:rsidR="008F234F">
        <w:rPr>
          <w:rFonts w:eastAsiaTheme="minorHAnsi"/>
        </w:rPr>
        <w:t>,</w:t>
      </w:r>
      <w:r w:rsidR="008F234F" w:rsidRPr="00D80F3C">
        <w:rPr>
          <w:rFonts w:eastAsiaTheme="minorHAnsi"/>
        </w:rPr>
        <w:t xml:space="preserve"> care plan</w:t>
      </w:r>
      <w:r w:rsidR="008F234F">
        <w:rPr>
          <w:rFonts w:eastAsiaTheme="minorHAnsi"/>
        </w:rPr>
        <w:t>s</w:t>
      </w:r>
      <w:r w:rsidR="008F234F" w:rsidRPr="00D80F3C">
        <w:rPr>
          <w:rFonts w:eastAsiaTheme="minorHAnsi"/>
        </w:rPr>
        <w:t xml:space="preserve"> could be completely customised</w:t>
      </w:r>
      <w:r w:rsidR="008F234F">
        <w:rPr>
          <w:rFonts w:eastAsiaTheme="minorHAnsi"/>
        </w:rPr>
        <w:t xml:space="preserve"> </w:t>
      </w:r>
      <w:r w:rsidR="008F234F" w:rsidRPr="00D80F3C">
        <w:rPr>
          <w:rFonts w:eastAsiaTheme="minorHAnsi"/>
        </w:rPr>
        <w:t xml:space="preserve">by </w:t>
      </w:r>
      <w:r w:rsidR="00A83B18">
        <w:rPr>
          <w:rFonts w:eastAsiaTheme="minorHAnsi"/>
        </w:rPr>
        <w:t>participants’</w:t>
      </w:r>
      <w:r w:rsidR="008F234F" w:rsidRPr="00D80F3C">
        <w:rPr>
          <w:rFonts w:eastAsiaTheme="minorHAnsi"/>
        </w:rPr>
        <w:t xml:space="preserve"> care team</w:t>
      </w:r>
      <w:r w:rsidR="008F234F">
        <w:rPr>
          <w:rFonts w:eastAsiaTheme="minorHAnsi"/>
        </w:rPr>
        <w:t>s</w:t>
      </w:r>
      <w:r w:rsidR="008F234F" w:rsidRPr="00D80F3C">
        <w:rPr>
          <w:rFonts w:eastAsiaTheme="minorHAnsi"/>
        </w:rPr>
        <w:t xml:space="preserve">. </w:t>
      </w:r>
    </w:p>
    <w:p w14:paraId="3E2C15CF" w14:textId="77777777" w:rsidR="008F234F" w:rsidRPr="008F234F" w:rsidRDefault="008F234F" w:rsidP="00972AC8">
      <w:pPr>
        <w:pStyle w:val="05number1"/>
        <w:numPr>
          <w:ilvl w:val="0"/>
          <w:numId w:val="38"/>
        </w:numPr>
        <w:rPr>
          <w:rFonts w:eastAsiaTheme="minorHAnsi"/>
        </w:rPr>
      </w:pPr>
      <w:r w:rsidRPr="008F234F">
        <w:rPr>
          <w:rFonts w:eastAsiaTheme="minorHAnsi"/>
          <w:b/>
        </w:rPr>
        <w:lastRenderedPageBreak/>
        <w:t>Provider bookings</w:t>
      </w:r>
      <w:r w:rsidRPr="008F234F">
        <w:rPr>
          <w:rFonts w:eastAsiaTheme="minorHAnsi"/>
        </w:rPr>
        <w:t>. The system enabled eReferrals to efficiently engage AHPs in patient care, and to encourage those AHPs to access and contribute to participants’ electronic health records. This functionality also facilitated allocation of AHP funding provided by the DCP.</w:t>
      </w:r>
    </w:p>
    <w:p w14:paraId="3C4D7267" w14:textId="77777777" w:rsidR="003B6B6F" w:rsidRPr="00F36A0F" w:rsidRDefault="003B6B6F" w:rsidP="00972AC8">
      <w:pPr>
        <w:pStyle w:val="05number1"/>
        <w:numPr>
          <w:ilvl w:val="0"/>
          <w:numId w:val="38"/>
        </w:numPr>
        <w:rPr>
          <w:rFonts w:eastAsiaTheme="minorHAnsi"/>
        </w:rPr>
      </w:pPr>
      <w:r w:rsidRPr="00F36A0F">
        <w:rPr>
          <w:rFonts w:eastAsiaTheme="minorHAnsi"/>
          <w:b/>
        </w:rPr>
        <w:t>Care tracking</w:t>
      </w:r>
      <w:r w:rsidR="003C7AEF">
        <w:rPr>
          <w:rFonts w:eastAsiaTheme="minorHAnsi"/>
        </w:rPr>
        <w:t>.</w:t>
      </w:r>
      <w:r w:rsidR="003C7AEF" w:rsidRPr="00F36A0F">
        <w:rPr>
          <w:rFonts w:eastAsiaTheme="minorHAnsi"/>
        </w:rPr>
        <w:t xml:space="preserve"> </w:t>
      </w:r>
      <w:r w:rsidRPr="00F36A0F">
        <w:rPr>
          <w:rFonts w:eastAsiaTheme="minorHAnsi"/>
        </w:rPr>
        <w:t xml:space="preserve">The live tracking function monitored primary health practitioners’ interactions with </w:t>
      </w:r>
      <w:r w:rsidR="00AF5D68" w:rsidRPr="00F36A0F">
        <w:rPr>
          <w:rFonts w:eastAsiaTheme="minorHAnsi"/>
        </w:rPr>
        <w:t>participants</w:t>
      </w:r>
      <w:r w:rsidRPr="00F36A0F">
        <w:rPr>
          <w:rFonts w:eastAsiaTheme="minorHAnsi"/>
        </w:rPr>
        <w:t xml:space="preserve">, allowing </w:t>
      </w:r>
      <w:r w:rsidR="008F234F">
        <w:rPr>
          <w:rFonts w:eastAsiaTheme="minorHAnsi"/>
        </w:rPr>
        <w:t>the system to</w:t>
      </w:r>
      <w:r w:rsidRPr="00F36A0F">
        <w:rPr>
          <w:rFonts w:eastAsiaTheme="minorHAnsi"/>
        </w:rPr>
        <w:t xml:space="preserve"> display </w:t>
      </w:r>
      <w:r w:rsidR="008F234F">
        <w:rPr>
          <w:rFonts w:eastAsiaTheme="minorHAnsi"/>
        </w:rPr>
        <w:t>a</w:t>
      </w:r>
      <w:r w:rsidRPr="00F36A0F">
        <w:rPr>
          <w:rFonts w:eastAsiaTheme="minorHAnsi"/>
        </w:rPr>
        <w:t xml:space="preserve"> complete picture of integrated care for each individual </w:t>
      </w:r>
      <w:r w:rsidR="00A83B18">
        <w:rPr>
          <w:rFonts w:eastAsiaTheme="minorHAnsi"/>
        </w:rPr>
        <w:t>participant</w:t>
      </w:r>
      <w:r w:rsidRPr="00F36A0F">
        <w:rPr>
          <w:rFonts w:eastAsiaTheme="minorHAnsi"/>
        </w:rPr>
        <w:t xml:space="preserve"> (detailing all of the </w:t>
      </w:r>
      <w:r w:rsidR="00A83B18">
        <w:rPr>
          <w:rFonts w:eastAsiaTheme="minorHAnsi"/>
        </w:rPr>
        <w:t>participant’s</w:t>
      </w:r>
      <w:r w:rsidRPr="00F36A0F">
        <w:rPr>
          <w:rFonts w:eastAsiaTheme="minorHAnsi"/>
        </w:rPr>
        <w:t xml:space="preserve"> interactions with the health system, including hospitalisation).</w:t>
      </w:r>
    </w:p>
    <w:p w14:paraId="022AA8D9" w14:textId="77777777" w:rsidR="003B6B6F" w:rsidRPr="00F36A0F" w:rsidRDefault="003B6B6F" w:rsidP="00972AC8">
      <w:pPr>
        <w:pStyle w:val="05number1"/>
        <w:numPr>
          <w:ilvl w:val="0"/>
          <w:numId w:val="38"/>
        </w:numPr>
        <w:rPr>
          <w:rFonts w:eastAsiaTheme="minorHAnsi"/>
        </w:rPr>
      </w:pPr>
      <w:r w:rsidRPr="00F36A0F">
        <w:rPr>
          <w:rFonts w:eastAsiaTheme="minorHAnsi"/>
          <w:b/>
        </w:rPr>
        <w:t>Common patient record</w:t>
      </w:r>
      <w:r w:rsidR="003C7AEF">
        <w:rPr>
          <w:rFonts w:eastAsiaTheme="minorHAnsi"/>
        </w:rPr>
        <w:t>.</w:t>
      </w:r>
      <w:r w:rsidR="003C7AEF" w:rsidRPr="00F36A0F">
        <w:rPr>
          <w:rFonts w:eastAsiaTheme="minorHAnsi"/>
        </w:rPr>
        <w:t xml:space="preserve"> </w:t>
      </w:r>
      <w:r w:rsidRPr="00F36A0F">
        <w:rPr>
          <w:rFonts w:eastAsiaTheme="minorHAnsi"/>
        </w:rPr>
        <w:t xml:space="preserve">This shared electronic health record spanned the full health system, allowing live data access and </w:t>
      </w:r>
      <w:r w:rsidR="00A54899" w:rsidRPr="00F36A0F">
        <w:rPr>
          <w:rFonts w:eastAsiaTheme="minorHAnsi"/>
        </w:rPr>
        <w:t xml:space="preserve">providing </w:t>
      </w:r>
      <w:r w:rsidRPr="00F36A0F">
        <w:rPr>
          <w:rFonts w:eastAsiaTheme="minorHAnsi"/>
        </w:rPr>
        <w:t>the option of adding new data. Upon accessing the registry, primary care practitioners were presented with an overview of their patient’s details, status</w:t>
      </w:r>
      <w:r w:rsidR="00E86F74">
        <w:rPr>
          <w:rFonts w:eastAsiaTheme="minorHAnsi"/>
        </w:rPr>
        <w:t>,</w:t>
      </w:r>
      <w:r w:rsidRPr="00F36A0F">
        <w:rPr>
          <w:rFonts w:eastAsiaTheme="minorHAnsi"/>
        </w:rPr>
        <w:t xml:space="preserve"> and risk. Information contained in the electronic health record included</w:t>
      </w:r>
      <w:r w:rsidR="00AF3CFA" w:rsidRPr="00F36A0F">
        <w:rPr>
          <w:rFonts w:eastAsiaTheme="minorHAnsi"/>
        </w:rPr>
        <w:t xml:space="preserve"> the following</w:t>
      </w:r>
      <w:r w:rsidRPr="00F36A0F">
        <w:rPr>
          <w:rFonts w:eastAsiaTheme="minorHAnsi"/>
        </w:rPr>
        <w:t>: patient demographics (name, date of birth, smoking status); the name of the referring GP; clinical metrics (HbA1c level, blood pressure, cholesterol level, and BMI); comorbidities (</w:t>
      </w:r>
      <w:r w:rsidR="00107122">
        <w:rPr>
          <w:rFonts w:eastAsiaTheme="minorHAnsi"/>
        </w:rPr>
        <w:t>such as</w:t>
      </w:r>
      <w:r w:rsidRPr="00F36A0F">
        <w:rPr>
          <w:rFonts w:eastAsiaTheme="minorHAnsi"/>
        </w:rPr>
        <w:t xml:space="preserve"> depression); and the patient’s ‘risk stratification’ group (explained in more detail below). </w:t>
      </w:r>
    </w:p>
    <w:p w14:paraId="399C2EA0" w14:textId="77777777" w:rsidR="009C7390" w:rsidRPr="00F36A0F" w:rsidRDefault="009C7390" w:rsidP="00972AC8">
      <w:pPr>
        <w:pStyle w:val="05number1"/>
        <w:numPr>
          <w:ilvl w:val="0"/>
          <w:numId w:val="38"/>
        </w:numPr>
        <w:rPr>
          <w:rFonts w:eastAsiaTheme="minorHAnsi"/>
        </w:rPr>
      </w:pPr>
      <w:r w:rsidRPr="00F36A0F">
        <w:rPr>
          <w:rFonts w:eastAsiaTheme="minorHAnsi"/>
          <w:b/>
        </w:rPr>
        <w:t>Patient portal</w:t>
      </w:r>
      <w:r w:rsidR="003C7AEF">
        <w:rPr>
          <w:rFonts w:eastAsiaTheme="minorHAnsi"/>
        </w:rPr>
        <w:t>.</w:t>
      </w:r>
      <w:r w:rsidR="003C7AEF" w:rsidRPr="00F36A0F">
        <w:rPr>
          <w:rFonts w:eastAsiaTheme="minorHAnsi"/>
        </w:rPr>
        <w:t xml:space="preserve"> </w:t>
      </w:r>
      <w:r w:rsidRPr="00F36A0F">
        <w:rPr>
          <w:rFonts w:eastAsiaTheme="minorHAnsi"/>
        </w:rPr>
        <w:t xml:space="preserve">A patient portal provided </w:t>
      </w:r>
      <w:r w:rsidR="00AF5D68" w:rsidRPr="00F36A0F">
        <w:rPr>
          <w:rFonts w:eastAsiaTheme="minorHAnsi"/>
        </w:rPr>
        <w:t>participants</w:t>
      </w:r>
      <w:r w:rsidRPr="00F36A0F">
        <w:rPr>
          <w:rFonts w:eastAsiaTheme="minorHAnsi"/>
        </w:rPr>
        <w:t xml:space="preserve"> with read/write access to their shared electronic health record, including the ability to track completion of self-care items in the care plan (</w:t>
      </w:r>
      <w:r w:rsidR="00107122">
        <w:rPr>
          <w:rFonts w:eastAsiaTheme="minorHAnsi"/>
        </w:rPr>
        <w:t>such as</w:t>
      </w:r>
      <w:r w:rsidRPr="00F36A0F">
        <w:rPr>
          <w:rFonts w:eastAsiaTheme="minorHAnsi"/>
        </w:rPr>
        <w:t xml:space="preserve"> physical exercise sessions) and record relevant data (weight, blood pressure, glucose levels, attendance at care appointments). </w:t>
      </w:r>
    </w:p>
    <w:p w14:paraId="37B586E5" w14:textId="77777777" w:rsidR="003B6B6F" w:rsidRPr="00F36A0F" w:rsidRDefault="003B6B6F" w:rsidP="00972AC8">
      <w:pPr>
        <w:pStyle w:val="05number1"/>
        <w:numPr>
          <w:ilvl w:val="0"/>
          <w:numId w:val="38"/>
        </w:numPr>
        <w:rPr>
          <w:rFonts w:eastAsiaTheme="minorHAnsi"/>
        </w:rPr>
      </w:pPr>
      <w:r w:rsidRPr="00F36A0F">
        <w:rPr>
          <w:rFonts w:eastAsiaTheme="minorHAnsi"/>
          <w:b/>
        </w:rPr>
        <w:t>Performance management and analytics</w:t>
      </w:r>
      <w:r w:rsidR="003C7AEF">
        <w:rPr>
          <w:rFonts w:eastAsiaTheme="minorHAnsi"/>
        </w:rPr>
        <w:t>.</w:t>
      </w:r>
      <w:r w:rsidR="003C7AEF" w:rsidRPr="00F36A0F">
        <w:rPr>
          <w:rFonts w:eastAsiaTheme="minorHAnsi"/>
        </w:rPr>
        <w:t xml:space="preserve"> </w:t>
      </w:r>
      <w:r w:rsidRPr="00F36A0F">
        <w:rPr>
          <w:rFonts w:eastAsiaTheme="minorHAnsi"/>
        </w:rPr>
        <w:t>A data collection and analytics mechanism (with a specific focus on practice-level data</w:t>
      </w:r>
      <w:r w:rsidR="00E845A1" w:rsidRPr="00F36A0F">
        <w:rPr>
          <w:rFonts w:eastAsiaTheme="minorHAnsi"/>
        </w:rPr>
        <w:t xml:space="preserve"> relative to peers</w:t>
      </w:r>
      <w:r w:rsidRPr="00F36A0F">
        <w:rPr>
          <w:rFonts w:eastAsiaTheme="minorHAnsi"/>
        </w:rPr>
        <w:t xml:space="preserve">) </w:t>
      </w:r>
      <w:r w:rsidR="00E845A1" w:rsidRPr="00F36A0F">
        <w:rPr>
          <w:rFonts w:eastAsiaTheme="minorHAnsi"/>
        </w:rPr>
        <w:t xml:space="preserve">allowed practices and </w:t>
      </w:r>
      <w:r w:rsidR="000258BD">
        <w:rPr>
          <w:rFonts w:eastAsiaTheme="minorHAnsi"/>
        </w:rPr>
        <w:t>primary care organisations</w:t>
      </w:r>
      <w:r w:rsidR="00E845A1" w:rsidRPr="00F36A0F">
        <w:rPr>
          <w:rFonts w:eastAsiaTheme="minorHAnsi"/>
        </w:rPr>
        <w:t xml:space="preserve"> to view how given practices were performing</w:t>
      </w:r>
      <w:r w:rsidRPr="00F36A0F">
        <w:rPr>
          <w:rFonts w:eastAsiaTheme="minorHAnsi"/>
        </w:rPr>
        <w:t xml:space="preserve"> for </w:t>
      </w:r>
      <w:r w:rsidR="008F234F">
        <w:rPr>
          <w:rFonts w:eastAsiaTheme="minorHAnsi"/>
        </w:rPr>
        <w:t xml:space="preserve">the purpose of </w:t>
      </w:r>
      <w:r w:rsidRPr="00F36A0F">
        <w:rPr>
          <w:rFonts w:eastAsiaTheme="minorHAnsi"/>
        </w:rPr>
        <w:t>continuous quality improvement processes.</w:t>
      </w:r>
    </w:p>
    <w:p w14:paraId="4A04D6B5" w14:textId="77777777" w:rsidR="003B6B6F" w:rsidRPr="00F36A0F" w:rsidRDefault="003B6B6F" w:rsidP="00972AC8">
      <w:pPr>
        <w:pStyle w:val="05number1"/>
        <w:numPr>
          <w:ilvl w:val="0"/>
          <w:numId w:val="38"/>
        </w:numPr>
        <w:rPr>
          <w:rFonts w:eastAsiaTheme="minorHAnsi"/>
        </w:rPr>
      </w:pPr>
      <w:r w:rsidRPr="00F36A0F">
        <w:rPr>
          <w:rFonts w:eastAsiaTheme="minorHAnsi"/>
          <w:b/>
        </w:rPr>
        <w:t>Appointments, billing</w:t>
      </w:r>
      <w:r w:rsidR="00E86F74">
        <w:rPr>
          <w:rFonts w:eastAsiaTheme="minorHAnsi"/>
          <w:b/>
        </w:rPr>
        <w:t>,</w:t>
      </w:r>
      <w:r w:rsidRPr="00F36A0F">
        <w:rPr>
          <w:rFonts w:eastAsiaTheme="minorHAnsi"/>
          <w:b/>
        </w:rPr>
        <w:t xml:space="preserve"> and fund management</w:t>
      </w:r>
      <w:r w:rsidR="003C7AEF">
        <w:rPr>
          <w:rFonts w:eastAsiaTheme="minorHAnsi"/>
        </w:rPr>
        <w:t>.</w:t>
      </w:r>
      <w:r w:rsidR="003C7AEF" w:rsidRPr="00F36A0F">
        <w:rPr>
          <w:rFonts w:eastAsiaTheme="minorHAnsi"/>
        </w:rPr>
        <w:t xml:space="preserve"> </w:t>
      </w:r>
      <w:r w:rsidR="00F20ADA">
        <w:rPr>
          <w:rFonts w:eastAsiaTheme="minorHAnsi"/>
        </w:rPr>
        <w:t>In G</w:t>
      </w:r>
      <w:r w:rsidR="007E226A" w:rsidRPr="00F36A0F">
        <w:rPr>
          <w:rFonts w:eastAsiaTheme="minorHAnsi"/>
        </w:rPr>
        <w:t xml:space="preserve">roup 2, </w:t>
      </w:r>
      <w:r w:rsidRPr="00F36A0F">
        <w:rPr>
          <w:rFonts w:eastAsiaTheme="minorHAnsi"/>
        </w:rPr>
        <w:t xml:space="preserve">GP and </w:t>
      </w:r>
      <w:r w:rsidR="002F6327">
        <w:rPr>
          <w:rFonts w:eastAsiaTheme="minorHAnsi"/>
        </w:rPr>
        <w:t>AHP</w:t>
      </w:r>
      <w:r w:rsidRPr="00F36A0F">
        <w:rPr>
          <w:rFonts w:eastAsiaTheme="minorHAnsi"/>
        </w:rPr>
        <w:t xml:space="preserve"> activity was tracked </w:t>
      </w:r>
      <w:r w:rsidR="000C7338" w:rsidRPr="00F36A0F">
        <w:rPr>
          <w:rFonts w:eastAsiaTheme="minorHAnsi"/>
        </w:rPr>
        <w:t>at</w:t>
      </w:r>
      <w:r w:rsidRPr="00F36A0F">
        <w:rPr>
          <w:rFonts w:eastAsiaTheme="minorHAnsi"/>
        </w:rPr>
        <w:t xml:space="preserve"> </w:t>
      </w:r>
      <w:r w:rsidR="000C7338" w:rsidRPr="00F36A0F">
        <w:rPr>
          <w:rFonts w:eastAsiaTheme="minorHAnsi"/>
        </w:rPr>
        <w:t>the</w:t>
      </w:r>
      <w:r w:rsidRPr="00F36A0F">
        <w:rPr>
          <w:rFonts w:eastAsiaTheme="minorHAnsi"/>
        </w:rPr>
        <w:t xml:space="preserve"> per-patient level in order to facilitate the allocation of DCP funding to those providers.</w:t>
      </w:r>
      <w:r w:rsidR="007E226A" w:rsidRPr="00F36A0F">
        <w:rPr>
          <w:rFonts w:eastAsiaTheme="minorHAnsi"/>
        </w:rPr>
        <w:t xml:space="preserve"> </w:t>
      </w:r>
    </w:p>
    <w:p w14:paraId="36ADBD97" w14:textId="77777777" w:rsidR="002B5336" w:rsidRPr="00F36A0F" w:rsidRDefault="00FC2F38" w:rsidP="004E4AEB">
      <w:pPr>
        <w:pStyle w:val="21minor"/>
        <w:keepLines/>
        <w:rPr>
          <w:rFonts w:eastAsiaTheme="minorHAnsi"/>
        </w:rPr>
      </w:pPr>
      <w:r w:rsidRPr="00F36A0F">
        <w:rPr>
          <w:rFonts w:eastAsiaTheme="minorHAnsi"/>
        </w:rPr>
        <w:t>2.2.2</w:t>
      </w:r>
      <w:r w:rsidR="002B5336" w:rsidRPr="00F36A0F">
        <w:rPr>
          <w:rFonts w:eastAsiaTheme="minorHAnsi"/>
        </w:rPr>
        <w:t>. Continuous Quality Improvement Processes</w:t>
      </w:r>
    </w:p>
    <w:p w14:paraId="424F098B" w14:textId="77777777" w:rsidR="002B5336" w:rsidRPr="00F36A0F" w:rsidRDefault="002B5336" w:rsidP="004E4AEB">
      <w:pPr>
        <w:keepNext/>
        <w:keepLines/>
        <w:rPr>
          <w:rFonts w:eastAsiaTheme="minorHAnsi"/>
        </w:rPr>
      </w:pPr>
      <w:r w:rsidRPr="00F36A0F">
        <w:rPr>
          <w:rFonts w:eastAsiaTheme="minorHAnsi"/>
        </w:rPr>
        <w:t xml:space="preserve">This intervention introduced systematic quality improvement processes into primary care. These processes occurred between the National Project Management Office and </w:t>
      </w:r>
      <w:r w:rsidR="000258BD">
        <w:rPr>
          <w:rFonts w:eastAsiaTheme="minorHAnsi"/>
        </w:rPr>
        <w:t>primary care organisations</w:t>
      </w:r>
      <w:r w:rsidRPr="00F36A0F">
        <w:rPr>
          <w:rFonts w:eastAsiaTheme="minorHAnsi"/>
        </w:rPr>
        <w:t xml:space="preserve">, and between </w:t>
      </w:r>
      <w:r w:rsidR="000258BD">
        <w:rPr>
          <w:rFonts w:eastAsiaTheme="minorHAnsi"/>
        </w:rPr>
        <w:t>primary care organisations</w:t>
      </w:r>
      <w:r w:rsidRPr="00F36A0F">
        <w:rPr>
          <w:rFonts w:eastAsiaTheme="minorHAnsi"/>
        </w:rPr>
        <w:t xml:space="preserve"> and general practices. </w:t>
      </w:r>
      <w:r w:rsidR="005663B1" w:rsidRPr="00F36A0F">
        <w:rPr>
          <w:rFonts w:eastAsiaTheme="minorHAnsi"/>
        </w:rPr>
        <w:t>Continuous quality improvement processes</w:t>
      </w:r>
      <w:r w:rsidRPr="00F36A0F">
        <w:rPr>
          <w:rFonts w:eastAsiaTheme="minorHAnsi"/>
        </w:rPr>
        <w:t xml:space="preserve"> involved </w:t>
      </w:r>
      <w:r w:rsidR="00C17482" w:rsidRPr="00F36A0F">
        <w:rPr>
          <w:rFonts w:eastAsiaTheme="minorHAnsi"/>
        </w:rPr>
        <w:t xml:space="preserve">the following </w:t>
      </w:r>
      <w:r w:rsidRPr="00F36A0F">
        <w:rPr>
          <w:rFonts w:eastAsiaTheme="minorHAnsi"/>
        </w:rPr>
        <w:t>six steps (</w:t>
      </w:r>
      <w:r w:rsidR="00304284" w:rsidRPr="00F36A0F">
        <w:rPr>
          <w:rFonts w:eastAsiaTheme="minorHAnsi"/>
        </w:rPr>
        <w:t>Figure</w:t>
      </w:r>
      <w:r w:rsidRPr="00F36A0F">
        <w:rPr>
          <w:rFonts w:eastAsiaTheme="minorHAnsi"/>
        </w:rPr>
        <w:t xml:space="preserve"> </w:t>
      </w:r>
      <w:r w:rsidR="00115504">
        <w:rPr>
          <w:rFonts w:eastAsiaTheme="minorHAnsi"/>
        </w:rPr>
        <w:t>6</w:t>
      </w:r>
      <w:r w:rsidRPr="00F36A0F">
        <w:rPr>
          <w:rFonts w:eastAsiaTheme="minorHAnsi"/>
        </w:rPr>
        <w:t xml:space="preserve">): </w:t>
      </w:r>
    </w:p>
    <w:p w14:paraId="6D2E0278" w14:textId="77777777" w:rsidR="002B5336" w:rsidRPr="00F36A0F" w:rsidRDefault="000846C1" w:rsidP="002B5336">
      <w:pPr>
        <w:pStyle w:val="01squarebullet"/>
        <w:rPr>
          <w:rFonts w:eastAsiaTheme="minorHAnsi"/>
        </w:rPr>
      </w:pPr>
      <w:r>
        <w:rPr>
          <w:rFonts w:eastAsiaTheme="minorHAnsi"/>
          <w:b/>
        </w:rPr>
        <w:t>Lay the foundation—</w:t>
      </w:r>
      <w:r w:rsidR="002B5336" w:rsidRPr="000846C1">
        <w:rPr>
          <w:rFonts w:eastAsiaTheme="minorHAnsi"/>
        </w:rPr>
        <w:t>Setting clear performance goals and defining a common performance dashboard</w:t>
      </w:r>
      <w:r w:rsidR="002B5336" w:rsidRPr="00F36A0F">
        <w:rPr>
          <w:rFonts w:eastAsiaTheme="minorHAnsi"/>
        </w:rPr>
        <w:t>. The goals included metrics such as improving metabolic in</w:t>
      </w:r>
      <w:r w:rsidR="006A060C" w:rsidRPr="00F36A0F">
        <w:rPr>
          <w:rFonts w:eastAsiaTheme="minorHAnsi"/>
        </w:rPr>
        <w:t>dicators (HbA1c, cholesterol, blood pressure</w:t>
      </w:r>
      <w:r w:rsidR="002B5336" w:rsidRPr="00F36A0F">
        <w:rPr>
          <w:rFonts w:eastAsiaTheme="minorHAnsi"/>
        </w:rPr>
        <w:t>) and delivering good quality care (</w:t>
      </w:r>
      <w:r w:rsidR="00107122">
        <w:rPr>
          <w:rFonts w:eastAsiaTheme="minorHAnsi"/>
        </w:rPr>
        <w:t>such as</w:t>
      </w:r>
      <w:r w:rsidR="002B5336" w:rsidRPr="00F36A0F">
        <w:rPr>
          <w:rFonts w:eastAsiaTheme="minorHAnsi"/>
        </w:rPr>
        <w:t xml:space="preserve"> completing an annual </w:t>
      </w:r>
      <w:r w:rsidR="00130817" w:rsidRPr="00F36A0F">
        <w:rPr>
          <w:rFonts w:eastAsiaTheme="minorHAnsi"/>
        </w:rPr>
        <w:t>cycle of care and care planning</w:t>
      </w:r>
      <w:r w:rsidR="002B5336" w:rsidRPr="00F36A0F">
        <w:rPr>
          <w:rFonts w:eastAsiaTheme="minorHAnsi"/>
        </w:rPr>
        <w:t>)</w:t>
      </w:r>
      <w:r w:rsidR="00130817" w:rsidRPr="00F36A0F">
        <w:rPr>
          <w:rFonts w:eastAsiaTheme="minorHAnsi"/>
        </w:rPr>
        <w:t>.</w:t>
      </w:r>
      <w:r w:rsidR="002B5336" w:rsidRPr="00F36A0F">
        <w:rPr>
          <w:rFonts w:eastAsiaTheme="minorHAnsi"/>
        </w:rPr>
        <w:t xml:space="preserve"> </w:t>
      </w:r>
      <w:r w:rsidR="00C82808" w:rsidRPr="00F36A0F">
        <w:rPr>
          <w:rFonts w:eastAsiaTheme="minorHAnsi"/>
        </w:rPr>
        <w:t>These metrics</w:t>
      </w:r>
      <w:r w:rsidR="009C286D">
        <w:rPr>
          <w:rFonts w:eastAsiaTheme="minorHAnsi"/>
        </w:rPr>
        <w:t>,</w:t>
      </w:r>
      <w:r w:rsidR="00C82808" w:rsidRPr="00F36A0F">
        <w:rPr>
          <w:rFonts w:eastAsiaTheme="minorHAnsi"/>
        </w:rPr>
        <w:t xml:space="preserve"> along with approximately </w:t>
      </w:r>
      <w:r w:rsidR="00903614">
        <w:rPr>
          <w:rFonts w:eastAsiaTheme="minorHAnsi"/>
        </w:rPr>
        <w:t>20</w:t>
      </w:r>
      <w:r w:rsidR="00C82808" w:rsidRPr="00F36A0F">
        <w:rPr>
          <w:rFonts w:eastAsiaTheme="minorHAnsi"/>
        </w:rPr>
        <w:t xml:space="preserve"> others</w:t>
      </w:r>
      <w:r w:rsidR="009C286D">
        <w:rPr>
          <w:rFonts w:eastAsiaTheme="minorHAnsi"/>
        </w:rPr>
        <w:t>,</w:t>
      </w:r>
      <w:r w:rsidR="00C82808" w:rsidRPr="00F36A0F">
        <w:rPr>
          <w:rFonts w:eastAsiaTheme="minorHAnsi"/>
        </w:rPr>
        <w:t xml:space="preserve"> were tracked weekly on a standard reporting dashboard used across all sites.</w:t>
      </w:r>
    </w:p>
    <w:p w14:paraId="1921A1CB" w14:textId="77777777" w:rsidR="002B5336" w:rsidRDefault="000846C1" w:rsidP="002B5336">
      <w:pPr>
        <w:pStyle w:val="01squarebullet"/>
        <w:rPr>
          <w:rFonts w:eastAsiaTheme="minorHAnsi"/>
        </w:rPr>
      </w:pPr>
      <w:r>
        <w:rPr>
          <w:rFonts w:eastAsiaTheme="minorHAnsi"/>
          <w:b/>
        </w:rPr>
        <w:t>Understand performance—</w:t>
      </w:r>
      <w:r w:rsidR="002B5336" w:rsidRPr="000846C1">
        <w:rPr>
          <w:rFonts w:eastAsiaTheme="minorHAnsi"/>
        </w:rPr>
        <w:t xml:space="preserve">Understanding performance through joint </w:t>
      </w:r>
      <w:r w:rsidR="00FF3C16" w:rsidRPr="000846C1">
        <w:rPr>
          <w:rFonts w:eastAsiaTheme="minorHAnsi"/>
        </w:rPr>
        <w:t>reviews</w:t>
      </w:r>
      <w:r w:rsidR="00556715" w:rsidRPr="00F36A0F">
        <w:rPr>
          <w:rFonts w:eastAsiaTheme="minorHAnsi"/>
        </w:rPr>
        <w:t>.</w:t>
      </w:r>
      <w:r w:rsidR="00EB3AEF" w:rsidRPr="00F36A0F">
        <w:rPr>
          <w:rFonts w:eastAsiaTheme="minorHAnsi"/>
        </w:rPr>
        <w:t xml:space="preserve"> </w:t>
      </w:r>
      <w:r w:rsidR="00556715" w:rsidRPr="00F36A0F">
        <w:rPr>
          <w:rFonts w:eastAsiaTheme="minorHAnsi"/>
        </w:rPr>
        <w:t xml:space="preserve">Information on the performance dashboard was reviewed periodically. The National Project Management Office and </w:t>
      </w:r>
      <w:r w:rsidR="000258BD">
        <w:rPr>
          <w:rFonts w:eastAsiaTheme="minorHAnsi"/>
        </w:rPr>
        <w:lastRenderedPageBreak/>
        <w:t>primary care organisations</w:t>
      </w:r>
      <w:r w:rsidR="00556715" w:rsidRPr="00F36A0F">
        <w:rPr>
          <w:rFonts w:eastAsiaTheme="minorHAnsi"/>
        </w:rPr>
        <w:t xml:space="preserve"> met weekly at first, and then monthly. </w:t>
      </w:r>
      <w:r w:rsidR="000258BD">
        <w:rPr>
          <w:rFonts w:eastAsiaTheme="minorHAnsi"/>
        </w:rPr>
        <w:t>Primary care organisations</w:t>
      </w:r>
      <w:r w:rsidR="00556715" w:rsidRPr="00F36A0F">
        <w:rPr>
          <w:rFonts w:eastAsiaTheme="minorHAnsi"/>
        </w:rPr>
        <w:t xml:space="preserve"> and</w:t>
      </w:r>
      <w:r w:rsidR="009C286D">
        <w:rPr>
          <w:rFonts w:eastAsiaTheme="minorHAnsi"/>
        </w:rPr>
        <w:t xml:space="preserve"> general practices met every three to six</w:t>
      </w:r>
      <w:r w:rsidR="00556715" w:rsidRPr="00F36A0F">
        <w:rPr>
          <w:rFonts w:eastAsiaTheme="minorHAnsi"/>
        </w:rPr>
        <w:t xml:space="preserve"> months during the project</w:t>
      </w:r>
      <w:r w:rsidR="00807C74">
        <w:rPr>
          <w:rFonts w:eastAsiaTheme="minorHAnsi"/>
        </w:rPr>
        <w:t>, d</w:t>
      </w:r>
      <w:r w:rsidR="002B5336" w:rsidRPr="00F36A0F">
        <w:rPr>
          <w:rFonts w:eastAsiaTheme="minorHAnsi"/>
        </w:rPr>
        <w:t xml:space="preserve">iagnosing opportunities to improve performance by problem solving at the root-cause level and gathering a full-team perspective. This was generally done at team </w:t>
      </w:r>
      <w:r w:rsidR="003B6FA9" w:rsidRPr="00F36A0F">
        <w:rPr>
          <w:rFonts w:eastAsiaTheme="minorHAnsi"/>
        </w:rPr>
        <w:t>meetings</w:t>
      </w:r>
      <w:r w:rsidR="002B5336" w:rsidRPr="00F36A0F">
        <w:rPr>
          <w:rFonts w:eastAsiaTheme="minorHAnsi"/>
        </w:rPr>
        <w:t>. In general practices, this often involved doctors, nurses and practice managers.</w:t>
      </w:r>
    </w:p>
    <w:p w14:paraId="3A48A750" w14:textId="77777777" w:rsidR="000E0E4A" w:rsidRPr="00F36A0F" w:rsidRDefault="000E0E4A" w:rsidP="002B5336">
      <w:pPr>
        <w:pStyle w:val="01squarebullet"/>
        <w:rPr>
          <w:rFonts w:eastAsiaTheme="minorHAnsi"/>
        </w:rPr>
      </w:pPr>
      <w:r>
        <w:rPr>
          <w:rFonts w:eastAsiaTheme="minorHAnsi"/>
          <w:b/>
        </w:rPr>
        <w:t>Diagnose—</w:t>
      </w:r>
      <w:r>
        <w:rPr>
          <w:rFonts w:eastAsiaTheme="minorHAnsi"/>
        </w:rPr>
        <w:t xml:space="preserve">Identifying opportunities to improve and diagnosing root causes of problems. This step involved a full team perspective. </w:t>
      </w:r>
    </w:p>
    <w:p w14:paraId="1047753E" w14:textId="77777777" w:rsidR="002B5336" w:rsidRPr="00F36A0F" w:rsidRDefault="000846C1" w:rsidP="002B5336">
      <w:pPr>
        <w:pStyle w:val="01squarebullet"/>
        <w:rPr>
          <w:rFonts w:eastAsiaTheme="minorHAnsi"/>
        </w:rPr>
      </w:pPr>
      <w:r>
        <w:rPr>
          <w:rFonts w:eastAsiaTheme="minorHAnsi"/>
          <w:b/>
        </w:rPr>
        <w:t>Agree actions—</w:t>
      </w:r>
      <w:r w:rsidR="002B5336" w:rsidRPr="000846C1">
        <w:rPr>
          <w:rFonts w:eastAsiaTheme="minorHAnsi"/>
        </w:rPr>
        <w:t>Agreeing actions, with a focus on identifying priorities and tangible actions</w:t>
      </w:r>
      <w:r w:rsidR="002B5336" w:rsidRPr="00F36A0F">
        <w:rPr>
          <w:rFonts w:eastAsiaTheme="minorHAnsi"/>
        </w:rPr>
        <w:t>. The actions were recorded on a standard template and made available to all team members.</w:t>
      </w:r>
    </w:p>
    <w:p w14:paraId="20698273" w14:textId="77777777" w:rsidR="002B5336" w:rsidRPr="00F36A0F" w:rsidRDefault="000E0E4A" w:rsidP="002B5336">
      <w:pPr>
        <w:pStyle w:val="01squarebullet"/>
        <w:rPr>
          <w:rFonts w:eastAsiaTheme="minorHAnsi"/>
        </w:rPr>
      </w:pPr>
      <w:r>
        <w:rPr>
          <w:rFonts w:eastAsiaTheme="minorHAnsi"/>
          <w:b/>
        </w:rPr>
        <w:t>Plan and execute actions—</w:t>
      </w:r>
      <w:r w:rsidR="002B5336" w:rsidRPr="000E0E4A">
        <w:rPr>
          <w:rFonts w:eastAsiaTheme="minorHAnsi"/>
        </w:rPr>
        <w:t>Planning and executing these actions by assigning ownership and deadlines.</w:t>
      </w:r>
      <w:r w:rsidR="002B5336" w:rsidRPr="00F36A0F">
        <w:rPr>
          <w:rFonts w:eastAsiaTheme="minorHAnsi"/>
        </w:rPr>
        <w:t xml:space="preserve"> </w:t>
      </w:r>
    </w:p>
    <w:p w14:paraId="0ABE2EBA" w14:textId="77777777" w:rsidR="004E4AEB" w:rsidRPr="00F36A0F" w:rsidRDefault="000E0E4A" w:rsidP="004E4AEB">
      <w:pPr>
        <w:pStyle w:val="01squarebullet"/>
        <w:rPr>
          <w:rFonts w:eastAsiaTheme="minorHAnsi"/>
        </w:rPr>
      </w:pPr>
      <w:r>
        <w:rPr>
          <w:rFonts w:eastAsiaTheme="minorHAnsi"/>
          <w:b/>
        </w:rPr>
        <w:t>Check—</w:t>
      </w:r>
      <w:r w:rsidR="00E81BC5" w:rsidRPr="000E0E4A">
        <w:rPr>
          <w:rFonts w:eastAsiaTheme="minorHAnsi"/>
        </w:rPr>
        <w:t xml:space="preserve">Following </w:t>
      </w:r>
      <w:r w:rsidR="002B5336" w:rsidRPr="000E0E4A">
        <w:rPr>
          <w:rFonts w:eastAsiaTheme="minorHAnsi"/>
        </w:rPr>
        <w:t>up on processes and outcomes</w:t>
      </w:r>
      <w:r w:rsidR="00EB3AEF" w:rsidRPr="000E0E4A">
        <w:rPr>
          <w:rFonts w:eastAsiaTheme="minorHAnsi"/>
        </w:rPr>
        <w:t xml:space="preserve"> to ensure that the required actions had been completed</w:t>
      </w:r>
      <w:r w:rsidR="002B5336" w:rsidRPr="000E0E4A">
        <w:rPr>
          <w:rFonts w:eastAsiaTheme="minorHAnsi"/>
        </w:rPr>
        <w:t>.</w:t>
      </w:r>
      <w:r w:rsidR="002B5336" w:rsidRPr="00F36A0F">
        <w:rPr>
          <w:rFonts w:eastAsiaTheme="minorHAnsi"/>
        </w:rPr>
        <w:t xml:space="preserve"> </w:t>
      </w:r>
    </w:p>
    <w:p w14:paraId="3D134AD8" w14:textId="77777777" w:rsidR="004B72BB" w:rsidRDefault="00241CCB" w:rsidP="002019DE">
      <w:pPr>
        <w:pStyle w:val="60exhnormal"/>
      </w:pPr>
      <w:r w:rsidRPr="00F36A0F">
        <w:t>Figure</w:t>
      </w:r>
      <w:r w:rsidR="004B72BB" w:rsidRPr="00F36A0F">
        <w:t xml:space="preserve"> </w:t>
      </w:r>
      <w:r w:rsidR="00811EA3">
        <w:t>6</w:t>
      </w:r>
    </w:p>
    <w:p w14:paraId="282B1FEE" w14:textId="77777777" w:rsidR="002019DE" w:rsidRPr="00F36A0F" w:rsidRDefault="002019DE" w:rsidP="000379D6">
      <w:pPr>
        <w:pStyle w:val="60exhnormal"/>
        <w:jc w:val="center"/>
      </w:pPr>
      <w:r w:rsidRPr="00CF6261">
        <w:rPr>
          <w:noProof/>
          <w:lang w:eastAsia="en-AU"/>
        </w:rPr>
        <w:drawing>
          <wp:inline distT="0" distB="0" distL="0" distR="0" wp14:anchorId="22432191" wp14:editId="10C5ECD2">
            <wp:extent cx="4775197" cy="3578772"/>
            <wp:effectExtent l="0" t="0" r="6985" b="3175"/>
            <wp:docPr id="307" name="Picture 307" descr="Figure 6 is  continuous quality improvement (CQI). The DCP included two intervention groups: Group 1 and Group 2. Group 1 tested the integrated information platform and continuous quality improvement processes. Group 2 tested the integrated information platform, continuous quality improvement processes, flexible funding based on risk stratification, quality improvement support payments and funding for care facili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775197" cy="3578772"/>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1974B0AD" w14:textId="77777777" w:rsidR="000A467D" w:rsidRPr="00F36A0F" w:rsidRDefault="001E7F60" w:rsidP="004B72BB">
      <w:pPr>
        <w:pStyle w:val="21minor"/>
        <w:rPr>
          <w:rFonts w:eastAsiaTheme="minorHAnsi"/>
        </w:rPr>
      </w:pPr>
      <w:r w:rsidRPr="00F36A0F">
        <w:rPr>
          <w:rFonts w:eastAsiaTheme="minorHAnsi"/>
        </w:rPr>
        <w:t>2.2.</w:t>
      </w:r>
      <w:r w:rsidR="00700D60" w:rsidRPr="00F36A0F">
        <w:rPr>
          <w:rFonts w:eastAsiaTheme="minorHAnsi"/>
        </w:rPr>
        <w:t>3</w:t>
      </w:r>
      <w:r w:rsidRPr="00F36A0F">
        <w:rPr>
          <w:rFonts w:eastAsiaTheme="minorHAnsi"/>
        </w:rPr>
        <w:t xml:space="preserve">. </w:t>
      </w:r>
      <w:r w:rsidR="000A467D" w:rsidRPr="00F36A0F">
        <w:rPr>
          <w:rFonts w:eastAsiaTheme="minorHAnsi"/>
        </w:rPr>
        <w:t xml:space="preserve">Flexible </w:t>
      </w:r>
      <w:r w:rsidR="002A3ADB" w:rsidRPr="00F36A0F">
        <w:rPr>
          <w:rFonts w:eastAsiaTheme="minorHAnsi"/>
        </w:rPr>
        <w:t>F</w:t>
      </w:r>
      <w:r w:rsidR="000A467D" w:rsidRPr="00F36A0F">
        <w:rPr>
          <w:rFonts w:eastAsiaTheme="minorHAnsi"/>
        </w:rPr>
        <w:t xml:space="preserve">unding </w:t>
      </w:r>
      <w:r w:rsidR="002A3ADB" w:rsidRPr="00F36A0F">
        <w:rPr>
          <w:rFonts w:eastAsiaTheme="minorHAnsi"/>
        </w:rPr>
        <w:t>B</w:t>
      </w:r>
      <w:r w:rsidR="000A467D" w:rsidRPr="00F36A0F">
        <w:rPr>
          <w:rFonts w:eastAsiaTheme="minorHAnsi"/>
        </w:rPr>
        <w:t xml:space="preserve">ased on </w:t>
      </w:r>
      <w:r w:rsidR="002A3ADB" w:rsidRPr="00F36A0F">
        <w:rPr>
          <w:rFonts w:eastAsiaTheme="minorHAnsi"/>
        </w:rPr>
        <w:t>R</w:t>
      </w:r>
      <w:r w:rsidR="000A467D" w:rsidRPr="00F36A0F">
        <w:rPr>
          <w:rFonts w:eastAsiaTheme="minorHAnsi"/>
        </w:rPr>
        <w:t xml:space="preserve">isk </w:t>
      </w:r>
      <w:r w:rsidR="002A3ADB" w:rsidRPr="00F36A0F">
        <w:rPr>
          <w:rFonts w:eastAsiaTheme="minorHAnsi"/>
        </w:rPr>
        <w:t>S</w:t>
      </w:r>
      <w:r w:rsidR="000A467D" w:rsidRPr="00F36A0F">
        <w:rPr>
          <w:rFonts w:eastAsiaTheme="minorHAnsi"/>
        </w:rPr>
        <w:t>tratification</w:t>
      </w:r>
    </w:p>
    <w:p w14:paraId="2CAA8DB4" w14:textId="77777777" w:rsidR="00AD0B1A" w:rsidRPr="00F36A0F" w:rsidRDefault="000A467D" w:rsidP="0010792D">
      <w:pPr>
        <w:rPr>
          <w:rFonts w:eastAsiaTheme="minorHAnsi"/>
        </w:rPr>
      </w:pPr>
      <w:r w:rsidRPr="00F36A0F">
        <w:rPr>
          <w:rFonts w:eastAsiaTheme="minorHAnsi"/>
        </w:rPr>
        <w:t xml:space="preserve">This intervention changed how GPs and </w:t>
      </w:r>
      <w:r w:rsidR="002F6327">
        <w:rPr>
          <w:rFonts w:eastAsiaTheme="minorHAnsi"/>
        </w:rPr>
        <w:t>AHP</w:t>
      </w:r>
      <w:r w:rsidRPr="00F36A0F">
        <w:rPr>
          <w:rFonts w:eastAsiaTheme="minorHAnsi"/>
        </w:rPr>
        <w:t>s received funding</w:t>
      </w:r>
      <w:r w:rsidR="00EE08BC" w:rsidRPr="00F36A0F">
        <w:rPr>
          <w:rFonts w:eastAsiaTheme="minorHAnsi"/>
        </w:rPr>
        <w:t xml:space="preserve"> related to diabetes care for </w:t>
      </w:r>
      <w:r w:rsidR="009C286D">
        <w:rPr>
          <w:rFonts w:eastAsiaTheme="minorHAnsi"/>
        </w:rPr>
        <w:t>people enrolled in a ‘</w:t>
      </w:r>
      <w:r w:rsidR="00982A19" w:rsidRPr="00F36A0F">
        <w:rPr>
          <w:rFonts w:eastAsiaTheme="minorHAnsi"/>
        </w:rPr>
        <w:t>health</w:t>
      </w:r>
      <w:r w:rsidR="009C286D">
        <w:rPr>
          <w:rFonts w:eastAsiaTheme="minorHAnsi"/>
        </w:rPr>
        <w:t xml:space="preserve"> care home</w:t>
      </w:r>
      <w:r w:rsidRPr="00F36A0F">
        <w:rPr>
          <w:rFonts w:eastAsiaTheme="minorHAnsi"/>
        </w:rPr>
        <w:t>.</w:t>
      </w:r>
      <w:r w:rsidR="009C286D">
        <w:rPr>
          <w:rFonts w:eastAsiaTheme="minorHAnsi"/>
        </w:rPr>
        <w:t>’</w:t>
      </w:r>
      <w:r w:rsidR="00ED6E95" w:rsidRPr="00F36A0F">
        <w:rPr>
          <w:rFonts w:eastAsiaTheme="minorHAnsi"/>
        </w:rPr>
        <w:t xml:space="preserve"> Funding levels were tiered according to risk</w:t>
      </w:r>
      <w:r w:rsidR="0045240C" w:rsidRPr="00F36A0F">
        <w:rPr>
          <w:rFonts w:eastAsiaTheme="minorHAnsi"/>
        </w:rPr>
        <w:t xml:space="preserve"> </w:t>
      </w:r>
      <w:r w:rsidR="00F1781A" w:rsidRPr="00F36A0F">
        <w:rPr>
          <w:rFonts w:eastAsiaTheme="minorHAnsi"/>
        </w:rPr>
        <w:t>to</w:t>
      </w:r>
      <w:r w:rsidR="0045240C" w:rsidRPr="00F36A0F">
        <w:rPr>
          <w:rFonts w:eastAsiaTheme="minorHAnsi"/>
        </w:rPr>
        <w:t xml:space="preserve"> </w:t>
      </w:r>
      <w:r w:rsidR="00F1781A" w:rsidRPr="00F36A0F">
        <w:rPr>
          <w:rFonts w:eastAsiaTheme="minorHAnsi"/>
        </w:rPr>
        <w:t xml:space="preserve">ensure </w:t>
      </w:r>
      <w:r w:rsidR="00277638" w:rsidRPr="00F36A0F">
        <w:rPr>
          <w:rFonts w:eastAsiaTheme="minorHAnsi"/>
        </w:rPr>
        <w:t xml:space="preserve">that </w:t>
      </w:r>
      <w:r w:rsidR="00F1781A" w:rsidRPr="00F36A0F">
        <w:rPr>
          <w:rFonts w:eastAsiaTheme="minorHAnsi"/>
        </w:rPr>
        <w:t xml:space="preserve">resources were directed where they could </w:t>
      </w:r>
      <w:r w:rsidR="008A5A91" w:rsidRPr="00F36A0F">
        <w:rPr>
          <w:rFonts w:eastAsiaTheme="minorHAnsi"/>
        </w:rPr>
        <w:t>realise the greatest benefits</w:t>
      </w:r>
      <w:r w:rsidR="00F1781A" w:rsidRPr="00F36A0F">
        <w:rPr>
          <w:rFonts w:eastAsiaTheme="minorHAnsi"/>
        </w:rPr>
        <w:t xml:space="preserve">. </w:t>
      </w:r>
      <w:r w:rsidR="00ED6E95" w:rsidRPr="00F36A0F">
        <w:rPr>
          <w:rFonts w:eastAsiaTheme="minorHAnsi"/>
        </w:rPr>
        <w:t xml:space="preserve">Enrolled </w:t>
      </w:r>
      <w:r w:rsidR="00AF5D68" w:rsidRPr="00F36A0F">
        <w:rPr>
          <w:rFonts w:eastAsiaTheme="minorHAnsi"/>
        </w:rPr>
        <w:t>participants</w:t>
      </w:r>
      <w:r w:rsidR="00ED6E95" w:rsidRPr="00F36A0F">
        <w:rPr>
          <w:rFonts w:eastAsiaTheme="minorHAnsi"/>
        </w:rPr>
        <w:t xml:space="preserve"> were </w:t>
      </w:r>
      <w:r w:rsidR="00AC423B">
        <w:rPr>
          <w:rFonts w:eastAsiaTheme="minorHAnsi"/>
        </w:rPr>
        <w:t xml:space="preserve">risk </w:t>
      </w:r>
      <w:r w:rsidR="00ED6E95" w:rsidRPr="00F36A0F">
        <w:rPr>
          <w:rFonts w:eastAsiaTheme="minorHAnsi"/>
        </w:rPr>
        <w:t xml:space="preserve">stratified based on </w:t>
      </w:r>
      <w:r w:rsidR="00F1781A" w:rsidRPr="00F36A0F">
        <w:rPr>
          <w:rFonts w:eastAsiaTheme="minorHAnsi"/>
        </w:rPr>
        <w:t xml:space="preserve">metabolic </w:t>
      </w:r>
      <w:r w:rsidR="00F1781A" w:rsidRPr="00F36A0F">
        <w:rPr>
          <w:rFonts w:eastAsiaTheme="minorHAnsi"/>
        </w:rPr>
        <w:lastRenderedPageBreak/>
        <w:t xml:space="preserve">predictors of long-term complications </w:t>
      </w:r>
      <w:r w:rsidR="00ED6E95" w:rsidRPr="00F36A0F">
        <w:rPr>
          <w:rFonts w:eastAsiaTheme="minorHAnsi"/>
        </w:rPr>
        <w:t xml:space="preserve">(i.e. their HbA1c levels, blood pressure and cholesterol levels) and </w:t>
      </w:r>
      <w:r w:rsidR="00F1781A" w:rsidRPr="00F36A0F">
        <w:rPr>
          <w:rFonts w:eastAsiaTheme="minorHAnsi"/>
        </w:rPr>
        <w:t xml:space="preserve">the presence of complications </w:t>
      </w:r>
      <w:r w:rsidR="0051506F" w:rsidRPr="00F36A0F">
        <w:rPr>
          <w:rFonts w:eastAsiaTheme="minorHAnsi"/>
        </w:rPr>
        <w:t xml:space="preserve">associated with </w:t>
      </w:r>
      <w:r w:rsidR="00F1781A" w:rsidRPr="00F36A0F">
        <w:rPr>
          <w:rFonts w:eastAsiaTheme="minorHAnsi"/>
        </w:rPr>
        <w:t xml:space="preserve">diabetes </w:t>
      </w:r>
      <w:r w:rsidR="00ED6E95" w:rsidRPr="00F36A0F">
        <w:rPr>
          <w:rFonts w:eastAsiaTheme="minorHAnsi"/>
        </w:rPr>
        <w:t xml:space="preserve">(i.e. the presence of </w:t>
      </w:r>
      <w:r w:rsidR="00982A19" w:rsidRPr="00F36A0F">
        <w:rPr>
          <w:rFonts w:eastAsiaTheme="minorHAnsi"/>
        </w:rPr>
        <w:t xml:space="preserve">microvascular or </w:t>
      </w:r>
      <w:r w:rsidR="008D3A04">
        <w:rPr>
          <w:rFonts w:eastAsiaTheme="minorHAnsi"/>
        </w:rPr>
        <w:t>macrovas</w:t>
      </w:r>
      <w:r w:rsidR="001156E5" w:rsidRPr="00F36A0F">
        <w:rPr>
          <w:rFonts w:eastAsiaTheme="minorHAnsi"/>
        </w:rPr>
        <w:t>cular complications</w:t>
      </w:r>
      <w:r w:rsidR="00ED6E95" w:rsidRPr="00F36A0F">
        <w:rPr>
          <w:rFonts w:eastAsiaTheme="minorHAnsi"/>
        </w:rPr>
        <w:t xml:space="preserve">). </w:t>
      </w:r>
      <w:r w:rsidR="00AD0B1A" w:rsidRPr="00F36A0F">
        <w:rPr>
          <w:rFonts w:eastAsiaTheme="minorHAnsi"/>
        </w:rPr>
        <w:t xml:space="preserve">Using these </w:t>
      </w:r>
      <w:r w:rsidR="00FC3EFD" w:rsidRPr="00F36A0F">
        <w:rPr>
          <w:rFonts w:eastAsiaTheme="minorHAnsi"/>
        </w:rPr>
        <w:t>criteria</w:t>
      </w:r>
      <w:r w:rsidR="00AD0B1A" w:rsidRPr="00F36A0F">
        <w:rPr>
          <w:rFonts w:eastAsiaTheme="minorHAnsi"/>
        </w:rPr>
        <w:t xml:space="preserve">, five risk stratification groups were identified among the enrolled </w:t>
      </w:r>
      <w:r w:rsidR="00AF5D68" w:rsidRPr="00F36A0F">
        <w:rPr>
          <w:rFonts w:eastAsiaTheme="minorHAnsi"/>
        </w:rPr>
        <w:t>participants</w:t>
      </w:r>
      <w:r w:rsidR="00706A11" w:rsidRPr="00F36A0F">
        <w:rPr>
          <w:rFonts w:eastAsiaTheme="minorHAnsi"/>
        </w:rPr>
        <w:t xml:space="preserve"> (</w:t>
      </w:r>
      <w:r w:rsidR="00304284" w:rsidRPr="00F36A0F">
        <w:rPr>
          <w:rFonts w:eastAsiaTheme="minorHAnsi"/>
        </w:rPr>
        <w:t>Figure</w:t>
      </w:r>
      <w:r w:rsidR="00706A11" w:rsidRPr="00F36A0F">
        <w:rPr>
          <w:rFonts w:eastAsiaTheme="minorHAnsi"/>
        </w:rPr>
        <w:t xml:space="preserve"> </w:t>
      </w:r>
      <w:r w:rsidR="00115504">
        <w:rPr>
          <w:rFonts w:eastAsiaTheme="minorHAnsi"/>
        </w:rPr>
        <w:t>7</w:t>
      </w:r>
      <w:r w:rsidR="00FC3EFD" w:rsidRPr="00F36A0F">
        <w:rPr>
          <w:rFonts w:eastAsiaTheme="minorHAnsi"/>
        </w:rPr>
        <w:t>)</w:t>
      </w:r>
      <w:r w:rsidR="00AD0B1A" w:rsidRPr="00F36A0F">
        <w:rPr>
          <w:rFonts w:eastAsiaTheme="minorHAnsi"/>
        </w:rPr>
        <w:t xml:space="preserve">. </w:t>
      </w:r>
    </w:p>
    <w:p w14:paraId="260AF65A" w14:textId="77777777" w:rsidR="00AD0B1A" w:rsidRPr="00F36A0F" w:rsidRDefault="00AD0B1A" w:rsidP="00DA6CB0">
      <w:pPr>
        <w:pStyle w:val="01squarebullet"/>
        <w:keepNext/>
        <w:rPr>
          <w:rFonts w:eastAsiaTheme="minorHAnsi"/>
        </w:rPr>
      </w:pPr>
      <w:r w:rsidRPr="00F36A0F">
        <w:rPr>
          <w:rFonts w:eastAsiaTheme="minorHAnsi"/>
        </w:rPr>
        <w:t>Within range and not complex</w:t>
      </w:r>
    </w:p>
    <w:p w14:paraId="0D99AADF" w14:textId="77777777" w:rsidR="00AD0B1A" w:rsidRPr="00F36A0F" w:rsidRDefault="00AD0B1A" w:rsidP="00AD0B1A">
      <w:pPr>
        <w:pStyle w:val="01squarebullet"/>
        <w:rPr>
          <w:rFonts w:eastAsiaTheme="minorHAnsi"/>
        </w:rPr>
      </w:pPr>
      <w:r w:rsidRPr="00F36A0F">
        <w:rPr>
          <w:rFonts w:eastAsiaTheme="minorHAnsi"/>
        </w:rPr>
        <w:t>Within range and complex</w:t>
      </w:r>
    </w:p>
    <w:p w14:paraId="5B3CEE20" w14:textId="77777777" w:rsidR="00AD0B1A" w:rsidRPr="00F36A0F" w:rsidRDefault="005C2B9E" w:rsidP="00AD0B1A">
      <w:pPr>
        <w:pStyle w:val="01squarebullet"/>
        <w:rPr>
          <w:rFonts w:eastAsiaTheme="minorHAnsi"/>
        </w:rPr>
      </w:pPr>
      <w:r w:rsidRPr="00F36A0F">
        <w:rPr>
          <w:rFonts w:eastAsiaTheme="minorHAnsi"/>
        </w:rPr>
        <w:t>Out of range</w:t>
      </w:r>
      <w:r w:rsidR="00AD0B1A" w:rsidRPr="00F36A0F">
        <w:rPr>
          <w:rFonts w:eastAsiaTheme="minorHAnsi"/>
        </w:rPr>
        <w:t xml:space="preserve"> and not complex</w:t>
      </w:r>
    </w:p>
    <w:p w14:paraId="4B88158B" w14:textId="77777777" w:rsidR="00AD0B1A" w:rsidRPr="00F36A0F" w:rsidRDefault="00AD0B1A" w:rsidP="00AD0B1A">
      <w:pPr>
        <w:pStyle w:val="01squarebullet"/>
        <w:rPr>
          <w:rFonts w:eastAsiaTheme="minorHAnsi"/>
        </w:rPr>
      </w:pPr>
      <w:r w:rsidRPr="00F36A0F">
        <w:rPr>
          <w:rFonts w:eastAsiaTheme="minorHAnsi"/>
        </w:rPr>
        <w:t>Out of range and complex</w:t>
      </w:r>
      <w:r w:rsidR="005C2B9E" w:rsidRPr="00F36A0F">
        <w:rPr>
          <w:rFonts w:eastAsiaTheme="minorHAnsi"/>
        </w:rPr>
        <w:t xml:space="preserve"> (</w:t>
      </w:r>
      <w:r w:rsidR="009C286D">
        <w:rPr>
          <w:rFonts w:eastAsiaTheme="minorHAnsi"/>
        </w:rPr>
        <w:t>this included people with t</w:t>
      </w:r>
      <w:r w:rsidR="005C2B9E" w:rsidRPr="00F36A0F">
        <w:rPr>
          <w:rFonts w:eastAsiaTheme="minorHAnsi"/>
        </w:rPr>
        <w:t>ype 1 diabetes)</w:t>
      </w:r>
    </w:p>
    <w:p w14:paraId="3EAF601F" w14:textId="77777777" w:rsidR="00AD0B1A" w:rsidRPr="00F36A0F" w:rsidRDefault="00AD0B1A" w:rsidP="00AD0B1A">
      <w:pPr>
        <w:pStyle w:val="01squarebullet"/>
        <w:rPr>
          <w:rFonts w:eastAsiaTheme="minorHAnsi"/>
        </w:rPr>
      </w:pPr>
      <w:r w:rsidRPr="00F36A0F">
        <w:rPr>
          <w:rFonts w:eastAsiaTheme="minorHAnsi"/>
        </w:rPr>
        <w:t xml:space="preserve">Newly diagnosed </w:t>
      </w:r>
      <w:r w:rsidR="00AF5D68" w:rsidRPr="00F36A0F">
        <w:rPr>
          <w:rFonts w:eastAsiaTheme="minorHAnsi"/>
        </w:rPr>
        <w:t>participants</w:t>
      </w:r>
      <w:r w:rsidRPr="00F36A0F">
        <w:rPr>
          <w:rFonts w:eastAsiaTheme="minorHAnsi"/>
        </w:rPr>
        <w:t xml:space="preserve"> (i.e. those diagnosed with diabetes less than 12 months </w:t>
      </w:r>
      <w:r w:rsidR="0031372C" w:rsidRPr="00F36A0F">
        <w:rPr>
          <w:rFonts w:eastAsiaTheme="minorHAnsi"/>
        </w:rPr>
        <w:t>before enro</w:t>
      </w:r>
      <w:r w:rsidR="00C03964" w:rsidRPr="00F36A0F">
        <w:rPr>
          <w:rFonts w:eastAsiaTheme="minorHAnsi"/>
        </w:rPr>
        <w:t>lment</w:t>
      </w:r>
      <w:r w:rsidRPr="00F36A0F">
        <w:rPr>
          <w:rFonts w:eastAsiaTheme="minorHAnsi"/>
        </w:rPr>
        <w:t>)</w:t>
      </w:r>
    </w:p>
    <w:p w14:paraId="69074AF1" w14:textId="77777777" w:rsidR="008C27BB" w:rsidRDefault="00E33368" w:rsidP="0010792D">
      <w:pPr>
        <w:rPr>
          <w:rFonts w:eastAsiaTheme="minorHAnsi"/>
        </w:rPr>
      </w:pPr>
      <w:r w:rsidRPr="00F36A0F">
        <w:rPr>
          <w:rFonts w:eastAsiaTheme="minorHAnsi"/>
        </w:rPr>
        <w:t xml:space="preserve">An important design choice </w:t>
      </w:r>
      <w:r w:rsidR="009C286D">
        <w:rPr>
          <w:rFonts w:eastAsiaTheme="minorHAnsi"/>
        </w:rPr>
        <w:t>when constructing</w:t>
      </w:r>
      <w:r w:rsidRPr="00F36A0F">
        <w:rPr>
          <w:rFonts w:eastAsiaTheme="minorHAnsi"/>
        </w:rPr>
        <w:t xml:space="preserve"> the risk strata was setting the thresholds for what constituted ‘within range / out of range’ and ‘not complex / complex</w:t>
      </w:r>
      <w:r w:rsidR="00807C74" w:rsidRPr="00F36A0F">
        <w:rPr>
          <w:rFonts w:eastAsiaTheme="minorHAnsi"/>
        </w:rPr>
        <w:t>.</w:t>
      </w:r>
      <w:r w:rsidRPr="00F36A0F">
        <w:rPr>
          <w:rFonts w:eastAsiaTheme="minorHAnsi"/>
        </w:rPr>
        <w:t xml:space="preserve">’ In terms of the threshold for HbA1c in particular, the </w:t>
      </w:r>
      <w:r w:rsidR="00FF3C16" w:rsidRPr="00F36A0F">
        <w:rPr>
          <w:rFonts w:eastAsiaTheme="minorHAnsi"/>
        </w:rPr>
        <w:t xml:space="preserve">Diabetes Advisory Group and local reference groups </w:t>
      </w:r>
      <w:r w:rsidRPr="00F36A0F">
        <w:rPr>
          <w:rFonts w:eastAsiaTheme="minorHAnsi"/>
        </w:rPr>
        <w:t xml:space="preserve">advised that </w:t>
      </w:r>
      <w:r w:rsidR="009C286D">
        <w:rPr>
          <w:rFonts w:eastAsiaTheme="minorHAnsi"/>
        </w:rPr>
        <w:t>although</w:t>
      </w:r>
      <w:r w:rsidR="007A459B">
        <w:rPr>
          <w:rFonts w:eastAsiaTheme="minorHAnsi"/>
        </w:rPr>
        <w:t xml:space="preserve"> the RACG</w:t>
      </w:r>
      <w:r w:rsidRPr="00F36A0F">
        <w:rPr>
          <w:rFonts w:eastAsiaTheme="minorHAnsi"/>
        </w:rPr>
        <w:t xml:space="preserve">P guidelines on the treatment </w:t>
      </w:r>
      <w:r w:rsidR="00151B0C" w:rsidRPr="00F36A0F">
        <w:rPr>
          <w:rFonts w:eastAsiaTheme="minorHAnsi"/>
        </w:rPr>
        <w:t>of di</w:t>
      </w:r>
      <w:r w:rsidR="00115504">
        <w:rPr>
          <w:rFonts w:eastAsiaTheme="minorHAnsi"/>
        </w:rPr>
        <w:t>abetes recommended HbA1c at 7.0 percent</w:t>
      </w:r>
      <w:r w:rsidR="00151B0C" w:rsidRPr="00F36A0F">
        <w:rPr>
          <w:rFonts w:eastAsiaTheme="minorHAnsi"/>
        </w:rPr>
        <w:t xml:space="preserve"> as the clinical </w:t>
      </w:r>
      <w:r w:rsidR="00B62991" w:rsidRPr="00F36A0F">
        <w:rPr>
          <w:rFonts w:eastAsiaTheme="minorHAnsi"/>
        </w:rPr>
        <w:t>target</w:t>
      </w:r>
      <w:r w:rsidR="009C286D">
        <w:rPr>
          <w:rFonts w:eastAsiaTheme="minorHAnsi"/>
        </w:rPr>
        <w:t>,</w:t>
      </w:r>
      <w:r w:rsidR="00771FC0">
        <w:rPr>
          <w:rFonts w:eastAsiaTheme="minorHAnsi"/>
          <w:vertAlign w:val="superscript"/>
        </w:rPr>
        <w:fldChar w:fldCharType="begin" w:fldLock="1"/>
      </w:r>
      <w:r w:rsidR="00113335">
        <w:rPr>
          <w:rFonts w:eastAsiaTheme="minorHAnsi"/>
          <w:vertAlign w:val="superscript"/>
        </w:rPr>
        <w:instrText>ADDIN CSL_CITATION { "citationItems" : [ { "id" : "ITEM-1", "itemData" : { "ISBN" : "9780869063750", "author" : [ { "dropping-particle" : "", "family" : "Royal Australian College of General Practitioners", "given" : "", "non-dropping-particle" : "", "parse-names" : false, "suffix" : "" } ], "id" : "ITEM-1", "issued" : { "date-parts" : [ [ "2014" ] ] }, "publisher" : "Royal Australian College of General Practitioners", "publisher-place" : "Melbourne", "title" : "General practice management of type 2 diabetes 2014\u201315", "type" : "book" }, "uris" : [ "http://www.mendeley.com/documents/?uuid=88ff81f5-1bf2-49a5-8700-6e3cdcaae08c" ] } ], "mendeley" : { "previouslyFormattedCitation" : "&lt;sup&gt;25&lt;/sup&gt;" }, "properties" : { "noteIndex" : 0 }, "schema" : "https://github.com/citation-style-language/schema/raw/master/csl-citation.json" }</w:instrText>
      </w:r>
      <w:r w:rsidR="00771FC0">
        <w:rPr>
          <w:rFonts w:eastAsiaTheme="minorHAnsi"/>
          <w:vertAlign w:val="superscript"/>
        </w:rPr>
        <w:fldChar w:fldCharType="separate"/>
      </w:r>
      <w:r w:rsidR="00113335" w:rsidRPr="00113335">
        <w:rPr>
          <w:rFonts w:eastAsiaTheme="minorHAnsi"/>
          <w:noProof/>
          <w:vertAlign w:val="superscript"/>
        </w:rPr>
        <w:t>25</w:t>
      </w:r>
      <w:r w:rsidR="00771FC0">
        <w:rPr>
          <w:rFonts w:eastAsiaTheme="minorHAnsi"/>
          <w:vertAlign w:val="superscript"/>
        </w:rPr>
        <w:fldChar w:fldCharType="end"/>
      </w:r>
      <w:r w:rsidR="00151B0C" w:rsidRPr="0011645E">
        <w:rPr>
          <w:rFonts w:eastAsiaTheme="minorHAnsi"/>
        </w:rPr>
        <w:t xml:space="preserve"> it was important for care teams involved in the trial to not aggressively treat people who were mar</w:t>
      </w:r>
      <w:r w:rsidR="00B62991" w:rsidRPr="0011645E">
        <w:rPr>
          <w:rFonts w:eastAsiaTheme="minorHAnsi"/>
        </w:rPr>
        <w:t>ginally a</w:t>
      </w:r>
      <w:r w:rsidR="009C286D">
        <w:rPr>
          <w:rFonts w:eastAsiaTheme="minorHAnsi"/>
        </w:rPr>
        <w:t xml:space="preserve">bove this (i.e. between 7.0 and </w:t>
      </w:r>
      <w:r w:rsidR="00115504">
        <w:rPr>
          <w:rFonts w:eastAsiaTheme="minorHAnsi"/>
        </w:rPr>
        <w:t>7.5 percent</w:t>
      </w:r>
      <w:r w:rsidR="00B62991" w:rsidRPr="0011645E">
        <w:rPr>
          <w:rFonts w:eastAsiaTheme="minorHAnsi"/>
        </w:rPr>
        <w:t>). For th</w:t>
      </w:r>
      <w:r w:rsidR="00B62991" w:rsidRPr="00F36A0F">
        <w:rPr>
          <w:rFonts w:eastAsiaTheme="minorHAnsi"/>
        </w:rPr>
        <w:t xml:space="preserve">is reason, the DCP was designed so that </w:t>
      </w:r>
      <w:r w:rsidR="00D94D12" w:rsidRPr="00F36A0F">
        <w:rPr>
          <w:rFonts w:eastAsiaTheme="minorHAnsi"/>
        </w:rPr>
        <w:t xml:space="preserve">people with </w:t>
      </w:r>
      <w:r w:rsidR="00115504">
        <w:rPr>
          <w:rFonts w:eastAsiaTheme="minorHAnsi"/>
        </w:rPr>
        <w:t>an HbA1c level greater than 7.5 percent</w:t>
      </w:r>
      <w:r w:rsidR="00D94D12" w:rsidRPr="00F36A0F">
        <w:rPr>
          <w:rFonts w:eastAsiaTheme="minorHAnsi"/>
        </w:rPr>
        <w:t xml:space="preserve"> were considered out of range for the purpose</w:t>
      </w:r>
      <w:r w:rsidR="00807C74">
        <w:rPr>
          <w:rFonts w:eastAsiaTheme="minorHAnsi"/>
        </w:rPr>
        <w:t>s</w:t>
      </w:r>
      <w:r w:rsidR="00D94D12" w:rsidRPr="00F36A0F">
        <w:rPr>
          <w:rFonts w:eastAsiaTheme="minorHAnsi"/>
        </w:rPr>
        <w:t xml:space="preserve"> of the </w:t>
      </w:r>
      <w:r w:rsidR="009C286D">
        <w:rPr>
          <w:rFonts w:eastAsiaTheme="minorHAnsi"/>
        </w:rPr>
        <w:t>project</w:t>
      </w:r>
      <w:r w:rsidR="00D94D12" w:rsidRPr="00F36A0F">
        <w:rPr>
          <w:rFonts w:eastAsiaTheme="minorHAnsi"/>
        </w:rPr>
        <w:t xml:space="preserve">. </w:t>
      </w:r>
      <w:r w:rsidR="00FF3C16" w:rsidRPr="00F36A0F">
        <w:rPr>
          <w:rFonts w:eastAsiaTheme="minorHAnsi"/>
        </w:rPr>
        <w:t>The same principle was applied to blood pressure</w:t>
      </w:r>
      <w:r w:rsidR="00116AA8" w:rsidRPr="00F36A0F">
        <w:rPr>
          <w:rFonts w:eastAsiaTheme="minorHAnsi"/>
        </w:rPr>
        <w:t xml:space="preserve"> and total cholesterol</w:t>
      </w:r>
      <w:r w:rsidR="00FF3C16" w:rsidRPr="00F36A0F">
        <w:rPr>
          <w:rFonts w:eastAsiaTheme="minorHAnsi"/>
        </w:rPr>
        <w:t xml:space="preserve"> thresholds.</w:t>
      </w:r>
      <w:r w:rsidR="007B4C21" w:rsidRPr="00F36A0F">
        <w:rPr>
          <w:rFonts w:eastAsiaTheme="minorHAnsi"/>
        </w:rPr>
        <w:t xml:space="preserve"> </w:t>
      </w:r>
    </w:p>
    <w:p w14:paraId="57D2FCE8" w14:textId="77777777" w:rsidR="008C27BB" w:rsidRDefault="008C27BB">
      <w:pPr>
        <w:pStyle w:val="60exhnormal"/>
        <w:keepNext/>
      </w:pPr>
      <w:r>
        <w:lastRenderedPageBreak/>
        <w:t xml:space="preserve">figure </w:t>
      </w:r>
      <w:r w:rsidR="00811EA3">
        <w:t>7</w:t>
      </w:r>
    </w:p>
    <w:p w14:paraId="543D25B3" w14:textId="77777777" w:rsidR="00546CB7" w:rsidRPr="002F75C5" w:rsidRDefault="002F75C5" w:rsidP="002F75C5">
      <w:pPr>
        <w:pStyle w:val="60exhnormal"/>
        <w:keepNext/>
        <w:jc w:val="center"/>
      </w:pPr>
      <w:r>
        <w:rPr>
          <w:noProof/>
          <w:lang w:eastAsia="en-AU"/>
        </w:rPr>
        <w:drawing>
          <wp:inline distT="0" distB="0" distL="0" distR="0" wp14:anchorId="29B2550E" wp14:editId="0EE0D4A0">
            <wp:extent cx="4906645" cy="3677285"/>
            <wp:effectExtent l="0" t="0" r="8255" b="0"/>
            <wp:docPr id="80" name="Picture 80" descr="Figure 7 is the DCP risk stratification matrix allocated participants to one of five risk categories: within range and not complex; within range and complex; out of range and not complex; out of range and complex; and newly diagnosed. In this matrix, a participant was considered “complex” if he or she had eye, limb, heart or kidney complications and/or depression. A participant was considered “not complex” if he or she did not have any of these complications. A participant was considered 'out of range' if he or she had an HbA1c level greater than 7.5 percent; blood pressure greater than 150/80; cholesterol greater than 5 mmol; or blood pressure greater than 140/80 and cholesterol greater than 4.5 mmol. A participant was considered “within range” if he or she was not outside the target range for HbA1c, blood pressure or cholesterol. Participants were considered newly diagnosed if they had been diagnosed with diabetes within the last twelve mont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906645" cy="367728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48DC2090" w14:textId="77777777" w:rsidR="00BD08D0" w:rsidRPr="00F36A0F" w:rsidRDefault="00AC423B" w:rsidP="0010792D">
      <w:pPr>
        <w:rPr>
          <w:rFonts w:eastAsiaTheme="minorHAnsi"/>
        </w:rPr>
      </w:pPr>
      <w:r>
        <w:rPr>
          <w:rFonts w:eastAsiaTheme="minorHAnsi"/>
        </w:rPr>
        <w:t>Under the flexible funding arrangements, g</w:t>
      </w:r>
      <w:r w:rsidR="00EE08BC" w:rsidRPr="00F36A0F">
        <w:rPr>
          <w:rFonts w:eastAsiaTheme="minorHAnsi"/>
        </w:rPr>
        <w:t xml:space="preserve">eneral practices received </w:t>
      </w:r>
      <w:r w:rsidR="00FC3EFD" w:rsidRPr="00F36A0F">
        <w:rPr>
          <w:rFonts w:eastAsiaTheme="minorHAnsi"/>
        </w:rPr>
        <w:t>annual payments quarterly</w:t>
      </w:r>
      <w:r w:rsidR="002D5C9D" w:rsidRPr="00F36A0F">
        <w:rPr>
          <w:rFonts w:eastAsiaTheme="minorHAnsi"/>
        </w:rPr>
        <w:t xml:space="preserve"> </w:t>
      </w:r>
      <w:r w:rsidR="00D52624" w:rsidRPr="00F36A0F">
        <w:rPr>
          <w:rFonts w:eastAsiaTheme="minorHAnsi"/>
        </w:rPr>
        <w:t>(</w:t>
      </w:r>
      <w:r w:rsidR="002D5C9D" w:rsidRPr="00F36A0F">
        <w:rPr>
          <w:rFonts w:eastAsiaTheme="minorHAnsi"/>
        </w:rPr>
        <w:t>and</w:t>
      </w:r>
      <w:r w:rsidR="00FC3EFD" w:rsidRPr="00F36A0F">
        <w:rPr>
          <w:rFonts w:eastAsiaTheme="minorHAnsi"/>
        </w:rPr>
        <w:t xml:space="preserve"> in advance</w:t>
      </w:r>
      <w:r w:rsidR="00D52624" w:rsidRPr="00F36A0F">
        <w:rPr>
          <w:rFonts w:eastAsiaTheme="minorHAnsi"/>
        </w:rPr>
        <w:t>)</w:t>
      </w:r>
      <w:r w:rsidR="00EE08BC" w:rsidRPr="00F36A0F">
        <w:rPr>
          <w:rFonts w:eastAsiaTheme="minorHAnsi"/>
        </w:rPr>
        <w:t xml:space="preserve"> for the cohort of </w:t>
      </w:r>
      <w:r w:rsidR="00FC3EFD" w:rsidRPr="00F36A0F">
        <w:rPr>
          <w:rFonts w:eastAsiaTheme="minorHAnsi"/>
        </w:rPr>
        <w:t>people they enrolled in the</w:t>
      </w:r>
      <w:r w:rsidR="00982A19" w:rsidRPr="00F36A0F">
        <w:rPr>
          <w:rFonts w:eastAsiaTheme="minorHAnsi"/>
        </w:rPr>
        <w:t xml:space="preserve">ir </w:t>
      </w:r>
      <w:r w:rsidR="00FF3C16" w:rsidRPr="00F36A0F">
        <w:rPr>
          <w:rFonts w:eastAsiaTheme="minorHAnsi"/>
        </w:rPr>
        <w:t>care</w:t>
      </w:r>
      <w:r w:rsidR="00FC3EFD" w:rsidRPr="00F36A0F">
        <w:rPr>
          <w:rFonts w:eastAsiaTheme="minorHAnsi"/>
        </w:rPr>
        <w:t>.</w:t>
      </w:r>
      <w:r w:rsidR="00EE08BC" w:rsidRPr="00F36A0F">
        <w:rPr>
          <w:rFonts w:eastAsiaTheme="minorHAnsi"/>
        </w:rPr>
        <w:t xml:space="preserve"> </w:t>
      </w:r>
      <w:r w:rsidR="00407F97" w:rsidRPr="00F36A0F">
        <w:rPr>
          <w:rFonts w:eastAsiaTheme="minorHAnsi"/>
        </w:rPr>
        <w:t xml:space="preserve">These payments ranged </w:t>
      </w:r>
      <w:r w:rsidR="00DB7D45" w:rsidRPr="00F36A0F">
        <w:rPr>
          <w:rFonts w:eastAsiaTheme="minorHAnsi"/>
        </w:rPr>
        <w:t xml:space="preserve">from </w:t>
      </w:r>
      <w:r w:rsidR="00AB07B6" w:rsidRPr="00F36A0F">
        <w:rPr>
          <w:rFonts w:eastAsiaTheme="minorHAnsi"/>
        </w:rPr>
        <w:t>$130 to $350 per</w:t>
      </w:r>
      <w:r w:rsidR="002C7AF7" w:rsidRPr="00F36A0F">
        <w:rPr>
          <w:rFonts w:eastAsiaTheme="minorHAnsi"/>
        </w:rPr>
        <w:t xml:space="preserve"> </w:t>
      </w:r>
      <w:r w:rsidR="009C286D">
        <w:rPr>
          <w:rFonts w:eastAsiaTheme="minorHAnsi"/>
        </w:rPr>
        <w:t xml:space="preserve">person per </w:t>
      </w:r>
      <w:r w:rsidR="002C7AF7" w:rsidRPr="00F36A0F">
        <w:rPr>
          <w:rFonts w:eastAsiaTheme="minorHAnsi"/>
        </w:rPr>
        <w:t>year</w:t>
      </w:r>
      <w:r w:rsidR="004A3FB4" w:rsidRPr="00F36A0F">
        <w:rPr>
          <w:rFonts w:eastAsiaTheme="minorHAnsi"/>
        </w:rPr>
        <w:t>,</w:t>
      </w:r>
      <w:r w:rsidR="002C7AF7" w:rsidRPr="00F36A0F">
        <w:rPr>
          <w:rFonts w:eastAsiaTheme="minorHAnsi"/>
        </w:rPr>
        <w:t xml:space="preserve"> depending on the risk level of the </w:t>
      </w:r>
      <w:r w:rsidR="00A83B18">
        <w:rPr>
          <w:rFonts w:eastAsiaTheme="minorHAnsi"/>
        </w:rPr>
        <w:t>participant</w:t>
      </w:r>
      <w:r w:rsidR="002C7AF7" w:rsidRPr="00F36A0F">
        <w:rPr>
          <w:rFonts w:eastAsiaTheme="minorHAnsi"/>
        </w:rPr>
        <w:t>.</w:t>
      </w:r>
      <w:r w:rsidR="00EE08BC" w:rsidRPr="00F36A0F">
        <w:rPr>
          <w:rFonts w:eastAsiaTheme="minorHAnsi"/>
        </w:rPr>
        <w:t xml:space="preserve"> </w:t>
      </w:r>
      <w:r w:rsidR="00367BDE" w:rsidRPr="00F36A0F">
        <w:rPr>
          <w:rFonts w:eastAsiaTheme="minorHAnsi"/>
        </w:rPr>
        <w:t xml:space="preserve">In exchange, </w:t>
      </w:r>
      <w:r w:rsidR="00FF31E0">
        <w:rPr>
          <w:rFonts w:eastAsiaTheme="minorHAnsi"/>
        </w:rPr>
        <w:t>GPs</w:t>
      </w:r>
      <w:r w:rsidR="00367BDE" w:rsidRPr="00F36A0F">
        <w:rPr>
          <w:rFonts w:eastAsiaTheme="minorHAnsi"/>
        </w:rPr>
        <w:t xml:space="preserve"> could not claim MBS items </w:t>
      </w:r>
      <w:r w:rsidR="005F0C0C" w:rsidRPr="00F36A0F">
        <w:rPr>
          <w:rFonts w:eastAsiaTheme="minorHAnsi"/>
        </w:rPr>
        <w:t xml:space="preserve">for care plans, team care arrangements and related items </w:t>
      </w:r>
      <w:r w:rsidR="00367BDE" w:rsidRPr="00F36A0F">
        <w:rPr>
          <w:rFonts w:eastAsiaTheme="minorHAnsi"/>
        </w:rPr>
        <w:t>for those people (</w:t>
      </w:r>
      <w:r w:rsidR="00304284" w:rsidRPr="00F36A0F">
        <w:rPr>
          <w:rFonts w:eastAsiaTheme="minorHAnsi"/>
        </w:rPr>
        <w:t>Figure</w:t>
      </w:r>
      <w:r w:rsidR="00367BDE" w:rsidRPr="00F36A0F">
        <w:rPr>
          <w:rFonts w:eastAsiaTheme="minorHAnsi"/>
        </w:rPr>
        <w:t xml:space="preserve"> </w:t>
      </w:r>
      <w:r w:rsidR="00085A58">
        <w:rPr>
          <w:rFonts w:eastAsiaTheme="minorHAnsi"/>
        </w:rPr>
        <w:t>8</w:t>
      </w:r>
      <w:r w:rsidR="00D411A0">
        <w:rPr>
          <w:rFonts w:eastAsiaTheme="minorHAnsi"/>
        </w:rPr>
        <w:t xml:space="preserve"> and Figure 9</w:t>
      </w:r>
      <w:r w:rsidR="00367BDE" w:rsidRPr="00F36A0F">
        <w:rPr>
          <w:rFonts w:eastAsiaTheme="minorHAnsi"/>
        </w:rPr>
        <w:t xml:space="preserve">). </w:t>
      </w:r>
      <w:r w:rsidR="002C7AF7" w:rsidRPr="00F36A0F">
        <w:rPr>
          <w:rFonts w:eastAsiaTheme="minorHAnsi"/>
        </w:rPr>
        <w:t xml:space="preserve">Unlike the </w:t>
      </w:r>
      <w:r w:rsidR="00870FC2">
        <w:rPr>
          <w:rFonts w:eastAsiaTheme="minorHAnsi"/>
        </w:rPr>
        <w:t>MBS</w:t>
      </w:r>
      <w:r w:rsidR="002C7AF7" w:rsidRPr="00F36A0F">
        <w:rPr>
          <w:rFonts w:eastAsiaTheme="minorHAnsi"/>
        </w:rPr>
        <w:t xml:space="preserve"> items </w:t>
      </w:r>
      <w:r w:rsidR="004A3FB4" w:rsidRPr="00F36A0F">
        <w:rPr>
          <w:rFonts w:eastAsiaTheme="minorHAnsi"/>
        </w:rPr>
        <w:t xml:space="preserve">these payments </w:t>
      </w:r>
      <w:r w:rsidR="002C7AF7" w:rsidRPr="00F36A0F">
        <w:rPr>
          <w:rFonts w:eastAsiaTheme="minorHAnsi"/>
        </w:rPr>
        <w:t>replaced, t</w:t>
      </w:r>
      <w:r w:rsidR="00EE08BC" w:rsidRPr="00F36A0F">
        <w:rPr>
          <w:rFonts w:eastAsiaTheme="minorHAnsi"/>
        </w:rPr>
        <w:t xml:space="preserve">his funding was </w:t>
      </w:r>
      <w:r w:rsidR="002C7AF7" w:rsidRPr="00F36A0F">
        <w:rPr>
          <w:rFonts w:eastAsiaTheme="minorHAnsi"/>
        </w:rPr>
        <w:t xml:space="preserve">paid on a population basis and </w:t>
      </w:r>
      <w:r w:rsidR="004E4107" w:rsidRPr="00F36A0F">
        <w:rPr>
          <w:rFonts w:eastAsiaTheme="minorHAnsi"/>
        </w:rPr>
        <w:t xml:space="preserve">was </w:t>
      </w:r>
      <w:r w:rsidR="00EE08BC" w:rsidRPr="00F36A0F">
        <w:rPr>
          <w:rFonts w:eastAsiaTheme="minorHAnsi"/>
        </w:rPr>
        <w:t xml:space="preserve">not tied to activity. </w:t>
      </w:r>
      <w:r w:rsidR="00BD08D0" w:rsidRPr="00F36A0F">
        <w:rPr>
          <w:rFonts w:eastAsiaTheme="minorHAnsi"/>
        </w:rPr>
        <w:t>The system did not fully replace fee-for-service payments</w:t>
      </w:r>
      <w:r w:rsidR="00EC1B30" w:rsidRPr="00F36A0F">
        <w:rPr>
          <w:rFonts w:eastAsiaTheme="minorHAnsi"/>
        </w:rPr>
        <w:t>, however, and practices continued to claim</w:t>
      </w:r>
      <w:r w:rsidR="00BD08D0" w:rsidRPr="00F36A0F">
        <w:rPr>
          <w:rFonts w:eastAsiaTheme="minorHAnsi"/>
        </w:rPr>
        <w:t xml:space="preserve"> for standard consultations and other items</w:t>
      </w:r>
      <w:r w:rsidR="00EC1B30" w:rsidRPr="00F36A0F">
        <w:rPr>
          <w:rFonts w:eastAsiaTheme="minorHAnsi"/>
        </w:rPr>
        <w:t>. The result was a</w:t>
      </w:r>
      <w:r w:rsidR="00E027EA">
        <w:rPr>
          <w:rFonts w:eastAsiaTheme="minorHAnsi"/>
        </w:rPr>
        <w:t> </w:t>
      </w:r>
      <w:r w:rsidR="00EC1B30" w:rsidRPr="00F36A0F">
        <w:rPr>
          <w:rFonts w:eastAsiaTheme="minorHAnsi"/>
        </w:rPr>
        <w:t>hybrid system with a component of population-based funding and a component of activity-based funding.</w:t>
      </w:r>
      <w:r w:rsidR="00EE3B31">
        <w:rPr>
          <w:rFonts w:eastAsiaTheme="minorHAnsi"/>
        </w:rPr>
        <w:t xml:space="preserve"> Practices were free to decide how to allocate this funding, including how much was passed on to </w:t>
      </w:r>
      <w:r w:rsidR="00870FC2">
        <w:rPr>
          <w:rFonts w:eastAsiaTheme="minorHAnsi"/>
        </w:rPr>
        <w:t>GPs</w:t>
      </w:r>
      <w:r w:rsidR="00EE3B31">
        <w:rPr>
          <w:rFonts w:eastAsiaTheme="minorHAnsi"/>
        </w:rPr>
        <w:t xml:space="preserve"> themselves.</w:t>
      </w:r>
    </w:p>
    <w:p w14:paraId="3FDA1AAA" w14:textId="77777777" w:rsidR="00EE08BC" w:rsidRPr="00F36A0F" w:rsidRDefault="001E7A55" w:rsidP="0010792D">
      <w:pPr>
        <w:rPr>
          <w:rFonts w:eastAsiaTheme="minorHAnsi"/>
        </w:rPr>
      </w:pPr>
      <w:r w:rsidRPr="00F36A0F">
        <w:rPr>
          <w:rFonts w:eastAsiaTheme="minorHAnsi"/>
        </w:rPr>
        <w:t xml:space="preserve">Setting the funding levels for flexible funding was </w:t>
      </w:r>
      <w:r w:rsidR="00807C74">
        <w:rPr>
          <w:rFonts w:eastAsiaTheme="minorHAnsi"/>
        </w:rPr>
        <w:t>challenging</w:t>
      </w:r>
      <w:r w:rsidR="00807C74" w:rsidRPr="00F36A0F">
        <w:rPr>
          <w:rFonts w:eastAsiaTheme="minorHAnsi"/>
        </w:rPr>
        <w:t xml:space="preserve"> </w:t>
      </w:r>
      <w:r w:rsidR="009C286D">
        <w:rPr>
          <w:rFonts w:eastAsiaTheme="minorHAnsi"/>
        </w:rPr>
        <w:t xml:space="preserve">because of </w:t>
      </w:r>
      <w:r w:rsidRPr="00F36A0F">
        <w:rPr>
          <w:rFonts w:eastAsiaTheme="minorHAnsi"/>
        </w:rPr>
        <w:t xml:space="preserve">uncertainty about how much practices were receiving for </w:t>
      </w:r>
      <w:r w:rsidR="00A83B18">
        <w:rPr>
          <w:rFonts w:eastAsiaTheme="minorHAnsi"/>
        </w:rPr>
        <w:t>participants</w:t>
      </w:r>
      <w:r w:rsidRPr="00F36A0F">
        <w:rPr>
          <w:rFonts w:eastAsiaTheme="minorHAnsi"/>
        </w:rPr>
        <w:t xml:space="preserve"> on GP management plans and other chronic disease items. Given </w:t>
      </w:r>
      <w:r w:rsidR="009C286D">
        <w:rPr>
          <w:rFonts w:eastAsiaTheme="minorHAnsi"/>
        </w:rPr>
        <w:t xml:space="preserve">that </w:t>
      </w:r>
      <w:r w:rsidRPr="00F36A0F">
        <w:rPr>
          <w:rFonts w:eastAsiaTheme="minorHAnsi"/>
        </w:rPr>
        <w:t>the DCP</w:t>
      </w:r>
      <w:r w:rsidR="00EC1B30" w:rsidRPr="00F36A0F">
        <w:rPr>
          <w:rFonts w:eastAsiaTheme="minorHAnsi"/>
        </w:rPr>
        <w:t xml:space="preserve"> was </w:t>
      </w:r>
      <w:r w:rsidR="00C04E7A" w:rsidRPr="00F36A0F">
        <w:rPr>
          <w:rFonts w:eastAsiaTheme="minorHAnsi"/>
        </w:rPr>
        <w:t xml:space="preserve">a voluntary opt-in trial running parallel </w:t>
      </w:r>
      <w:r w:rsidR="00807C74">
        <w:rPr>
          <w:rFonts w:eastAsiaTheme="minorHAnsi"/>
        </w:rPr>
        <w:t>with</w:t>
      </w:r>
      <w:r w:rsidR="00807C74" w:rsidRPr="00F36A0F">
        <w:rPr>
          <w:rFonts w:eastAsiaTheme="minorHAnsi"/>
        </w:rPr>
        <w:t xml:space="preserve"> </w:t>
      </w:r>
      <w:r w:rsidR="00C04E7A" w:rsidRPr="00F36A0F">
        <w:rPr>
          <w:rFonts w:eastAsiaTheme="minorHAnsi"/>
        </w:rPr>
        <w:t xml:space="preserve">the MBS, it was important to ensure that </w:t>
      </w:r>
      <w:r w:rsidR="009C286D">
        <w:rPr>
          <w:rFonts w:eastAsiaTheme="minorHAnsi"/>
        </w:rPr>
        <w:t>practices receiving</w:t>
      </w:r>
      <w:r w:rsidR="00C04E7A" w:rsidRPr="00F36A0F">
        <w:rPr>
          <w:rFonts w:eastAsiaTheme="minorHAnsi"/>
        </w:rPr>
        <w:t xml:space="preserve"> flexible funding payments </w:t>
      </w:r>
      <w:r w:rsidR="009C286D">
        <w:rPr>
          <w:rFonts w:eastAsiaTheme="minorHAnsi"/>
        </w:rPr>
        <w:t>were</w:t>
      </w:r>
      <w:r w:rsidR="00C04E7A" w:rsidRPr="00F36A0F">
        <w:rPr>
          <w:rFonts w:eastAsiaTheme="minorHAnsi"/>
        </w:rPr>
        <w:t xml:space="preserve"> no worse off</w:t>
      </w:r>
      <w:r w:rsidR="001D423C" w:rsidRPr="00F36A0F">
        <w:rPr>
          <w:rFonts w:eastAsiaTheme="minorHAnsi"/>
        </w:rPr>
        <w:t xml:space="preserve"> </w:t>
      </w:r>
      <w:r w:rsidR="00C04E7A" w:rsidRPr="00F36A0F">
        <w:rPr>
          <w:rFonts w:eastAsiaTheme="minorHAnsi"/>
        </w:rPr>
        <w:t xml:space="preserve">on a </w:t>
      </w:r>
      <w:r w:rsidR="00807C74" w:rsidRPr="00F36A0F">
        <w:rPr>
          <w:rFonts w:eastAsiaTheme="minorHAnsi"/>
        </w:rPr>
        <w:t>per</w:t>
      </w:r>
      <w:r w:rsidR="00807C74">
        <w:rPr>
          <w:rFonts w:eastAsiaTheme="minorHAnsi"/>
        </w:rPr>
        <w:t>-</w:t>
      </w:r>
      <w:r w:rsidR="00C04E7A" w:rsidRPr="00F36A0F">
        <w:rPr>
          <w:rFonts w:eastAsiaTheme="minorHAnsi"/>
        </w:rPr>
        <w:t xml:space="preserve">patient basis than under the </w:t>
      </w:r>
      <w:r w:rsidR="001D423C" w:rsidRPr="00F36A0F">
        <w:rPr>
          <w:rFonts w:eastAsiaTheme="minorHAnsi"/>
        </w:rPr>
        <w:t xml:space="preserve">usual MBS chronic disease items. </w:t>
      </w:r>
    </w:p>
    <w:p w14:paraId="2D3DCA3E" w14:textId="77777777" w:rsidR="00EE08BC" w:rsidRPr="00F36A0F" w:rsidRDefault="00367BDE" w:rsidP="00EE08BC">
      <w:pPr>
        <w:rPr>
          <w:rFonts w:eastAsiaTheme="minorHAnsi"/>
        </w:rPr>
      </w:pPr>
      <w:r w:rsidRPr="00F36A0F">
        <w:rPr>
          <w:rFonts w:eastAsiaTheme="minorHAnsi"/>
        </w:rPr>
        <w:t>Funding for allied health remained tied to act</w:t>
      </w:r>
      <w:r w:rsidRPr="009C286D">
        <w:rPr>
          <w:rFonts w:eastAsiaTheme="minorHAnsi"/>
        </w:rPr>
        <w:t>ivit</w:t>
      </w:r>
      <w:r w:rsidRPr="00F36A0F">
        <w:rPr>
          <w:rFonts w:eastAsiaTheme="minorHAnsi"/>
        </w:rPr>
        <w:t xml:space="preserve">y but </w:t>
      </w:r>
      <w:r w:rsidR="00442E34" w:rsidRPr="00F36A0F">
        <w:rPr>
          <w:rFonts w:eastAsiaTheme="minorHAnsi"/>
        </w:rPr>
        <w:t>differed from</w:t>
      </w:r>
      <w:r w:rsidRPr="00F36A0F">
        <w:rPr>
          <w:rFonts w:eastAsiaTheme="minorHAnsi"/>
        </w:rPr>
        <w:t xml:space="preserve"> </w:t>
      </w:r>
      <w:r w:rsidR="00E15B06" w:rsidRPr="00F36A0F">
        <w:rPr>
          <w:rFonts w:eastAsiaTheme="minorHAnsi"/>
        </w:rPr>
        <w:t xml:space="preserve">current </w:t>
      </w:r>
      <w:r w:rsidRPr="00F36A0F">
        <w:rPr>
          <w:rFonts w:eastAsiaTheme="minorHAnsi"/>
        </w:rPr>
        <w:t>allied health funding</w:t>
      </w:r>
      <w:r w:rsidR="00D713A3" w:rsidRPr="00F36A0F">
        <w:rPr>
          <w:rFonts w:eastAsiaTheme="minorHAnsi"/>
        </w:rPr>
        <w:t xml:space="preserve"> in two ways</w:t>
      </w:r>
      <w:r w:rsidRPr="00F36A0F">
        <w:rPr>
          <w:rFonts w:eastAsiaTheme="minorHAnsi"/>
        </w:rPr>
        <w:t xml:space="preserve">. </w:t>
      </w:r>
      <w:r w:rsidR="009D66A5">
        <w:rPr>
          <w:rFonts w:eastAsiaTheme="minorHAnsi"/>
        </w:rPr>
        <w:t>First</w:t>
      </w:r>
      <w:r w:rsidRPr="00F36A0F">
        <w:rPr>
          <w:rFonts w:eastAsiaTheme="minorHAnsi"/>
        </w:rPr>
        <w:t xml:space="preserve">, the amount of funding was </w:t>
      </w:r>
      <w:r w:rsidR="00943DEC" w:rsidRPr="00F36A0F">
        <w:rPr>
          <w:rFonts w:eastAsiaTheme="minorHAnsi"/>
        </w:rPr>
        <w:t xml:space="preserve">tiered </w:t>
      </w:r>
      <w:r w:rsidRPr="00F36A0F">
        <w:rPr>
          <w:rFonts w:eastAsiaTheme="minorHAnsi"/>
        </w:rPr>
        <w:t>based on risk so that a high</w:t>
      </w:r>
      <w:r w:rsidR="003C7705" w:rsidRPr="00F36A0F">
        <w:rPr>
          <w:rFonts w:eastAsiaTheme="minorHAnsi"/>
        </w:rPr>
        <w:t>-</w:t>
      </w:r>
      <w:r w:rsidRPr="00F36A0F">
        <w:rPr>
          <w:rFonts w:eastAsiaTheme="minorHAnsi"/>
        </w:rPr>
        <w:t xml:space="preserve">risk </w:t>
      </w:r>
      <w:r w:rsidR="00A83B18">
        <w:rPr>
          <w:rFonts w:eastAsiaTheme="minorHAnsi"/>
        </w:rPr>
        <w:t>person</w:t>
      </w:r>
      <w:r w:rsidRPr="00F36A0F">
        <w:rPr>
          <w:rFonts w:eastAsiaTheme="minorHAnsi"/>
        </w:rPr>
        <w:t xml:space="preserve"> could receive up </w:t>
      </w:r>
      <w:r w:rsidR="00DD3C10" w:rsidRPr="00F36A0F">
        <w:rPr>
          <w:rFonts w:eastAsiaTheme="minorHAnsi"/>
        </w:rPr>
        <w:t xml:space="preserve">to </w:t>
      </w:r>
      <w:r w:rsidR="00592291" w:rsidRPr="00F36A0F">
        <w:rPr>
          <w:rFonts w:eastAsiaTheme="minorHAnsi"/>
        </w:rPr>
        <w:t xml:space="preserve">$666 </w:t>
      </w:r>
      <w:r w:rsidRPr="00F36A0F">
        <w:rPr>
          <w:rFonts w:eastAsiaTheme="minorHAnsi"/>
        </w:rPr>
        <w:t>of funding</w:t>
      </w:r>
      <w:r w:rsidR="00503103" w:rsidRPr="00F36A0F">
        <w:rPr>
          <w:rFonts w:eastAsiaTheme="minorHAnsi"/>
        </w:rPr>
        <w:t xml:space="preserve"> per year</w:t>
      </w:r>
      <w:r w:rsidR="00A253B5" w:rsidRPr="00F36A0F">
        <w:rPr>
          <w:rFonts w:eastAsiaTheme="minorHAnsi"/>
        </w:rPr>
        <w:t>—</w:t>
      </w:r>
      <w:r w:rsidRPr="00F36A0F">
        <w:rPr>
          <w:rFonts w:eastAsiaTheme="minorHAnsi"/>
        </w:rPr>
        <w:t xml:space="preserve">enough to pay for about </w:t>
      </w:r>
      <w:r w:rsidR="003B0E03" w:rsidRPr="00F36A0F">
        <w:rPr>
          <w:rFonts w:eastAsiaTheme="minorHAnsi"/>
        </w:rPr>
        <w:t xml:space="preserve">ten </w:t>
      </w:r>
      <w:r w:rsidRPr="00F36A0F">
        <w:rPr>
          <w:rFonts w:eastAsiaTheme="minorHAnsi"/>
        </w:rPr>
        <w:t>standard visits</w:t>
      </w:r>
      <w:r w:rsidR="00503103" w:rsidRPr="00F36A0F">
        <w:rPr>
          <w:rFonts w:eastAsiaTheme="minorHAnsi"/>
        </w:rPr>
        <w:t xml:space="preserve"> (compared to </w:t>
      </w:r>
      <w:r w:rsidR="00E25BD4" w:rsidRPr="00F36A0F">
        <w:rPr>
          <w:rFonts w:eastAsiaTheme="minorHAnsi"/>
        </w:rPr>
        <w:t xml:space="preserve">the </w:t>
      </w:r>
      <w:r w:rsidR="00503103" w:rsidRPr="00F36A0F">
        <w:rPr>
          <w:rFonts w:eastAsiaTheme="minorHAnsi"/>
        </w:rPr>
        <w:t xml:space="preserve">five individual visits permitted under a </w:t>
      </w:r>
      <w:r w:rsidR="007A34DD" w:rsidRPr="00F36A0F">
        <w:rPr>
          <w:rFonts w:eastAsiaTheme="minorHAnsi"/>
        </w:rPr>
        <w:t xml:space="preserve">current </w:t>
      </w:r>
      <w:r w:rsidR="00503103" w:rsidRPr="00F36A0F">
        <w:rPr>
          <w:rFonts w:eastAsiaTheme="minorHAnsi"/>
        </w:rPr>
        <w:t>team care arrangement)</w:t>
      </w:r>
      <w:r w:rsidRPr="00F36A0F">
        <w:rPr>
          <w:rFonts w:eastAsiaTheme="minorHAnsi"/>
        </w:rPr>
        <w:t xml:space="preserve">. </w:t>
      </w:r>
      <w:r w:rsidR="00BD739B" w:rsidRPr="00F36A0F">
        <w:rPr>
          <w:rFonts w:eastAsiaTheme="minorHAnsi"/>
        </w:rPr>
        <w:t>Second,</w:t>
      </w:r>
      <w:r w:rsidRPr="00F36A0F">
        <w:rPr>
          <w:rFonts w:eastAsiaTheme="minorHAnsi"/>
        </w:rPr>
        <w:t xml:space="preserve"> the range of allied health consultations that could be </w:t>
      </w:r>
      <w:r w:rsidR="00CD049A" w:rsidRPr="00F36A0F">
        <w:rPr>
          <w:rFonts w:eastAsiaTheme="minorHAnsi"/>
        </w:rPr>
        <w:t xml:space="preserve">accessed </w:t>
      </w:r>
      <w:r w:rsidR="00ED6AC9" w:rsidRPr="00F36A0F">
        <w:rPr>
          <w:rFonts w:eastAsiaTheme="minorHAnsi"/>
        </w:rPr>
        <w:t xml:space="preserve">using </w:t>
      </w:r>
      <w:r w:rsidR="00CD049A" w:rsidRPr="00F36A0F">
        <w:rPr>
          <w:rFonts w:eastAsiaTheme="minorHAnsi"/>
        </w:rPr>
        <w:t>this funding</w:t>
      </w:r>
      <w:r w:rsidR="00DC57F6" w:rsidRPr="00F36A0F">
        <w:rPr>
          <w:rFonts w:eastAsiaTheme="minorHAnsi"/>
        </w:rPr>
        <w:t xml:space="preserve"> was broadened</w:t>
      </w:r>
      <w:r w:rsidR="00EA24F4" w:rsidRPr="00F36A0F">
        <w:rPr>
          <w:rFonts w:eastAsiaTheme="minorHAnsi"/>
        </w:rPr>
        <w:t>.</w:t>
      </w:r>
      <w:r w:rsidR="00CD049A" w:rsidRPr="00F36A0F">
        <w:rPr>
          <w:rFonts w:eastAsiaTheme="minorHAnsi"/>
        </w:rPr>
        <w:t xml:space="preserve"> </w:t>
      </w:r>
      <w:r w:rsidR="00D0464C" w:rsidRPr="00F36A0F">
        <w:rPr>
          <w:rFonts w:eastAsiaTheme="minorHAnsi"/>
        </w:rPr>
        <w:t>In addition to the allied health consultations</w:t>
      </w:r>
      <w:r w:rsidR="009C286D">
        <w:rPr>
          <w:rFonts w:eastAsiaTheme="minorHAnsi"/>
        </w:rPr>
        <w:t xml:space="preserve"> usually funded through the MBS—</w:t>
      </w:r>
      <w:r w:rsidR="00D0464C" w:rsidRPr="00F36A0F">
        <w:rPr>
          <w:rFonts w:eastAsiaTheme="minorHAnsi"/>
        </w:rPr>
        <w:t>which</w:t>
      </w:r>
      <w:r w:rsidR="009C286D">
        <w:rPr>
          <w:rFonts w:eastAsiaTheme="minorHAnsi"/>
        </w:rPr>
        <w:t xml:space="preserve"> includes ‘typical consults’</w:t>
      </w:r>
      <w:r w:rsidR="00D0464C" w:rsidRPr="00F36A0F">
        <w:rPr>
          <w:rFonts w:eastAsiaTheme="minorHAnsi"/>
        </w:rPr>
        <w:t xml:space="preserve"> (2</w:t>
      </w:r>
      <w:r w:rsidR="009C286D">
        <w:rPr>
          <w:rFonts w:eastAsiaTheme="minorHAnsi"/>
        </w:rPr>
        <w:t>0</w:t>
      </w:r>
      <w:r w:rsidR="00807C74">
        <w:rPr>
          <w:rFonts w:eastAsiaTheme="minorHAnsi"/>
        </w:rPr>
        <w:t>–</w:t>
      </w:r>
      <w:r w:rsidR="009C286D">
        <w:rPr>
          <w:rFonts w:eastAsiaTheme="minorHAnsi"/>
        </w:rPr>
        <w:t>40 minutes, $53</w:t>
      </w:r>
      <w:r w:rsidR="00E027EA">
        <w:rPr>
          <w:rFonts w:eastAsiaTheme="minorHAnsi"/>
        </w:rPr>
        <w:t> </w:t>
      </w:r>
      <w:r w:rsidR="009C286D">
        <w:rPr>
          <w:rFonts w:eastAsiaTheme="minorHAnsi"/>
        </w:rPr>
        <w:t xml:space="preserve">payment) and </w:t>
      </w:r>
      <w:r w:rsidR="009C286D">
        <w:rPr>
          <w:rFonts w:eastAsiaTheme="minorHAnsi"/>
        </w:rPr>
        <w:lastRenderedPageBreak/>
        <w:t>‘group assessments’</w:t>
      </w:r>
      <w:r w:rsidR="00D0464C" w:rsidRPr="00F36A0F">
        <w:rPr>
          <w:rFonts w:eastAsiaTheme="minorHAnsi"/>
        </w:rPr>
        <w:t xml:space="preserve"> (30 minutes, $17 payment), the DCP </w:t>
      </w:r>
      <w:r w:rsidR="008C5A06">
        <w:rPr>
          <w:rFonts w:eastAsiaTheme="minorHAnsi"/>
        </w:rPr>
        <w:t xml:space="preserve">also </w:t>
      </w:r>
      <w:r w:rsidR="00D0464C" w:rsidRPr="00F36A0F">
        <w:rPr>
          <w:rFonts w:eastAsiaTheme="minorHAnsi"/>
        </w:rPr>
        <w:t>offered the following consultation</w:t>
      </w:r>
      <w:r w:rsidR="00F52018" w:rsidRPr="00F36A0F">
        <w:rPr>
          <w:rFonts w:eastAsiaTheme="minorHAnsi"/>
        </w:rPr>
        <w:t xml:space="preserve"> types</w:t>
      </w:r>
      <w:r w:rsidR="00CE65B1">
        <w:rPr>
          <w:rFonts w:eastAsiaTheme="minorHAnsi"/>
        </w:rPr>
        <w:t xml:space="preserve"> to provide </w:t>
      </w:r>
      <w:r w:rsidR="00870FC2">
        <w:rPr>
          <w:rFonts w:eastAsiaTheme="minorHAnsi"/>
        </w:rPr>
        <w:t>GPs</w:t>
      </w:r>
      <w:r w:rsidR="00CE65B1">
        <w:rPr>
          <w:rFonts w:eastAsiaTheme="minorHAnsi"/>
        </w:rPr>
        <w:t xml:space="preserve"> with additional flexibility in tailoring a package to a patient’s needs</w:t>
      </w:r>
      <w:r w:rsidR="00D0464C" w:rsidRPr="00F36A0F">
        <w:rPr>
          <w:rFonts w:eastAsiaTheme="minorHAnsi"/>
        </w:rPr>
        <w:t>:</w:t>
      </w:r>
    </w:p>
    <w:p w14:paraId="3684883D" w14:textId="77777777" w:rsidR="00D0464C" w:rsidRPr="00F36A0F" w:rsidRDefault="00EA2C81" w:rsidP="00D0464C">
      <w:pPr>
        <w:pStyle w:val="01squarebullet"/>
        <w:rPr>
          <w:rFonts w:eastAsiaTheme="minorHAnsi"/>
        </w:rPr>
      </w:pPr>
      <w:r w:rsidRPr="00F36A0F">
        <w:rPr>
          <w:rFonts w:eastAsiaTheme="minorHAnsi"/>
          <w:b/>
        </w:rPr>
        <w:t>E</w:t>
      </w:r>
      <w:r w:rsidR="00D0464C" w:rsidRPr="00F36A0F">
        <w:rPr>
          <w:rFonts w:eastAsiaTheme="minorHAnsi"/>
          <w:b/>
        </w:rPr>
        <w:t>xtended consults</w:t>
      </w:r>
      <w:r w:rsidR="00D0464C" w:rsidRPr="00F36A0F">
        <w:rPr>
          <w:rFonts w:eastAsiaTheme="minorHAnsi"/>
        </w:rPr>
        <w:t xml:space="preserve"> (40-60 minutes, $85 payment) to be used as an initial consult or assessment visit</w:t>
      </w:r>
      <w:r w:rsidR="009875A6">
        <w:rPr>
          <w:rFonts w:eastAsiaTheme="minorHAnsi"/>
        </w:rPr>
        <w:t>.</w:t>
      </w:r>
    </w:p>
    <w:p w14:paraId="156B4C3A" w14:textId="77777777" w:rsidR="00D0464C" w:rsidRPr="00F36A0F" w:rsidRDefault="00EA2C81" w:rsidP="00D0464C">
      <w:pPr>
        <w:pStyle w:val="01squarebullet"/>
        <w:rPr>
          <w:rFonts w:eastAsiaTheme="minorHAnsi"/>
        </w:rPr>
      </w:pPr>
      <w:r w:rsidRPr="00F36A0F">
        <w:rPr>
          <w:rFonts w:eastAsiaTheme="minorHAnsi"/>
          <w:b/>
        </w:rPr>
        <w:t>P</w:t>
      </w:r>
      <w:r w:rsidR="00D0464C" w:rsidRPr="00F36A0F">
        <w:rPr>
          <w:rFonts w:eastAsiaTheme="minorHAnsi"/>
          <w:b/>
        </w:rPr>
        <w:t xml:space="preserve">hone consults </w:t>
      </w:r>
      <w:r w:rsidR="00D0464C" w:rsidRPr="00F36A0F">
        <w:rPr>
          <w:rFonts w:eastAsiaTheme="minorHAnsi"/>
        </w:rPr>
        <w:t xml:space="preserve">(0-20 minutes, $17 payment) </w:t>
      </w:r>
      <w:r w:rsidR="009875A6" w:rsidRPr="009875A6">
        <w:t xml:space="preserve">to check on patient progress, or phone calls from the patient to </w:t>
      </w:r>
      <w:r w:rsidR="009875A6">
        <w:t>AHPs</w:t>
      </w:r>
      <w:r w:rsidR="009875A6" w:rsidRPr="009875A6">
        <w:t xml:space="preserve"> to clarify information.</w:t>
      </w:r>
    </w:p>
    <w:p w14:paraId="50580C29" w14:textId="77777777" w:rsidR="00AF550C" w:rsidRPr="00F36A0F" w:rsidRDefault="00EA2C81" w:rsidP="00D0464C">
      <w:pPr>
        <w:pStyle w:val="01squarebullet"/>
        <w:rPr>
          <w:rFonts w:eastAsiaTheme="minorHAnsi"/>
        </w:rPr>
      </w:pPr>
      <w:r w:rsidRPr="00F36A0F">
        <w:rPr>
          <w:rFonts w:eastAsiaTheme="minorHAnsi"/>
          <w:b/>
        </w:rPr>
        <w:t>S</w:t>
      </w:r>
      <w:r w:rsidR="00AF550C" w:rsidRPr="00F36A0F">
        <w:rPr>
          <w:rFonts w:eastAsiaTheme="minorHAnsi"/>
          <w:b/>
        </w:rPr>
        <w:t xml:space="preserve">hort consults </w:t>
      </w:r>
      <w:r w:rsidR="00AF550C" w:rsidRPr="00F36A0F">
        <w:rPr>
          <w:rFonts w:eastAsiaTheme="minorHAnsi"/>
        </w:rPr>
        <w:t>(10-20 minutes, $26.50 payment) for podiatrist</w:t>
      </w:r>
      <w:r w:rsidR="009875A6">
        <w:rPr>
          <w:rFonts w:eastAsiaTheme="minorHAnsi"/>
        </w:rPr>
        <w:t>s</w:t>
      </w:r>
      <w:r w:rsidR="00AF550C" w:rsidRPr="00F36A0F">
        <w:rPr>
          <w:rFonts w:eastAsiaTheme="minorHAnsi"/>
        </w:rPr>
        <w:t xml:space="preserve"> to cut toenails</w:t>
      </w:r>
      <w:r w:rsidR="009875A6">
        <w:rPr>
          <w:rFonts w:eastAsiaTheme="minorHAnsi"/>
        </w:rPr>
        <w:t>.</w:t>
      </w:r>
    </w:p>
    <w:p w14:paraId="5CD7587C" w14:textId="77777777" w:rsidR="00AF550C" w:rsidRPr="00DA6CB0" w:rsidRDefault="00EA2C81" w:rsidP="00D0464C">
      <w:pPr>
        <w:pStyle w:val="01squarebullet"/>
        <w:rPr>
          <w:rFonts w:eastAsiaTheme="minorHAnsi"/>
        </w:rPr>
      </w:pPr>
      <w:r w:rsidRPr="00F36A0F">
        <w:rPr>
          <w:rFonts w:eastAsiaTheme="minorHAnsi"/>
          <w:b/>
        </w:rPr>
        <w:t>M</w:t>
      </w:r>
      <w:r w:rsidR="008A5A91" w:rsidRPr="00F36A0F">
        <w:rPr>
          <w:rFonts w:eastAsiaTheme="minorHAnsi"/>
          <w:b/>
        </w:rPr>
        <w:t>ental health w</w:t>
      </w:r>
      <w:r w:rsidR="00AF550C" w:rsidRPr="00F36A0F">
        <w:rPr>
          <w:rFonts w:eastAsiaTheme="minorHAnsi"/>
          <w:b/>
        </w:rPr>
        <w:t xml:space="preserve">orker group consults </w:t>
      </w:r>
      <w:r w:rsidR="00AF550C" w:rsidRPr="00F36A0F">
        <w:rPr>
          <w:rFonts w:eastAsiaTheme="minorHAnsi"/>
        </w:rPr>
        <w:t xml:space="preserve">(60 minutes, $17 payment) </w:t>
      </w:r>
      <w:r w:rsidR="000F62BF" w:rsidRPr="00F36A0F">
        <w:rPr>
          <w:rFonts w:eastAsiaTheme="minorHAnsi"/>
        </w:rPr>
        <w:t xml:space="preserve">for </w:t>
      </w:r>
      <w:r w:rsidR="000F62BF" w:rsidRPr="00F36A0F">
        <w:t>g</w:t>
      </w:r>
      <w:r w:rsidR="009875A6">
        <w:t>roup education/demonstration-</w:t>
      </w:r>
      <w:r w:rsidR="00AF550C" w:rsidRPr="00F36A0F">
        <w:t>based classes</w:t>
      </w:r>
      <w:r w:rsidR="009875A6">
        <w:t>.</w:t>
      </w:r>
    </w:p>
    <w:p w14:paraId="2AEB2DC4" w14:textId="5491DD81" w:rsidR="00295051" w:rsidRPr="00F36A0F" w:rsidRDefault="00313272" w:rsidP="00295051">
      <w:pPr>
        <w:rPr>
          <w:rFonts w:eastAsiaTheme="minorHAnsi"/>
        </w:rPr>
      </w:pPr>
      <w:r>
        <w:rPr>
          <w:rFonts w:eastAsiaTheme="minorHAnsi"/>
        </w:rPr>
        <w:t xml:space="preserve">Payments were made directly to AHPs, but GPs </w:t>
      </w:r>
      <w:r w:rsidR="008C5A06">
        <w:rPr>
          <w:rFonts w:eastAsiaTheme="minorHAnsi"/>
        </w:rPr>
        <w:t>decided</w:t>
      </w:r>
      <w:r>
        <w:rPr>
          <w:rFonts w:eastAsiaTheme="minorHAnsi"/>
        </w:rPr>
        <w:t xml:space="preserve"> how it was allocated</w:t>
      </w:r>
      <w:r w:rsidR="000F26EC">
        <w:rPr>
          <w:rFonts w:eastAsiaTheme="minorHAnsi"/>
        </w:rPr>
        <w:t>.</w:t>
      </w:r>
    </w:p>
    <w:p w14:paraId="1B477B31" w14:textId="77777777" w:rsidR="009875A6" w:rsidRDefault="009875A6" w:rsidP="002B6736">
      <w:pPr>
        <w:pStyle w:val="60exhnormal"/>
      </w:pPr>
      <w:r>
        <w:t xml:space="preserve">figure </w:t>
      </w:r>
      <w:r w:rsidR="00811EA3">
        <w:t>8</w:t>
      </w:r>
    </w:p>
    <w:p w14:paraId="204DC91D" w14:textId="77777777" w:rsidR="002F75C5" w:rsidRDefault="002F75C5" w:rsidP="002B6736">
      <w:pPr>
        <w:pStyle w:val="60exhnormal"/>
      </w:pPr>
      <w:r>
        <w:rPr>
          <w:noProof/>
          <w:lang w:eastAsia="en-AU"/>
        </w:rPr>
        <w:drawing>
          <wp:inline distT="0" distB="0" distL="0" distR="0" wp14:anchorId="75BDBA62" wp14:editId="7FE110B8">
            <wp:extent cx="4906645" cy="3679825"/>
            <wp:effectExtent l="0" t="0" r="8255" b="0"/>
            <wp:docPr id="5" name="Picture 5" descr="Figure 8 is a list of Medicare item numbers. In Group 2, certain Medicare items were replaced with flexible funding and quality improvement support payments and therefore could not be claimed by general practices or Allied Health Professionals for the duration of the DCP. In general practices, these included Medicare items that covered GP management plans, team care arrangements, review of GP management plans or team care arrangements, Practice Nurse or Aboriginal health worker consultations, and diabetes cycle of care consultations. For Allied Health Professionals, Medicare items replaced with flexible funding included items that covered individual allied health services, assessments for suitability for group allied health services, and group allied health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63292DDB" w14:textId="77777777" w:rsidR="00DD3C10" w:rsidRDefault="00DD3C10">
      <w:pPr>
        <w:pStyle w:val="60exhnormal"/>
        <w:keepNext/>
      </w:pPr>
      <w:r w:rsidRPr="00F36A0F">
        <w:lastRenderedPageBreak/>
        <w:t xml:space="preserve">figure </w:t>
      </w:r>
      <w:r w:rsidR="00811EA3">
        <w:t>9</w:t>
      </w:r>
    </w:p>
    <w:p w14:paraId="3DD11FF9" w14:textId="77777777" w:rsidR="002F75C5" w:rsidRPr="00F36A0F" w:rsidRDefault="002F75C5" w:rsidP="000379D6">
      <w:pPr>
        <w:pStyle w:val="60exhnormal"/>
        <w:keepNext/>
        <w:jc w:val="center"/>
      </w:pPr>
      <w:r w:rsidRPr="00CF6261">
        <w:rPr>
          <w:noProof/>
          <w:lang w:eastAsia="en-AU"/>
        </w:rPr>
        <w:drawing>
          <wp:inline distT="0" distB="0" distL="0" distR="0" wp14:anchorId="581EC8CB" wp14:editId="13ADE793">
            <wp:extent cx="4906645" cy="3677285"/>
            <wp:effectExtent l="0" t="0" r="8255" b="0"/>
            <wp:docPr id="20" name="Picture 20" descr="Figure 9 is a comparison bar chart showing flexible funding based on risk stratification. The amount of funding each DCP participant received depended on his or her risk stratification. Participants who were out of range and complex received a total of $855 per person per year. Participants who were out of range and not complex received a total of $680 per person per year. Participants who were within range and complex received a total of $495 per person per year, and participants who were within range and not complex received a total of $270 per person per year. Participants who were newly diagnosed with diabetes received greater amounts of funding: $1,016 per person per year if they were out of range and complex; $841 per person per year if they were out of range of not complex; $656 per person per year if they were within range and complex; and $431 per person per year if they were within range and not compl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906645" cy="367728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1AC45F23" w14:textId="77777777" w:rsidR="00B9166E" w:rsidRPr="00F36A0F" w:rsidRDefault="001E7F60" w:rsidP="00B9166E">
      <w:pPr>
        <w:pStyle w:val="21minor"/>
        <w:rPr>
          <w:rFonts w:eastAsiaTheme="minorHAnsi"/>
        </w:rPr>
      </w:pPr>
      <w:r w:rsidRPr="00F36A0F">
        <w:rPr>
          <w:rFonts w:eastAsiaTheme="minorHAnsi"/>
        </w:rPr>
        <w:t>2.2.</w:t>
      </w:r>
      <w:r w:rsidR="002C70BC" w:rsidRPr="00F36A0F">
        <w:rPr>
          <w:rFonts w:eastAsiaTheme="minorHAnsi"/>
        </w:rPr>
        <w:t>4</w:t>
      </w:r>
      <w:r w:rsidRPr="00F36A0F">
        <w:rPr>
          <w:rFonts w:eastAsiaTheme="minorHAnsi"/>
        </w:rPr>
        <w:t xml:space="preserve">. </w:t>
      </w:r>
      <w:r w:rsidR="00503103" w:rsidRPr="00F36A0F">
        <w:rPr>
          <w:rFonts w:eastAsiaTheme="minorHAnsi"/>
        </w:rPr>
        <w:t xml:space="preserve">Quality </w:t>
      </w:r>
      <w:r w:rsidR="004B26FD" w:rsidRPr="00F36A0F">
        <w:rPr>
          <w:rFonts w:eastAsiaTheme="minorHAnsi"/>
        </w:rPr>
        <w:t>I</w:t>
      </w:r>
      <w:r w:rsidR="00503103" w:rsidRPr="00F36A0F">
        <w:rPr>
          <w:rFonts w:eastAsiaTheme="minorHAnsi"/>
        </w:rPr>
        <w:t xml:space="preserve">mprovement </w:t>
      </w:r>
      <w:r w:rsidR="004B26FD" w:rsidRPr="00F36A0F">
        <w:rPr>
          <w:rFonts w:eastAsiaTheme="minorHAnsi"/>
        </w:rPr>
        <w:t>S</w:t>
      </w:r>
      <w:r w:rsidR="00503103" w:rsidRPr="00F36A0F">
        <w:rPr>
          <w:rFonts w:eastAsiaTheme="minorHAnsi"/>
        </w:rPr>
        <w:t xml:space="preserve">upport </w:t>
      </w:r>
      <w:r w:rsidR="004B26FD" w:rsidRPr="00F36A0F">
        <w:rPr>
          <w:rFonts w:eastAsiaTheme="minorHAnsi"/>
        </w:rPr>
        <w:t>P</w:t>
      </w:r>
      <w:r w:rsidR="00503103" w:rsidRPr="00F36A0F">
        <w:rPr>
          <w:rFonts w:eastAsiaTheme="minorHAnsi"/>
        </w:rPr>
        <w:t>ayments</w:t>
      </w:r>
    </w:p>
    <w:p w14:paraId="7A8286B8" w14:textId="77777777" w:rsidR="00B9166E" w:rsidRPr="00D411A0" w:rsidRDefault="00503103" w:rsidP="00B9166E">
      <w:pPr>
        <w:rPr>
          <w:rFonts w:eastAsiaTheme="minorHAnsi"/>
          <w:vertAlign w:val="superscript"/>
        </w:rPr>
      </w:pPr>
      <w:r w:rsidRPr="00F36A0F">
        <w:rPr>
          <w:rFonts w:eastAsiaTheme="minorHAnsi"/>
        </w:rPr>
        <w:t>In addition to flexible funding, pr</w:t>
      </w:r>
      <w:r w:rsidR="006A63BD">
        <w:rPr>
          <w:rFonts w:eastAsiaTheme="minorHAnsi"/>
        </w:rPr>
        <w:t>actices were also eligible for quality improvement support p</w:t>
      </w:r>
      <w:r w:rsidRPr="00F36A0F">
        <w:rPr>
          <w:rFonts w:eastAsiaTheme="minorHAnsi"/>
        </w:rPr>
        <w:t xml:space="preserve">ayments (QISP). </w:t>
      </w:r>
      <w:r w:rsidR="00940789" w:rsidRPr="00F36A0F">
        <w:rPr>
          <w:rFonts w:eastAsiaTheme="minorHAnsi"/>
        </w:rPr>
        <w:t>These payments</w:t>
      </w:r>
      <w:r w:rsidR="00D77E42" w:rsidRPr="00F36A0F">
        <w:rPr>
          <w:rFonts w:eastAsiaTheme="minorHAnsi"/>
        </w:rPr>
        <w:t xml:space="preserve"> </w:t>
      </w:r>
      <w:r w:rsidR="00E96256" w:rsidRPr="00F36A0F">
        <w:rPr>
          <w:rFonts w:eastAsiaTheme="minorHAnsi"/>
        </w:rPr>
        <w:t>were</w:t>
      </w:r>
      <w:r w:rsidR="001B16B8" w:rsidRPr="00F36A0F">
        <w:rPr>
          <w:rFonts w:eastAsiaTheme="minorHAnsi"/>
        </w:rPr>
        <w:t xml:space="preserve"> </w:t>
      </w:r>
      <w:r w:rsidRPr="00F36A0F">
        <w:rPr>
          <w:rFonts w:eastAsiaTheme="minorHAnsi"/>
        </w:rPr>
        <w:t xml:space="preserve">up to $150 per person per year and </w:t>
      </w:r>
      <w:r w:rsidR="008929C5" w:rsidRPr="00F36A0F">
        <w:rPr>
          <w:rFonts w:eastAsiaTheme="minorHAnsi"/>
        </w:rPr>
        <w:t>were</w:t>
      </w:r>
      <w:r w:rsidR="001B16B8" w:rsidRPr="00F36A0F">
        <w:rPr>
          <w:rFonts w:eastAsiaTheme="minorHAnsi"/>
        </w:rPr>
        <w:t xml:space="preserve"> </w:t>
      </w:r>
      <w:r w:rsidRPr="00F36A0F">
        <w:rPr>
          <w:rFonts w:eastAsiaTheme="minorHAnsi"/>
        </w:rPr>
        <w:t xml:space="preserve">paid </w:t>
      </w:r>
      <w:r w:rsidR="00914DE4">
        <w:rPr>
          <w:rFonts w:eastAsiaTheme="minorHAnsi"/>
        </w:rPr>
        <w:t xml:space="preserve">in arrears </w:t>
      </w:r>
      <w:r w:rsidR="00143351">
        <w:rPr>
          <w:rFonts w:eastAsiaTheme="minorHAnsi"/>
        </w:rPr>
        <w:t xml:space="preserve">at the end of each period </w:t>
      </w:r>
      <w:r w:rsidRPr="00F36A0F">
        <w:rPr>
          <w:rFonts w:eastAsiaTheme="minorHAnsi"/>
        </w:rPr>
        <w:t>on the basis o</w:t>
      </w:r>
      <w:r w:rsidR="00FA3C9A" w:rsidRPr="00F36A0F">
        <w:rPr>
          <w:rFonts w:eastAsiaTheme="minorHAnsi"/>
        </w:rPr>
        <w:t xml:space="preserve">f </w:t>
      </w:r>
      <w:r w:rsidR="00EA2FB4" w:rsidRPr="00F36A0F">
        <w:rPr>
          <w:rFonts w:eastAsiaTheme="minorHAnsi"/>
        </w:rPr>
        <w:t>improved</w:t>
      </w:r>
      <w:r w:rsidR="00FA3C9A" w:rsidRPr="00F36A0F">
        <w:rPr>
          <w:rFonts w:eastAsiaTheme="minorHAnsi"/>
        </w:rPr>
        <w:t xml:space="preserve"> clinical </w:t>
      </w:r>
      <w:r w:rsidR="00B9166E" w:rsidRPr="00F36A0F">
        <w:rPr>
          <w:rFonts w:eastAsiaTheme="minorHAnsi"/>
        </w:rPr>
        <w:t>outcomes</w:t>
      </w:r>
      <w:r w:rsidR="00960763" w:rsidRPr="00F36A0F">
        <w:rPr>
          <w:rFonts w:eastAsiaTheme="minorHAnsi"/>
        </w:rPr>
        <w:t xml:space="preserve"> (</w:t>
      </w:r>
      <w:r w:rsidR="00FA3C9A" w:rsidRPr="00F36A0F">
        <w:rPr>
          <w:rFonts w:eastAsiaTheme="minorHAnsi"/>
        </w:rPr>
        <w:t>HbA1c)</w:t>
      </w:r>
      <w:r w:rsidR="00B9166E" w:rsidRPr="00F36A0F">
        <w:rPr>
          <w:rFonts w:eastAsiaTheme="minorHAnsi"/>
        </w:rPr>
        <w:t xml:space="preserve">, </w:t>
      </w:r>
      <w:r w:rsidR="00FA3C9A" w:rsidRPr="00F36A0F">
        <w:rPr>
          <w:rFonts w:eastAsiaTheme="minorHAnsi"/>
        </w:rPr>
        <w:t>clinical processes (</w:t>
      </w:r>
      <w:r w:rsidR="002C1A36" w:rsidRPr="00F36A0F">
        <w:rPr>
          <w:rFonts w:eastAsiaTheme="minorHAnsi"/>
        </w:rPr>
        <w:t xml:space="preserve">i.e. </w:t>
      </w:r>
      <w:r w:rsidR="00FA3C9A" w:rsidRPr="00F36A0F">
        <w:rPr>
          <w:rFonts w:eastAsiaTheme="minorHAnsi"/>
        </w:rPr>
        <w:t xml:space="preserve">having good-quality care plans and recording </w:t>
      </w:r>
      <w:r w:rsidR="004B0A75" w:rsidRPr="00F36A0F">
        <w:rPr>
          <w:rFonts w:eastAsiaTheme="minorHAnsi"/>
        </w:rPr>
        <w:t xml:space="preserve">the </w:t>
      </w:r>
      <w:r w:rsidR="00FA3C9A" w:rsidRPr="00F36A0F">
        <w:rPr>
          <w:rFonts w:eastAsiaTheme="minorHAnsi"/>
        </w:rPr>
        <w:t>observations required for an annual cycle of care)</w:t>
      </w:r>
      <w:r w:rsidR="00104813" w:rsidRPr="00F36A0F">
        <w:rPr>
          <w:rFonts w:eastAsiaTheme="minorHAnsi"/>
        </w:rPr>
        <w:t>,</w:t>
      </w:r>
      <w:r w:rsidR="00FA3C9A" w:rsidRPr="00F36A0F">
        <w:rPr>
          <w:rFonts w:eastAsiaTheme="minorHAnsi"/>
        </w:rPr>
        <w:t xml:space="preserve"> and </w:t>
      </w:r>
      <w:r w:rsidR="00B9166E" w:rsidRPr="00F36A0F">
        <w:rPr>
          <w:rFonts w:eastAsiaTheme="minorHAnsi"/>
        </w:rPr>
        <w:t xml:space="preserve">patient experience </w:t>
      </w:r>
      <w:r w:rsidR="00FA3C9A" w:rsidRPr="00F36A0F">
        <w:rPr>
          <w:rFonts w:eastAsiaTheme="minorHAnsi"/>
        </w:rPr>
        <w:t>(</w:t>
      </w:r>
      <w:r w:rsidR="00304284" w:rsidRPr="00F36A0F">
        <w:rPr>
          <w:rFonts w:eastAsiaTheme="minorHAnsi"/>
        </w:rPr>
        <w:t>Figure</w:t>
      </w:r>
      <w:r w:rsidR="00FA3C9A" w:rsidRPr="00F36A0F">
        <w:rPr>
          <w:rFonts w:eastAsiaTheme="minorHAnsi"/>
        </w:rPr>
        <w:t xml:space="preserve"> </w:t>
      </w:r>
      <w:r w:rsidR="00D411A0">
        <w:rPr>
          <w:rFonts w:eastAsiaTheme="minorHAnsi"/>
        </w:rPr>
        <w:t>10</w:t>
      </w:r>
      <w:r w:rsidR="00295300" w:rsidRPr="00F36A0F">
        <w:rPr>
          <w:rFonts w:eastAsiaTheme="minorHAnsi"/>
        </w:rPr>
        <w:t>)</w:t>
      </w:r>
      <w:r w:rsidR="00B9166E" w:rsidRPr="00F36A0F">
        <w:rPr>
          <w:rFonts w:eastAsiaTheme="minorHAnsi"/>
        </w:rPr>
        <w:t xml:space="preserve">. </w:t>
      </w:r>
      <w:r w:rsidR="0063485C">
        <w:rPr>
          <w:rFonts w:eastAsiaTheme="minorHAnsi"/>
        </w:rPr>
        <w:t xml:space="preserve">As with flexible funding, payments were made to practices, which were able to pass these on to </w:t>
      </w:r>
      <w:r w:rsidR="00AF543D">
        <w:rPr>
          <w:rFonts w:eastAsiaTheme="minorHAnsi"/>
        </w:rPr>
        <w:t>GPs</w:t>
      </w:r>
      <w:r w:rsidR="0063485C">
        <w:rPr>
          <w:rFonts w:eastAsiaTheme="minorHAnsi"/>
        </w:rPr>
        <w:t xml:space="preserve"> to the extent that they saw fit. </w:t>
      </w:r>
      <w:r w:rsidR="00B9166E" w:rsidRPr="00F36A0F">
        <w:rPr>
          <w:rFonts w:eastAsiaTheme="minorHAnsi"/>
        </w:rPr>
        <w:t xml:space="preserve">Designing </w:t>
      </w:r>
      <w:r w:rsidR="004D2571" w:rsidRPr="00F36A0F">
        <w:rPr>
          <w:rFonts w:eastAsiaTheme="minorHAnsi"/>
        </w:rPr>
        <w:t>quality</w:t>
      </w:r>
      <w:r w:rsidR="00B9166E" w:rsidRPr="00F36A0F">
        <w:rPr>
          <w:rFonts w:eastAsiaTheme="minorHAnsi"/>
        </w:rPr>
        <w:t xml:space="preserve">-based payment models is challenging and the DCP stakeholder consultation process highlighted several principles </w:t>
      </w:r>
      <w:r w:rsidR="006019BC" w:rsidRPr="00F36A0F">
        <w:rPr>
          <w:rFonts w:eastAsiaTheme="minorHAnsi"/>
        </w:rPr>
        <w:t xml:space="preserve">that should underpin </w:t>
      </w:r>
      <w:r w:rsidR="00B9166E" w:rsidRPr="00F36A0F">
        <w:rPr>
          <w:rFonts w:eastAsiaTheme="minorHAnsi"/>
        </w:rPr>
        <w:t>funding design</w:t>
      </w:r>
      <w:r w:rsidR="006A63BD">
        <w:rPr>
          <w:rFonts w:eastAsiaTheme="minorHAnsi"/>
        </w:rPr>
        <w:t xml:space="preserve"> (detailed below)</w:t>
      </w:r>
      <w:r w:rsidR="00B9166E" w:rsidRPr="00F36A0F">
        <w:rPr>
          <w:rFonts w:eastAsiaTheme="minorHAnsi"/>
        </w:rPr>
        <w:t>, all of which are consis</w:t>
      </w:r>
      <w:r w:rsidR="00DD3C10" w:rsidRPr="00F36A0F">
        <w:rPr>
          <w:rFonts w:eastAsiaTheme="minorHAnsi"/>
        </w:rPr>
        <w:t>tent with experience elsewhere</w:t>
      </w:r>
      <w:r w:rsidR="006A63BD">
        <w:rPr>
          <w:rFonts w:eastAsiaTheme="minorHAnsi"/>
        </w:rPr>
        <w:t>.</w:t>
      </w:r>
      <w:r w:rsidR="00B83FF2">
        <w:rPr>
          <w:rFonts w:eastAsiaTheme="minorHAnsi"/>
          <w:vertAlign w:val="superscript"/>
        </w:rPr>
        <w:fldChar w:fldCharType="begin" w:fldLock="1"/>
      </w:r>
      <w:r w:rsidR="00113335">
        <w:rPr>
          <w:rFonts w:eastAsiaTheme="minorHAnsi"/>
          <w:vertAlign w:val="superscript"/>
        </w:rPr>
        <w:instrText>ADDIN CSL_CITATION { "citationItems" : [ { "id" : "ITEM-1", "itemData" : { "ISSN" : "1326-5377", "PMID" : "22256922", "abstract" : "Three features are essential in designing the flexible funding payments and pay-for-performance elements.", "author" : [ { "dropping-particle" : "", "family" : "Scott", "given" : "Anthony", "non-dropping-particle" : "", "parse-names" : false, "suffix" : "" }, { "dropping-particle" : "", "family" : "Harris", "given" : "Mark F", "non-dropping-particle" : "", "parse-names" : false, "suffix" : "" } ], "container-title" : "The Medical journal of Australia", "id" : "ITEM-1", "issue" : "1", "issued" : { "date-parts" : [ [ "2012", "1", "16" ] ] }, "page" : "24-6", "title" : "Designing payments for GPs to improve the quality of diabetes care.", "type" : "article-journal", "volume" : "196" }, "uris" : [ "http://www.mendeley.com/documents/?uuid=9007df9f-bb6e-4dbe-8f5d-6c2dfd891eaf" ] } ], "mendeley" : { "previouslyFormattedCitation" : "&lt;sup&gt;26&lt;/sup&gt;" }, "properties" : { "noteIndex" : 0 }, "schema" : "https://github.com/citation-style-language/schema/raw/master/csl-citation.json" }</w:instrText>
      </w:r>
      <w:r w:rsidR="00B83FF2">
        <w:rPr>
          <w:rFonts w:eastAsiaTheme="minorHAnsi"/>
          <w:vertAlign w:val="superscript"/>
        </w:rPr>
        <w:fldChar w:fldCharType="separate"/>
      </w:r>
      <w:r w:rsidR="00113335" w:rsidRPr="00113335">
        <w:rPr>
          <w:rFonts w:eastAsiaTheme="minorHAnsi"/>
          <w:noProof/>
          <w:vertAlign w:val="superscript"/>
        </w:rPr>
        <w:t>26</w:t>
      </w:r>
      <w:r w:rsidR="00B83FF2">
        <w:rPr>
          <w:rFonts w:eastAsiaTheme="minorHAnsi"/>
          <w:vertAlign w:val="superscript"/>
        </w:rPr>
        <w:fldChar w:fldCharType="end"/>
      </w:r>
    </w:p>
    <w:p w14:paraId="7C774C35" w14:textId="77777777" w:rsidR="002C360B" w:rsidRPr="00F36A0F" w:rsidRDefault="00B9166E" w:rsidP="0008694D">
      <w:pPr>
        <w:pStyle w:val="01squarebullet"/>
        <w:rPr>
          <w:rFonts w:eastAsiaTheme="minorHAnsi"/>
        </w:rPr>
      </w:pPr>
      <w:r w:rsidRPr="0011645E">
        <w:rPr>
          <w:rFonts w:eastAsiaTheme="minorHAnsi"/>
          <w:b/>
        </w:rPr>
        <w:t xml:space="preserve">Ensure payments are balanced across clinical processes, </w:t>
      </w:r>
      <w:r w:rsidR="00E72C59" w:rsidRPr="00F36A0F">
        <w:rPr>
          <w:rFonts w:eastAsiaTheme="minorHAnsi"/>
          <w:b/>
        </w:rPr>
        <w:t xml:space="preserve">clinical </w:t>
      </w:r>
      <w:r w:rsidRPr="00F36A0F">
        <w:rPr>
          <w:rFonts w:eastAsiaTheme="minorHAnsi"/>
          <w:b/>
        </w:rPr>
        <w:t>outcomes and patient experience</w:t>
      </w:r>
      <w:r w:rsidRPr="00F36A0F">
        <w:rPr>
          <w:rFonts w:eastAsiaTheme="minorHAnsi"/>
        </w:rPr>
        <w:t>. This is important for two reasons. First, it reduces the potential for causing unintended consequences by incentivising one outcome at the expense of others. For instance, a system aimed exclusively at reducing HbA1c could result in clinicians over</w:t>
      </w:r>
      <w:r w:rsidR="005F331E" w:rsidRPr="00F36A0F">
        <w:rPr>
          <w:rFonts w:eastAsiaTheme="minorHAnsi"/>
        </w:rPr>
        <w:t>-</w:t>
      </w:r>
      <w:r w:rsidRPr="00F36A0F">
        <w:rPr>
          <w:rFonts w:eastAsiaTheme="minorHAnsi"/>
        </w:rPr>
        <w:t xml:space="preserve">treating some </w:t>
      </w:r>
      <w:r w:rsidR="00AF5D68" w:rsidRPr="00F36A0F">
        <w:rPr>
          <w:rFonts w:eastAsiaTheme="minorHAnsi"/>
        </w:rPr>
        <w:t>participants</w:t>
      </w:r>
      <w:r w:rsidRPr="00F36A0F">
        <w:rPr>
          <w:rFonts w:eastAsiaTheme="minorHAnsi"/>
        </w:rPr>
        <w:t xml:space="preserve"> at the expense of their overall </w:t>
      </w:r>
      <w:r w:rsidR="00FE501D" w:rsidRPr="00F36A0F">
        <w:rPr>
          <w:rFonts w:eastAsiaTheme="minorHAnsi"/>
        </w:rPr>
        <w:t>wellbeing</w:t>
      </w:r>
      <w:r w:rsidRPr="00F36A0F">
        <w:rPr>
          <w:rFonts w:eastAsiaTheme="minorHAnsi"/>
        </w:rPr>
        <w:t xml:space="preserve">. This risk is mitigated by including measures of patient experience. Secondly, </w:t>
      </w:r>
      <w:r w:rsidR="002C360B" w:rsidRPr="00F36A0F">
        <w:rPr>
          <w:rFonts w:eastAsiaTheme="minorHAnsi"/>
        </w:rPr>
        <w:t xml:space="preserve">where clinical outcomes are not improved due to factors beyond the </w:t>
      </w:r>
      <w:r w:rsidR="006A63BD">
        <w:rPr>
          <w:rFonts w:eastAsiaTheme="minorHAnsi"/>
        </w:rPr>
        <w:t xml:space="preserve">clinicians’ </w:t>
      </w:r>
      <w:r w:rsidR="002C360B" w:rsidRPr="00F36A0F">
        <w:rPr>
          <w:rFonts w:eastAsiaTheme="minorHAnsi"/>
        </w:rPr>
        <w:t>control, they can still be rewarded for employing the correct clinical processes</w:t>
      </w:r>
      <w:r w:rsidR="008C5A06">
        <w:rPr>
          <w:rFonts w:eastAsiaTheme="minorHAnsi"/>
        </w:rPr>
        <w:t>.</w:t>
      </w:r>
      <w:r w:rsidR="002C360B" w:rsidRPr="00F36A0F">
        <w:rPr>
          <w:rFonts w:eastAsiaTheme="minorHAnsi"/>
        </w:rPr>
        <w:t xml:space="preserve"> </w:t>
      </w:r>
    </w:p>
    <w:p w14:paraId="07B387C4" w14:textId="77777777" w:rsidR="00B9166E" w:rsidRPr="00A57CBC" w:rsidRDefault="00B9166E" w:rsidP="00A57CBC">
      <w:pPr>
        <w:pStyle w:val="01squarebullet"/>
        <w:rPr>
          <w:rFonts w:eastAsiaTheme="minorHAnsi"/>
        </w:rPr>
      </w:pPr>
      <w:r w:rsidRPr="00A57CBC">
        <w:rPr>
          <w:rFonts w:eastAsiaTheme="minorHAnsi"/>
          <w:b/>
        </w:rPr>
        <w:t>Pay for improvement from any starting point.</w:t>
      </w:r>
      <w:r w:rsidRPr="00A57CBC">
        <w:rPr>
          <w:rFonts w:eastAsiaTheme="minorHAnsi"/>
        </w:rPr>
        <w:t xml:space="preserve"> Some pay-for-</w:t>
      </w:r>
      <w:r w:rsidR="00E72C59" w:rsidRPr="00A57CBC">
        <w:rPr>
          <w:rFonts w:eastAsiaTheme="minorHAnsi"/>
        </w:rPr>
        <w:t>quality</w:t>
      </w:r>
      <w:r w:rsidRPr="00A57CBC">
        <w:rPr>
          <w:rFonts w:eastAsiaTheme="minorHAnsi"/>
        </w:rPr>
        <w:t xml:space="preserve"> systems around the world reward clinicians for reaching particular thresholds. </w:t>
      </w:r>
      <w:r w:rsidR="00DC4B55" w:rsidRPr="00A57CBC">
        <w:rPr>
          <w:rFonts w:eastAsiaTheme="minorHAnsi"/>
        </w:rPr>
        <w:t>Under</w:t>
      </w:r>
      <w:r w:rsidR="001641F1" w:rsidRPr="00A57CBC">
        <w:rPr>
          <w:rFonts w:eastAsiaTheme="minorHAnsi"/>
        </w:rPr>
        <w:t xml:space="preserve"> </w:t>
      </w:r>
      <w:r w:rsidRPr="00A57CBC">
        <w:rPr>
          <w:rFonts w:eastAsiaTheme="minorHAnsi"/>
        </w:rPr>
        <w:t>the UK</w:t>
      </w:r>
      <w:r w:rsidR="00F43288" w:rsidRPr="00A57CBC">
        <w:rPr>
          <w:rFonts w:eastAsiaTheme="minorHAnsi"/>
        </w:rPr>
        <w:t>’s</w:t>
      </w:r>
      <w:r w:rsidRPr="00A57CBC">
        <w:rPr>
          <w:rFonts w:eastAsiaTheme="minorHAnsi"/>
        </w:rPr>
        <w:t xml:space="preserve"> </w:t>
      </w:r>
      <w:r w:rsidR="00452764">
        <w:rPr>
          <w:rFonts w:eastAsiaTheme="minorHAnsi"/>
        </w:rPr>
        <w:t>QoF</w:t>
      </w:r>
      <w:r w:rsidRPr="00A57CBC">
        <w:rPr>
          <w:rFonts w:eastAsiaTheme="minorHAnsi"/>
        </w:rPr>
        <w:t>,</w:t>
      </w:r>
      <w:r w:rsidR="00096838" w:rsidRPr="00A57CBC">
        <w:rPr>
          <w:rFonts w:eastAsiaTheme="minorHAnsi"/>
        </w:rPr>
        <w:t xml:space="preserve"> for example,</w:t>
      </w:r>
      <w:r w:rsidRPr="00A57CBC">
        <w:rPr>
          <w:rFonts w:eastAsiaTheme="minorHAnsi"/>
        </w:rPr>
        <w:t xml:space="preserve"> GPs are paid </w:t>
      </w:r>
      <w:r w:rsidRPr="00A57CBC">
        <w:rPr>
          <w:rFonts w:eastAsiaTheme="minorHAnsi"/>
        </w:rPr>
        <w:lastRenderedPageBreak/>
        <w:t>primarily on the basis of reducing the percentage of a population to certain clinical thresholds. In the case of H</w:t>
      </w:r>
      <w:r w:rsidR="000E2205">
        <w:rPr>
          <w:rFonts w:eastAsiaTheme="minorHAnsi"/>
        </w:rPr>
        <w:t xml:space="preserve">bA1c, the current cut-offs are less than </w:t>
      </w:r>
      <w:r w:rsidRPr="00A57CBC">
        <w:rPr>
          <w:rFonts w:eastAsiaTheme="minorHAnsi"/>
        </w:rPr>
        <w:t>7.5</w:t>
      </w:r>
      <w:r w:rsidR="000E2205">
        <w:rPr>
          <w:rFonts w:eastAsiaTheme="minorHAnsi"/>
        </w:rPr>
        <w:t xml:space="preserve"> percent</w:t>
      </w:r>
      <w:r w:rsidR="00436DC3" w:rsidRPr="00A57CBC">
        <w:rPr>
          <w:rFonts w:eastAsiaTheme="minorHAnsi"/>
        </w:rPr>
        <w:t xml:space="preserve"> </w:t>
      </w:r>
      <w:r w:rsidR="002C360B" w:rsidRPr="00A57CBC">
        <w:rPr>
          <w:rFonts w:eastAsiaTheme="minorHAnsi"/>
        </w:rPr>
        <w:t>(thresholds of 3</w:t>
      </w:r>
      <w:r w:rsidR="000E2205">
        <w:rPr>
          <w:rFonts w:eastAsiaTheme="minorHAnsi"/>
        </w:rPr>
        <w:t>5–75 percent of participants), less than 8.0 percent</w:t>
      </w:r>
      <w:r w:rsidR="002C360B" w:rsidRPr="00A57CBC">
        <w:rPr>
          <w:rFonts w:eastAsiaTheme="minorHAnsi"/>
        </w:rPr>
        <w:t xml:space="preserve"> (thresholds of 43–83 percent) an</w:t>
      </w:r>
      <w:r w:rsidR="000E2205">
        <w:rPr>
          <w:rFonts w:eastAsiaTheme="minorHAnsi"/>
        </w:rPr>
        <w:t>d less than 9.0 percent</w:t>
      </w:r>
      <w:r w:rsidR="002C360B" w:rsidRPr="00A57CBC">
        <w:rPr>
          <w:rFonts w:eastAsiaTheme="minorHAnsi"/>
        </w:rPr>
        <w:t xml:space="preserve"> (thresholds of 52–92 percent)</w:t>
      </w:r>
      <w:r w:rsidRPr="00A57CBC">
        <w:rPr>
          <w:rFonts w:eastAsiaTheme="minorHAnsi"/>
        </w:rPr>
        <w:t>.</w:t>
      </w:r>
      <w:r w:rsidR="00B83FF2">
        <w:rPr>
          <w:rFonts w:eastAsiaTheme="minorHAnsi"/>
          <w:vertAlign w:val="superscript"/>
        </w:rPr>
        <w:fldChar w:fldCharType="begin" w:fldLock="1"/>
      </w:r>
      <w:r w:rsidR="00113335">
        <w:rPr>
          <w:rFonts w:eastAsiaTheme="minorHAnsi"/>
          <w:vertAlign w:val="superscript"/>
        </w:rPr>
        <w:instrText>ADDIN CSL_CITATION { "citationItems" : [ { "id" : "ITEM-1", "itemData" : { "author" : [ { "dropping-particle" : "", "family" : "NHS Employers", "given" : "", "non-dropping-particle" : "", "parse-names" : false, "suffix" : "" }, { "dropping-particle" : "", "family" : "General Practitioners Committee of the British Medical Association", "given" : "", "non-dropping-particle" : "", "parse-names" : false, "suffix" : "" }, { "dropping-particle" : "", "family" : "NHS England", "given" : "", "non-dropping-particle" : "", "parse-names" : false, "suffix" : "" } ], "id" : "ITEM-1", "issue" : "March", "issued" : { "date-parts" : [ [ "2014" ] ] }, "publisher" : "The NHS Confederation (Employers) Company Ltd.", "title" : "2014/15 General Medical Services (GMS) Contract Quality and Outcomes Framework (QOF): Guidance for GMS Contract 2014/15", "type" : "book" }, "uris" : [ "http://www.mendeley.com/documents/?uuid=7798610d-e172-45b9-8b57-915187fdc15b" ] } ], "mendeley" : { "previouslyFormattedCitation" : "&lt;sup&gt;27&lt;/sup&gt;" }, "properties" : { "noteIndex" : 0 }, "schema" : "https://github.com/citation-style-language/schema/raw/master/csl-citation.json" }</w:instrText>
      </w:r>
      <w:r w:rsidR="00B83FF2">
        <w:rPr>
          <w:rFonts w:eastAsiaTheme="minorHAnsi"/>
          <w:vertAlign w:val="superscript"/>
        </w:rPr>
        <w:fldChar w:fldCharType="separate"/>
      </w:r>
      <w:r w:rsidR="00113335" w:rsidRPr="00113335">
        <w:rPr>
          <w:rFonts w:eastAsiaTheme="minorHAnsi"/>
          <w:noProof/>
          <w:vertAlign w:val="superscript"/>
        </w:rPr>
        <w:t>27</w:t>
      </w:r>
      <w:r w:rsidR="00B83FF2">
        <w:rPr>
          <w:rFonts w:eastAsiaTheme="minorHAnsi"/>
          <w:vertAlign w:val="superscript"/>
        </w:rPr>
        <w:fldChar w:fldCharType="end"/>
      </w:r>
      <w:r w:rsidR="00A57CBC" w:rsidRPr="00A57CBC">
        <w:rPr>
          <w:rStyle w:val="FootnoteReference"/>
          <w:rFonts w:eastAsiaTheme="minorHAnsi"/>
          <w:position w:val="0"/>
          <w:sz w:val="19"/>
        </w:rPr>
        <w:t xml:space="preserve"> </w:t>
      </w:r>
      <w:r w:rsidR="00F2777A" w:rsidRPr="00A57CBC">
        <w:rPr>
          <w:rFonts w:eastAsiaTheme="minorHAnsi"/>
        </w:rPr>
        <w:t>However, this</w:t>
      </w:r>
      <w:r w:rsidRPr="00A57CBC">
        <w:rPr>
          <w:rFonts w:eastAsiaTheme="minorHAnsi"/>
        </w:rPr>
        <w:t xml:space="preserve"> </w:t>
      </w:r>
      <w:r w:rsidR="00530BBF">
        <w:rPr>
          <w:rFonts w:eastAsiaTheme="minorHAnsi"/>
        </w:rPr>
        <w:t xml:space="preserve">style of system </w:t>
      </w:r>
      <w:r w:rsidR="00960763" w:rsidRPr="00A57CBC">
        <w:rPr>
          <w:rFonts w:eastAsiaTheme="minorHAnsi"/>
        </w:rPr>
        <w:t>may</w:t>
      </w:r>
      <w:r w:rsidRPr="00A57CBC">
        <w:rPr>
          <w:rFonts w:eastAsiaTheme="minorHAnsi"/>
        </w:rPr>
        <w:t xml:space="preserve"> disadvantag</w:t>
      </w:r>
      <w:r w:rsidR="00960763" w:rsidRPr="00A57CBC">
        <w:rPr>
          <w:rFonts w:eastAsiaTheme="minorHAnsi"/>
        </w:rPr>
        <w:t xml:space="preserve">e </w:t>
      </w:r>
      <w:r w:rsidRPr="00A57CBC">
        <w:rPr>
          <w:rFonts w:eastAsiaTheme="minorHAnsi"/>
        </w:rPr>
        <w:t xml:space="preserve">clinicians who live in areas with higher numbers of out-of-range </w:t>
      </w:r>
      <w:r w:rsidR="00AF5D68" w:rsidRPr="00A57CBC">
        <w:rPr>
          <w:rFonts w:eastAsiaTheme="minorHAnsi"/>
        </w:rPr>
        <w:t>participants</w:t>
      </w:r>
      <w:r w:rsidRPr="00A57CBC">
        <w:rPr>
          <w:rFonts w:eastAsiaTheme="minorHAnsi"/>
        </w:rPr>
        <w:t>, incentivis</w:t>
      </w:r>
      <w:r w:rsidR="00960763" w:rsidRPr="00A57CBC">
        <w:rPr>
          <w:rFonts w:eastAsiaTheme="minorHAnsi"/>
        </w:rPr>
        <w:t>e</w:t>
      </w:r>
      <w:r w:rsidRPr="00A57CBC">
        <w:rPr>
          <w:rFonts w:eastAsiaTheme="minorHAnsi"/>
        </w:rPr>
        <w:t xml:space="preserve"> clinicians to exclude sicker </w:t>
      </w:r>
      <w:r w:rsidR="00AF5D68" w:rsidRPr="00A57CBC">
        <w:rPr>
          <w:rFonts w:eastAsiaTheme="minorHAnsi"/>
        </w:rPr>
        <w:t>participants</w:t>
      </w:r>
      <w:r w:rsidRPr="00A57CBC">
        <w:rPr>
          <w:rFonts w:eastAsiaTheme="minorHAnsi"/>
        </w:rPr>
        <w:t xml:space="preserve"> from the program</w:t>
      </w:r>
      <w:r w:rsidR="00430A06" w:rsidRPr="00A57CBC">
        <w:rPr>
          <w:rFonts w:eastAsiaTheme="minorHAnsi"/>
        </w:rPr>
        <w:t>,</w:t>
      </w:r>
      <w:r w:rsidRPr="00A57CBC">
        <w:rPr>
          <w:rFonts w:eastAsiaTheme="minorHAnsi"/>
        </w:rPr>
        <w:t xml:space="preserve"> or discourag</w:t>
      </w:r>
      <w:r w:rsidR="00960763" w:rsidRPr="00A57CBC">
        <w:rPr>
          <w:rFonts w:eastAsiaTheme="minorHAnsi"/>
        </w:rPr>
        <w:t>e</w:t>
      </w:r>
      <w:r w:rsidRPr="00A57CBC">
        <w:rPr>
          <w:rFonts w:eastAsiaTheme="minorHAnsi"/>
        </w:rPr>
        <w:t xml:space="preserve"> action if </w:t>
      </w:r>
      <w:r w:rsidR="00AF5D68" w:rsidRPr="00A57CBC">
        <w:rPr>
          <w:rFonts w:eastAsiaTheme="minorHAnsi"/>
        </w:rPr>
        <w:t>participants</w:t>
      </w:r>
      <w:r w:rsidRPr="00A57CBC">
        <w:rPr>
          <w:rFonts w:eastAsiaTheme="minorHAnsi"/>
        </w:rPr>
        <w:t xml:space="preserve"> are so far from meeting the targets that intervention </w:t>
      </w:r>
      <w:r w:rsidR="004A1B69" w:rsidRPr="00A57CBC">
        <w:rPr>
          <w:rFonts w:eastAsiaTheme="minorHAnsi"/>
        </w:rPr>
        <w:t xml:space="preserve">appears </w:t>
      </w:r>
      <w:r w:rsidRPr="00A57CBC">
        <w:rPr>
          <w:rFonts w:eastAsiaTheme="minorHAnsi"/>
        </w:rPr>
        <w:t xml:space="preserve">futile. Rewarding clinicians for improvement from any starting point </w:t>
      </w:r>
      <w:r w:rsidR="00FE501D" w:rsidRPr="00A57CBC">
        <w:rPr>
          <w:rFonts w:eastAsiaTheme="minorHAnsi"/>
        </w:rPr>
        <w:t xml:space="preserve">reduces </w:t>
      </w:r>
      <w:r w:rsidRPr="00A57CBC">
        <w:rPr>
          <w:rFonts w:eastAsiaTheme="minorHAnsi"/>
        </w:rPr>
        <w:t xml:space="preserve">perverse incentives such as these, although it does make the program more difficult administratively </w:t>
      </w:r>
      <w:r w:rsidR="006A63BD">
        <w:rPr>
          <w:rFonts w:eastAsiaTheme="minorHAnsi"/>
        </w:rPr>
        <w:t xml:space="preserve">(primarily because </w:t>
      </w:r>
      <w:r w:rsidRPr="00A57CBC">
        <w:rPr>
          <w:rFonts w:eastAsiaTheme="minorHAnsi"/>
        </w:rPr>
        <w:t xml:space="preserve">it requires </w:t>
      </w:r>
      <w:r w:rsidR="006A63BD">
        <w:rPr>
          <w:rFonts w:eastAsiaTheme="minorHAnsi"/>
        </w:rPr>
        <w:t>a baseline to be established</w:t>
      </w:r>
      <w:r w:rsidRPr="00A57CBC">
        <w:rPr>
          <w:rFonts w:eastAsiaTheme="minorHAnsi"/>
        </w:rPr>
        <w:t xml:space="preserve"> </w:t>
      </w:r>
      <w:r w:rsidR="00FE501D" w:rsidRPr="00A57CBC">
        <w:rPr>
          <w:rFonts w:eastAsiaTheme="minorHAnsi"/>
        </w:rPr>
        <w:t>at the start of each period</w:t>
      </w:r>
      <w:r w:rsidRPr="00A57CBC">
        <w:rPr>
          <w:rFonts w:eastAsiaTheme="minorHAnsi"/>
        </w:rPr>
        <w:t>, against which performance can be measured</w:t>
      </w:r>
      <w:r w:rsidR="006A63BD">
        <w:rPr>
          <w:rFonts w:eastAsiaTheme="minorHAnsi"/>
        </w:rPr>
        <w:t>)</w:t>
      </w:r>
      <w:r w:rsidR="00E96256" w:rsidRPr="00A57CBC">
        <w:rPr>
          <w:rFonts w:eastAsiaTheme="minorHAnsi"/>
        </w:rPr>
        <w:t>.</w:t>
      </w:r>
    </w:p>
    <w:p w14:paraId="0D6C1D15" w14:textId="77777777" w:rsidR="00B9166E" w:rsidRPr="00F36A0F" w:rsidRDefault="00B9166E" w:rsidP="0008694D">
      <w:pPr>
        <w:pStyle w:val="01squarebullet"/>
        <w:rPr>
          <w:rFonts w:eastAsiaTheme="minorHAnsi"/>
        </w:rPr>
      </w:pPr>
      <w:r w:rsidRPr="00F36A0F">
        <w:rPr>
          <w:rFonts w:eastAsiaTheme="minorHAnsi"/>
          <w:b/>
        </w:rPr>
        <w:t>Ensure payments are significant enough to matter</w:t>
      </w:r>
      <w:r w:rsidRPr="00F36A0F">
        <w:rPr>
          <w:rFonts w:eastAsiaTheme="minorHAnsi"/>
        </w:rPr>
        <w:t xml:space="preserve">. </w:t>
      </w:r>
      <w:r w:rsidR="00966734" w:rsidRPr="00F36A0F">
        <w:rPr>
          <w:rFonts w:eastAsiaTheme="minorHAnsi"/>
        </w:rPr>
        <w:t xml:space="preserve">There is evidence to suggest that </w:t>
      </w:r>
      <w:r w:rsidR="006A63BD">
        <w:rPr>
          <w:rFonts w:eastAsiaTheme="minorHAnsi"/>
        </w:rPr>
        <w:t>larger</w:t>
      </w:r>
      <w:r w:rsidR="00966734" w:rsidRPr="00F36A0F">
        <w:rPr>
          <w:rFonts w:eastAsiaTheme="minorHAnsi"/>
        </w:rPr>
        <w:t xml:space="preserve"> incentive size</w:t>
      </w:r>
      <w:r w:rsidR="006A63BD">
        <w:rPr>
          <w:rFonts w:eastAsiaTheme="minorHAnsi"/>
        </w:rPr>
        <w:t>s improve</w:t>
      </w:r>
      <w:r w:rsidR="00966734" w:rsidRPr="00F36A0F">
        <w:rPr>
          <w:rFonts w:eastAsiaTheme="minorHAnsi"/>
        </w:rPr>
        <w:t xml:space="preserve"> program take-up,</w:t>
      </w:r>
      <w:r w:rsidR="00B83FF2">
        <w:rPr>
          <w:rFonts w:eastAsiaTheme="minorHAnsi"/>
          <w:vertAlign w:val="superscript"/>
        </w:rPr>
        <w:fldChar w:fldCharType="begin" w:fldLock="1"/>
      </w:r>
      <w:r w:rsidR="00113335">
        <w:rPr>
          <w:rFonts w:eastAsiaTheme="minorHAnsi"/>
          <w:vertAlign w:val="superscript"/>
        </w:rPr>
        <w:instrText>ADDIN CSL_CITATION { "citationItems" : [ { "id" : "ITEM-1", "itemData" : { "ISSN" : "1936-2692", "PMID" : "19435398", "abstract" : "OBJECTIVE: To determine the extent to which the size of the available financial incentive influences a physician's decision to participate in a pay-for-performance (P4P) program. STUDY DESIGN: Statistical analysis of historical data from Bridges to Excellence (BTE). METHODS: Setting available financial incentives as the independent variable and physician participation rates as the dependent variable, we applied regression analysis to BTE's data from selected sites to explore the relationship of fixed bonus-based incentive programs to physician participation rates in those programs. RESULTS: The amount of incentives available to physicians strongly affected their rate of participation. Participation rates varied with the type of program, and overall physician participation rates might grow as more purchasers/payers within a community offer similar incentives. CONCLUSION: Our analysis suggests that all stakeholders--health plans, physicians, and patients--would benefit from health plans collaborating on their P4P efforts to maximize physician participation.", "author" : [ { "dropping-particle" : "", "family" : "Brantes", "given" : "Francois S", "non-dropping-particle" : "de", "parse-names" : false, "suffix" : "" }, { "dropping-particle" : "", "family" : "D'Andrea", "given" : "B Guy", "non-dropping-particle" : "", "parse-names" : false, "suffix" : "" } ], "container-title" : "The American journal of managed care", "id" : "ITEM-1", "issue" : "5", "issued" : { "date-parts" : [ [ "2009", "5" ] ] }, "page" : "305-10", "title" : "Physicians respond to pay-for-performance incentives: larger incentives yield greater participation.", "type" : "article-journal", "volume" : "15" }, "uris" : [ "http://www.mendeley.com/documents/?uuid=cc1722d1-7235-43cc-a718-95d76aa1cda5" ] } ], "mendeley" : { "previouslyFormattedCitation" : "&lt;sup&gt;28&lt;/sup&gt;" }, "properties" : { "noteIndex" : 0 }, "schema" : "https://github.com/citation-style-language/schema/raw/master/csl-citation.json" }</w:instrText>
      </w:r>
      <w:r w:rsidR="00B83FF2">
        <w:rPr>
          <w:rFonts w:eastAsiaTheme="minorHAnsi"/>
          <w:vertAlign w:val="superscript"/>
        </w:rPr>
        <w:fldChar w:fldCharType="separate"/>
      </w:r>
      <w:r w:rsidR="00113335" w:rsidRPr="00113335">
        <w:rPr>
          <w:rFonts w:eastAsiaTheme="minorHAnsi"/>
          <w:noProof/>
          <w:vertAlign w:val="superscript"/>
        </w:rPr>
        <w:t>28</w:t>
      </w:r>
      <w:r w:rsidR="00B83FF2">
        <w:rPr>
          <w:rFonts w:eastAsiaTheme="minorHAnsi"/>
          <w:vertAlign w:val="superscript"/>
        </w:rPr>
        <w:fldChar w:fldCharType="end"/>
      </w:r>
      <w:r w:rsidR="00B83FF2" w:rsidRPr="00B83FF2">
        <w:rPr>
          <w:rFonts w:eastAsiaTheme="minorHAnsi"/>
        </w:rPr>
        <w:t xml:space="preserve"> </w:t>
      </w:r>
      <w:r w:rsidR="00966734" w:rsidRPr="00F36A0F">
        <w:rPr>
          <w:rFonts w:eastAsiaTheme="minorHAnsi"/>
        </w:rPr>
        <w:t xml:space="preserve">although the relationship between incentive size and quality is less well established. </w:t>
      </w:r>
      <w:r w:rsidR="00371542">
        <w:rPr>
          <w:rFonts w:eastAsiaTheme="minorHAnsi"/>
        </w:rPr>
        <w:t>While research has been conducted on this topic, a considerable amount of the literature comes from the United States</w:t>
      </w:r>
      <w:r w:rsidR="00966734" w:rsidRPr="00F36A0F">
        <w:rPr>
          <w:rFonts w:eastAsiaTheme="minorHAnsi"/>
        </w:rPr>
        <w:t>, where there is the problem of incentive dilution (i.e. providers a</w:t>
      </w:r>
      <w:r w:rsidR="00371542">
        <w:rPr>
          <w:rFonts w:eastAsiaTheme="minorHAnsi"/>
        </w:rPr>
        <w:t>re incentivised by multiple paye</w:t>
      </w:r>
      <w:r w:rsidR="00966734" w:rsidRPr="00F36A0F">
        <w:rPr>
          <w:rFonts w:eastAsiaTheme="minorHAnsi"/>
        </w:rPr>
        <w:t>rs with different schemes).</w:t>
      </w:r>
      <w:r w:rsidR="00B83FF2">
        <w:rPr>
          <w:rFonts w:eastAsiaTheme="minorHAnsi"/>
          <w:vertAlign w:val="superscript"/>
        </w:rPr>
        <w:fldChar w:fldCharType="begin" w:fldLock="1"/>
      </w:r>
      <w:r w:rsidR="00113335">
        <w:rPr>
          <w:rFonts w:eastAsiaTheme="minorHAnsi"/>
          <w:vertAlign w:val="superscript"/>
        </w:rPr>
        <w:instrText>ADDIN CSL_CITATION { "citationItems" : [ { "id" : "ITEM-1", "itemData" : { "DOI" : "10.1186/1472-6963-10-247", "ISSN" : "1472-6963", "PMID" : "20731816", "abstract" : "BACKGROUND: Pay-for-performance (P4P) is one of the primary tools used to support healthcare delivery reform. Substantial heterogeneity exists in the development and implementation of P4P in health care and its effects. This paper summarizes evidence, obtained from studies published between January 1990 and July 2009, concerning P4P effects, as well as evidence on the impact of design choices and contextual mediators on these effects. Effect domains include clinical effectiveness, access and equity, coordination and continuity, patient-centeredness, and cost-effectiveness.\n\nMETHODS: The systematic review made use of electronic database searching, reference screening, forward citation tracking and expert consultation. The following databases were searched: Cochrane Library, EconLit, Embase, Medline, PsychINFO, and Web of Science. Studies that evaluate P4P effects in primary care or acute hospital care medicine were included. Papers concerning other target groups or settings, having no empirical evaluation design or not complying with the P4P definition were excluded. According to study design nine validated quality appraisal tools and reporting statements were applied. Data were extracted and summarized into evidence tables independently by two reviewers.\n\nRESULTS: One hundred twenty-eight evaluation studies provide a large body of evidence -to be interpreted with caution- concerning the effects of P4P on clinical effectiveness and equity of care. However, less evidence on the impact on coordination, continuity, patient-centeredness and cost-effectiveness was found. P4P effects can be judged to be encouraging or disappointing, depending on the primary mission of the P4P program: supporting minimal quality standards and/or boosting quality improvement. Moreover, the effects of P4P interventions varied according to design choices and characteristics of the context in which it was introduced.Future P4P programs should (1) select and define P4P targets on the basis of baseline room for improvement, (2) make use of process and (intermediary) outcome indicators as target measures, (3) involve stakeholders and communicate information about the programs thoroughly and directly, (4) implement a uniform P4P design across payers, (5) focus on both quality improvement and achievement, and (6) distribute incentives to the individual and/or team level.\n\nCONCLUSIONS: P4P programs result in the full spectrum of possible effects for specific targets, from absent or negli\u2026", "author" : [ { "dropping-particle" : "", "family" : "Herck", "given" : "Pieter", "non-dropping-particle" : "Van", "parse-names" : false, "suffix" : "" }, { "dropping-particle" : "", "family" : "Smedt", "given" : "Delphine", "non-dropping-particle" : "De", "parse-names" : false, "suffix" : "" }, { "dropping-particle" : "", "family" : "Annemans", "given" : "Lieven", "non-dropping-particle" : "", "parse-names" : false, "suffix" : "" }, { "dropping-particle" : "", "family" : "Remmen", "given" : "Roy", "non-dropping-particle" : "", "parse-names" : false, "suffix" : "" }, { "dropping-particle" : "", "family" : "Rosenthal", "given" : "Meredith B", "non-dropping-particle" : "", "parse-names" : false, "suffix" : "" }, { "dropping-particle" : "", "family" : "Sermeus", "given" : "Walter", "non-dropping-particle" : "", "parse-names" : false, "suffix" : "" } ], "container-title" : "BMC health services research", "id" : "ITEM-1", "issued" : { "date-parts" : [ [ "2010", "1" ] ] }, "page" : "247", "title" : "Systematic review: Effects, design choices, and context of pay-for-performance in health care.", "type" : "article-journal", "volume" : "10" }, "uris" : [ "http://www.mendeley.com/documents/?uuid=37d10299-976f-479b-9776-13ad47250855" ] } ], "mendeley" : { "previouslyFormattedCitation" : "&lt;sup&gt;29&lt;/sup&gt;" }, "properties" : { "noteIndex" : 0 }, "schema" : "https://github.com/citation-style-language/schema/raw/master/csl-citation.json" }</w:instrText>
      </w:r>
      <w:r w:rsidR="00B83FF2">
        <w:rPr>
          <w:rFonts w:eastAsiaTheme="minorHAnsi"/>
          <w:vertAlign w:val="superscript"/>
        </w:rPr>
        <w:fldChar w:fldCharType="separate"/>
      </w:r>
      <w:r w:rsidR="00113335" w:rsidRPr="00113335">
        <w:rPr>
          <w:rFonts w:eastAsiaTheme="minorHAnsi"/>
          <w:noProof/>
          <w:vertAlign w:val="superscript"/>
        </w:rPr>
        <w:t>29</w:t>
      </w:r>
      <w:r w:rsidR="00B83FF2">
        <w:rPr>
          <w:rFonts w:eastAsiaTheme="minorHAnsi"/>
          <w:vertAlign w:val="superscript"/>
        </w:rPr>
        <w:fldChar w:fldCharType="end"/>
      </w:r>
      <w:r w:rsidR="00371542">
        <w:rPr>
          <w:rFonts w:eastAsiaTheme="minorHAnsi"/>
        </w:rPr>
        <w:t xml:space="preserve"> </w:t>
      </w:r>
      <w:r w:rsidRPr="00F36A0F">
        <w:rPr>
          <w:rFonts w:eastAsiaTheme="minorHAnsi"/>
        </w:rPr>
        <w:t xml:space="preserve">Australia’s current </w:t>
      </w:r>
      <w:r w:rsidR="00F1366A" w:rsidRPr="00F36A0F">
        <w:rPr>
          <w:rFonts w:eastAsiaTheme="minorHAnsi"/>
        </w:rPr>
        <w:t xml:space="preserve">primary care funding </w:t>
      </w:r>
      <w:r w:rsidRPr="00F36A0F">
        <w:rPr>
          <w:rFonts w:eastAsiaTheme="minorHAnsi"/>
        </w:rPr>
        <w:t xml:space="preserve">system largely rewards activity rather than </w:t>
      </w:r>
      <w:r w:rsidR="00E72C59" w:rsidRPr="00F36A0F">
        <w:rPr>
          <w:rFonts w:eastAsiaTheme="minorHAnsi"/>
        </w:rPr>
        <w:t>quality</w:t>
      </w:r>
      <w:r w:rsidRPr="00F36A0F">
        <w:rPr>
          <w:rFonts w:eastAsiaTheme="minorHAnsi"/>
        </w:rPr>
        <w:t xml:space="preserve">. </w:t>
      </w:r>
      <w:r w:rsidR="00660D38" w:rsidRPr="00FC688D">
        <w:rPr>
          <w:rFonts w:eastAsiaTheme="minorHAnsi"/>
          <w:color w:val="000000"/>
          <w:szCs w:val="26"/>
        </w:rPr>
        <w:t xml:space="preserve">Under the current system, the elements closest to payment for quality are the Practice Incentive Payments (PIPs) and the Service Incentive Payments (SIPs). </w:t>
      </w:r>
      <w:r w:rsidR="00660D38" w:rsidRPr="00FC688D">
        <w:rPr>
          <w:rFonts w:eastAsiaTheme="minorHAnsi"/>
          <w:bCs/>
          <w:color w:val="000000"/>
          <w:szCs w:val="26"/>
        </w:rPr>
        <w:t xml:space="preserve">However, in 2003, these </w:t>
      </w:r>
      <w:r w:rsidR="008C5A06">
        <w:rPr>
          <w:rFonts w:eastAsiaTheme="minorHAnsi"/>
          <w:bCs/>
          <w:color w:val="000000"/>
          <w:szCs w:val="26"/>
        </w:rPr>
        <w:t>accounted for</w:t>
      </w:r>
      <w:r w:rsidR="008C5A06" w:rsidRPr="00FC688D">
        <w:rPr>
          <w:rFonts w:eastAsiaTheme="minorHAnsi"/>
          <w:bCs/>
          <w:color w:val="000000"/>
          <w:szCs w:val="26"/>
        </w:rPr>
        <w:t xml:space="preserve"> </w:t>
      </w:r>
      <w:r w:rsidR="00660D38" w:rsidRPr="00FC688D">
        <w:rPr>
          <w:rFonts w:eastAsiaTheme="minorHAnsi"/>
          <w:bCs/>
          <w:color w:val="000000"/>
          <w:szCs w:val="26"/>
        </w:rPr>
        <w:t xml:space="preserve">only </w:t>
      </w:r>
      <w:r w:rsidR="008C5A06">
        <w:rPr>
          <w:rFonts w:eastAsiaTheme="minorHAnsi"/>
          <w:bCs/>
          <w:color w:val="000000"/>
          <w:szCs w:val="26"/>
        </w:rPr>
        <w:t>nine</w:t>
      </w:r>
      <w:r w:rsidR="008C5A06" w:rsidRPr="00FC688D">
        <w:rPr>
          <w:rFonts w:eastAsiaTheme="minorHAnsi"/>
          <w:bCs/>
          <w:color w:val="000000"/>
          <w:szCs w:val="26"/>
        </w:rPr>
        <w:t xml:space="preserve"> </w:t>
      </w:r>
      <w:r w:rsidR="00660D38" w:rsidRPr="00FC688D">
        <w:rPr>
          <w:rFonts w:eastAsiaTheme="minorHAnsi"/>
          <w:bCs/>
          <w:color w:val="000000"/>
          <w:szCs w:val="26"/>
        </w:rPr>
        <w:t>percent of GP income from Medicare (not including private sources of income).</w:t>
      </w:r>
      <w:r w:rsidR="00B83FF2">
        <w:rPr>
          <w:rFonts w:eastAsiaTheme="minorHAnsi"/>
          <w:bCs/>
          <w:color w:val="000000"/>
          <w:szCs w:val="26"/>
          <w:vertAlign w:val="superscript"/>
        </w:rPr>
        <w:fldChar w:fldCharType="begin" w:fldLock="1"/>
      </w:r>
      <w:r w:rsidR="00113335">
        <w:rPr>
          <w:rFonts w:eastAsiaTheme="minorHAnsi"/>
          <w:bCs/>
          <w:color w:val="000000"/>
          <w:szCs w:val="26"/>
          <w:vertAlign w:val="superscript"/>
        </w:rPr>
        <w:instrText>ADDIN CSL_CITATION { "citationItems" : [ { "id" : "ITEM-1", "itemData" : { "ISSN" : "0025-729X", "PMID" : "20919973", "abstract" : "We identify key lessons learned from the international experience of pay-for-performance and use them to formulate questions for Australia to consider before such a scheme is introduced. Discussion of lessons learned is based on a narrative review of the literature. We examined international evidence on factors to consider when designing pay-for-performance schemes, and the impact of these schemes on primary care practitioner behaviour and on primary care funding. Pay-for-performance schemes evolve over time, and usually involve several complex interventions including accreditation, education, quality improvement programs, investment in information technology and data collection systems, professional support and regional structures. These are all necessary conditions for linking financial incentives to quality of care. There is a strong argument for changing the existing service incentive payments program and investing the resources into revised outcome payments that provide rewards for annual improvements in numbers of patients receiving completed cycles of care. If pay-for-performance is to be introduced in Australia, several key lessons should be learned from the experiences of other countries. Pay-for-performance should be used as part of a wider strategy for quality improvement; it should not be seen as a panacea. Pay-for-performance should be used to drive quality improvement, not simply to reward those who are already providing high-quality care.", "author" : [ { "dropping-particle" : "", "family" : "Campbell", "given" : "Stephen M", "non-dropping-particle" : "", "parse-names" : false, "suffix" : "" }, { "dropping-particle" : "", "family" : "Scott", "given" : "Anthony", "non-dropping-particle" : "", "parse-names" : false, "suffix" : "" }, { "dropping-particle" : "", "family" : "Parker", "given" : "Rhian M", "non-dropping-particle" : "", "parse-names" : false, "suffix" : "" }, { "dropping-particle" : "", "family" : "Naccarella", "given" : "Lucio", "non-dropping-particle" : "", "parse-names" : false, "suffix" : "" }, { "dropping-particle" : "", "family" : "Furler", "given" : "John S", "non-dropping-particle" : "", "parse-names" : false, "suffix" : "" }, { "dropping-particle" : "", "family" : "Young", "given" : "Doris", "non-dropping-particle" : "", "parse-names" : false, "suffix" : "" }, { "dropping-particle" : "", "family" : "Sivey", "given" : "Peter M", "non-dropping-particle" : "", "parse-names" : false, "suffix" : "" } ], "container-title" : "The Medical journal of Australia", "id" : "ITEM-1", "issue" : "7", "issued" : { "date-parts" : [ [ "2010", "10", "4" ] ] }, "page" : "408-11", "title" : "Implementing pay-for-performance in Australian primary care: lessons from the United Kingdom and the United States.", "type" : "article-journal", "volume" : "193" }, "uris" : [ "http://www.mendeley.com/documents/?uuid=7e69a6b3-d562-4e92-a263-9bdc84f530e2" ] } ], "mendeley" : { "previouslyFormattedCitation" : "&lt;sup&gt;30&lt;/sup&gt;" }, "properties" : { "noteIndex" : 0 }, "schema" : "https://github.com/citation-style-language/schema/raw/master/csl-citation.json" }</w:instrText>
      </w:r>
      <w:r w:rsidR="00B83FF2">
        <w:rPr>
          <w:rFonts w:eastAsiaTheme="minorHAnsi"/>
          <w:bCs/>
          <w:color w:val="000000"/>
          <w:szCs w:val="26"/>
          <w:vertAlign w:val="superscript"/>
        </w:rPr>
        <w:fldChar w:fldCharType="separate"/>
      </w:r>
      <w:r w:rsidR="00113335" w:rsidRPr="00113335">
        <w:rPr>
          <w:rFonts w:eastAsiaTheme="minorHAnsi"/>
          <w:bCs/>
          <w:noProof/>
          <w:color w:val="000000"/>
          <w:szCs w:val="26"/>
          <w:vertAlign w:val="superscript"/>
        </w:rPr>
        <w:t>30</w:t>
      </w:r>
      <w:r w:rsidR="00B83FF2">
        <w:rPr>
          <w:rFonts w:eastAsiaTheme="minorHAnsi"/>
          <w:bCs/>
          <w:color w:val="000000"/>
          <w:szCs w:val="26"/>
          <w:vertAlign w:val="superscript"/>
        </w:rPr>
        <w:fldChar w:fldCharType="end"/>
      </w:r>
      <w:r w:rsidR="00660D38" w:rsidRPr="00FC688D">
        <w:rPr>
          <w:rFonts w:eastAsiaTheme="minorHAnsi"/>
          <w:bCs/>
          <w:color w:val="000000"/>
          <w:szCs w:val="26"/>
        </w:rPr>
        <w:t xml:space="preserve"> </w:t>
      </w:r>
      <w:r w:rsidR="00660D38" w:rsidRPr="00FC688D">
        <w:rPr>
          <w:rFonts w:eastAsiaTheme="minorHAnsi"/>
          <w:color w:val="000000"/>
          <w:szCs w:val="26"/>
        </w:rPr>
        <w:t xml:space="preserve">In </w:t>
      </w:r>
      <w:r w:rsidR="00452764">
        <w:rPr>
          <w:rFonts w:eastAsiaTheme="minorHAnsi"/>
          <w:color w:val="000000"/>
          <w:szCs w:val="26"/>
        </w:rPr>
        <w:t>contrast, the UK’s Qo</w:t>
      </w:r>
      <w:r w:rsidR="00660D38" w:rsidRPr="00FC688D">
        <w:rPr>
          <w:rFonts w:eastAsiaTheme="minorHAnsi"/>
          <w:color w:val="000000"/>
          <w:szCs w:val="26"/>
        </w:rPr>
        <w:t xml:space="preserve">F represents 17 percent of </w:t>
      </w:r>
      <w:r w:rsidR="00660D38" w:rsidRPr="00FC688D">
        <w:rPr>
          <w:rFonts w:eastAsiaTheme="minorHAnsi"/>
          <w:bCs/>
          <w:color w:val="000000"/>
          <w:szCs w:val="26"/>
        </w:rPr>
        <w:t xml:space="preserve">total </w:t>
      </w:r>
      <w:r w:rsidR="00660D38" w:rsidRPr="00FC688D">
        <w:rPr>
          <w:rFonts w:eastAsiaTheme="minorHAnsi"/>
          <w:color w:val="000000"/>
          <w:szCs w:val="26"/>
        </w:rPr>
        <w:t>practice income</w:t>
      </w:r>
      <w:r w:rsidRPr="0011645E">
        <w:rPr>
          <w:rFonts w:eastAsiaTheme="minorHAnsi"/>
        </w:rPr>
        <w:t>.</w:t>
      </w:r>
      <w:r w:rsidR="00B83FF2">
        <w:rPr>
          <w:rFonts w:eastAsiaTheme="minorHAnsi"/>
          <w:vertAlign w:val="superscript"/>
        </w:rPr>
        <w:fldChar w:fldCharType="begin" w:fldLock="1"/>
      </w:r>
      <w:r w:rsidR="00113335">
        <w:rPr>
          <w:rFonts w:eastAsiaTheme="minorHAnsi"/>
          <w:vertAlign w:val="superscript"/>
        </w:rPr>
        <w:instrText>ADDIN CSL_CITATION { "citationItems" : [ { "id" : "ITEM-1", "itemData" : { "URL" : "http://www.pulsetoday.co.uk/your-practice/practice-topics/qof/smaller-qof-being-considered-under-radical-rethink-of-gp-contract-by-nhs-england/20002965.article#.VCjKp2eSzHU", "accessed" : { "date-parts" : [ [ "2014", "9", "29" ] ] }, "author" : [ { "dropping-particle" : "", "family" : "Lind", "given" : "S", "non-dropping-particle" : "", "parse-names" : false, "suffix" : "" } ], "container-title" : "Pulse", "id" : "ITEM-1", "issued" : { "date-parts" : [ [ "2013" ] ] }, "title" : "Smaller QOF being considered under radical rethink of GP contract by NHS England", "type" : "webpage" }, "uris" : [ "http://www.mendeley.com/documents/?uuid=c5bdd871-4722-4445-95fb-4387ddffbfc5" ] } ], "mendeley" : { "previouslyFormattedCitation" : "&lt;sup&gt;31&lt;/sup&gt;" }, "properties" : { "noteIndex" : 0 }, "schema" : "https://github.com/citation-style-language/schema/raw/master/csl-citation.json" }</w:instrText>
      </w:r>
      <w:r w:rsidR="00B83FF2">
        <w:rPr>
          <w:rFonts w:eastAsiaTheme="minorHAnsi"/>
          <w:vertAlign w:val="superscript"/>
        </w:rPr>
        <w:fldChar w:fldCharType="separate"/>
      </w:r>
      <w:r w:rsidR="00113335" w:rsidRPr="00113335">
        <w:rPr>
          <w:rFonts w:eastAsiaTheme="minorHAnsi"/>
          <w:noProof/>
          <w:vertAlign w:val="superscript"/>
        </w:rPr>
        <w:t>31</w:t>
      </w:r>
      <w:r w:rsidR="00B83FF2">
        <w:rPr>
          <w:rFonts w:eastAsiaTheme="minorHAnsi"/>
          <w:vertAlign w:val="superscript"/>
        </w:rPr>
        <w:fldChar w:fldCharType="end"/>
      </w:r>
      <w:r w:rsidRPr="00F36A0F">
        <w:rPr>
          <w:rFonts w:eastAsiaTheme="minorHAnsi"/>
        </w:rPr>
        <w:t xml:space="preserve"> </w:t>
      </w:r>
      <w:r w:rsidR="002C360B" w:rsidRPr="00F36A0F">
        <w:rPr>
          <w:rFonts w:eastAsiaTheme="minorHAnsi"/>
        </w:rPr>
        <w:t>For the DCP, the maximum annual QISP payment per patient was set at $150. Based on DCP baseline cost data, this payment w</w:t>
      </w:r>
      <w:r w:rsidR="0008694D" w:rsidRPr="00F36A0F">
        <w:rPr>
          <w:rFonts w:eastAsiaTheme="minorHAnsi"/>
        </w:rPr>
        <w:t>ould represent approximately 25 </w:t>
      </w:r>
      <w:r w:rsidR="002C360B" w:rsidRPr="00F36A0F">
        <w:rPr>
          <w:rFonts w:eastAsiaTheme="minorHAnsi"/>
        </w:rPr>
        <w:t xml:space="preserve">percent of total GP payments per participant </w:t>
      </w:r>
      <w:r w:rsidR="00371542">
        <w:rPr>
          <w:rFonts w:eastAsiaTheme="minorHAnsi"/>
        </w:rPr>
        <w:t>(although</w:t>
      </w:r>
      <w:r w:rsidR="00966734" w:rsidRPr="00F36A0F">
        <w:rPr>
          <w:rFonts w:eastAsiaTheme="minorHAnsi"/>
        </w:rPr>
        <w:t xml:space="preserve"> given</w:t>
      </w:r>
      <w:r w:rsidR="00371542">
        <w:rPr>
          <w:rFonts w:eastAsiaTheme="minorHAnsi"/>
        </w:rPr>
        <w:t xml:space="preserve"> that</w:t>
      </w:r>
      <w:r w:rsidR="00966734" w:rsidRPr="00F36A0F">
        <w:rPr>
          <w:rFonts w:eastAsiaTheme="minorHAnsi"/>
        </w:rPr>
        <w:t xml:space="preserve"> only a subset of a practice’s patients would be enrolled in the program, it would be </w:t>
      </w:r>
      <w:r w:rsidR="00456444">
        <w:rPr>
          <w:rFonts w:eastAsiaTheme="minorHAnsi"/>
        </w:rPr>
        <w:t xml:space="preserve">a </w:t>
      </w:r>
      <w:r w:rsidR="00966734" w:rsidRPr="00F36A0F">
        <w:rPr>
          <w:rFonts w:eastAsiaTheme="minorHAnsi"/>
        </w:rPr>
        <w:t xml:space="preserve">considerably </w:t>
      </w:r>
      <w:r w:rsidR="00456444">
        <w:rPr>
          <w:rFonts w:eastAsiaTheme="minorHAnsi"/>
        </w:rPr>
        <w:t>smaller percentage</w:t>
      </w:r>
      <w:r w:rsidR="00966734" w:rsidRPr="00F36A0F">
        <w:rPr>
          <w:rFonts w:eastAsiaTheme="minorHAnsi"/>
        </w:rPr>
        <w:t xml:space="preserve"> of a practice’s total income</w:t>
      </w:r>
      <w:r w:rsidR="00456444">
        <w:rPr>
          <w:rFonts w:eastAsiaTheme="minorHAnsi"/>
        </w:rPr>
        <w:t>)</w:t>
      </w:r>
      <w:r w:rsidRPr="00F36A0F">
        <w:rPr>
          <w:rFonts w:eastAsiaTheme="minorHAnsi"/>
        </w:rPr>
        <w:t xml:space="preserve">. </w:t>
      </w:r>
    </w:p>
    <w:p w14:paraId="07A46EEC" w14:textId="77777777" w:rsidR="00456444" w:rsidRPr="00E027EA" w:rsidRDefault="00B9166E" w:rsidP="00DA6CB0">
      <w:pPr>
        <w:pStyle w:val="01squarebullet"/>
        <w:rPr>
          <w:rFonts w:eastAsiaTheme="minorHAnsi"/>
        </w:rPr>
      </w:pPr>
      <w:r w:rsidRPr="00F36A0F">
        <w:rPr>
          <w:rFonts w:eastAsiaTheme="minorHAnsi"/>
          <w:b/>
        </w:rPr>
        <w:t>Keep the system as simple as possible</w:t>
      </w:r>
      <w:r w:rsidRPr="00F36A0F">
        <w:rPr>
          <w:rFonts w:eastAsiaTheme="minorHAnsi"/>
        </w:rPr>
        <w:t xml:space="preserve">. Incentive systems need to have enough metrics to drive multidimensional change and balance out competing factors. However, </w:t>
      </w:r>
      <w:r w:rsidR="00C90036" w:rsidRPr="00F36A0F">
        <w:rPr>
          <w:rFonts w:eastAsiaTheme="minorHAnsi"/>
        </w:rPr>
        <w:t>the</w:t>
      </w:r>
      <w:r w:rsidRPr="00F36A0F">
        <w:rPr>
          <w:rFonts w:eastAsiaTheme="minorHAnsi"/>
        </w:rPr>
        <w:t xml:space="preserve"> number</w:t>
      </w:r>
      <w:r w:rsidR="00DF1710" w:rsidRPr="00F36A0F">
        <w:rPr>
          <w:rFonts w:eastAsiaTheme="minorHAnsi"/>
        </w:rPr>
        <w:t xml:space="preserve"> of metrics</w:t>
      </w:r>
      <w:r w:rsidRPr="00F36A0F">
        <w:rPr>
          <w:rFonts w:eastAsiaTheme="minorHAnsi"/>
        </w:rPr>
        <w:t xml:space="preserve"> </w:t>
      </w:r>
      <w:r w:rsidR="00956780" w:rsidRPr="00F36A0F">
        <w:rPr>
          <w:rFonts w:eastAsiaTheme="minorHAnsi"/>
        </w:rPr>
        <w:t xml:space="preserve">should also be small enough to allow </w:t>
      </w:r>
      <w:r w:rsidR="00125953">
        <w:rPr>
          <w:rFonts w:eastAsiaTheme="minorHAnsi"/>
        </w:rPr>
        <w:t>clinicians to readily recall them</w:t>
      </w:r>
      <w:r w:rsidRPr="00F36A0F">
        <w:rPr>
          <w:rFonts w:eastAsiaTheme="minorHAnsi"/>
        </w:rPr>
        <w:t>.</w:t>
      </w:r>
      <w:r w:rsidR="00A40FCA" w:rsidRPr="00F36A0F">
        <w:rPr>
          <w:rFonts w:eastAsiaTheme="minorHAnsi"/>
        </w:rPr>
        <w:t xml:space="preserve"> </w:t>
      </w:r>
      <w:r w:rsidR="00456444">
        <w:rPr>
          <w:rFonts w:eastAsiaTheme="minorHAnsi"/>
        </w:rPr>
        <w:t>For this reason, the DCP included o</w:t>
      </w:r>
      <w:r w:rsidR="00A40FCA" w:rsidRPr="00F36A0F">
        <w:rPr>
          <w:rFonts w:eastAsiaTheme="minorHAnsi"/>
        </w:rPr>
        <w:t>nly</w:t>
      </w:r>
      <w:r w:rsidR="00456444">
        <w:rPr>
          <w:rFonts w:eastAsiaTheme="minorHAnsi"/>
        </w:rPr>
        <w:t xml:space="preserve"> one</w:t>
      </w:r>
      <w:r w:rsidR="00A40FCA" w:rsidRPr="00F36A0F">
        <w:rPr>
          <w:rFonts w:eastAsiaTheme="minorHAnsi"/>
        </w:rPr>
        <w:t xml:space="preserve"> clinical metric </w:t>
      </w:r>
      <w:r w:rsidR="00456444">
        <w:rPr>
          <w:rFonts w:eastAsiaTheme="minorHAnsi"/>
        </w:rPr>
        <w:t>(</w:t>
      </w:r>
      <w:r w:rsidR="00A40FCA" w:rsidRPr="00F36A0F">
        <w:rPr>
          <w:rFonts w:eastAsiaTheme="minorHAnsi"/>
        </w:rPr>
        <w:t>HbA1c</w:t>
      </w:r>
      <w:r w:rsidR="00456444">
        <w:rPr>
          <w:rFonts w:eastAsiaTheme="minorHAnsi"/>
        </w:rPr>
        <w:t>)</w:t>
      </w:r>
      <w:r w:rsidR="00A40FCA" w:rsidRPr="00F36A0F">
        <w:rPr>
          <w:rFonts w:eastAsiaTheme="minorHAnsi"/>
        </w:rPr>
        <w:t xml:space="preserve"> and four other metrics.</w:t>
      </w:r>
    </w:p>
    <w:p w14:paraId="4A40015E" w14:textId="77777777" w:rsidR="00456444" w:rsidRDefault="00456444">
      <w:pPr>
        <w:pStyle w:val="60exhnormal"/>
        <w:keepNext/>
      </w:pPr>
      <w:r>
        <w:lastRenderedPageBreak/>
        <w:t xml:space="preserve">figure </w:t>
      </w:r>
      <w:r w:rsidR="00811EA3">
        <w:t>10</w:t>
      </w:r>
    </w:p>
    <w:p w14:paraId="14813E61" w14:textId="77777777" w:rsidR="002F75C5" w:rsidRDefault="002F75C5" w:rsidP="002F75C5">
      <w:pPr>
        <w:pStyle w:val="60exhnormal"/>
        <w:keepNext/>
        <w:jc w:val="center"/>
      </w:pPr>
      <w:r>
        <w:rPr>
          <w:noProof/>
          <w:lang w:eastAsia="en-AU"/>
        </w:rPr>
        <w:drawing>
          <wp:inline distT="0" distB="0" distL="0" distR="0" wp14:anchorId="0BAF59D8" wp14:editId="7D5E3756">
            <wp:extent cx="4906645" cy="3679825"/>
            <wp:effectExtent l="0" t="0" r="8255" b="0"/>
            <wp:docPr id="16" name="Picture 16" descr="Figure 10 is a list showing the Quality improvement support payments (QISP).The maximum quality improvement support payment a practice could receive was $150. To receive this maximum payment, practices had to demonstrate the following: (1) improved patient experience—specifically, improvements in patient empowerment, satisfaction and care coordination, measured using patient surveys; (2) improved clinical processes—specifically, patient adherence to the care plan, care plan completeness and accurate and timely data entry; and (3) improved clinical outcomes—specifically, reducing HbA1c levels in out-of-range participants and maintaining HbA1c levels among participants who were already within range. Each indicator was weighted. If a practice met the patient experience indicator, it could receive a maximum of $37.50. If a practice met the clinical process indicators, it could receive a maximum of $75. If a practice met the clinical indicator, it could receive a maximum of $3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3D42D0CD" w14:textId="77777777" w:rsidR="000A467D" w:rsidRPr="00F36A0F" w:rsidRDefault="001E7F60" w:rsidP="000A467D">
      <w:pPr>
        <w:pStyle w:val="21minor"/>
        <w:rPr>
          <w:rFonts w:eastAsiaTheme="minorHAnsi"/>
        </w:rPr>
      </w:pPr>
      <w:r w:rsidRPr="00F36A0F">
        <w:rPr>
          <w:rFonts w:eastAsiaTheme="minorHAnsi"/>
        </w:rPr>
        <w:t>2.2.</w:t>
      </w:r>
      <w:r w:rsidR="00B30169" w:rsidRPr="00F36A0F">
        <w:rPr>
          <w:rFonts w:eastAsiaTheme="minorHAnsi"/>
        </w:rPr>
        <w:t>5</w:t>
      </w:r>
      <w:r w:rsidRPr="00F36A0F">
        <w:rPr>
          <w:rFonts w:eastAsiaTheme="minorHAnsi"/>
        </w:rPr>
        <w:t xml:space="preserve">. </w:t>
      </w:r>
      <w:r w:rsidR="000A467D" w:rsidRPr="00F36A0F">
        <w:rPr>
          <w:rFonts w:eastAsiaTheme="minorHAnsi"/>
        </w:rPr>
        <w:t xml:space="preserve">Funding for Care Facilitation </w:t>
      </w:r>
    </w:p>
    <w:p w14:paraId="47511FD7" w14:textId="77777777" w:rsidR="000A467D" w:rsidRPr="00F36A0F" w:rsidRDefault="008C5A06" w:rsidP="000A467D">
      <w:pPr>
        <w:rPr>
          <w:rFonts w:eastAsiaTheme="minorHAnsi"/>
        </w:rPr>
      </w:pPr>
      <w:r>
        <w:rPr>
          <w:rFonts w:eastAsiaTheme="minorHAnsi"/>
        </w:rPr>
        <w:t>In</w:t>
      </w:r>
      <w:r w:rsidR="00914DE4">
        <w:rPr>
          <w:rFonts w:eastAsiaTheme="minorHAnsi"/>
        </w:rPr>
        <w:t xml:space="preserve"> Group 2, funding was provided to engage</w:t>
      </w:r>
      <w:r w:rsidR="000A467D" w:rsidRPr="00F36A0F">
        <w:rPr>
          <w:rFonts w:eastAsiaTheme="minorHAnsi"/>
        </w:rPr>
        <w:t xml:space="preserve"> Care Facilitators, whose role was to facilitate communication within multidisciplinary care teams.</w:t>
      </w:r>
      <w:r w:rsidR="002B2377">
        <w:rPr>
          <w:rFonts w:eastAsiaTheme="minorHAnsi"/>
        </w:rPr>
        <w:t xml:space="preserve"> </w:t>
      </w:r>
      <w:r w:rsidR="000A467D" w:rsidRPr="00F36A0F">
        <w:rPr>
          <w:rFonts w:eastAsiaTheme="minorHAnsi"/>
        </w:rPr>
        <w:t xml:space="preserve">Care Facilitators were responsible for the holistic care of </w:t>
      </w:r>
      <w:r w:rsidR="00AF5D68" w:rsidRPr="00F36A0F">
        <w:rPr>
          <w:rFonts w:eastAsiaTheme="minorHAnsi"/>
        </w:rPr>
        <w:t>participants</w:t>
      </w:r>
      <w:r w:rsidR="000A467D" w:rsidRPr="00F36A0F">
        <w:rPr>
          <w:rFonts w:eastAsiaTheme="minorHAnsi"/>
        </w:rPr>
        <w:t xml:space="preserve">, acting as a central point of contact between patient, practice and the relevant </w:t>
      </w:r>
      <w:r w:rsidR="002F6327">
        <w:rPr>
          <w:rFonts w:eastAsiaTheme="minorHAnsi"/>
        </w:rPr>
        <w:t>AHP</w:t>
      </w:r>
      <w:r w:rsidR="000A467D" w:rsidRPr="00F36A0F">
        <w:rPr>
          <w:rFonts w:eastAsiaTheme="minorHAnsi"/>
        </w:rPr>
        <w:t xml:space="preserve">s. They were independently funded by the DCP </w:t>
      </w:r>
      <w:r w:rsidR="004111F5">
        <w:rPr>
          <w:rFonts w:eastAsiaTheme="minorHAnsi"/>
        </w:rPr>
        <w:t xml:space="preserve">Project Management Office </w:t>
      </w:r>
      <w:r w:rsidR="00125953">
        <w:rPr>
          <w:rFonts w:eastAsiaTheme="minorHAnsi"/>
        </w:rPr>
        <w:t xml:space="preserve">via </w:t>
      </w:r>
      <w:r w:rsidR="0014328C">
        <w:rPr>
          <w:rFonts w:eastAsiaTheme="minorHAnsi"/>
        </w:rPr>
        <w:t xml:space="preserve">primary </w:t>
      </w:r>
      <w:r w:rsidR="000258BD">
        <w:rPr>
          <w:rFonts w:eastAsiaTheme="minorHAnsi"/>
        </w:rPr>
        <w:t>care organisations</w:t>
      </w:r>
      <w:r w:rsidR="00125953">
        <w:rPr>
          <w:rFonts w:eastAsiaTheme="minorHAnsi"/>
        </w:rPr>
        <w:t xml:space="preserve"> </w:t>
      </w:r>
      <w:r w:rsidR="000A467D" w:rsidRPr="00F36A0F">
        <w:rPr>
          <w:rFonts w:eastAsiaTheme="minorHAnsi"/>
        </w:rPr>
        <w:t xml:space="preserve">and contracted to cover several practices within a local area. Their role involved </w:t>
      </w:r>
      <w:r w:rsidR="000A467D" w:rsidRPr="00F36A0F">
        <w:rPr>
          <w:rFonts w:eastAsiaTheme="minorHAnsi"/>
          <w:bCs/>
        </w:rPr>
        <w:t xml:space="preserve">reviewing patient data </w:t>
      </w:r>
      <w:r w:rsidR="000A467D" w:rsidRPr="00F36A0F">
        <w:rPr>
          <w:rFonts w:eastAsiaTheme="minorHAnsi"/>
        </w:rPr>
        <w:t>(having received the appropriate consent) in order to identify risks and</w:t>
      </w:r>
      <w:r w:rsidR="007717C3" w:rsidRPr="00F36A0F">
        <w:rPr>
          <w:rFonts w:eastAsiaTheme="minorHAnsi"/>
        </w:rPr>
        <w:t xml:space="preserve"> coordinate care</w:t>
      </w:r>
      <w:r w:rsidR="000A467D" w:rsidRPr="00F36A0F">
        <w:rPr>
          <w:rFonts w:eastAsiaTheme="minorHAnsi"/>
        </w:rPr>
        <w:t>. This included booking case calls, scheduling Home Medicines Reviews (HMR) or Mental Health Reviews, or finding</w:t>
      </w:r>
      <w:r w:rsidR="000A467D" w:rsidRPr="00F36A0F">
        <w:rPr>
          <w:rFonts w:eastAsiaTheme="minorHAnsi"/>
          <w:bCs/>
        </w:rPr>
        <w:t xml:space="preserve"> alternative </w:t>
      </w:r>
      <w:r w:rsidR="002F6327">
        <w:rPr>
          <w:rFonts w:eastAsiaTheme="minorHAnsi"/>
          <w:bCs/>
        </w:rPr>
        <w:t>AHP</w:t>
      </w:r>
      <w:r w:rsidR="000A467D" w:rsidRPr="00F36A0F">
        <w:rPr>
          <w:rFonts w:eastAsiaTheme="minorHAnsi"/>
          <w:bCs/>
        </w:rPr>
        <w:t xml:space="preserve">s </w:t>
      </w:r>
      <w:r w:rsidR="000A467D" w:rsidRPr="00F36A0F">
        <w:rPr>
          <w:rFonts w:eastAsiaTheme="minorHAnsi"/>
        </w:rPr>
        <w:t xml:space="preserve">for </w:t>
      </w:r>
      <w:r w:rsidR="00AF5D68" w:rsidRPr="00F36A0F">
        <w:rPr>
          <w:rFonts w:eastAsiaTheme="minorHAnsi"/>
        </w:rPr>
        <w:t>participants</w:t>
      </w:r>
      <w:r w:rsidR="000A467D" w:rsidRPr="00F36A0F">
        <w:rPr>
          <w:rFonts w:eastAsiaTheme="minorHAnsi"/>
        </w:rPr>
        <w:t xml:space="preserve"> </w:t>
      </w:r>
      <w:r w:rsidR="0032172A" w:rsidRPr="00F36A0F">
        <w:rPr>
          <w:rFonts w:eastAsiaTheme="minorHAnsi"/>
        </w:rPr>
        <w:t>in the event of</w:t>
      </w:r>
      <w:r w:rsidR="000A467D" w:rsidRPr="00F36A0F">
        <w:rPr>
          <w:rFonts w:eastAsiaTheme="minorHAnsi"/>
        </w:rPr>
        <w:t xml:space="preserve"> availability issues.</w:t>
      </w:r>
      <w:r w:rsidR="00181CE9">
        <w:rPr>
          <w:rFonts w:eastAsiaTheme="minorHAnsi"/>
        </w:rPr>
        <w:t xml:space="preserve"> It was intended that a care facilitator would have a case load of approximately 300 to 400 patients across all risk strata.</w:t>
      </w:r>
    </w:p>
    <w:p w14:paraId="0E3F4D01" w14:textId="77777777" w:rsidR="00436DC3" w:rsidRPr="00F36A0F" w:rsidRDefault="000A467D" w:rsidP="00436DC3">
      <w:r w:rsidRPr="00F36A0F">
        <w:rPr>
          <w:rFonts w:eastAsiaTheme="minorHAnsi"/>
        </w:rPr>
        <w:t xml:space="preserve">Care Facilitators were also responsible for enabling </w:t>
      </w:r>
      <w:r w:rsidR="00AF5D68" w:rsidRPr="00F36A0F">
        <w:rPr>
          <w:rFonts w:eastAsiaTheme="minorHAnsi"/>
        </w:rPr>
        <w:t>participants</w:t>
      </w:r>
      <w:r w:rsidRPr="00F36A0F">
        <w:rPr>
          <w:rFonts w:eastAsiaTheme="minorHAnsi"/>
        </w:rPr>
        <w:t xml:space="preserve"> and health providers to take full advantage of the other DCP interventions. This involved supporting and educating practices and </w:t>
      </w:r>
      <w:r w:rsidR="00AF5D68" w:rsidRPr="00F36A0F">
        <w:rPr>
          <w:rFonts w:eastAsiaTheme="minorHAnsi"/>
        </w:rPr>
        <w:t>participants</w:t>
      </w:r>
      <w:r w:rsidRPr="00F36A0F">
        <w:rPr>
          <w:rFonts w:eastAsiaTheme="minorHAnsi"/>
        </w:rPr>
        <w:t xml:space="preserve"> to use the innovative features of the DCP</w:t>
      </w:r>
      <w:r w:rsidR="0096470F">
        <w:rPr>
          <w:rFonts w:eastAsiaTheme="minorHAnsi"/>
        </w:rPr>
        <w:t>’s model</w:t>
      </w:r>
      <w:r w:rsidRPr="00F36A0F">
        <w:rPr>
          <w:rFonts w:eastAsiaTheme="minorHAnsi"/>
        </w:rPr>
        <w:t xml:space="preserve"> of care. For example, Care Facilitators were expected to train—and provide ongoing support to—GPs and Practice Nurses in enrolled practices </w:t>
      </w:r>
      <w:r w:rsidR="0096470F">
        <w:rPr>
          <w:rFonts w:eastAsiaTheme="minorHAnsi"/>
        </w:rPr>
        <w:t>who would need to use the</w:t>
      </w:r>
      <w:r w:rsidRPr="00F36A0F">
        <w:rPr>
          <w:rFonts w:eastAsiaTheme="minorHAnsi"/>
        </w:rPr>
        <w:t xml:space="preserve"> project’s IT tool for (among other things) patient registration, risk stratification, and care planning.</w:t>
      </w:r>
      <w:r w:rsidR="00436DC3" w:rsidRPr="00F36A0F">
        <w:rPr>
          <w:rFonts w:eastAsiaTheme="minorHAnsi"/>
        </w:rPr>
        <w:t xml:space="preserve"> </w:t>
      </w:r>
      <w:r w:rsidR="0096470F">
        <w:t>Care Facilitators were</w:t>
      </w:r>
      <w:r w:rsidR="00FB6F7F" w:rsidRPr="00F36A0F">
        <w:t xml:space="preserve"> also intended to drive the continuous quality improvement processes</w:t>
      </w:r>
      <w:r w:rsidR="00436DC3" w:rsidRPr="00F36A0F">
        <w:t xml:space="preserve"> </w:t>
      </w:r>
      <w:r w:rsidR="00FB6F7F" w:rsidRPr="00F36A0F">
        <w:t xml:space="preserve">at </w:t>
      </w:r>
      <w:r w:rsidR="0096470F">
        <w:t xml:space="preserve">the </w:t>
      </w:r>
      <w:r w:rsidR="00FB6F7F" w:rsidRPr="00F36A0F">
        <w:t xml:space="preserve">practice and patient level </w:t>
      </w:r>
      <w:r w:rsidR="002C360B" w:rsidRPr="00F36A0F">
        <w:t>using system-</w:t>
      </w:r>
      <w:r w:rsidR="00436DC3" w:rsidRPr="00F36A0F">
        <w:t xml:space="preserve">wide data. </w:t>
      </w:r>
    </w:p>
    <w:p w14:paraId="2D79E74C" w14:textId="77777777" w:rsidR="009C67CE" w:rsidRPr="00F36A0F" w:rsidRDefault="009C67CE" w:rsidP="00FB6F7F">
      <w:pPr>
        <w:pStyle w:val="20major"/>
        <w:rPr>
          <w:rFonts w:eastAsiaTheme="minorHAnsi"/>
        </w:rPr>
      </w:pPr>
      <w:bookmarkStart w:id="9" w:name="_Toc419905884"/>
      <w:r w:rsidRPr="00F36A0F">
        <w:rPr>
          <w:rFonts w:eastAsiaTheme="minorHAnsi"/>
        </w:rPr>
        <w:lastRenderedPageBreak/>
        <w:t xml:space="preserve">2.3 </w:t>
      </w:r>
      <w:r w:rsidR="008431D4" w:rsidRPr="00F36A0F">
        <w:rPr>
          <w:rFonts w:eastAsiaTheme="minorHAnsi"/>
        </w:rPr>
        <w:t>DCP</w:t>
      </w:r>
      <w:r w:rsidRPr="00F36A0F">
        <w:rPr>
          <w:rFonts w:eastAsiaTheme="minorHAnsi"/>
        </w:rPr>
        <w:t xml:space="preserve"> </w:t>
      </w:r>
      <w:r w:rsidR="00ED0D02">
        <w:rPr>
          <w:rFonts w:eastAsiaTheme="minorHAnsi"/>
        </w:rPr>
        <w:t>T</w:t>
      </w:r>
      <w:r w:rsidRPr="00F36A0F">
        <w:rPr>
          <w:rFonts w:eastAsiaTheme="minorHAnsi"/>
        </w:rPr>
        <w:t xml:space="preserve">rial </w:t>
      </w:r>
      <w:r w:rsidR="00ED0D02">
        <w:rPr>
          <w:rFonts w:eastAsiaTheme="minorHAnsi"/>
        </w:rPr>
        <w:t>D</w:t>
      </w:r>
      <w:r w:rsidRPr="00F36A0F">
        <w:rPr>
          <w:rFonts w:eastAsiaTheme="minorHAnsi"/>
        </w:rPr>
        <w:t>esign</w:t>
      </w:r>
      <w:bookmarkEnd w:id="9"/>
    </w:p>
    <w:p w14:paraId="38AB1079" w14:textId="77777777" w:rsidR="00CC0D91" w:rsidRPr="00F36A0F" w:rsidRDefault="00CC0D91" w:rsidP="00CC0D91">
      <w:pPr>
        <w:rPr>
          <w:rFonts w:eastAsiaTheme="minorHAnsi"/>
        </w:rPr>
      </w:pPr>
      <w:r w:rsidRPr="00F36A0F">
        <w:rPr>
          <w:rFonts w:eastAsiaTheme="minorHAnsi"/>
        </w:rPr>
        <w:t>The DCP was designed as a randomised cluster-controlled trial involving people with diabetes in Queensland, South Australia and Victoria who voluntarily registered to participate in the project. Clustering was at the practice level because the intervention</w:t>
      </w:r>
      <w:r w:rsidR="0096470F">
        <w:rPr>
          <w:rFonts w:eastAsiaTheme="minorHAnsi"/>
        </w:rPr>
        <w:t>s</w:t>
      </w:r>
      <w:r w:rsidRPr="00F36A0F">
        <w:rPr>
          <w:rFonts w:eastAsiaTheme="minorHAnsi"/>
        </w:rPr>
        <w:t xml:space="preserve"> changed the way practices worked and </w:t>
      </w:r>
      <w:r w:rsidR="0096470F">
        <w:rPr>
          <w:rFonts w:eastAsiaTheme="minorHAnsi"/>
        </w:rPr>
        <w:t>practice-level clustering</w:t>
      </w:r>
      <w:r w:rsidRPr="00F36A0F">
        <w:rPr>
          <w:rFonts w:eastAsiaTheme="minorHAnsi"/>
        </w:rPr>
        <w:t xml:space="preserve"> minimised contamination between</w:t>
      </w:r>
      <w:r w:rsidR="0096470F">
        <w:rPr>
          <w:rFonts w:eastAsiaTheme="minorHAnsi"/>
        </w:rPr>
        <w:t xml:space="preserve"> the</w:t>
      </w:r>
      <w:r w:rsidRPr="00F36A0F">
        <w:rPr>
          <w:rFonts w:eastAsiaTheme="minorHAnsi"/>
        </w:rPr>
        <w:t xml:space="preserve"> intervention </w:t>
      </w:r>
      <w:r w:rsidR="0096470F">
        <w:rPr>
          <w:rFonts w:eastAsiaTheme="minorHAnsi"/>
        </w:rPr>
        <w:t xml:space="preserve">groups (Group 1 and Group 2) </w:t>
      </w:r>
      <w:r w:rsidRPr="00F36A0F">
        <w:rPr>
          <w:rFonts w:eastAsiaTheme="minorHAnsi"/>
        </w:rPr>
        <w:t xml:space="preserve">and </w:t>
      </w:r>
      <w:r w:rsidR="0096470F">
        <w:rPr>
          <w:rFonts w:eastAsiaTheme="minorHAnsi"/>
        </w:rPr>
        <w:t>the Control Group</w:t>
      </w:r>
      <w:r w:rsidRPr="00F36A0F">
        <w:rPr>
          <w:rFonts w:eastAsiaTheme="minorHAnsi"/>
        </w:rPr>
        <w:t xml:space="preserve">. Enrolled practices were randomised to either the Control Group or one of the two models of care </w:t>
      </w:r>
      <w:r w:rsidR="0096470F">
        <w:rPr>
          <w:rFonts w:eastAsiaTheme="minorHAnsi"/>
        </w:rPr>
        <w:t>(Group 1 or Group 2)</w:t>
      </w:r>
      <w:r w:rsidRPr="00F36A0F">
        <w:rPr>
          <w:rFonts w:eastAsiaTheme="minorHAnsi"/>
        </w:rPr>
        <w:t>. This section describes:</w:t>
      </w:r>
    </w:p>
    <w:p w14:paraId="15A3BED6" w14:textId="77777777" w:rsidR="007948DB" w:rsidRPr="00F36A0F" w:rsidRDefault="007948DB" w:rsidP="00CC0D91">
      <w:pPr>
        <w:pStyle w:val="01squarebullet"/>
        <w:rPr>
          <w:rFonts w:eastAsiaTheme="minorHAnsi"/>
        </w:rPr>
      </w:pPr>
      <w:r w:rsidRPr="00F36A0F">
        <w:rPr>
          <w:rFonts w:eastAsiaTheme="minorHAnsi"/>
        </w:rPr>
        <w:t>2.3.1 Recruitment and enrolment</w:t>
      </w:r>
      <w:r w:rsidR="00D30321" w:rsidRPr="00F36A0F">
        <w:rPr>
          <w:rFonts w:eastAsiaTheme="minorHAnsi"/>
        </w:rPr>
        <w:t xml:space="preserve"> processes</w:t>
      </w:r>
    </w:p>
    <w:p w14:paraId="45DCD928" w14:textId="77777777" w:rsidR="007948DB" w:rsidRPr="00F36A0F" w:rsidRDefault="008A1DD5" w:rsidP="0010792D">
      <w:pPr>
        <w:pStyle w:val="01squarebullet"/>
        <w:rPr>
          <w:rFonts w:eastAsiaTheme="minorHAnsi"/>
        </w:rPr>
      </w:pPr>
      <w:r w:rsidRPr="00F36A0F">
        <w:rPr>
          <w:rFonts w:eastAsiaTheme="minorHAnsi"/>
        </w:rPr>
        <w:t xml:space="preserve">2.3.2 </w:t>
      </w:r>
      <w:r w:rsidR="00017AE1" w:rsidRPr="00F36A0F">
        <w:rPr>
          <w:rFonts w:eastAsiaTheme="minorHAnsi"/>
        </w:rPr>
        <w:t>R</w:t>
      </w:r>
      <w:r w:rsidRPr="00F36A0F">
        <w:rPr>
          <w:rFonts w:eastAsiaTheme="minorHAnsi"/>
        </w:rPr>
        <w:t>andomisation</w:t>
      </w:r>
      <w:r w:rsidR="00D30321" w:rsidRPr="00F36A0F">
        <w:rPr>
          <w:rFonts w:eastAsiaTheme="minorHAnsi"/>
        </w:rPr>
        <w:t xml:space="preserve"> </w:t>
      </w:r>
    </w:p>
    <w:p w14:paraId="44839CF6" w14:textId="77777777" w:rsidR="008A1DD5" w:rsidRPr="00F36A0F" w:rsidRDefault="008A1DD5" w:rsidP="0010792D">
      <w:pPr>
        <w:pStyle w:val="01squarebullet"/>
        <w:rPr>
          <w:rFonts w:eastAsiaTheme="minorHAnsi"/>
        </w:rPr>
      </w:pPr>
      <w:r w:rsidRPr="00F36A0F">
        <w:rPr>
          <w:rFonts w:eastAsiaTheme="minorHAnsi"/>
        </w:rPr>
        <w:t>2.3.3 Outcome measures</w:t>
      </w:r>
    </w:p>
    <w:p w14:paraId="08296382" w14:textId="77777777" w:rsidR="008A1DD5" w:rsidRPr="00F36A0F" w:rsidRDefault="008A1DD5" w:rsidP="0010792D">
      <w:pPr>
        <w:pStyle w:val="01squarebullet"/>
        <w:rPr>
          <w:rFonts w:eastAsiaTheme="minorHAnsi"/>
        </w:rPr>
      </w:pPr>
      <w:r w:rsidRPr="00F36A0F">
        <w:rPr>
          <w:rFonts w:eastAsiaTheme="minorHAnsi"/>
        </w:rPr>
        <w:t>2.3.4 Ethical considerations</w:t>
      </w:r>
    </w:p>
    <w:p w14:paraId="36DB3969" w14:textId="77777777" w:rsidR="009C67CE" w:rsidRPr="00F36A0F" w:rsidRDefault="009C67CE" w:rsidP="009C67CE">
      <w:pPr>
        <w:pStyle w:val="21minor"/>
        <w:rPr>
          <w:rFonts w:eastAsiaTheme="minorHAnsi"/>
        </w:rPr>
      </w:pPr>
      <w:r w:rsidRPr="00F36A0F">
        <w:rPr>
          <w:rFonts w:eastAsiaTheme="minorHAnsi"/>
        </w:rPr>
        <w:t>2.3.1. Recruitment and Enrolment</w:t>
      </w:r>
      <w:r w:rsidR="008F0028" w:rsidRPr="00F36A0F">
        <w:rPr>
          <w:rFonts w:eastAsiaTheme="minorHAnsi"/>
        </w:rPr>
        <w:t xml:space="preserve"> Processes</w:t>
      </w:r>
    </w:p>
    <w:p w14:paraId="13363A0E" w14:textId="77777777" w:rsidR="009C67CE" w:rsidRPr="00F36A0F" w:rsidRDefault="00AE050C" w:rsidP="009C67CE">
      <w:pPr>
        <w:rPr>
          <w:shd w:val="clear" w:color="auto" w:fill="FFFFFF"/>
        </w:rPr>
      </w:pPr>
      <w:r w:rsidRPr="00AE050C">
        <w:rPr>
          <w:shd w:val="clear" w:color="auto" w:fill="FFFFFF"/>
        </w:rPr>
        <w:t>Seven primary care organisations (independent entities responsible for coordinating local primary health care services, such as Divisions of General Practice and Medicare Locals) across the states of Queensland (n</w:t>
      </w:r>
      <w:r w:rsidRPr="00AE050C">
        <w:rPr>
          <w:rFonts w:ascii="Times New Roman" w:hAnsi="Times New Roman"/>
          <w:shd w:val="clear" w:color="auto" w:fill="FFFFFF"/>
        </w:rPr>
        <w:t> </w:t>
      </w:r>
      <w:r w:rsidRPr="00AE050C">
        <w:rPr>
          <w:shd w:val="clear" w:color="auto" w:fill="FFFFFF"/>
        </w:rPr>
        <w:t>=</w:t>
      </w:r>
      <w:r w:rsidRPr="00AE050C">
        <w:rPr>
          <w:rFonts w:ascii="Times New Roman" w:hAnsi="Times New Roman"/>
          <w:shd w:val="clear" w:color="auto" w:fill="FFFFFF"/>
        </w:rPr>
        <w:t> </w:t>
      </w:r>
      <w:r w:rsidRPr="00AE050C">
        <w:rPr>
          <w:shd w:val="clear" w:color="auto" w:fill="FFFFFF"/>
        </w:rPr>
        <w:t>4), South Australia (n</w:t>
      </w:r>
      <w:r w:rsidRPr="00AE050C">
        <w:rPr>
          <w:rFonts w:ascii="Times New Roman" w:hAnsi="Times New Roman"/>
          <w:shd w:val="clear" w:color="auto" w:fill="FFFFFF"/>
        </w:rPr>
        <w:t> </w:t>
      </w:r>
      <w:r w:rsidRPr="00AE050C">
        <w:rPr>
          <w:shd w:val="clear" w:color="auto" w:fill="FFFFFF"/>
        </w:rPr>
        <w:t>=</w:t>
      </w:r>
      <w:r w:rsidRPr="00AE050C">
        <w:rPr>
          <w:rFonts w:ascii="Times New Roman" w:hAnsi="Times New Roman"/>
          <w:shd w:val="clear" w:color="auto" w:fill="FFFFFF"/>
        </w:rPr>
        <w:t> </w:t>
      </w:r>
      <w:r w:rsidRPr="00AE050C">
        <w:rPr>
          <w:shd w:val="clear" w:color="auto" w:fill="FFFFFF"/>
        </w:rPr>
        <w:t>1), and Victoria (n</w:t>
      </w:r>
      <w:r w:rsidRPr="00AE050C">
        <w:rPr>
          <w:rFonts w:ascii="Times New Roman" w:hAnsi="Times New Roman"/>
          <w:shd w:val="clear" w:color="auto" w:fill="FFFFFF"/>
        </w:rPr>
        <w:t> </w:t>
      </w:r>
      <w:r w:rsidRPr="00AE050C">
        <w:rPr>
          <w:shd w:val="clear" w:color="auto" w:fill="FFFFFF"/>
        </w:rPr>
        <w:t>=</w:t>
      </w:r>
      <w:r w:rsidRPr="00AE050C">
        <w:rPr>
          <w:rFonts w:ascii="Times New Roman" w:hAnsi="Times New Roman"/>
          <w:shd w:val="clear" w:color="auto" w:fill="FFFFFF"/>
        </w:rPr>
        <w:t> </w:t>
      </w:r>
      <w:r w:rsidRPr="00AE050C">
        <w:rPr>
          <w:shd w:val="clear" w:color="auto" w:fill="FFFFFF"/>
        </w:rPr>
        <w:t xml:space="preserve">2) took part in the project. Prior to the commencement of the project, each </w:t>
      </w:r>
      <w:r>
        <w:rPr>
          <w:shd w:val="clear" w:color="auto" w:fill="FFFFFF"/>
        </w:rPr>
        <w:t>primary care organisation</w:t>
      </w:r>
      <w:r w:rsidRPr="00AE050C">
        <w:rPr>
          <w:shd w:val="clear" w:color="auto" w:fill="FFFFFF"/>
        </w:rPr>
        <w:t xml:space="preserve"> distributed DCP information sheets to all general practices within their network and adjacent areas and sought expressions of interest to participate in the project. </w:t>
      </w:r>
      <w:r w:rsidR="009C67CE" w:rsidRPr="00F36A0F">
        <w:rPr>
          <w:shd w:val="clear" w:color="auto" w:fill="FFFFFF"/>
        </w:rPr>
        <w:t xml:space="preserve">Practices were eligible to participate in the project if </w:t>
      </w:r>
      <w:r w:rsidR="0096470F">
        <w:rPr>
          <w:shd w:val="clear" w:color="auto" w:fill="FFFFFF"/>
        </w:rPr>
        <w:t>they met the following criteria:</w:t>
      </w:r>
    </w:p>
    <w:p w14:paraId="225DD473" w14:textId="77777777" w:rsidR="009C67CE" w:rsidRPr="00F36A0F" w:rsidRDefault="009C67CE" w:rsidP="009C67CE">
      <w:pPr>
        <w:pStyle w:val="01squarebullet"/>
      </w:pPr>
      <w:r w:rsidRPr="00F36A0F">
        <w:rPr>
          <w:rStyle w:val="apple-converted-space"/>
        </w:rPr>
        <w:t xml:space="preserve">The </w:t>
      </w:r>
      <w:r w:rsidRPr="00F36A0F">
        <w:t>practice’s software (GPs’ desktop application) was compatible with project software for data extraction purposes.</w:t>
      </w:r>
    </w:p>
    <w:p w14:paraId="04ABFD73" w14:textId="77777777" w:rsidR="009C67CE" w:rsidRPr="00F36A0F" w:rsidRDefault="009C67CE" w:rsidP="009C67CE">
      <w:pPr>
        <w:pStyle w:val="01squarebullet"/>
      </w:pPr>
      <w:r w:rsidRPr="00F36A0F">
        <w:t>The practice met the Royal Australian College of General Practitioners</w:t>
      </w:r>
      <w:r w:rsidR="008C5A06">
        <w:t>’</w:t>
      </w:r>
      <w:r w:rsidRPr="00F36A0F">
        <w:t xml:space="preserve"> (RACGP) definition of</w:t>
      </w:r>
      <w:r w:rsidR="00E027EA">
        <w:t> </w:t>
      </w:r>
      <w:r w:rsidRPr="00F36A0F">
        <w:t>‘general practice.’</w:t>
      </w:r>
    </w:p>
    <w:p w14:paraId="5526C4B2" w14:textId="77777777" w:rsidR="009C67CE" w:rsidRPr="00F36A0F" w:rsidRDefault="009C67CE" w:rsidP="009C67CE">
      <w:pPr>
        <w:pStyle w:val="01squarebullet"/>
      </w:pPr>
      <w:r w:rsidRPr="00F36A0F">
        <w:t>The practice was accredited (or registered for accreditation) against the current edition of the RACGP ‘Standards for General Practices.’</w:t>
      </w:r>
    </w:p>
    <w:p w14:paraId="4B54C90A" w14:textId="77777777" w:rsidR="009C67CE" w:rsidRPr="00F36A0F" w:rsidRDefault="009C67CE" w:rsidP="009C67CE">
      <w:pPr>
        <w:pStyle w:val="01squarebullet"/>
      </w:pPr>
      <w:r w:rsidRPr="00F36A0F">
        <w:t>The practice had current public liability insurance.</w:t>
      </w:r>
    </w:p>
    <w:p w14:paraId="0EB15F73" w14:textId="77777777" w:rsidR="009C67CE" w:rsidRPr="00F36A0F" w:rsidRDefault="009C67CE" w:rsidP="009C67CE">
      <w:pPr>
        <w:pStyle w:val="01squarebullet"/>
      </w:pPr>
      <w:r w:rsidRPr="00F36A0F">
        <w:t xml:space="preserve">All health professionals at the practice who would be providing care to enrolled </w:t>
      </w:r>
      <w:r w:rsidR="00AF5D68" w:rsidRPr="00F36A0F">
        <w:t>participants</w:t>
      </w:r>
      <w:r w:rsidRPr="00F36A0F">
        <w:t xml:space="preserve"> were appropriately qualified and registered and had current professional indemnity insurance.</w:t>
      </w:r>
    </w:p>
    <w:p w14:paraId="45A777F3" w14:textId="77777777" w:rsidR="001C1956" w:rsidRPr="00F36A0F" w:rsidRDefault="001C1956" w:rsidP="0008694D">
      <w:pPr>
        <w:pStyle w:val="01squarebullet"/>
      </w:pPr>
      <w:r w:rsidRPr="00F36A0F">
        <w:t>The practice had not indicated that they do not participate in trials.</w:t>
      </w:r>
    </w:p>
    <w:p w14:paraId="44B16F75" w14:textId="77777777" w:rsidR="009C67CE" w:rsidRPr="00F36A0F" w:rsidRDefault="009C67CE" w:rsidP="009C67CE">
      <w:pPr>
        <w:rPr>
          <w:shd w:val="clear" w:color="auto" w:fill="FFFFFF"/>
        </w:rPr>
      </w:pPr>
      <w:r w:rsidRPr="00F36A0F">
        <w:rPr>
          <w:shd w:val="clear" w:color="auto" w:fill="FFFFFF"/>
        </w:rPr>
        <w:t>Practices that expressed an interest in participating in the project were enrolled and randomly assigned to one of three trial arms: the Control Group, Group 1</w:t>
      </w:r>
      <w:r w:rsidR="007D7135" w:rsidRPr="00F36A0F">
        <w:rPr>
          <w:shd w:val="clear" w:color="auto" w:fill="FFFFFF"/>
        </w:rPr>
        <w:t>,</w:t>
      </w:r>
      <w:r w:rsidRPr="00F36A0F">
        <w:rPr>
          <w:shd w:val="clear" w:color="auto" w:fill="FFFFFF"/>
        </w:rPr>
        <w:t xml:space="preserve"> or Group 2. Each enrolled practice underwen</w:t>
      </w:r>
      <w:r w:rsidR="00B1503B">
        <w:rPr>
          <w:shd w:val="clear" w:color="auto" w:fill="FFFFFF"/>
        </w:rPr>
        <w:t>t training to familiarise it</w:t>
      </w:r>
      <w:r w:rsidRPr="00F36A0F">
        <w:rPr>
          <w:shd w:val="clear" w:color="auto" w:fill="FFFFFF"/>
        </w:rPr>
        <w:t xml:space="preserve"> with the assigned trial arm and </w:t>
      </w:r>
      <w:r w:rsidR="00D56B19" w:rsidRPr="00F36A0F">
        <w:rPr>
          <w:shd w:val="clear" w:color="auto" w:fill="FFFFFF"/>
        </w:rPr>
        <w:t xml:space="preserve">DCP </w:t>
      </w:r>
      <w:r w:rsidRPr="00F36A0F">
        <w:rPr>
          <w:shd w:val="clear" w:color="auto" w:fill="FFFFFF"/>
        </w:rPr>
        <w:t xml:space="preserve">procedures. </w:t>
      </w:r>
      <w:r w:rsidR="00AE050C">
        <w:rPr>
          <w:shd w:val="clear" w:color="auto" w:fill="FFFFFF"/>
        </w:rPr>
        <w:t>Primary care organisations</w:t>
      </w:r>
      <w:r w:rsidRPr="00F36A0F">
        <w:rPr>
          <w:shd w:val="clear" w:color="auto" w:fill="FFFFFF"/>
        </w:rPr>
        <w:t xml:space="preserve"> assigned to Group 2 were supported by a ‘</w:t>
      </w:r>
      <w:r w:rsidR="002C6631" w:rsidRPr="00F36A0F">
        <w:rPr>
          <w:shd w:val="clear" w:color="auto" w:fill="FFFFFF"/>
        </w:rPr>
        <w:t>project</w:t>
      </w:r>
      <w:r w:rsidRPr="00F36A0F">
        <w:rPr>
          <w:shd w:val="clear" w:color="auto" w:fill="FFFFFF"/>
        </w:rPr>
        <w:t xml:space="preserve"> delivery and integration team’ to recruit and train Care Facilitators.</w:t>
      </w:r>
    </w:p>
    <w:p w14:paraId="660DAE99" w14:textId="77777777" w:rsidR="009C67CE" w:rsidRPr="00F36A0F" w:rsidRDefault="009C67CE" w:rsidP="009C67CE">
      <w:pPr>
        <w:rPr>
          <w:shd w:val="clear" w:color="auto" w:fill="FFFFFF"/>
        </w:rPr>
      </w:pPr>
      <w:r w:rsidRPr="00F36A0F">
        <w:rPr>
          <w:shd w:val="clear" w:color="auto" w:fill="FFFFFF"/>
        </w:rPr>
        <w:lastRenderedPageBreak/>
        <w:t xml:space="preserve">Adult </w:t>
      </w:r>
      <w:r w:rsidR="00AF5D68" w:rsidRPr="00F36A0F">
        <w:rPr>
          <w:shd w:val="clear" w:color="auto" w:fill="FFFFFF"/>
        </w:rPr>
        <w:t>participants</w:t>
      </w:r>
      <w:r w:rsidRPr="00F36A0F">
        <w:rPr>
          <w:shd w:val="clear" w:color="auto" w:fill="FFFFFF"/>
        </w:rPr>
        <w:t xml:space="preserve"> of participating general practices were eligible to participate in the project if they met the following criteria: </w:t>
      </w:r>
    </w:p>
    <w:p w14:paraId="35F00E48" w14:textId="77777777" w:rsidR="009C67CE" w:rsidRPr="00F36A0F" w:rsidRDefault="00B1503B" w:rsidP="009C67CE">
      <w:pPr>
        <w:pStyle w:val="01squarebullet"/>
      </w:pPr>
      <w:r>
        <w:t>A</w:t>
      </w:r>
      <w:r w:rsidR="009C67CE" w:rsidRPr="00F36A0F">
        <w:t>ged 18 years or older.</w:t>
      </w:r>
    </w:p>
    <w:p w14:paraId="5560ACCF" w14:textId="77777777" w:rsidR="009C67CE" w:rsidRPr="00F36A0F" w:rsidRDefault="00B1503B" w:rsidP="009C67CE">
      <w:pPr>
        <w:pStyle w:val="01squarebullet"/>
      </w:pPr>
      <w:r>
        <w:t>Established</w:t>
      </w:r>
      <w:r w:rsidR="009C67CE" w:rsidRPr="00F36A0F">
        <w:t xml:space="preserve"> (equal to or more than 12 months</w:t>
      </w:r>
      <w:r w:rsidR="00061175">
        <w:t>’</w:t>
      </w:r>
      <w:r w:rsidR="009C67CE" w:rsidRPr="00F36A0F">
        <w:t xml:space="preserve"> duration) type 1 diabetes mellitus or newly diagnosed or established type 2 diabetes mellitus.</w:t>
      </w:r>
    </w:p>
    <w:p w14:paraId="78D25411" w14:textId="77777777" w:rsidR="009C67CE" w:rsidRPr="00F36A0F" w:rsidRDefault="00B1503B" w:rsidP="009C67CE">
      <w:pPr>
        <w:pStyle w:val="01squarebullet"/>
        <w:rPr>
          <w:shd w:val="clear" w:color="auto" w:fill="FFFFFF"/>
        </w:rPr>
      </w:pPr>
      <w:r>
        <w:t>Capacity</w:t>
      </w:r>
      <w:r w:rsidR="009C67CE" w:rsidRPr="00F36A0F">
        <w:t xml:space="preserve"> to provide informed consent to participate.</w:t>
      </w:r>
    </w:p>
    <w:p w14:paraId="37F00C55" w14:textId="77777777" w:rsidR="009C67CE" w:rsidRPr="00F36A0F" w:rsidRDefault="00B1503B" w:rsidP="009C67CE">
      <w:pPr>
        <w:pStyle w:val="01squarebullet"/>
      </w:pPr>
      <w:r>
        <w:t>No</w:t>
      </w:r>
      <w:r w:rsidR="009C67CE" w:rsidRPr="00F36A0F">
        <w:t xml:space="preserve"> terminal illness </w:t>
      </w:r>
      <w:r>
        <w:t>or</w:t>
      </w:r>
      <w:r w:rsidR="009C67CE" w:rsidRPr="00F36A0F">
        <w:t xml:space="preserve"> life expectancy of less than two years. </w:t>
      </w:r>
    </w:p>
    <w:p w14:paraId="0F15F1F9" w14:textId="77777777" w:rsidR="009C67CE" w:rsidRPr="00F36A0F" w:rsidRDefault="00B1503B" w:rsidP="009C67CE">
      <w:pPr>
        <w:pStyle w:val="01squarebullet"/>
      </w:pPr>
      <w:r>
        <w:t>Did not have</w:t>
      </w:r>
      <w:r w:rsidR="009C67CE" w:rsidRPr="00F36A0F">
        <w:t xml:space="preserve"> dementia.</w:t>
      </w:r>
    </w:p>
    <w:p w14:paraId="57F08FCF" w14:textId="77777777" w:rsidR="009C67CE" w:rsidRPr="00F36A0F" w:rsidRDefault="00B1503B" w:rsidP="009C67CE">
      <w:pPr>
        <w:pStyle w:val="01squarebullet"/>
      </w:pPr>
      <w:r>
        <w:t>Not</w:t>
      </w:r>
      <w:r w:rsidR="009C67CE" w:rsidRPr="00F36A0F">
        <w:t xml:space="preserve"> pregnant or planning to become pregnant in the next two years.</w:t>
      </w:r>
    </w:p>
    <w:p w14:paraId="42C9D470" w14:textId="77777777" w:rsidR="009C67CE" w:rsidRPr="00F36A0F" w:rsidRDefault="00B1503B" w:rsidP="009C67CE">
      <w:pPr>
        <w:pStyle w:val="01squarebullet"/>
        <w:rPr>
          <w:shd w:val="clear" w:color="auto" w:fill="FFFFFF"/>
        </w:rPr>
      </w:pPr>
      <w:r>
        <w:t>Not</w:t>
      </w:r>
      <w:r w:rsidR="009C67CE" w:rsidRPr="00F36A0F">
        <w:t xml:space="preserve"> participating in the Coordinated Veterans Care (CVC) program.</w:t>
      </w:r>
    </w:p>
    <w:p w14:paraId="53E7972A" w14:textId="77777777" w:rsidR="0032287A" w:rsidRPr="00F36A0F" w:rsidRDefault="009C67CE" w:rsidP="009C67CE">
      <w:r w:rsidRPr="00F36A0F">
        <w:t>All eligible people with diabetes were identified by the enrolled practice and the project delivery and integration team and sent a GP-endorsed letter advertising the project and actively seeking enrolments. After receiving informed consent, participants were asked to complete the baseline surveys and meet with their GP to have their baseline metrics recorded.</w:t>
      </w:r>
    </w:p>
    <w:p w14:paraId="769F1539" w14:textId="77777777" w:rsidR="009C67CE" w:rsidRPr="00F36A0F" w:rsidRDefault="009C67CE" w:rsidP="009C67CE">
      <w:pPr>
        <w:pStyle w:val="21minor"/>
        <w:rPr>
          <w:rFonts w:eastAsiaTheme="minorHAnsi"/>
        </w:rPr>
      </w:pPr>
      <w:r w:rsidRPr="00F36A0F">
        <w:rPr>
          <w:rFonts w:eastAsiaTheme="minorHAnsi"/>
        </w:rPr>
        <w:t xml:space="preserve">2.3.2. </w:t>
      </w:r>
      <w:r w:rsidR="007948DB" w:rsidRPr="00F36A0F">
        <w:rPr>
          <w:rFonts w:eastAsiaTheme="minorHAnsi"/>
        </w:rPr>
        <w:t>Randomisation</w:t>
      </w:r>
    </w:p>
    <w:p w14:paraId="4FFE2C49" w14:textId="77777777" w:rsidR="0032287A" w:rsidRPr="00F36A0F" w:rsidRDefault="0032287A" w:rsidP="009C67CE">
      <w:r w:rsidRPr="00F36A0F">
        <w:t xml:space="preserve">In four of the </w:t>
      </w:r>
      <w:r w:rsidR="00AE050C">
        <w:t>primary care organisations</w:t>
      </w:r>
      <w:r w:rsidRPr="00F36A0F">
        <w:t xml:space="preserve">, enrolled general practices </w:t>
      </w:r>
      <w:r w:rsidR="007948DB" w:rsidRPr="00F36A0F">
        <w:t>were</w:t>
      </w:r>
      <w:r w:rsidRPr="00F36A0F">
        <w:t xml:space="preserve"> randomly allocated to the </w:t>
      </w:r>
      <w:r w:rsidR="00C57BC2" w:rsidRPr="00F36A0F">
        <w:t>Control Group</w:t>
      </w:r>
      <w:r w:rsidRPr="00F36A0F">
        <w:t xml:space="preserve"> or </w:t>
      </w:r>
      <w:r w:rsidR="000A57CE" w:rsidRPr="00F36A0F">
        <w:t xml:space="preserve">Group </w:t>
      </w:r>
      <w:r w:rsidRPr="00F36A0F">
        <w:t xml:space="preserve">1 at a ratio of 1:2. In the other three </w:t>
      </w:r>
      <w:r w:rsidR="00AE050C" w:rsidRPr="00AE050C">
        <w:t>primary care organisations</w:t>
      </w:r>
      <w:r w:rsidRPr="00F36A0F">
        <w:t xml:space="preserve">, practices </w:t>
      </w:r>
      <w:r w:rsidR="007A1E9B" w:rsidRPr="00F36A0F">
        <w:t>were</w:t>
      </w:r>
      <w:r w:rsidRPr="00F36A0F">
        <w:t xml:space="preserve"> randomly assigned to the </w:t>
      </w:r>
      <w:r w:rsidR="000A57CE" w:rsidRPr="00F36A0F">
        <w:t>Control Group</w:t>
      </w:r>
      <w:r w:rsidRPr="00F36A0F">
        <w:t xml:space="preserve"> or </w:t>
      </w:r>
      <w:r w:rsidR="000A57CE" w:rsidRPr="00F36A0F">
        <w:t xml:space="preserve">Group </w:t>
      </w:r>
      <w:r w:rsidRPr="00F36A0F">
        <w:t xml:space="preserve">2 at a ratio of 1:2. A single type of intervention </w:t>
      </w:r>
      <w:r w:rsidR="007A1E9B" w:rsidRPr="00F36A0F">
        <w:t>was</w:t>
      </w:r>
      <w:r w:rsidRPr="00F36A0F">
        <w:t xml:space="preserve"> tested in each </w:t>
      </w:r>
      <w:r w:rsidR="002E5DF6">
        <w:t>primary care organisation</w:t>
      </w:r>
      <w:r w:rsidR="00AE050C" w:rsidRPr="00AE050C">
        <w:t xml:space="preserve"> </w:t>
      </w:r>
      <w:r w:rsidR="001C1956" w:rsidRPr="00F36A0F">
        <w:t>due to</w:t>
      </w:r>
      <w:r w:rsidR="007A1E9B" w:rsidRPr="00F36A0F">
        <w:t xml:space="preserve"> two practical constraints. </w:t>
      </w:r>
      <w:r w:rsidR="009D66A5">
        <w:t>First</w:t>
      </w:r>
      <w:r w:rsidR="007A1E9B" w:rsidRPr="00F36A0F">
        <w:t>,</w:t>
      </w:r>
      <w:r w:rsidR="008D3A04">
        <w:t xml:space="preserve"> </w:t>
      </w:r>
      <w:r w:rsidR="002E5DF6" w:rsidRPr="002E5DF6">
        <w:t xml:space="preserve">primary care organisations </w:t>
      </w:r>
      <w:r w:rsidR="001B07FE" w:rsidRPr="00F36A0F">
        <w:t xml:space="preserve">would </w:t>
      </w:r>
      <w:r w:rsidR="0096470F">
        <w:t>have found</w:t>
      </w:r>
      <w:r w:rsidR="001B07FE" w:rsidRPr="00F36A0F">
        <w:t xml:space="preserve"> it difficult to enrol and support practices using two different interventions, given that Group 1 and Group 2 involved multiple different components. Secondly, </w:t>
      </w:r>
      <w:r w:rsidR="006C3B70" w:rsidRPr="00F36A0F">
        <w:t>Care Facilitators</w:t>
      </w:r>
      <w:r w:rsidRPr="00F36A0F">
        <w:t xml:space="preserve"> in </w:t>
      </w:r>
      <w:r w:rsidR="009121F2" w:rsidRPr="00F36A0F">
        <w:t xml:space="preserve">Group </w:t>
      </w:r>
      <w:r w:rsidRPr="00F36A0F">
        <w:t xml:space="preserve">2 </w:t>
      </w:r>
      <w:r w:rsidR="007A1E9B" w:rsidRPr="00F36A0F">
        <w:t>were</w:t>
      </w:r>
      <w:r w:rsidRPr="00F36A0F">
        <w:t xml:space="preserve"> required to work with </w:t>
      </w:r>
      <w:r w:rsidR="001C1956" w:rsidRPr="00F36A0F">
        <w:t>approximately</w:t>
      </w:r>
      <w:r w:rsidRPr="00F36A0F">
        <w:t xml:space="preserve"> five practices within a single geographic area</w:t>
      </w:r>
      <w:r w:rsidR="001B07FE" w:rsidRPr="00F36A0F">
        <w:t xml:space="preserve"> and mixing all three </w:t>
      </w:r>
      <w:r w:rsidR="00EF372A">
        <w:t>groups</w:t>
      </w:r>
      <w:r w:rsidR="00EF372A" w:rsidRPr="00F36A0F">
        <w:t xml:space="preserve"> </w:t>
      </w:r>
      <w:r w:rsidR="001B07FE" w:rsidRPr="00F36A0F">
        <w:t xml:space="preserve">in one area would have </w:t>
      </w:r>
      <w:r w:rsidR="0096470F">
        <w:t>made it difficult to</w:t>
      </w:r>
      <w:r w:rsidR="001B07FE" w:rsidRPr="00F36A0F">
        <w:t xml:space="preserve"> travel between practices efficiently</w:t>
      </w:r>
      <w:r w:rsidR="009F0252" w:rsidRPr="00F36A0F">
        <w:t>.</w:t>
      </w:r>
      <w:r w:rsidR="007A1E9B" w:rsidRPr="00F36A0F">
        <w:t xml:space="preserve"> </w:t>
      </w:r>
      <w:r w:rsidRPr="00F36A0F">
        <w:t xml:space="preserve">Randomisation </w:t>
      </w:r>
      <w:r w:rsidR="007A1E9B" w:rsidRPr="00F36A0F">
        <w:t>was</w:t>
      </w:r>
      <w:r w:rsidRPr="00F36A0F">
        <w:t xml:space="preserve"> applied after recruiting each group of three practices in a combined </w:t>
      </w:r>
      <w:r w:rsidR="002E5DF6">
        <w:t>primary care organisation</w:t>
      </w:r>
      <w:r w:rsidR="002E5DF6" w:rsidRPr="002E5DF6">
        <w:t xml:space="preserve"> </w:t>
      </w:r>
      <w:r w:rsidR="0096470F">
        <w:t>and r</w:t>
      </w:r>
      <w:r w:rsidRPr="00F36A0F">
        <w:t xml:space="preserve">egion stratum </w:t>
      </w:r>
      <w:r w:rsidR="008F14A5" w:rsidRPr="00F36A0F">
        <w:t>(</w:t>
      </w:r>
      <w:r w:rsidRPr="00F36A0F">
        <w:t xml:space="preserve">where </w:t>
      </w:r>
      <w:r w:rsidR="008F14A5" w:rsidRPr="00F36A0F">
        <w:t xml:space="preserve">‘region’ </w:t>
      </w:r>
      <w:r w:rsidRPr="00F36A0F">
        <w:t>refers to</w:t>
      </w:r>
      <w:r w:rsidR="007A1E9B" w:rsidRPr="00F36A0F">
        <w:t xml:space="preserve"> urban or rural area</w:t>
      </w:r>
      <w:r w:rsidR="008F14A5" w:rsidRPr="00F36A0F">
        <w:t>)</w:t>
      </w:r>
      <w:r w:rsidR="007A1E9B" w:rsidRPr="00F36A0F">
        <w:t>. This helped</w:t>
      </w:r>
      <w:r w:rsidRPr="00F36A0F">
        <w:t xml:space="preserve"> to mitigate </w:t>
      </w:r>
      <w:r w:rsidR="007A1E9B" w:rsidRPr="00F36A0F">
        <w:t>any</w:t>
      </w:r>
      <w:r w:rsidRPr="00F36A0F">
        <w:t xml:space="preserve"> potential bias created by testing only one intervention in each </w:t>
      </w:r>
      <w:r w:rsidR="002E5DF6">
        <w:t>primary care organisation</w:t>
      </w:r>
      <w:r w:rsidRPr="00F36A0F">
        <w:t xml:space="preserve">. Randomisation </w:t>
      </w:r>
      <w:r w:rsidR="007A1E9B" w:rsidRPr="00F36A0F">
        <w:t>was</w:t>
      </w:r>
      <w:r w:rsidRPr="00F36A0F">
        <w:t xml:space="preserve"> applied separately for urban and rural practices within each </w:t>
      </w:r>
      <w:r w:rsidR="002E5DF6">
        <w:t>primary care organisation</w:t>
      </w:r>
      <w:r w:rsidR="002E5DF6" w:rsidRPr="002E5DF6">
        <w:t xml:space="preserve"> </w:t>
      </w:r>
      <w:r w:rsidRPr="00F36A0F">
        <w:t xml:space="preserve">because it </w:t>
      </w:r>
      <w:r w:rsidR="007A1E9B" w:rsidRPr="00F36A0F">
        <w:t>was</w:t>
      </w:r>
      <w:r w:rsidRPr="00F36A0F">
        <w:t xml:space="preserve"> expected that service use and availability </w:t>
      </w:r>
      <w:r w:rsidR="007A1E9B" w:rsidRPr="00F36A0F">
        <w:t>would</w:t>
      </w:r>
      <w:r w:rsidRPr="00F36A0F">
        <w:t xml:space="preserve"> differ by </w:t>
      </w:r>
      <w:r w:rsidR="007A1E9B" w:rsidRPr="00F36A0F">
        <w:t>location</w:t>
      </w:r>
      <w:r w:rsidRPr="00F36A0F">
        <w:t xml:space="preserve">. To approximate </w:t>
      </w:r>
      <w:r w:rsidR="00131A98" w:rsidRPr="00F36A0F">
        <w:t>equal</w:t>
      </w:r>
      <w:r w:rsidRPr="00F36A0F">
        <w:t xml:space="preserve"> sample sizes in each group, block randomisation </w:t>
      </w:r>
      <w:r w:rsidR="002B2200" w:rsidRPr="00F36A0F">
        <w:t>was</w:t>
      </w:r>
      <w:r w:rsidRPr="00F36A0F">
        <w:t xml:space="preserve"> used with computer-generated, randomly permuted blocks of three. A researcher not involved in the implementation of the project and blinded to the id</w:t>
      </w:r>
      <w:r w:rsidR="002B2200" w:rsidRPr="00F36A0F">
        <w:t>entity of the practices performed</w:t>
      </w:r>
      <w:r w:rsidRPr="00F36A0F">
        <w:t xml:space="preserve"> this task.</w:t>
      </w:r>
    </w:p>
    <w:p w14:paraId="64F5BAAB" w14:textId="77777777" w:rsidR="004D68AD" w:rsidRPr="00F36A0F" w:rsidRDefault="004D68AD" w:rsidP="0010792D">
      <w:pPr>
        <w:pStyle w:val="21minor"/>
        <w:rPr>
          <w:rFonts w:eastAsiaTheme="minorHAnsi"/>
        </w:rPr>
      </w:pPr>
      <w:r w:rsidRPr="00F36A0F">
        <w:rPr>
          <w:rFonts w:eastAsiaTheme="minorHAnsi"/>
        </w:rPr>
        <w:t xml:space="preserve">2.3.3 Outcome </w:t>
      </w:r>
      <w:r w:rsidR="00D37D28" w:rsidRPr="00F36A0F">
        <w:rPr>
          <w:rFonts w:eastAsiaTheme="minorHAnsi"/>
        </w:rPr>
        <w:t>M</w:t>
      </w:r>
      <w:r w:rsidRPr="00F36A0F">
        <w:rPr>
          <w:rFonts w:eastAsiaTheme="minorHAnsi"/>
        </w:rPr>
        <w:t>easures</w:t>
      </w:r>
    </w:p>
    <w:p w14:paraId="42071D45" w14:textId="77777777" w:rsidR="00D27D31" w:rsidRPr="00DC2276" w:rsidRDefault="004D68AD" w:rsidP="00D27D31">
      <w:pPr>
        <w:rPr>
          <w:rFonts w:eastAsiaTheme="minorHAnsi"/>
          <w:vertAlign w:val="superscript"/>
        </w:rPr>
      </w:pPr>
      <w:r w:rsidRPr="00F36A0F">
        <w:rPr>
          <w:rFonts w:eastAsiaTheme="minorHAnsi"/>
        </w:rPr>
        <w:t xml:space="preserve">The primary </w:t>
      </w:r>
      <w:r w:rsidR="00D4663E">
        <w:rPr>
          <w:rFonts w:eastAsiaTheme="minorHAnsi"/>
        </w:rPr>
        <w:t xml:space="preserve">clinical </w:t>
      </w:r>
      <w:r w:rsidRPr="00F36A0F">
        <w:rPr>
          <w:rFonts w:eastAsiaTheme="minorHAnsi"/>
        </w:rPr>
        <w:t xml:space="preserve">endpoint of the </w:t>
      </w:r>
      <w:r w:rsidR="00CD6262" w:rsidRPr="00F36A0F">
        <w:rPr>
          <w:rFonts w:eastAsiaTheme="minorHAnsi"/>
        </w:rPr>
        <w:t xml:space="preserve">DCP </w:t>
      </w:r>
      <w:r w:rsidRPr="00F36A0F">
        <w:rPr>
          <w:rFonts w:eastAsiaTheme="minorHAnsi"/>
        </w:rPr>
        <w:t xml:space="preserve">was the difference in the change in HbA1c </w:t>
      </w:r>
      <w:r w:rsidR="002B2200" w:rsidRPr="00F36A0F">
        <w:rPr>
          <w:rFonts w:eastAsiaTheme="minorHAnsi"/>
        </w:rPr>
        <w:t xml:space="preserve">between </w:t>
      </w:r>
      <w:r w:rsidR="00EF372A">
        <w:rPr>
          <w:rFonts w:eastAsiaTheme="minorHAnsi"/>
        </w:rPr>
        <w:t xml:space="preserve">treatment </w:t>
      </w:r>
      <w:r w:rsidR="002B2200" w:rsidRPr="00F36A0F">
        <w:rPr>
          <w:rFonts w:eastAsiaTheme="minorHAnsi"/>
        </w:rPr>
        <w:t xml:space="preserve">groups </w:t>
      </w:r>
      <w:r w:rsidRPr="00F36A0F">
        <w:rPr>
          <w:rFonts w:eastAsiaTheme="minorHAnsi"/>
        </w:rPr>
        <w:t>at</w:t>
      </w:r>
      <w:r w:rsidR="00E027EA">
        <w:rPr>
          <w:rFonts w:eastAsiaTheme="minorHAnsi"/>
        </w:rPr>
        <w:t> </w:t>
      </w:r>
      <w:r w:rsidR="002B2200" w:rsidRPr="00F36A0F">
        <w:rPr>
          <w:rFonts w:eastAsiaTheme="minorHAnsi"/>
        </w:rPr>
        <w:t xml:space="preserve">the end of the </w:t>
      </w:r>
      <w:r w:rsidR="00CD6262" w:rsidRPr="00F36A0F">
        <w:rPr>
          <w:rFonts w:eastAsiaTheme="minorHAnsi"/>
        </w:rPr>
        <w:t>project</w:t>
      </w:r>
      <w:r w:rsidRPr="00F36A0F">
        <w:rPr>
          <w:rFonts w:eastAsiaTheme="minorHAnsi"/>
        </w:rPr>
        <w:t xml:space="preserve">. The </w:t>
      </w:r>
      <w:r w:rsidR="004A779B" w:rsidRPr="00F36A0F">
        <w:rPr>
          <w:rFonts w:eastAsiaTheme="minorHAnsi"/>
        </w:rPr>
        <w:t>project</w:t>
      </w:r>
      <w:r w:rsidRPr="00F36A0F">
        <w:rPr>
          <w:rFonts w:eastAsiaTheme="minorHAnsi"/>
        </w:rPr>
        <w:t xml:space="preserve"> was</w:t>
      </w:r>
      <w:r w:rsidR="00D27D31" w:rsidRPr="00F36A0F">
        <w:rPr>
          <w:rFonts w:eastAsiaTheme="minorHAnsi"/>
        </w:rPr>
        <w:t xml:space="preserve"> designed to have </w:t>
      </w:r>
      <w:r w:rsidR="00D27D31" w:rsidRPr="00F36A0F">
        <w:t>150 practices (or 50 pra</w:t>
      </w:r>
      <w:r w:rsidR="0008694D" w:rsidRPr="00F36A0F">
        <w:t xml:space="preserve">ctices per trial </w:t>
      </w:r>
      <w:r w:rsidR="0008694D" w:rsidRPr="00F36A0F">
        <w:lastRenderedPageBreak/>
        <w:t>arm) and 3,750 </w:t>
      </w:r>
      <w:r w:rsidR="00AF5D68" w:rsidRPr="00F36A0F">
        <w:t>participants</w:t>
      </w:r>
      <w:r w:rsidR="00D27D31" w:rsidRPr="00F36A0F">
        <w:t xml:space="preserve"> (or 1,250 </w:t>
      </w:r>
      <w:r w:rsidR="00AF5D68" w:rsidRPr="00F36A0F">
        <w:t>participants</w:t>
      </w:r>
      <w:r w:rsidR="00D27D31" w:rsidRPr="00F36A0F">
        <w:t xml:space="preserve"> per trial arm)</w:t>
      </w:r>
      <w:r w:rsidR="00D27D31" w:rsidRPr="00F36A0F">
        <w:rPr>
          <w:rFonts w:eastAsiaTheme="minorHAnsi"/>
        </w:rPr>
        <w:t>. At this scale</w:t>
      </w:r>
      <w:r w:rsidR="00BE183F" w:rsidRPr="00F36A0F">
        <w:rPr>
          <w:rFonts w:eastAsiaTheme="minorHAnsi"/>
        </w:rPr>
        <w:t>,</w:t>
      </w:r>
      <w:r w:rsidR="00D27D31" w:rsidRPr="00F36A0F">
        <w:rPr>
          <w:rFonts w:eastAsiaTheme="minorHAnsi"/>
        </w:rPr>
        <w:t xml:space="preserve"> the </w:t>
      </w:r>
      <w:r w:rsidR="00EE6EA3" w:rsidRPr="00F36A0F">
        <w:rPr>
          <w:rFonts w:eastAsiaTheme="minorHAnsi"/>
        </w:rPr>
        <w:t xml:space="preserve">project </w:t>
      </w:r>
      <w:r w:rsidR="00D27D31" w:rsidRPr="00F36A0F">
        <w:rPr>
          <w:rFonts w:eastAsiaTheme="minorHAnsi"/>
        </w:rPr>
        <w:t>would have sufficient</w:t>
      </w:r>
      <w:r w:rsidRPr="00F36A0F">
        <w:rPr>
          <w:rFonts w:eastAsiaTheme="minorHAnsi"/>
        </w:rPr>
        <w:t xml:space="preserve"> power to detect a difference of at least 0.2</w:t>
      </w:r>
      <w:r w:rsidR="00D27D31" w:rsidRPr="00F36A0F">
        <w:rPr>
          <w:rFonts w:eastAsiaTheme="minorHAnsi"/>
        </w:rPr>
        <w:t>5</w:t>
      </w:r>
      <w:r w:rsidRPr="00F36A0F">
        <w:rPr>
          <w:rFonts w:eastAsiaTheme="minorHAnsi"/>
        </w:rPr>
        <w:t xml:space="preserve"> percentage points in mean HbA1c between any two treatment groups. This difference is considered clinically significant on an intention-to-treat basis.</w:t>
      </w:r>
      <w:r w:rsidR="00B83FF2">
        <w:rPr>
          <w:rFonts w:eastAsiaTheme="minorHAnsi"/>
          <w:vertAlign w:val="superscript"/>
        </w:rPr>
        <w:fldChar w:fldCharType="begin" w:fldLock="1"/>
      </w:r>
      <w:r w:rsidR="00113335">
        <w:rPr>
          <w:rFonts w:eastAsiaTheme="minorHAnsi"/>
          <w:vertAlign w:val="superscript"/>
        </w:rPr>
        <w:instrText>ADDIN CSL_CITATION { "citationItems" : [ { "id" : "ITEM-1", "itemData" : { "author" : [ { "dropping-particle" : "", "family" : "Center for Drug Evaluation and Research", "given" : "", "non-dropping-particle" : "", "parse-names" : false, "suffix" : "" } ], "edition" : "Rockville,", "id" : "ITEM-1", "issued" : { "date-parts" : [ [ "2008" ] ] }, "publisher" : "Food and Drug Administration", "title" : "Guidance for Industry: Diabetes Mellitus: Developing Drugs and Therapeutic Biologics for Treatment and Prevention", "type" : "book" }, "uris" : [ "http://www.mendeley.com/documents/?uuid=42d2b860-970d-4541-a6fb-4948cdd50da2" ] } ], "mendeley" : { "previouslyFormattedCitation" : "&lt;sup&gt;32&lt;/sup&gt;" }, "properties" : { "noteIndex" : 0 }, "schema" : "https://github.com/citation-style-language/schema/raw/master/csl-citation.json" }</w:instrText>
      </w:r>
      <w:r w:rsidR="00B83FF2">
        <w:rPr>
          <w:rFonts w:eastAsiaTheme="minorHAnsi"/>
          <w:vertAlign w:val="superscript"/>
        </w:rPr>
        <w:fldChar w:fldCharType="separate"/>
      </w:r>
      <w:r w:rsidR="00113335" w:rsidRPr="00113335">
        <w:rPr>
          <w:rFonts w:eastAsiaTheme="minorHAnsi"/>
          <w:noProof/>
          <w:vertAlign w:val="superscript"/>
        </w:rPr>
        <w:t>32</w:t>
      </w:r>
      <w:r w:rsidR="00B83FF2">
        <w:rPr>
          <w:rFonts w:eastAsiaTheme="minorHAnsi"/>
          <w:vertAlign w:val="superscript"/>
        </w:rPr>
        <w:fldChar w:fldCharType="end"/>
      </w:r>
    </w:p>
    <w:p w14:paraId="25FAB02B" w14:textId="77777777" w:rsidR="002B2200" w:rsidRPr="00F36A0F" w:rsidRDefault="004D68AD" w:rsidP="00D27D31">
      <w:pPr>
        <w:rPr>
          <w:rFonts w:eastAsiaTheme="minorHAnsi"/>
        </w:rPr>
      </w:pPr>
      <w:r w:rsidRPr="0011645E">
        <w:rPr>
          <w:rFonts w:eastAsiaTheme="minorHAnsi"/>
        </w:rPr>
        <w:t>Secondary outcomes include</w:t>
      </w:r>
      <w:r w:rsidR="00D27D31" w:rsidRPr="00F36A0F">
        <w:rPr>
          <w:rFonts w:eastAsiaTheme="minorHAnsi"/>
        </w:rPr>
        <w:t>d</w:t>
      </w:r>
      <w:r w:rsidRPr="00F36A0F">
        <w:rPr>
          <w:rFonts w:eastAsiaTheme="minorHAnsi"/>
        </w:rPr>
        <w:t xml:space="preserve"> changes in other biochemical and clinical metrics (specifically serum total cholesterol, serum triglycerides, serum low-density lipoprotein cholesterol, serum high-density lipoprotein cholesterol, estimated glomerular filtration rate and albumin:creatinine ratio, blood pressure, </w:t>
      </w:r>
      <w:r w:rsidR="00DC7576" w:rsidRPr="00F36A0F">
        <w:rPr>
          <w:rFonts w:eastAsiaTheme="minorHAnsi"/>
        </w:rPr>
        <w:t xml:space="preserve">and </w:t>
      </w:r>
      <w:r w:rsidRPr="00F36A0F">
        <w:rPr>
          <w:rFonts w:eastAsiaTheme="minorHAnsi"/>
        </w:rPr>
        <w:t>body mass index and waist circumference, as recorded in the GP patient record or patient’s local pathology laboratory); incidence of diabetes-related complications (specifically autonomic and peripheral neuropathy, peripheral arterial disease, diabetic foot ulceration, lower limb amputation, microalbuminuria, chronic kidney disease, proliferative and non-proliferative diabetic retinopathy, glaucoma, serious vision loss, acute state of severe uncontrolled diabetes requiring hospitalisation, myocardial infarction, stable and unstable angina, trans</w:t>
      </w:r>
      <w:r w:rsidR="009A7FC0" w:rsidRPr="00F36A0F">
        <w:rPr>
          <w:rFonts w:eastAsiaTheme="minorHAnsi"/>
        </w:rPr>
        <w:t xml:space="preserve">ient </w:t>
      </w:r>
      <w:r w:rsidRPr="00F36A0F">
        <w:rPr>
          <w:rFonts w:eastAsiaTheme="minorHAnsi"/>
        </w:rPr>
        <w:t xml:space="preserve">ischaemic attack, cerebrovascular accident and sexual dysfunction); health-related quality of life (measured by the Assessment of Quality of Life </w:t>
      </w:r>
      <w:r w:rsidR="00C77210" w:rsidRPr="00F36A0F">
        <w:rPr>
          <w:rFonts w:eastAsiaTheme="minorHAnsi"/>
        </w:rPr>
        <w:t>–</w:t>
      </w:r>
      <w:r w:rsidR="00940600">
        <w:rPr>
          <w:rFonts w:eastAsiaTheme="minorHAnsi"/>
        </w:rPr>
        <w:t xml:space="preserve"> 4 Dimension </w:t>
      </w:r>
      <w:r w:rsidR="00EF372A">
        <w:rPr>
          <w:rFonts w:eastAsiaTheme="minorHAnsi"/>
        </w:rPr>
        <w:t>[</w:t>
      </w:r>
      <w:r w:rsidRPr="00F36A0F">
        <w:rPr>
          <w:rFonts w:eastAsiaTheme="minorHAnsi"/>
        </w:rPr>
        <w:t>AQoL</w:t>
      </w:r>
      <w:r w:rsidR="00511A94" w:rsidRPr="00F36A0F">
        <w:rPr>
          <w:rFonts w:eastAsiaTheme="minorHAnsi"/>
        </w:rPr>
        <w:t>–</w:t>
      </w:r>
      <w:r w:rsidR="00940600">
        <w:rPr>
          <w:rFonts w:eastAsiaTheme="minorHAnsi"/>
        </w:rPr>
        <w:t>4D</w:t>
      </w:r>
      <w:r w:rsidR="00EF372A">
        <w:rPr>
          <w:rFonts w:eastAsiaTheme="minorHAnsi"/>
        </w:rPr>
        <w:t>]</w:t>
      </w:r>
      <w:r w:rsidR="00EF372A" w:rsidRPr="00F36A0F">
        <w:rPr>
          <w:rFonts w:eastAsiaTheme="minorHAnsi"/>
        </w:rPr>
        <w:t xml:space="preserve"> </w:t>
      </w:r>
      <w:r w:rsidRPr="00F36A0F">
        <w:rPr>
          <w:rFonts w:eastAsiaTheme="minorHAnsi"/>
        </w:rPr>
        <w:t>instrument); clinical depression (measured by the Patient Health Questionnaire); success of tailored care (assessed by the practitioner satisfaction survey, Patient Evaluation of the Quality of Diabetes Care survey, patient semi-structured interviews and practitioner focus groups); and economic sustainability (</w:t>
      </w:r>
      <w:r w:rsidR="00107122">
        <w:rPr>
          <w:rFonts w:eastAsiaTheme="minorHAnsi"/>
        </w:rPr>
        <w:t>such as</w:t>
      </w:r>
      <w:r w:rsidRPr="00F36A0F">
        <w:rPr>
          <w:rFonts w:eastAsiaTheme="minorHAnsi"/>
        </w:rPr>
        <w:t xml:space="preserve"> cost utility analysis). All outcomes </w:t>
      </w:r>
      <w:r w:rsidR="002B2200" w:rsidRPr="00F36A0F">
        <w:rPr>
          <w:rFonts w:eastAsiaTheme="minorHAnsi"/>
        </w:rPr>
        <w:t>were</w:t>
      </w:r>
      <w:r w:rsidRPr="00F36A0F">
        <w:rPr>
          <w:rFonts w:eastAsiaTheme="minorHAnsi"/>
        </w:rPr>
        <w:t xml:space="preserve"> measured at baseline and </w:t>
      </w:r>
      <w:r w:rsidR="002B2200" w:rsidRPr="00F36A0F">
        <w:rPr>
          <w:rFonts w:eastAsiaTheme="minorHAnsi"/>
        </w:rPr>
        <w:t xml:space="preserve">at the end of the </w:t>
      </w:r>
      <w:r w:rsidR="002F3EAA" w:rsidRPr="00F36A0F">
        <w:rPr>
          <w:rFonts w:eastAsiaTheme="minorHAnsi"/>
        </w:rPr>
        <w:t>trial period</w:t>
      </w:r>
      <w:r w:rsidR="002B2200" w:rsidRPr="00F36A0F">
        <w:rPr>
          <w:rFonts w:eastAsiaTheme="minorHAnsi"/>
        </w:rPr>
        <w:t>.</w:t>
      </w:r>
    </w:p>
    <w:p w14:paraId="1D451BC5" w14:textId="77777777" w:rsidR="009C67CE" w:rsidRPr="00F36A0F" w:rsidRDefault="008A1DD5" w:rsidP="00D27D31">
      <w:pPr>
        <w:rPr>
          <w:rFonts w:eastAsiaTheme="minorHAnsi"/>
        </w:rPr>
      </w:pPr>
      <w:r w:rsidRPr="00F36A0F">
        <w:rPr>
          <w:rFonts w:eastAsiaTheme="minorHAnsi"/>
        </w:rPr>
        <w:t>O</w:t>
      </w:r>
      <w:r w:rsidR="004D68AD" w:rsidRPr="00F36A0F">
        <w:rPr>
          <w:rFonts w:eastAsiaTheme="minorHAnsi"/>
        </w:rPr>
        <w:t xml:space="preserve">utcome data </w:t>
      </w:r>
      <w:r w:rsidRPr="00F36A0F">
        <w:rPr>
          <w:rFonts w:eastAsiaTheme="minorHAnsi"/>
        </w:rPr>
        <w:t>was</w:t>
      </w:r>
      <w:r w:rsidR="004D68AD" w:rsidRPr="00F36A0F">
        <w:rPr>
          <w:rFonts w:eastAsiaTheme="minorHAnsi"/>
        </w:rPr>
        <w:t xml:space="preserve"> sourced from patient and practitioner surveys, </w:t>
      </w:r>
      <w:r w:rsidR="00901977" w:rsidRPr="00F36A0F">
        <w:rPr>
          <w:rFonts w:eastAsiaTheme="minorHAnsi"/>
        </w:rPr>
        <w:t>participant</w:t>
      </w:r>
      <w:r w:rsidR="004D68AD" w:rsidRPr="00F36A0F">
        <w:rPr>
          <w:rFonts w:eastAsiaTheme="minorHAnsi"/>
        </w:rPr>
        <w:t xml:space="preserve"> </w:t>
      </w:r>
      <w:r w:rsidR="00A60C2B" w:rsidRPr="00F36A0F">
        <w:rPr>
          <w:rFonts w:eastAsiaTheme="minorHAnsi"/>
        </w:rPr>
        <w:t>diaries</w:t>
      </w:r>
      <w:r w:rsidR="004D68AD" w:rsidRPr="00F36A0F">
        <w:rPr>
          <w:rFonts w:eastAsiaTheme="minorHAnsi"/>
        </w:rPr>
        <w:t xml:space="preserve">, </w:t>
      </w:r>
      <w:r w:rsidR="00901977" w:rsidRPr="00F36A0F">
        <w:rPr>
          <w:rFonts w:eastAsiaTheme="minorHAnsi"/>
        </w:rPr>
        <w:t>participant</w:t>
      </w:r>
      <w:r w:rsidR="004D68AD" w:rsidRPr="00F36A0F">
        <w:rPr>
          <w:rFonts w:eastAsiaTheme="minorHAnsi"/>
        </w:rPr>
        <w:t xml:space="preserve"> interviews, practitioner focus groups, selected sections of GP patient record</w:t>
      </w:r>
      <w:r w:rsidR="00234813" w:rsidRPr="00F36A0F">
        <w:rPr>
          <w:rFonts w:eastAsiaTheme="minorHAnsi"/>
        </w:rPr>
        <w:t>s</w:t>
      </w:r>
      <w:r w:rsidR="004D68AD" w:rsidRPr="00F36A0F">
        <w:rPr>
          <w:rFonts w:eastAsiaTheme="minorHAnsi"/>
        </w:rPr>
        <w:t xml:space="preserve"> imported into cdmNet, the Medicare Australia database (for Pharmaceutical Benefits Scheme and Medicare Benefits Scheme data), the National Diabetes Supply Scheme (NDSS) database, and hospital separation databases of the Queensland, Victorian and South Australian Departments of Health.</w:t>
      </w:r>
    </w:p>
    <w:p w14:paraId="7F47063E" w14:textId="77777777" w:rsidR="00CC0D91" w:rsidRPr="00F36A0F" w:rsidRDefault="00CC0D91" w:rsidP="00CC0D91">
      <w:pPr>
        <w:rPr>
          <w:rFonts w:eastAsiaTheme="minorHAnsi"/>
          <w:b/>
        </w:rPr>
      </w:pPr>
      <w:r w:rsidRPr="00F36A0F">
        <w:rPr>
          <w:rFonts w:eastAsiaTheme="minorHAnsi"/>
        </w:rPr>
        <w:t xml:space="preserve">Baseline comparisons were undertaken by Chi-squared test for categorical variables and one-way analysis of variance for continuous variables, with </w:t>
      </w:r>
      <w:r w:rsidR="008D3A04">
        <w:rPr>
          <w:rFonts w:eastAsiaTheme="minorHAnsi"/>
        </w:rPr>
        <w:t>non-parametric equivalent</w:t>
      </w:r>
      <w:r w:rsidR="00DA2DE1">
        <w:rPr>
          <w:rFonts w:eastAsiaTheme="minorHAnsi"/>
        </w:rPr>
        <w:t xml:space="preserve"> tests</w:t>
      </w:r>
      <w:r w:rsidRPr="00F36A0F">
        <w:rPr>
          <w:rFonts w:eastAsiaTheme="minorHAnsi"/>
        </w:rPr>
        <w:t xml:space="preserve"> used where appropriate. Linear mixed effects models were used to test for intervention effects, with fixed factors of group, period, group/period interaction, and location (metro, urban, rural) as independent variables. In all cases, the level of statistical significance was taken as p&lt;0.05.</w:t>
      </w:r>
    </w:p>
    <w:p w14:paraId="62C762C5" w14:textId="77777777" w:rsidR="008A1DD5" w:rsidRPr="00F36A0F" w:rsidRDefault="008A1DD5" w:rsidP="008A1DD5">
      <w:pPr>
        <w:pStyle w:val="21minor"/>
        <w:rPr>
          <w:rFonts w:eastAsiaTheme="minorHAnsi"/>
        </w:rPr>
      </w:pPr>
      <w:r w:rsidRPr="00F36A0F">
        <w:rPr>
          <w:rFonts w:eastAsiaTheme="minorHAnsi"/>
        </w:rPr>
        <w:t xml:space="preserve">2.3.4 Ethical </w:t>
      </w:r>
      <w:r w:rsidR="00750A56" w:rsidRPr="00F36A0F">
        <w:rPr>
          <w:rFonts w:eastAsiaTheme="minorHAnsi"/>
        </w:rPr>
        <w:t>C</w:t>
      </w:r>
      <w:r w:rsidRPr="00F36A0F">
        <w:rPr>
          <w:rFonts w:eastAsiaTheme="minorHAnsi"/>
        </w:rPr>
        <w:t>onsiderations</w:t>
      </w:r>
    </w:p>
    <w:p w14:paraId="16250F4A" w14:textId="77777777" w:rsidR="002B3507" w:rsidRDefault="008A1DD5" w:rsidP="002B3507">
      <w:r w:rsidRPr="00F36A0F">
        <w:t xml:space="preserve">The </w:t>
      </w:r>
      <w:r w:rsidR="00471249" w:rsidRPr="00F36A0F">
        <w:t xml:space="preserve">project </w:t>
      </w:r>
      <w:r w:rsidRPr="00F36A0F">
        <w:t>protocol was approved by the human research ethics committees of the Department of Health and Ageing (</w:t>
      </w:r>
      <w:r w:rsidR="00F17219" w:rsidRPr="00F36A0F">
        <w:t xml:space="preserve">Commonwealth </w:t>
      </w:r>
      <w:r w:rsidRPr="00F36A0F">
        <w:t>Government), Department of Human Services (</w:t>
      </w:r>
      <w:r w:rsidR="00B11904" w:rsidRPr="00F36A0F">
        <w:t xml:space="preserve">Commonwealth </w:t>
      </w:r>
      <w:r w:rsidRPr="00F36A0F">
        <w:t>Government), Australian Institute of Health and Welfare (</w:t>
      </w:r>
      <w:r w:rsidR="00AC328E" w:rsidRPr="00F36A0F">
        <w:t xml:space="preserve">Commonwealth </w:t>
      </w:r>
      <w:r w:rsidRPr="00F36A0F">
        <w:t>Government), SA</w:t>
      </w:r>
      <w:r w:rsidR="00E027EA">
        <w:t> </w:t>
      </w:r>
      <w:r w:rsidRPr="00F36A0F">
        <w:t>Department of Health (South Australian Government), Queensland Department of Health (Queensland Government), Department of Health Victoria (Victorian Government), and the Aboriginal Health Research Ethics Committee (Aboriginal Health Council of South Australia).</w:t>
      </w:r>
    </w:p>
    <w:p w14:paraId="26C836B1" w14:textId="77777777" w:rsidR="002B3507" w:rsidRDefault="002B3507">
      <w:pPr>
        <w:spacing w:before="0" w:after="200" w:line="276" w:lineRule="auto"/>
      </w:pPr>
      <w:r>
        <w:br w:type="page"/>
      </w:r>
    </w:p>
    <w:p w14:paraId="69E6EF9A" w14:textId="77777777" w:rsidR="008645BE" w:rsidRPr="0011645E" w:rsidRDefault="008645BE" w:rsidP="008C484F">
      <w:pPr>
        <w:pStyle w:val="32chaptertitle"/>
        <w:rPr>
          <w:rFonts w:eastAsiaTheme="minorHAnsi"/>
        </w:rPr>
      </w:pPr>
      <w:bookmarkStart w:id="10" w:name="_Toc419905885"/>
      <w:r w:rsidRPr="0011645E">
        <w:rPr>
          <w:rFonts w:eastAsiaTheme="minorHAnsi"/>
        </w:rPr>
        <w:lastRenderedPageBreak/>
        <w:t>Chapter 3—</w:t>
      </w:r>
      <w:r w:rsidR="00082748">
        <w:rPr>
          <w:rFonts w:eastAsiaTheme="minorHAnsi"/>
        </w:rPr>
        <w:t xml:space="preserve">Implementation and </w:t>
      </w:r>
      <w:r w:rsidR="00EF372A">
        <w:rPr>
          <w:rFonts w:eastAsiaTheme="minorHAnsi"/>
        </w:rPr>
        <w:t>R</w:t>
      </w:r>
      <w:r w:rsidR="00EF372A" w:rsidRPr="0011645E">
        <w:rPr>
          <w:rFonts w:eastAsiaTheme="minorHAnsi"/>
        </w:rPr>
        <w:t xml:space="preserve">esults </w:t>
      </w:r>
      <w:r w:rsidRPr="0011645E">
        <w:rPr>
          <w:rFonts w:eastAsiaTheme="minorHAnsi"/>
        </w:rPr>
        <w:t>of the DCP</w:t>
      </w:r>
      <w:bookmarkEnd w:id="10"/>
    </w:p>
    <w:p w14:paraId="5B82D5D6" w14:textId="77777777" w:rsidR="008645BE" w:rsidRPr="00F36A0F" w:rsidRDefault="008645BE" w:rsidP="00DA6CB0">
      <w:pPr>
        <w:spacing w:before="80" w:after="40"/>
        <w:rPr>
          <w:rFonts w:eastAsiaTheme="minorHAnsi"/>
        </w:rPr>
      </w:pPr>
      <w:r w:rsidRPr="00F36A0F">
        <w:t xml:space="preserve">This chapter documents the results of the DCP. </w:t>
      </w:r>
      <w:r w:rsidRPr="00F36A0F">
        <w:rPr>
          <w:rFonts w:eastAsiaTheme="minorHAnsi"/>
        </w:rPr>
        <w:t>It is divided into two sections:</w:t>
      </w:r>
    </w:p>
    <w:p w14:paraId="45526C5A" w14:textId="77777777" w:rsidR="008645BE" w:rsidRPr="00F36A0F" w:rsidRDefault="00AE167A" w:rsidP="00DA6CB0">
      <w:pPr>
        <w:pStyle w:val="01squarebullet"/>
        <w:spacing w:before="40" w:after="40"/>
        <w:rPr>
          <w:rFonts w:eastAsiaTheme="minorHAnsi"/>
        </w:rPr>
      </w:pPr>
      <w:r>
        <w:rPr>
          <w:rFonts w:eastAsiaTheme="minorHAnsi"/>
        </w:rPr>
        <w:t>3.1 Participation by p</w:t>
      </w:r>
      <w:r w:rsidR="008645BE" w:rsidRPr="00F36A0F">
        <w:rPr>
          <w:rFonts w:eastAsiaTheme="minorHAnsi"/>
        </w:rPr>
        <w:t>ractices and people with diabetes</w:t>
      </w:r>
    </w:p>
    <w:p w14:paraId="06138AF8" w14:textId="77777777" w:rsidR="008645BE" w:rsidRDefault="008645BE" w:rsidP="00DA6CB0">
      <w:pPr>
        <w:pStyle w:val="01squarebullet"/>
        <w:spacing w:before="40" w:after="40"/>
        <w:rPr>
          <w:rFonts w:eastAsiaTheme="minorHAnsi"/>
        </w:rPr>
      </w:pPr>
      <w:r w:rsidRPr="00F36A0F">
        <w:rPr>
          <w:rFonts w:eastAsiaTheme="minorHAnsi"/>
        </w:rPr>
        <w:t xml:space="preserve">3.2 </w:t>
      </w:r>
      <w:r w:rsidR="00A30248">
        <w:rPr>
          <w:rFonts w:eastAsiaTheme="minorHAnsi"/>
        </w:rPr>
        <w:t>Results</w:t>
      </w:r>
    </w:p>
    <w:p w14:paraId="36C71081" w14:textId="77777777" w:rsidR="008645BE" w:rsidRPr="00F36A0F" w:rsidRDefault="008645BE" w:rsidP="008645BE">
      <w:pPr>
        <w:pStyle w:val="20major"/>
        <w:rPr>
          <w:rFonts w:eastAsiaTheme="minorHAnsi"/>
        </w:rPr>
      </w:pPr>
      <w:bookmarkStart w:id="11" w:name="_Toc419905886"/>
      <w:r w:rsidRPr="00F36A0F">
        <w:rPr>
          <w:rFonts w:eastAsiaTheme="minorHAnsi"/>
        </w:rPr>
        <w:t xml:space="preserve">3.1 </w:t>
      </w:r>
      <w:r w:rsidR="00231F6C">
        <w:rPr>
          <w:rFonts w:eastAsiaTheme="minorHAnsi"/>
        </w:rPr>
        <w:t>Participation</w:t>
      </w:r>
      <w:r w:rsidR="003F1476">
        <w:rPr>
          <w:rFonts w:eastAsiaTheme="minorHAnsi"/>
        </w:rPr>
        <w:t xml:space="preserve"> by </w:t>
      </w:r>
      <w:r w:rsidR="00ED0D02">
        <w:rPr>
          <w:rFonts w:eastAsiaTheme="minorHAnsi"/>
        </w:rPr>
        <w:t>P</w:t>
      </w:r>
      <w:r w:rsidR="003F1476">
        <w:rPr>
          <w:rFonts w:eastAsiaTheme="minorHAnsi"/>
        </w:rPr>
        <w:t xml:space="preserve">ractices and </w:t>
      </w:r>
      <w:r w:rsidR="00ED0D02">
        <w:rPr>
          <w:rFonts w:eastAsiaTheme="minorHAnsi"/>
        </w:rPr>
        <w:t>P</w:t>
      </w:r>
      <w:r w:rsidR="003F1476">
        <w:rPr>
          <w:rFonts w:eastAsiaTheme="minorHAnsi"/>
        </w:rPr>
        <w:t xml:space="preserve">eople with </w:t>
      </w:r>
      <w:r w:rsidR="00ED0D02">
        <w:rPr>
          <w:rFonts w:eastAsiaTheme="minorHAnsi"/>
        </w:rPr>
        <w:t>D</w:t>
      </w:r>
      <w:r w:rsidR="003F1476">
        <w:rPr>
          <w:rFonts w:eastAsiaTheme="minorHAnsi"/>
        </w:rPr>
        <w:t>iabetes</w:t>
      </w:r>
      <w:bookmarkEnd w:id="11"/>
    </w:p>
    <w:p w14:paraId="0DD0F87D" w14:textId="77777777" w:rsidR="008645BE" w:rsidRPr="00F36A0F" w:rsidRDefault="00AE167A" w:rsidP="00DA6CB0">
      <w:pPr>
        <w:spacing w:before="80" w:after="40"/>
        <w:rPr>
          <w:rFonts w:eastAsiaTheme="minorHAnsi"/>
        </w:rPr>
      </w:pPr>
      <w:r>
        <w:rPr>
          <w:rFonts w:eastAsiaTheme="minorHAnsi"/>
        </w:rPr>
        <w:t>This section provides</w:t>
      </w:r>
      <w:r w:rsidR="008645BE" w:rsidRPr="00F36A0F">
        <w:rPr>
          <w:rFonts w:eastAsiaTheme="minorHAnsi"/>
        </w:rPr>
        <w:t xml:space="preserve"> an overview of the practices and people with diabetes who participated in the trial:</w:t>
      </w:r>
    </w:p>
    <w:p w14:paraId="24D97BCC" w14:textId="77777777" w:rsidR="008645BE" w:rsidRPr="00F36A0F" w:rsidRDefault="008645BE" w:rsidP="00DA6CB0">
      <w:pPr>
        <w:pStyle w:val="01squarebullet"/>
        <w:spacing w:before="40" w:after="40"/>
        <w:rPr>
          <w:rFonts w:eastAsiaTheme="minorHAnsi"/>
        </w:rPr>
      </w:pPr>
      <w:r w:rsidRPr="00F36A0F">
        <w:rPr>
          <w:rFonts w:eastAsiaTheme="minorHAnsi"/>
        </w:rPr>
        <w:t>3.1.1 Participation by practices</w:t>
      </w:r>
    </w:p>
    <w:p w14:paraId="466F1747" w14:textId="77777777" w:rsidR="008645BE" w:rsidRPr="00F36A0F" w:rsidRDefault="008645BE" w:rsidP="00DA6CB0">
      <w:pPr>
        <w:pStyle w:val="01squarebullet"/>
        <w:spacing w:before="40" w:after="40"/>
        <w:rPr>
          <w:rFonts w:eastAsiaTheme="minorHAnsi"/>
        </w:rPr>
      </w:pPr>
      <w:r w:rsidRPr="00F36A0F">
        <w:rPr>
          <w:rFonts w:eastAsiaTheme="minorHAnsi"/>
        </w:rPr>
        <w:t>3.1.2 Participation by people with diabetes</w:t>
      </w:r>
    </w:p>
    <w:p w14:paraId="2EDCD44A" w14:textId="77777777" w:rsidR="008645BE" w:rsidRPr="00F36A0F" w:rsidRDefault="00332C2E" w:rsidP="00DA6CB0">
      <w:pPr>
        <w:pStyle w:val="21minor"/>
        <w:spacing w:before="360"/>
        <w:ind w:right="357"/>
        <w:rPr>
          <w:rFonts w:eastAsiaTheme="minorHAnsi"/>
        </w:rPr>
      </w:pPr>
      <w:r>
        <w:rPr>
          <w:rFonts w:eastAsiaTheme="minorHAnsi"/>
        </w:rPr>
        <w:t>3.1.1. Participation by P</w:t>
      </w:r>
      <w:r w:rsidR="008645BE" w:rsidRPr="00F36A0F">
        <w:rPr>
          <w:rFonts w:eastAsiaTheme="minorHAnsi"/>
        </w:rPr>
        <w:t>ractices</w:t>
      </w:r>
    </w:p>
    <w:p w14:paraId="68C8D806" w14:textId="77777777" w:rsidR="00642D90" w:rsidRDefault="008645BE" w:rsidP="008645BE">
      <w:pPr>
        <w:rPr>
          <w:rFonts w:eastAsiaTheme="minorHAnsi"/>
        </w:rPr>
      </w:pPr>
      <w:r w:rsidRPr="00F36A0F">
        <w:rPr>
          <w:rFonts w:eastAsiaTheme="minorHAnsi"/>
        </w:rPr>
        <w:t>In total, 184 practices enrolled in the DCP and were randomised to one of three trial arms</w:t>
      </w:r>
      <w:r w:rsidR="00642D90">
        <w:rPr>
          <w:rFonts w:eastAsiaTheme="minorHAnsi"/>
        </w:rPr>
        <w:t xml:space="preserve"> (outlined in Figure 11)</w:t>
      </w:r>
      <w:r w:rsidRPr="00F36A0F">
        <w:rPr>
          <w:rFonts w:eastAsiaTheme="minorHAnsi"/>
        </w:rPr>
        <w:t>:</w:t>
      </w:r>
    </w:p>
    <w:p w14:paraId="7C144068" w14:textId="77777777" w:rsidR="00642D90" w:rsidRDefault="008645BE" w:rsidP="00DA6CB0">
      <w:pPr>
        <w:pStyle w:val="01squarebullet"/>
        <w:spacing w:before="40" w:after="40"/>
        <w:rPr>
          <w:rFonts w:eastAsiaTheme="minorHAnsi"/>
        </w:rPr>
      </w:pPr>
      <w:r w:rsidRPr="00F36A0F">
        <w:rPr>
          <w:rFonts w:eastAsiaTheme="minorHAnsi"/>
        </w:rPr>
        <w:t>Control Group</w:t>
      </w:r>
      <w:r w:rsidR="00642D90">
        <w:rPr>
          <w:rFonts w:eastAsiaTheme="minorHAnsi"/>
        </w:rPr>
        <w:t>; or</w:t>
      </w:r>
    </w:p>
    <w:p w14:paraId="2FF7DB01" w14:textId="77777777" w:rsidR="00642D90" w:rsidRDefault="008645BE" w:rsidP="00DA6CB0">
      <w:pPr>
        <w:pStyle w:val="01squarebullet"/>
        <w:spacing w:before="40" w:after="40"/>
        <w:rPr>
          <w:rFonts w:eastAsiaTheme="minorHAnsi"/>
        </w:rPr>
      </w:pPr>
      <w:r w:rsidRPr="00F36A0F">
        <w:rPr>
          <w:rFonts w:eastAsiaTheme="minorHAnsi"/>
        </w:rPr>
        <w:t>Group 1</w:t>
      </w:r>
      <w:r w:rsidR="00642D90">
        <w:rPr>
          <w:rFonts w:eastAsiaTheme="minorHAnsi"/>
        </w:rPr>
        <w:t>; or</w:t>
      </w:r>
    </w:p>
    <w:p w14:paraId="52998DB4" w14:textId="77777777" w:rsidR="00642D90" w:rsidRDefault="008645BE" w:rsidP="00DA6CB0">
      <w:pPr>
        <w:pStyle w:val="01squarebullet"/>
        <w:spacing w:before="40" w:after="40"/>
        <w:rPr>
          <w:rFonts w:eastAsiaTheme="minorHAnsi"/>
        </w:rPr>
      </w:pPr>
      <w:r w:rsidRPr="00F36A0F">
        <w:rPr>
          <w:rFonts w:eastAsiaTheme="minorHAnsi"/>
        </w:rPr>
        <w:t>Group 2.</w:t>
      </w:r>
    </w:p>
    <w:p w14:paraId="67DE1226" w14:textId="77777777" w:rsidR="008A4224" w:rsidRDefault="008645BE" w:rsidP="00DA6CB0">
      <w:pPr>
        <w:spacing w:after="40"/>
        <w:rPr>
          <w:rFonts w:eastAsiaTheme="minorHAnsi"/>
        </w:rPr>
      </w:pPr>
      <w:r w:rsidRPr="00F36A0F">
        <w:rPr>
          <w:rFonts w:eastAsiaTheme="minorHAnsi"/>
        </w:rPr>
        <w:t>Practices were located in</w:t>
      </w:r>
      <w:r w:rsidR="008A4224">
        <w:rPr>
          <w:rFonts w:eastAsiaTheme="minorHAnsi"/>
        </w:rPr>
        <w:t>:</w:t>
      </w:r>
    </w:p>
    <w:p w14:paraId="4D6B1AE3" w14:textId="77777777" w:rsidR="008A4224" w:rsidRDefault="008645BE" w:rsidP="00DA6CB0">
      <w:pPr>
        <w:pStyle w:val="01squarebullet"/>
        <w:spacing w:before="40" w:after="40"/>
        <w:rPr>
          <w:rFonts w:eastAsiaTheme="minorHAnsi"/>
        </w:rPr>
      </w:pPr>
      <w:r w:rsidRPr="00F36A0F">
        <w:rPr>
          <w:rFonts w:eastAsiaTheme="minorHAnsi"/>
        </w:rPr>
        <w:t>Queensland (Wide Bay, Toowoomba, Gold Coast and Ipswich)</w:t>
      </w:r>
      <w:r w:rsidR="008A4224">
        <w:rPr>
          <w:rFonts w:eastAsiaTheme="minorHAnsi"/>
        </w:rPr>
        <w:t>; and</w:t>
      </w:r>
    </w:p>
    <w:p w14:paraId="20F36390" w14:textId="77777777" w:rsidR="008A4224" w:rsidRDefault="008645BE" w:rsidP="00DA6CB0">
      <w:pPr>
        <w:pStyle w:val="01squarebullet"/>
        <w:spacing w:before="40" w:after="40"/>
        <w:rPr>
          <w:rFonts w:eastAsiaTheme="minorHAnsi"/>
        </w:rPr>
      </w:pPr>
      <w:r w:rsidRPr="00F36A0F">
        <w:rPr>
          <w:rFonts w:eastAsiaTheme="minorHAnsi"/>
        </w:rPr>
        <w:t>South Australia (Adelaide)</w:t>
      </w:r>
      <w:r w:rsidR="008A4224">
        <w:rPr>
          <w:rFonts w:eastAsiaTheme="minorHAnsi"/>
        </w:rPr>
        <w:t>; and</w:t>
      </w:r>
    </w:p>
    <w:p w14:paraId="343F50C6" w14:textId="77777777" w:rsidR="008A4224" w:rsidRDefault="008A4224" w:rsidP="00DA6CB0">
      <w:pPr>
        <w:pStyle w:val="01squarebullet"/>
        <w:spacing w:before="40" w:after="40"/>
        <w:rPr>
          <w:rFonts w:eastAsiaTheme="minorHAnsi"/>
        </w:rPr>
      </w:pPr>
      <w:r>
        <w:rPr>
          <w:rFonts w:eastAsiaTheme="minorHAnsi"/>
        </w:rPr>
        <w:t>V</w:t>
      </w:r>
      <w:r w:rsidR="008645BE" w:rsidRPr="00F36A0F">
        <w:rPr>
          <w:rFonts w:eastAsiaTheme="minorHAnsi"/>
        </w:rPr>
        <w:t>ictoria (Melbourne and Barwon).</w:t>
      </w:r>
    </w:p>
    <w:p w14:paraId="7C0A7E03" w14:textId="77777777" w:rsidR="008645BE" w:rsidRPr="00F36A0F" w:rsidRDefault="008645BE" w:rsidP="008A4224">
      <w:pPr>
        <w:rPr>
          <w:rFonts w:eastAsiaTheme="minorHAnsi"/>
        </w:rPr>
      </w:pPr>
      <w:r w:rsidRPr="00F36A0F">
        <w:rPr>
          <w:rFonts w:eastAsiaTheme="minorHAnsi"/>
        </w:rPr>
        <w:t>Together, the participating practices represented 37 percent of the accredited practices (as defined in Chapter 2) that reviewed initial communications about the project. This is a reasonable response rate when compared to the 2011</w:t>
      </w:r>
      <w:r w:rsidR="00EF372A">
        <w:rPr>
          <w:rFonts w:eastAsiaTheme="minorHAnsi"/>
        </w:rPr>
        <w:t>–</w:t>
      </w:r>
      <w:r w:rsidRPr="00F36A0F">
        <w:rPr>
          <w:rFonts w:eastAsiaTheme="minorHAnsi"/>
        </w:rPr>
        <w:t>2012 Bettering the Evolution and</w:t>
      </w:r>
      <w:r w:rsidR="00741326">
        <w:rPr>
          <w:rFonts w:eastAsiaTheme="minorHAnsi"/>
        </w:rPr>
        <w:t xml:space="preserve"> Care of Health (BEACH) program, </w:t>
      </w:r>
      <w:r w:rsidR="00332C2E">
        <w:rPr>
          <w:rFonts w:eastAsiaTheme="minorHAnsi"/>
        </w:rPr>
        <w:t>which had a</w:t>
      </w:r>
      <w:r w:rsidR="00741326">
        <w:rPr>
          <w:rFonts w:eastAsiaTheme="minorHAnsi"/>
        </w:rPr>
        <w:t xml:space="preserve"> response </w:t>
      </w:r>
      <w:r w:rsidRPr="00F36A0F">
        <w:rPr>
          <w:rFonts w:eastAsiaTheme="minorHAnsi"/>
        </w:rPr>
        <w:t xml:space="preserve">rate </w:t>
      </w:r>
      <w:r w:rsidR="00332C2E">
        <w:rPr>
          <w:rFonts w:eastAsiaTheme="minorHAnsi"/>
        </w:rPr>
        <w:t>of</w:t>
      </w:r>
      <w:r w:rsidRPr="00F36A0F">
        <w:rPr>
          <w:rFonts w:eastAsiaTheme="minorHAnsi"/>
        </w:rPr>
        <w:t xml:space="preserve"> 23 percent. </w:t>
      </w:r>
    </w:p>
    <w:p w14:paraId="3991413C" w14:textId="77777777" w:rsidR="00366782" w:rsidRPr="00F36A0F" w:rsidRDefault="008645BE" w:rsidP="00A718DA">
      <w:pPr>
        <w:rPr>
          <w:rFonts w:eastAsiaTheme="minorHAnsi"/>
        </w:rPr>
      </w:pPr>
      <w:r w:rsidRPr="00F36A0F">
        <w:rPr>
          <w:rFonts w:eastAsiaTheme="minorHAnsi"/>
        </w:rPr>
        <w:t xml:space="preserve">Over the course of the DCP, 30 practices withdrew (16 percent of the originally enrolled practices), meaning that a total of 154 practices (84 percent) completed the project (Figure </w:t>
      </w:r>
      <w:r w:rsidR="00942960">
        <w:rPr>
          <w:rFonts w:eastAsiaTheme="minorHAnsi"/>
        </w:rPr>
        <w:t>12</w:t>
      </w:r>
      <w:r w:rsidRPr="00F36A0F">
        <w:rPr>
          <w:rFonts w:eastAsiaTheme="minorHAnsi"/>
        </w:rPr>
        <w:t xml:space="preserve">). Eighty-seven percent of practice withdrawals occurred during or shortly after enrolment. Across the three trial arms, the rate of practice withdrawal ranged from 14 to 18 percent. </w:t>
      </w:r>
      <w:r w:rsidR="008A4224">
        <w:rPr>
          <w:rFonts w:eastAsiaTheme="minorHAnsi"/>
        </w:rPr>
        <w:t xml:space="preserve">Practice withdrawal rates are outlined in Figure 12. </w:t>
      </w:r>
      <w:r w:rsidRPr="00F36A0F">
        <w:rPr>
          <w:rFonts w:eastAsiaTheme="minorHAnsi"/>
        </w:rPr>
        <w:t xml:space="preserve">The two main reasons for practice withdrawal were unhappiness with the randomisation result and changes in practice circumstances (Table </w:t>
      </w:r>
      <w:r w:rsidR="00FC1C5E">
        <w:rPr>
          <w:rFonts w:eastAsiaTheme="minorHAnsi"/>
        </w:rPr>
        <w:t>1</w:t>
      </w:r>
      <w:r w:rsidRPr="00F36A0F">
        <w:rPr>
          <w:rFonts w:eastAsiaTheme="minorHAnsi"/>
        </w:rPr>
        <w:t>).</w:t>
      </w:r>
    </w:p>
    <w:p w14:paraId="1480764A" w14:textId="77777777" w:rsidR="00366782" w:rsidRDefault="00366782">
      <w:pPr>
        <w:pStyle w:val="60exhnormal"/>
        <w:keepNext/>
      </w:pPr>
      <w:r w:rsidRPr="00F36A0F">
        <w:lastRenderedPageBreak/>
        <w:t xml:space="preserve">FIGURE </w:t>
      </w:r>
      <w:r w:rsidR="00811EA3">
        <w:t>11</w:t>
      </w:r>
    </w:p>
    <w:p w14:paraId="1F46A00B" w14:textId="77777777" w:rsidR="002F75C5" w:rsidRPr="00F36A0F" w:rsidRDefault="002F75C5" w:rsidP="002F75C5">
      <w:pPr>
        <w:pStyle w:val="60exhnormal"/>
        <w:keepNext/>
        <w:jc w:val="center"/>
      </w:pPr>
      <w:r w:rsidRPr="00CF6261">
        <w:rPr>
          <w:noProof/>
          <w:lang w:eastAsia="en-AU"/>
        </w:rPr>
        <w:drawing>
          <wp:inline distT="0" distB="0" distL="0" distR="0" wp14:anchorId="337B0375" wp14:editId="6AAAC3DC">
            <wp:extent cx="5486400" cy="7333994"/>
            <wp:effectExtent l="0" t="0" r="0" b="635"/>
            <wp:docPr id="70" name="Picture 70" descr="Figure 11 is a Participant flo diagram.The DCP approached 492 general practices, 184 of which agreed to participate. These practices were then randomised into the Control Group, Group 1 or Group 2. At baseline, the Control Group contained 50 active practices and 1,813 active participants; Group 1 contained 59 active practices and 2,522 active participants; and Group 2 contained 45 active practices and 2,518 active participants. At the end of the project, the number of active practices in each group remained the same. However, some patients withdrew from the DCP before the final risk stratification, leaving 1,579 active participants in the Control Group, 1,997 active participants in Group 1 and 2,075 active participants in Grou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486400" cy="7333994"/>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73769172" w14:textId="77777777" w:rsidR="00A718DA" w:rsidRPr="00F36A0F" w:rsidRDefault="00A718DA" w:rsidP="00A718DA">
      <w:pPr>
        <w:rPr>
          <w:rFonts w:eastAsiaTheme="minorHAnsi"/>
        </w:rPr>
      </w:pPr>
    </w:p>
    <w:p w14:paraId="26B6BF3F" w14:textId="77777777" w:rsidR="007B641D" w:rsidRPr="00F36A0F" w:rsidRDefault="007B641D" w:rsidP="00574DC8"/>
    <w:p w14:paraId="4BD39F0A" w14:textId="77777777" w:rsidR="00332C2E" w:rsidRDefault="00332C2E">
      <w:pPr>
        <w:pStyle w:val="60exhnormal"/>
        <w:keepNext/>
      </w:pPr>
      <w:r>
        <w:lastRenderedPageBreak/>
        <w:t xml:space="preserve">Figure </w:t>
      </w:r>
      <w:r w:rsidR="001771EC">
        <w:t>12</w:t>
      </w:r>
    </w:p>
    <w:p w14:paraId="10892398" w14:textId="77777777" w:rsidR="002F75C5" w:rsidRDefault="002F75C5" w:rsidP="002F75C5">
      <w:pPr>
        <w:pStyle w:val="60exhnormal"/>
        <w:keepNext/>
        <w:jc w:val="center"/>
      </w:pPr>
      <w:r>
        <w:rPr>
          <w:noProof/>
          <w:lang w:eastAsia="en-AU"/>
        </w:rPr>
        <w:drawing>
          <wp:inline distT="0" distB="0" distL="0" distR="0" wp14:anchorId="70CC9E87" wp14:editId="3B3F41AA">
            <wp:extent cx="4906645" cy="3679825"/>
            <wp:effectExtent l="0" t="0" r="8255" b="0"/>
            <wp:docPr id="293" name="Picture 293" descr="Figure 12 is a Bar chart showing Practice participation numbers. The DCP initially enrolled 184 practices. 61 practices were randomised into the Control Group, 69 were randomised into Group 1, and 54 were randomised into Group 2. Following randomisation, 11 practices withdrew from the Control Group, ten withdrew from Group 1 and nine withdrew from Group 2 (withdrawal rates of 18 percent, 14 percent, and 17 percent, respectively). This left 50 practices in the Control Group, 59 practices in Group 1 and 45 practices in Grou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78273357" w14:textId="10989D4D" w:rsidR="008645BE" w:rsidRPr="00F36A0F" w:rsidRDefault="008645BE" w:rsidP="00CA618B">
      <w:pPr>
        <w:pStyle w:val="TableNumber"/>
      </w:pPr>
      <w:r w:rsidRPr="00F36A0F">
        <w:t xml:space="preserve">Table </w:t>
      </w:r>
      <w:r w:rsidR="00FC1C5E">
        <w:t>1</w:t>
      </w:r>
      <w:r w:rsidRPr="00F36A0F">
        <w:t xml:space="preserve">. Reasons PRACTICES withdrew from </w:t>
      </w:r>
      <w:r w:rsidR="000A186C">
        <w:t xml:space="preserve">the </w:t>
      </w:r>
      <w:r w:rsidRPr="00F36A0F">
        <w:t>DCP</w:t>
      </w:r>
      <w:r w:rsidR="002542CB">
        <w:t>, Percent of group (n=30)</w:t>
      </w:r>
    </w:p>
    <w:tbl>
      <w:tblPr>
        <w:tblStyle w:val="TableGrid"/>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Caption w:val="Table1 Reasons practices withdrew from the DCP"/>
        <w:tblDescription w:val="There were five main reasons for practice withdrawal: (1) the practice disagreed with the changes the DCP was testing; (2) the practice’s circumstances changed; (3) the practice was unhappy about the group they had been randomised into; (4) none of the practice’s patients enrolled in the DCP; and (5) the practice’s Medicare local withdrew from the DCP. In the Control Group, the most common reason for withdrawal—cited by 50 percent of practices that withdrew from this group—was unhappiness about being randomised to the Control Group. In Group 1 and Group 2, the most common reason for withdrawal was that practice circumstances had changed. This reason was cited by 50 percent of practices that withdrew from Group 1 and 44 percent of practices that withdrew from Group 2"/>
      </w:tblPr>
      <w:tblGrid>
        <w:gridCol w:w="3617"/>
        <w:gridCol w:w="1710"/>
        <w:gridCol w:w="1585"/>
        <w:gridCol w:w="1751"/>
      </w:tblGrid>
      <w:tr w:rsidR="008645BE" w:rsidRPr="00F36A0F" w14:paraId="13E96EBD" w14:textId="77777777" w:rsidTr="00E46FF1">
        <w:trPr>
          <w:cantSplit/>
          <w:tblHeader/>
        </w:trPr>
        <w:tc>
          <w:tcPr>
            <w:tcW w:w="3617" w:type="dxa"/>
            <w:shd w:val="clear" w:color="auto" w:fill="D9D9D9" w:themeFill="background1" w:themeFillShade="D9"/>
            <w:vAlign w:val="bottom"/>
          </w:tcPr>
          <w:p w14:paraId="12E9887E" w14:textId="77777777" w:rsidR="008645BE" w:rsidRPr="00A00755" w:rsidRDefault="008645BE" w:rsidP="00DA6CB0">
            <w:pPr>
              <w:spacing w:before="60" w:after="60" w:line="240" w:lineRule="auto"/>
              <w:rPr>
                <w:rFonts w:ascii="Arial" w:eastAsiaTheme="minorHAnsi" w:hAnsi="Arial" w:cs="Arial"/>
                <w:b/>
              </w:rPr>
            </w:pPr>
            <w:r w:rsidRPr="00A00755">
              <w:rPr>
                <w:rFonts w:ascii="Arial" w:eastAsiaTheme="minorHAnsi" w:hAnsi="Arial" w:cs="Arial"/>
                <w:b/>
              </w:rPr>
              <w:t>Reason for patient withdrawal</w:t>
            </w:r>
          </w:p>
        </w:tc>
        <w:tc>
          <w:tcPr>
            <w:tcW w:w="1710" w:type="dxa"/>
            <w:shd w:val="clear" w:color="auto" w:fill="D9D9D9" w:themeFill="background1" w:themeFillShade="D9"/>
            <w:vAlign w:val="bottom"/>
          </w:tcPr>
          <w:p w14:paraId="2426153A" w14:textId="77777777" w:rsidR="008645BE" w:rsidRPr="00A00755" w:rsidRDefault="008645BE" w:rsidP="00DA6CB0">
            <w:pPr>
              <w:spacing w:before="60" w:after="60" w:line="240" w:lineRule="auto"/>
              <w:ind w:right="291"/>
              <w:jc w:val="center"/>
              <w:rPr>
                <w:rFonts w:ascii="Arial" w:eastAsiaTheme="minorHAnsi" w:hAnsi="Arial" w:cs="Arial"/>
                <w:b/>
              </w:rPr>
            </w:pPr>
            <w:r w:rsidRPr="00A00755">
              <w:rPr>
                <w:rFonts w:ascii="Arial" w:eastAsiaTheme="minorHAnsi" w:hAnsi="Arial" w:cs="Arial"/>
                <w:b/>
              </w:rPr>
              <w:t>Control</w:t>
            </w:r>
          </w:p>
        </w:tc>
        <w:tc>
          <w:tcPr>
            <w:tcW w:w="1585" w:type="dxa"/>
            <w:shd w:val="clear" w:color="auto" w:fill="D9D9D9" w:themeFill="background1" w:themeFillShade="D9"/>
            <w:vAlign w:val="bottom"/>
          </w:tcPr>
          <w:p w14:paraId="64092889" w14:textId="77777777" w:rsidR="008645BE" w:rsidRPr="00A00755" w:rsidRDefault="008645BE" w:rsidP="00DA6CB0">
            <w:pPr>
              <w:spacing w:before="60" w:after="60" w:line="240" w:lineRule="auto"/>
              <w:jc w:val="center"/>
              <w:rPr>
                <w:rFonts w:ascii="Arial" w:eastAsiaTheme="minorHAnsi" w:hAnsi="Arial" w:cs="Arial"/>
                <w:b/>
              </w:rPr>
            </w:pPr>
            <w:r w:rsidRPr="00A00755">
              <w:rPr>
                <w:rFonts w:ascii="Arial" w:eastAsiaTheme="minorHAnsi" w:hAnsi="Arial" w:cs="Arial"/>
                <w:b/>
              </w:rPr>
              <w:t>Group 1</w:t>
            </w:r>
          </w:p>
        </w:tc>
        <w:tc>
          <w:tcPr>
            <w:tcW w:w="1751" w:type="dxa"/>
            <w:shd w:val="clear" w:color="auto" w:fill="D9D9D9" w:themeFill="background1" w:themeFillShade="D9"/>
            <w:vAlign w:val="bottom"/>
          </w:tcPr>
          <w:p w14:paraId="4E650123" w14:textId="77777777" w:rsidR="008645BE" w:rsidRPr="00A00755" w:rsidRDefault="008645BE" w:rsidP="00DA6CB0">
            <w:pPr>
              <w:spacing w:before="60" w:after="60" w:line="240" w:lineRule="auto"/>
              <w:jc w:val="center"/>
              <w:rPr>
                <w:rFonts w:ascii="Arial" w:eastAsiaTheme="minorHAnsi" w:hAnsi="Arial" w:cs="Arial"/>
                <w:b/>
              </w:rPr>
            </w:pPr>
            <w:r w:rsidRPr="00A00755">
              <w:rPr>
                <w:rFonts w:ascii="Arial" w:eastAsiaTheme="minorHAnsi" w:hAnsi="Arial" w:cs="Arial"/>
                <w:b/>
              </w:rPr>
              <w:t>Group 2</w:t>
            </w:r>
          </w:p>
        </w:tc>
      </w:tr>
      <w:tr w:rsidR="008645BE" w:rsidRPr="00F36A0F" w14:paraId="53891CE9" w14:textId="77777777" w:rsidTr="00F97AC8">
        <w:tc>
          <w:tcPr>
            <w:tcW w:w="3617" w:type="dxa"/>
            <w:vAlign w:val="bottom"/>
          </w:tcPr>
          <w:p w14:paraId="7D4A0606" w14:textId="77777777" w:rsidR="008645BE" w:rsidRPr="00741326" w:rsidRDefault="008645BE" w:rsidP="00DA6CB0">
            <w:pPr>
              <w:spacing w:before="60" w:after="60" w:line="240" w:lineRule="auto"/>
              <w:rPr>
                <w:rFonts w:ascii="Arial" w:eastAsiaTheme="minorHAnsi" w:hAnsi="Arial" w:cs="Arial"/>
              </w:rPr>
            </w:pPr>
            <w:r w:rsidRPr="00741326">
              <w:rPr>
                <w:rFonts w:ascii="Arial" w:eastAsiaTheme="minorHAnsi" w:hAnsi="Arial" w:cs="Arial"/>
              </w:rPr>
              <w:t>Disagreement with the changes being piloted</w:t>
            </w:r>
          </w:p>
        </w:tc>
        <w:tc>
          <w:tcPr>
            <w:tcW w:w="1710" w:type="dxa"/>
            <w:vAlign w:val="bottom"/>
          </w:tcPr>
          <w:p w14:paraId="1BD60B51" w14:textId="77777777" w:rsidR="008645BE" w:rsidRPr="00741326" w:rsidRDefault="008645BE" w:rsidP="00DA6CB0">
            <w:pPr>
              <w:tabs>
                <w:tab w:val="left" w:pos="1061"/>
              </w:tabs>
              <w:spacing w:before="60" w:after="60" w:line="240" w:lineRule="auto"/>
              <w:ind w:right="291"/>
              <w:jc w:val="right"/>
              <w:rPr>
                <w:rFonts w:ascii="Arial" w:eastAsiaTheme="minorHAnsi" w:hAnsi="Arial" w:cs="Arial"/>
              </w:rPr>
            </w:pPr>
            <w:r w:rsidRPr="00741326">
              <w:rPr>
                <w:rFonts w:ascii="Arial" w:eastAsiaTheme="minorHAnsi" w:hAnsi="Arial" w:cs="Arial"/>
              </w:rPr>
              <w:t>0</w:t>
            </w:r>
          </w:p>
        </w:tc>
        <w:tc>
          <w:tcPr>
            <w:tcW w:w="1585" w:type="dxa"/>
            <w:vAlign w:val="bottom"/>
          </w:tcPr>
          <w:p w14:paraId="7D7CF511" w14:textId="77777777" w:rsidR="008645BE" w:rsidRPr="00741326" w:rsidRDefault="008645BE" w:rsidP="00DA6CB0">
            <w:pPr>
              <w:spacing w:before="60" w:after="60" w:line="240" w:lineRule="auto"/>
              <w:ind w:right="317"/>
              <w:jc w:val="right"/>
              <w:rPr>
                <w:rFonts w:ascii="Arial" w:eastAsiaTheme="minorHAnsi" w:hAnsi="Arial" w:cs="Arial"/>
              </w:rPr>
            </w:pPr>
            <w:r w:rsidRPr="00741326">
              <w:rPr>
                <w:rFonts w:ascii="Arial" w:eastAsiaTheme="minorHAnsi" w:hAnsi="Arial" w:cs="Arial"/>
              </w:rPr>
              <w:t>10</w:t>
            </w:r>
          </w:p>
        </w:tc>
        <w:tc>
          <w:tcPr>
            <w:tcW w:w="1751" w:type="dxa"/>
            <w:vAlign w:val="bottom"/>
          </w:tcPr>
          <w:p w14:paraId="3DD29ACA" w14:textId="77777777" w:rsidR="008645BE" w:rsidRPr="00741326" w:rsidRDefault="008645BE" w:rsidP="00DA6CB0">
            <w:pPr>
              <w:spacing w:before="60" w:after="60" w:line="240" w:lineRule="auto"/>
              <w:ind w:right="367"/>
              <w:jc w:val="right"/>
              <w:rPr>
                <w:rFonts w:ascii="Arial" w:eastAsiaTheme="minorHAnsi" w:hAnsi="Arial" w:cs="Arial"/>
              </w:rPr>
            </w:pPr>
            <w:r w:rsidRPr="00741326">
              <w:rPr>
                <w:rFonts w:ascii="Arial" w:eastAsiaTheme="minorHAnsi" w:hAnsi="Arial" w:cs="Arial"/>
              </w:rPr>
              <w:t>22</w:t>
            </w:r>
          </w:p>
        </w:tc>
      </w:tr>
      <w:tr w:rsidR="008645BE" w:rsidRPr="00F36A0F" w14:paraId="27F58841" w14:textId="77777777" w:rsidTr="00F97AC8">
        <w:tc>
          <w:tcPr>
            <w:tcW w:w="3617" w:type="dxa"/>
            <w:vAlign w:val="bottom"/>
          </w:tcPr>
          <w:p w14:paraId="4E26F534" w14:textId="77777777" w:rsidR="008645BE" w:rsidRPr="00741326" w:rsidRDefault="008645BE" w:rsidP="00DA6CB0">
            <w:pPr>
              <w:spacing w:before="60" w:after="60" w:line="240" w:lineRule="auto"/>
              <w:rPr>
                <w:rFonts w:ascii="Arial" w:eastAsiaTheme="minorHAnsi" w:hAnsi="Arial" w:cs="Arial"/>
              </w:rPr>
            </w:pPr>
            <w:r w:rsidRPr="00741326">
              <w:rPr>
                <w:rFonts w:ascii="Arial" w:eastAsiaTheme="minorHAnsi" w:hAnsi="Arial" w:cs="Arial"/>
              </w:rPr>
              <w:t>Changes to practice circumstances</w:t>
            </w:r>
          </w:p>
        </w:tc>
        <w:tc>
          <w:tcPr>
            <w:tcW w:w="1710" w:type="dxa"/>
            <w:vAlign w:val="bottom"/>
          </w:tcPr>
          <w:p w14:paraId="4799AE92" w14:textId="77777777" w:rsidR="008645BE" w:rsidRPr="00741326" w:rsidRDefault="008645BE" w:rsidP="00DA6CB0">
            <w:pPr>
              <w:tabs>
                <w:tab w:val="left" w:pos="1061"/>
              </w:tabs>
              <w:spacing w:before="60" w:after="60" w:line="240" w:lineRule="auto"/>
              <w:ind w:right="291"/>
              <w:jc w:val="right"/>
              <w:rPr>
                <w:rFonts w:ascii="Arial" w:eastAsiaTheme="minorHAnsi" w:hAnsi="Arial" w:cs="Arial"/>
              </w:rPr>
            </w:pPr>
            <w:r w:rsidRPr="00741326">
              <w:rPr>
                <w:rFonts w:ascii="Arial" w:eastAsiaTheme="minorHAnsi" w:hAnsi="Arial" w:cs="Arial"/>
              </w:rPr>
              <w:t>9</w:t>
            </w:r>
          </w:p>
        </w:tc>
        <w:tc>
          <w:tcPr>
            <w:tcW w:w="1585" w:type="dxa"/>
            <w:vAlign w:val="bottom"/>
          </w:tcPr>
          <w:p w14:paraId="6DCAF958" w14:textId="77777777" w:rsidR="008645BE" w:rsidRPr="00741326" w:rsidRDefault="008645BE" w:rsidP="00DA6CB0">
            <w:pPr>
              <w:spacing w:before="60" w:after="60" w:line="240" w:lineRule="auto"/>
              <w:ind w:right="317"/>
              <w:jc w:val="right"/>
              <w:rPr>
                <w:rFonts w:ascii="Arial" w:eastAsiaTheme="minorHAnsi" w:hAnsi="Arial" w:cs="Arial"/>
              </w:rPr>
            </w:pPr>
            <w:r w:rsidRPr="00741326">
              <w:rPr>
                <w:rFonts w:ascii="Arial" w:eastAsiaTheme="minorHAnsi" w:hAnsi="Arial" w:cs="Arial"/>
              </w:rPr>
              <w:t>50</w:t>
            </w:r>
          </w:p>
        </w:tc>
        <w:tc>
          <w:tcPr>
            <w:tcW w:w="1751" w:type="dxa"/>
            <w:vAlign w:val="bottom"/>
          </w:tcPr>
          <w:p w14:paraId="1ECC8ACC" w14:textId="77777777" w:rsidR="008645BE" w:rsidRPr="00741326" w:rsidRDefault="008645BE" w:rsidP="00DA6CB0">
            <w:pPr>
              <w:spacing w:before="60" w:after="60" w:line="240" w:lineRule="auto"/>
              <w:ind w:right="367"/>
              <w:jc w:val="right"/>
              <w:rPr>
                <w:rFonts w:ascii="Arial" w:eastAsiaTheme="minorHAnsi" w:hAnsi="Arial" w:cs="Arial"/>
              </w:rPr>
            </w:pPr>
            <w:r w:rsidRPr="00741326">
              <w:rPr>
                <w:rFonts w:ascii="Arial" w:eastAsiaTheme="minorHAnsi" w:hAnsi="Arial" w:cs="Arial"/>
              </w:rPr>
              <w:t>44</w:t>
            </w:r>
          </w:p>
        </w:tc>
      </w:tr>
      <w:tr w:rsidR="008645BE" w:rsidRPr="00F36A0F" w14:paraId="5FBCF614" w14:textId="77777777" w:rsidTr="00F97AC8">
        <w:tc>
          <w:tcPr>
            <w:tcW w:w="3617" w:type="dxa"/>
            <w:vAlign w:val="bottom"/>
          </w:tcPr>
          <w:p w14:paraId="1178FEC8" w14:textId="77777777" w:rsidR="008645BE" w:rsidRPr="00741326" w:rsidRDefault="008645BE" w:rsidP="00DA6CB0">
            <w:pPr>
              <w:spacing w:before="60" w:after="60" w:line="240" w:lineRule="auto"/>
              <w:rPr>
                <w:rFonts w:ascii="Arial" w:eastAsiaTheme="minorHAnsi" w:hAnsi="Arial" w:cs="Arial"/>
              </w:rPr>
            </w:pPr>
            <w:r w:rsidRPr="00741326">
              <w:rPr>
                <w:rFonts w:ascii="Arial" w:eastAsiaTheme="minorHAnsi" w:hAnsi="Arial" w:cs="Arial"/>
              </w:rPr>
              <w:t>Unhappy with randomisation result</w:t>
            </w:r>
          </w:p>
        </w:tc>
        <w:tc>
          <w:tcPr>
            <w:tcW w:w="1710" w:type="dxa"/>
            <w:vAlign w:val="bottom"/>
          </w:tcPr>
          <w:p w14:paraId="69D2F7F9" w14:textId="77777777" w:rsidR="008645BE" w:rsidRPr="00741326" w:rsidRDefault="008645BE" w:rsidP="00DA6CB0">
            <w:pPr>
              <w:tabs>
                <w:tab w:val="left" w:pos="1061"/>
              </w:tabs>
              <w:spacing w:before="60" w:after="60" w:line="240" w:lineRule="auto"/>
              <w:ind w:right="291"/>
              <w:jc w:val="right"/>
              <w:rPr>
                <w:rFonts w:ascii="Arial" w:eastAsiaTheme="minorHAnsi" w:hAnsi="Arial" w:cs="Arial"/>
              </w:rPr>
            </w:pPr>
            <w:r w:rsidRPr="00741326">
              <w:rPr>
                <w:rFonts w:ascii="Arial" w:eastAsiaTheme="minorHAnsi" w:hAnsi="Arial" w:cs="Arial"/>
              </w:rPr>
              <w:t>55</w:t>
            </w:r>
          </w:p>
        </w:tc>
        <w:tc>
          <w:tcPr>
            <w:tcW w:w="1585" w:type="dxa"/>
            <w:vAlign w:val="bottom"/>
          </w:tcPr>
          <w:p w14:paraId="5D8009EF" w14:textId="77777777" w:rsidR="008645BE" w:rsidRPr="00741326" w:rsidRDefault="008645BE" w:rsidP="00DA6CB0">
            <w:pPr>
              <w:spacing w:before="60" w:after="60" w:line="240" w:lineRule="auto"/>
              <w:ind w:right="317"/>
              <w:jc w:val="right"/>
              <w:rPr>
                <w:rFonts w:ascii="Arial" w:eastAsiaTheme="minorHAnsi" w:hAnsi="Arial" w:cs="Arial"/>
              </w:rPr>
            </w:pPr>
            <w:r w:rsidRPr="00741326">
              <w:rPr>
                <w:rFonts w:ascii="Arial" w:eastAsiaTheme="minorHAnsi" w:hAnsi="Arial" w:cs="Arial"/>
              </w:rPr>
              <w:t>0</w:t>
            </w:r>
          </w:p>
        </w:tc>
        <w:tc>
          <w:tcPr>
            <w:tcW w:w="1751" w:type="dxa"/>
            <w:vAlign w:val="bottom"/>
          </w:tcPr>
          <w:p w14:paraId="140A070B" w14:textId="77777777" w:rsidR="008645BE" w:rsidRPr="00741326" w:rsidRDefault="008645BE" w:rsidP="00DA6CB0">
            <w:pPr>
              <w:spacing w:before="60" w:after="60" w:line="240" w:lineRule="auto"/>
              <w:ind w:right="367"/>
              <w:jc w:val="right"/>
              <w:rPr>
                <w:rFonts w:ascii="Arial" w:eastAsiaTheme="minorHAnsi" w:hAnsi="Arial" w:cs="Arial"/>
              </w:rPr>
            </w:pPr>
            <w:r w:rsidRPr="00741326">
              <w:rPr>
                <w:rFonts w:ascii="Arial" w:eastAsiaTheme="minorHAnsi" w:hAnsi="Arial" w:cs="Arial"/>
              </w:rPr>
              <w:t>12</w:t>
            </w:r>
          </w:p>
        </w:tc>
      </w:tr>
      <w:tr w:rsidR="008645BE" w:rsidRPr="00F36A0F" w14:paraId="3021C00A" w14:textId="77777777" w:rsidTr="00F97AC8">
        <w:tc>
          <w:tcPr>
            <w:tcW w:w="3617" w:type="dxa"/>
            <w:vAlign w:val="bottom"/>
          </w:tcPr>
          <w:p w14:paraId="6F39493C" w14:textId="77777777" w:rsidR="008645BE" w:rsidRPr="00741326" w:rsidRDefault="008645BE" w:rsidP="00DA6CB0">
            <w:pPr>
              <w:spacing w:before="60" w:after="60" w:line="240" w:lineRule="auto"/>
              <w:rPr>
                <w:rFonts w:ascii="Arial" w:eastAsiaTheme="minorHAnsi" w:hAnsi="Arial" w:cs="Arial"/>
              </w:rPr>
            </w:pPr>
            <w:r w:rsidRPr="00741326">
              <w:rPr>
                <w:rFonts w:ascii="Arial" w:eastAsiaTheme="minorHAnsi" w:hAnsi="Arial" w:cs="Arial"/>
              </w:rPr>
              <w:t>No participants enrolled</w:t>
            </w:r>
          </w:p>
        </w:tc>
        <w:tc>
          <w:tcPr>
            <w:tcW w:w="1710" w:type="dxa"/>
            <w:vAlign w:val="bottom"/>
          </w:tcPr>
          <w:p w14:paraId="03BB7930" w14:textId="77777777" w:rsidR="008645BE" w:rsidRPr="00741326" w:rsidRDefault="008645BE" w:rsidP="00DA6CB0">
            <w:pPr>
              <w:tabs>
                <w:tab w:val="left" w:pos="1061"/>
              </w:tabs>
              <w:spacing w:before="60" w:after="60" w:line="240" w:lineRule="auto"/>
              <w:ind w:right="291"/>
              <w:jc w:val="right"/>
              <w:rPr>
                <w:rFonts w:ascii="Arial" w:eastAsiaTheme="minorHAnsi" w:hAnsi="Arial" w:cs="Arial"/>
              </w:rPr>
            </w:pPr>
            <w:r w:rsidRPr="00741326">
              <w:rPr>
                <w:rFonts w:ascii="Arial" w:eastAsiaTheme="minorHAnsi" w:hAnsi="Arial" w:cs="Arial"/>
              </w:rPr>
              <w:t>27</w:t>
            </w:r>
          </w:p>
        </w:tc>
        <w:tc>
          <w:tcPr>
            <w:tcW w:w="1585" w:type="dxa"/>
            <w:vAlign w:val="bottom"/>
          </w:tcPr>
          <w:p w14:paraId="4A24D99D" w14:textId="77777777" w:rsidR="008645BE" w:rsidRPr="00741326" w:rsidRDefault="008645BE" w:rsidP="00DA6CB0">
            <w:pPr>
              <w:spacing w:before="60" w:after="60" w:line="240" w:lineRule="auto"/>
              <w:ind w:right="317"/>
              <w:jc w:val="right"/>
              <w:rPr>
                <w:rFonts w:ascii="Arial" w:eastAsiaTheme="minorHAnsi" w:hAnsi="Arial" w:cs="Arial"/>
              </w:rPr>
            </w:pPr>
            <w:r w:rsidRPr="00741326">
              <w:rPr>
                <w:rFonts w:ascii="Arial" w:eastAsiaTheme="minorHAnsi" w:hAnsi="Arial" w:cs="Arial"/>
              </w:rPr>
              <w:t>40</w:t>
            </w:r>
          </w:p>
        </w:tc>
        <w:tc>
          <w:tcPr>
            <w:tcW w:w="1751" w:type="dxa"/>
            <w:vAlign w:val="bottom"/>
          </w:tcPr>
          <w:p w14:paraId="02BD3833" w14:textId="77777777" w:rsidR="008645BE" w:rsidRPr="00741326" w:rsidRDefault="008645BE" w:rsidP="00DA6CB0">
            <w:pPr>
              <w:spacing w:before="60" w:after="60" w:line="240" w:lineRule="auto"/>
              <w:ind w:right="367"/>
              <w:jc w:val="right"/>
              <w:rPr>
                <w:rFonts w:ascii="Arial" w:eastAsiaTheme="minorHAnsi" w:hAnsi="Arial" w:cs="Arial"/>
              </w:rPr>
            </w:pPr>
            <w:r w:rsidRPr="00741326">
              <w:rPr>
                <w:rFonts w:ascii="Arial" w:eastAsiaTheme="minorHAnsi" w:hAnsi="Arial" w:cs="Arial"/>
              </w:rPr>
              <w:t>0</w:t>
            </w:r>
          </w:p>
        </w:tc>
      </w:tr>
      <w:tr w:rsidR="008645BE" w:rsidRPr="00F36A0F" w14:paraId="057ABE29" w14:textId="77777777" w:rsidTr="00A00755">
        <w:tc>
          <w:tcPr>
            <w:tcW w:w="3617" w:type="dxa"/>
            <w:tcBorders>
              <w:bottom w:val="single" w:sz="4" w:space="0" w:color="808080"/>
            </w:tcBorders>
            <w:vAlign w:val="bottom"/>
          </w:tcPr>
          <w:p w14:paraId="19D10C5D" w14:textId="77777777" w:rsidR="008645BE" w:rsidRPr="00741326" w:rsidRDefault="002E5DF6" w:rsidP="002E5DF6">
            <w:pPr>
              <w:spacing w:before="60" w:after="60" w:line="240" w:lineRule="auto"/>
              <w:rPr>
                <w:rFonts w:ascii="Arial" w:eastAsiaTheme="minorHAnsi" w:hAnsi="Arial" w:cs="Arial"/>
              </w:rPr>
            </w:pPr>
            <w:r>
              <w:rPr>
                <w:rFonts w:ascii="Arial" w:eastAsiaTheme="minorHAnsi" w:hAnsi="Arial" w:cs="Arial"/>
              </w:rPr>
              <w:t>P</w:t>
            </w:r>
            <w:r w:rsidRPr="002E5DF6">
              <w:rPr>
                <w:rFonts w:ascii="Arial" w:eastAsiaTheme="minorHAnsi" w:hAnsi="Arial" w:cs="Arial"/>
              </w:rPr>
              <w:t xml:space="preserve">rimary care organisation </w:t>
            </w:r>
            <w:r w:rsidR="008645BE" w:rsidRPr="00741326">
              <w:rPr>
                <w:rFonts w:ascii="Arial" w:eastAsiaTheme="minorHAnsi" w:hAnsi="Arial" w:cs="Arial"/>
              </w:rPr>
              <w:t>withdrew</w:t>
            </w:r>
          </w:p>
        </w:tc>
        <w:tc>
          <w:tcPr>
            <w:tcW w:w="1710" w:type="dxa"/>
            <w:tcBorders>
              <w:bottom w:val="single" w:sz="4" w:space="0" w:color="808080"/>
            </w:tcBorders>
            <w:vAlign w:val="bottom"/>
          </w:tcPr>
          <w:p w14:paraId="03D41645" w14:textId="77777777" w:rsidR="008645BE" w:rsidRPr="00741326" w:rsidRDefault="008645BE" w:rsidP="00DA6CB0">
            <w:pPr>
              <w:tabs>
                <w:tab w:val="left" w:pos="1061"/>
              </w:tabs>
              <w:spacing w:before="60" w:after="60" w:line="240" w:lineRule="auto"/>
              <w:ind w:right="291"/>
              <w:jc w:val="right"/>
              <w:rPr>
                <w:rFonts w:ascii="Arial" w:eastAsiaTheme="minorHAnsi" w:hAnsi="Arial" w:cs="Arial"/>
              </w:rPr>
            </w:pPr>
            <w:r w:rsidRPr="00741326">
              <w:rPr>
                <w:rFonts w:ascii="Arial" w:eastAsiaTheme="minorHAnsi" w:hAnsi="Arial" w:cs="Arial"/>
              </w:rPr>
              <w:t>9</w:t>
            </w:r>
          </w:p>
        </w:tc>
        <w:tc>
          <w:tcPr>
            <w:tcW w:w="1585" w:type="dxa"/>
            <w:tcBorders>
              <w:bottom w:val="single" w:sz="4" w:space="0" w:color="808080"/>
            </w:tcBorders>
            <w:vAlign w:val="bottom"/>
          </w:tcPr>
          <w:p w14:paraId="7A66F74E" w14:textId="77777777" w:rsidR="008645BE" w:rsidRPr="00741326" w:rsidRDefault="008645BE" w:rsidP="00DA6CB0">
            <w:pPr>
              <w:spacing w:before="60" w:after="60" w:line="240" w:lineRule="auto"/>
              <w:ind w:right="317"/>
              <w:jc w:val="right"/>
              <w:rPr>
                <w:rFonts w:ascii="Arial" w:eastAsiaTheme="minorHAnsi" w:hAnsi="Arial" w:cs="Arial"/>
              </w:rPr>
            </w:pPr>
            <w:r w:rsidRPr="00741326">
              <w:rPr>
                <w:rFonts w:ascii="Arial" w:eastAsiaTheme="minorHAnsi" w:hAnsi="Arial" w:cs="Arial"/>
              </w:rPr>
              <w:t>0</w:t>
            </w:r>
          </w:p>
        </w:tc>
        <w:tc>
          <w:tcPr>
            <w:tcW w:w="1751" w:type="dxa"/>
            <w:tcBorders>
              <w:bottom w:val="single" w:sz="4" w:space="0" w:color="808080"/>
            </w:tcBorders>
            <w:vAlign w:val="bottom"/>
          </w:tcPr>
          <w:p w14:paraId="5B2A6BE9" w14:textId="77777777" w:rsidR="008645BE" w:rsidRPr="00741326" w:rsidRDefault="008645BE" w:rsidP="00DA6CB0">
            <w:pPr>
              <w:spacing w:before="60" w:after="60" w:line="240" w:lineRule="auto"/>
              <w:ind w:right="367"/>
              <w:jc w:val="right"/>
              <w:rPr>
                <w:rFonts w:ascii="Arial" w:eastAsiaTheme="minorHAnsi" w:hAnsi="Arial" w:cs="Arial"/>
              </w:rPr>
            </w:pPr>
            <w:r w:rsidRPr="00741326">
              <w:rPr>
                <w:rFonts w:ascii="Arial" w:eastAsiaTheme="minorHAnsi" w:hAnsi="Arial" w:cs="Arial"/>
              </w:rPr>
              <w:t>22</w:t>
            </w:r>
          </w:p>
        </w:tc>
      </w:tr>
      <w:tr w:rsidR="008645BE" w:rsidRPr="00F36A0F" w14:paraId="4871697F" w14:textId="77777777" w:rsidTr="00A00755">
        <w:tc>
          <w:tcPr>
            <w:tcW w:w="3617" w:type="dxa"/>
            <w:shd w:val="clear" w:color="auto" w:fill="auto"/>
            <w:vAlign w:val="bottom"/>
          </w:tcPr>
          <w:p w14:paraId="50DDEFAE" w14:textId="77777777" w:rsidR="008645BE" w:rsidRPr="00741326" w:rsidRDefault="008645BE" w:rsidP="00DA6CB0">
            <w:pPr>
              <w:spacing w:before="60" w:after="60" w:line="240" w:lineRule="auto"/>
              <w:rPr>
                <w:rFonts w:ascii="Arial" w:eastAsiaTheme="minorHAnsi" w:hAnsi="Arial" w:cs="Arial"/>
                <w:b/>
              </w:rPr>
            </w:pPr>
            <w:r w:rsidRPr="00741326">
              <w:rPr>
                <w:rFonts w:ascii="Arial" w:eastAsiaTheme="minorHAnsi" w:hAnsi="Arial" w:cs="Arial"/>
                <w:b/>
              </w:rPr>
              <w:t>Total</w:t>
            </w:r>
          </w:p>
        </w:tc>
        <w:tc>
          <w:tcPr>
            <w:tcW w:w="1710" w:type="dxa"/>
            <w:shd w:val="clear" w:color="auto" w:fill="auto"/>
            <w:vAlign w:val="bottom"/>
          </w:tcPr>
          <w:p w14:paraId="6D40B64F" w14:textId="77777777" w:rsidR="008645BE" w:rsidRPr="00741326" w:rsidRDefault="008645BE" w:rsidP="00DA6CB0">
            <w:pPr>
              <w:tabs>
                <w:tab w:val="left" w:pos="1061"/>
              </w:tabs>
              <w:spacing w:before="60" w:after="60" w:line="240" w:lineRule="auto"/>
              <w:ind w:right="291"/>
              <w:jc w:val="right"/>
              <w:rPr>
                <w:rFonts w:ascii="Arial" w:eastAsiaTheme="minorHAnsi" w:hAnsi="Arial" w:cs="Arial"/>
                <w:b/>
              </w:rPr>
            </w:pPr>
            <w:r w:rsidRPr="00741326">
              <w:rPr>
                <w:rFonts w:ascii="Arial" w:eastAsiaTheme="minorHAnsi" w:hAnsi="Arial" w:cs="Arial"/>
                <w:b/>
              </w:rPr>
              <w:t>100</w:t>
            </w:r>
          </w:p>
        </w:tc>
        <w:tc>
          <w:tcPr>
            <w:tcW w:w="1585" w:type="dxa"/>
            <w:shd w:val="clear" w:color="auto" w:fill="auto"/>
            <w:vAlign w:val="bottom"/>
          </w:tcPr>
          <w:p w14:paraId="669ED534" w14:textId="77777777" w:rsidR="008645BE" w:rsidRPr="00741326" w:rsidRDefault="008645BE" w:rsidP="00DA6CB0">
            <w:pPr>
              <w:spacing w:before="60" w:after="60" w:line="240" w:lineRule="auto"/>
              <w:ind w:right="317"/>
              <w:jc w:val="right"/>
              <w:rPr>
                <w:rFonts w:ascii="Arial" w:eastAsiaTheme="minorHAnsi" w:hAnsi="Arial" w:cs="Arial"/>
                <w:b/>
              </w:rPr>
            </w:pPr>
            <w:r w:rsidRPr="00741326">
              <w:rPr>
                <w:rFonts w:ascii="Arial" w:eastAsiaTheme="minorHAnsi" w:hAnsi="Arial" w:cs="Arial"/>
                <w:b/>
              </w:rPr>
              <w:t>100</w:t>
            </w:r>
          </w:p>
        </w:tc>
        <w:tc>
          <w:tcPr>
            <w:tcW w:w="1751" w:type="dxa"/>
            <w:shd w:val="clear" w:color="auto" w:fill="auto"/>
            <w:vAlign w:val="bottom"/>
          </w:tcPr>
          <w:p w14:paraId="76662A4B" w14:textId="77777777" w:rsidR="008645BE" w:rsidRPr="00741326" w:rsidRDefault="008645BE" w:rsidP="00DA6CB0">
            <w:pPr>
              <w:spacing w:before="60" w:after="60" w:line="240" w:lineRule="auto"/>
              <w:ind w:right="367"/>
              <w:jc w:val="right"/>
              <w:rPr>
                <w:rFonts w:ascii="Arial" w:eastAsiaTheme="minorHAnsi" w:hAnsi="Arial" w:cs="Arial"/>
                <w:b/>
              </w:rPr>
            </w:pPr>
            <w:r w:rsidRPr="00741326">
              <w:rPr>
                <w:rFonts w:ascii="Arial" w:eastAsiaTheme="minorHAnsi" w:hAnsi="Arial" w:cs="Arial"/>
                <w:b/>
              </w:rPr>
              <w:t>100</w:t>
            </w:r>
          </w:p>
        </w:tc>
      </w:tr>
    </w:tbl>
    <w:p w14:paraId="214512F2" w14:textId="77777777" w:rsidR="007217F3" w:rsidRDefault="004714A4" w:rsidP="004714A4">
      <w:pPr>
        <w:rPr>
          <w:rFonts w:eastAsiaTheme="minorHAnsi"/>
        </w:rPr>
      </w:pPr>
      <w:r w:rsidRPr="00F36A0F">
        <w:rPr>
          <w:rFonts w:eastAsiaTheme="minorHAnsi"/>
        </w:rPr>
        <w:t xml:space="preserve">There were some differences in practice </w:t>
      </w:r>
      <w:r w:rsidR="00A95060" w:rsidRPr="00F36A0F">
        <w:rPr>
          <w:rFonts w:eastAsiaTheme="minorHAnsi"/>
        </w:rPr>
        <w:t>characteristics</w:t>
      </w:r>
      <w:r w:rsidR="00EF372A">
        <w:rPr>
          <w:rFonts w:eastAsiaTheme="minorHAnsi"/>
        </w:rPr>
        <w:t>,</w:t>
      </w:r>
      <w:r w:rsidR="00EF372A" w:rsidRPr="00F36A0F">
        <w:rPr>
          <w:rFonts w:eastAsiaTheme="minorHAnsi"/>
        </w:rPr>
        <w:t xml:space="preserve"> </w:t>
      </w:r>
      <w:r w:rsidRPr="00F36A0F">
        <w:rPr>
          <w:rFonts w:eastAsiaTheme="minorHAnsi"/>
        </w:rPr>
        <w:t xml:space="preserve">both </w:t>
      </w:r>
      <w:r w:rsidR="00583F25" w:rsidRPr="00F36A0F">
        <w:rPr>
          <w:rFonts w:eastAsiaTheme="minorHAnsi"/>
        </w:rPr>
        <w:t xml:space="preserve">between the three trial arms </w:t>
      </w:r>
      <w:r w:rsidR="00583F25">
        <w:rPr>
          <w:rFonts w:eastAsiaTheme="minorHAnsi"/>
        </w:rPr>
        <w:t xml:space="preserve">and </w:t>
      </w:r>
      <w:r w:rsidRPr="00F36A0F">
        <w:rPr>
          <w:rFonts w:eastAsiaTheme="minorHAnsi"/>
        </w:rPr>
        <w:t>in comparison with the Austra</w:t>
      </w:r>
      <w:r w:rsidR="00583F25">
        <w:rPr>
          <w:rFonts w:eastAsiaTheme="minorHAnsi"/>
        </w:rPr>
        <w:t>lian general practice landscape</w:t>
      </w:r>
      <w:r w:rsidRPr="00F36A0F">
        <w:rPr>
          <w:rFonts w:eastAsiaTheme="minorHAnsi"/>
        </w:rPr>
        <w:t xml:space="preserve">. Compared to the national average for GP practices, DCP practices had fewer solo GPs and more Practice Nurses, and they were slightly more likely to be located in an urban area (Figure </w:t>
      </w:r>
      <w:r w:rsidR="00BC4E8B">
        <w:rPr>
          <w:rFonts w:eastAsiaTheme="minorHAnsi"/>
        </w:rPr>
        <w:t>13</w:t>
      </w:r>
      <w:r w:rsidRPr="00F36A0F">
        <w:rPr>
          <w:rFonts w:eastAsiaTheme="minorHAnsi"/>
        </w:rPr>
        <w:t>).</w:t>
      </w:r>
      <w:r w:rsidR="00D173E2" w:rsidRPr="0011645E">
        <w:rPr>
          <w:rStyle w:val="FootnoteReference"/>
          <w:rFonts w:eastAsiaTheme="minorHAnsi"/>
        </w:rPr>
        <w:footnoteReference w:id="2"/>
      </w:r>
      <w:r w:rsidRPr="0011645E">
        <w:rPr>
          <w:rFonts w:eastAsiaTheme="minorHAnsi"/>
        </w:rPr>
        <w:t xml:space="preserve"> There were only minor differences between practices in the Control Group, Group 1 and Group 2: Practices in Group 1 had more Practice Nurses and were more urban than practices in the Control Group and Group 2.</w:t>
      </w:r>
      <w:r w:rsidR="00FD1796">
        <w:rPr>
          <w:rFonts w:eastAsiaTheme="minorHAnsi"/>
        </w:rPr>
        <w:t xml:space="preserve"> </w:t>
      </w:r>
    </w:p>
    <w:p w14:paraId="71F49937" w14:textId="77777777" w:rsidR="005B5144" w:rsidRDefault="005B5144">
      <w:pPr>
        <w:pStyle w:val="60exhnormal"/>
        <w:keepNext/>
        <w:rPr>
          <w:caps w:val="0"/>
        </w:rPr>
      </w:pPr>
      <w:r>
        <w:lastRenderedPageBreak/>
        <w:t>FIGURE 13</w:t>
      </w:r>
      <w:r>
        <w:rPr>
          <w:caps w:val="0"/>
        </w:rPr>
        <w:fldChar w:fldCharType="begin" w:fldLock="1"/>
      </w:r>
      <w:r>
        <w:rPr>
          <w:caps w:val="0"/>
        </w:rPr>
        <w:instrText>ADDIN CSL_CITATION { "citationItems" : [ { "id" : "ITEM-1", "itemData" : { "author" : [ { "dropping-particle" : "", "family" : "Carne", "given" : "Amanda", "non-dropping-particle" : "", "parse-names" : false, "suffix" : "" } ], "id" : "ITEM-1", "issue" : "April 2013", "issued" : { "date-parts" : [ [ "2013" ] ] }, "publisher" : "Primary Health Care Research &amp; Information Service, Discipline of General Practice, Flinders University, and Australian Government Department of Health and Ageing", "publisher-place" : "Adelaide", "title" : "Summary Data Report of the 2011-2012 Annual Survey of Divisions of General Practice", "type" : "book" }, "uris" : [ "http://www.mendeley.com/documents/?uuid=58eb468d-3b33-4bc9-8f56-56a373f72177" ] }, { "id" : "ITEM-2", "itemData" : { "author" : [ { "dropping-particle" : "", "family" : "Health Workforce Australia", "given" : "", "non-dropping-particle" : "", "parse-names" : false, "suffix" : "" } ], "id" : "ITEM-2", "issue" : "1", "issued" : { "date-parts" : [ [ "2013" ] ] }, "publisher" : "Health Workforce Australia", "publisher-place" : "Adelaide", "title" : "Health Workforce by Numbers", "type" : "book" }, "uris" : [ "http://www.mendeley.com/documents/?uuid=6159c72d-e90a-4c10-a6fc-daed15df7fe0" ] } ], "mendeley" : { "previouslyFormattedCitation" : "&lt;sup&gt;33,34&lt;/sup&gt;" }, "properties" : { "noteIndex" : 0 }, "schema" : "https://github.com/citation-style-language/schema/raw/master/csl-citation.json" }</w:instrText>
      </w:r>
      <w:r>
        <w:rPr>
          <w:caps w:val="0"/>
        </w:rPr>
        <w:fldChar w:fldCharType="separate"/>
      </w:r>
      <w:r w:rsidRPr="00113335">
        <w:rPr>
          <w:caps w:val="0"/>
          <w:noProof/>
          <w:vertAlign w:val="superscript"/>
        </w:rPr>
        <w:t>33,34</w:t>
      </w:r>
      <w:r>
        <w:rPr>
          <w:caps w:val="0"/>
        </w:rPr>
        <w:fldChar w:fldCharType="end"/>
      </w:r>
    </w:p>
    <w:p w14:paraId="4FA6C1E0" w14:textId="77777777" w:rsidR="002F75C5" w:rsidRDefault="002F75C5" w:rsidP="002F75C5">
      <w:pPr>
        <w:pStyle w:val="60exhnormal"/>
        <w:keepNext/>
        <w:jc w:val="center"/>
      </w:pPr>
      <w:r>
        <w:rPr>
          <w:noProof/>
          <w:lang w:eastAsia="en-AU"/>
        </w:rPr>
        <w:drawing>
          <wp:inline distT="0" distB="0" distL="0" distR="0" wp14:anchorId="65953DF3" wp14:editId="044F3979">
            <wp:extent cx="4906645" cy="3677285"/>
            <wp:effectExtent l="0" t="0" r="8255" b="0"/>
            <wp:docPr id="2" name="Picture 2" descr="Figure 13 is 3 stacked bar chart showing DCP practice population compared to Australia overall. When compared with the Australian general practice landscape, practices enrolled in the DCP differed in three ways. Firstly, only 63 percent of Australian general practices contain multiple GPs, compared with 81 percent of Control Group practices, 84 percent of Group 1 practices and 86 percent of Group 2 practices. Secondly, only 57 percent of Australian general practices have a Practice Nurse, compared with 77 percent of Control Group practices, 88 percent of Group 1 practices and 84 percent of Group 2 practices. Lastly, 72 percent of Australian general practices are located in an urban area, compared with 80 percent of Control Group practices, 88 percent of Group 1 practices and 62 percent of Group 2 pract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906645" cy="367728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4B68819F" w14:textId="77777777" w:rsidR="000E4E27" w:rsidRDefault="000E4E27" w:rsidP="00731926">
      <w:pPr>
        <w:rPr>
          <w:rFonts w:eastAsiaTheme="minorHAnsi"/>
        </w:rPr>
      </w:pPr>
      <w:r>
        <w:rPr>
          <w:rFonts w:eastAsiaTheme="minorHAnsi"/>
        </w:rPr>
        <w:t>Interviews and focus groups were conducted in the latter half of the trial period with 36 GPs across the three groups and 71 AHPs and practice nurses in Groups 1 and 2.</w:t>
      </w:r>
    </w:p>
    <w:p w14:paraId="03418309" w14:textId="77777777" w:rsidR="008645BE" w:rsidRPr="00F36A0F" w:rsidRDefault="000A186C" w:rsidP="008645BE">
      <w:pPr>
        <w:pStyle w:val="21minor"/>
        <w:rPr>
          <w:rFonts w:eastAsiaTheme="minorHAnsi"/>
        </w:rPr>
      </w:pPr>
      <w:r>
        <w:rPr>
          <w:rFonts w:eastAsiaTheme="minorHAnsi"/>
        </w:rPr>
        <w:t>3.1.2. Participation by People With D</w:t>
      </w:r>
      <w:r w:rsidR="008645BE" w:rsidRPr="00F36A0F">
        <w:rPr>
          <w:rFonts w:eastAsiaTheme="minorHAnsi"/>
        </w:rPr>
        <w:t xml:space="preserve">iabetes </w:t>
      </w:r>
    </w:p>
    <w:p w14:paraId="034CB4AF" w14:textId="77777777" w:rsidR="008645BE" w:rsidRPr="00F36A0F" w:rsidRDefault="008645BE" w:rsidP="008645BE">
      <w:pPr>
        <w:rPr>
          <w:rFonts w:eastAsiaTheme="minorHAnsi"/>
        </w:rPr>
      </w:pPr>
      <w:r w:rsidRPr="00F36A0F">
        <w:rPr>
          <w:rFonts w:eastAsiaTheme="minorHAnsi"/>
        </w:rPr>
        <w:t xml:space="preserve">In total, 7,781 people consented to participate in the DCP. This occurred over an enrolment period of approximately six months, </w:t>
      </w:r>
      <w:r w:rsidR="000A186C">
        <w:rPr>
          <w:rFonts w:eastAsiaTheme="minorHAnsi"/>
        </w:rPr>
        <w:t>meaning</w:t>
      </w:r>
      <w:r w:rsidRPr="00F36A0F">
        <w:rPr>
          <w:rFonts w:eastAsiaTheme="minorHAnsi"/>
        </w:rPr>
        <w:t xml:space="preserve"> that the enrolment rate was around 1</w:t>
      </w:r>
      <w:r w:rsidR="000A186C">
        <w:rPr>
          <w:rFonts w:eastAsiaTheme="minorHAnsi"/>
        </w:rPr>
        <w:t>,</w:t>
      </w:r>
      <w:r w:rsidRPr="00F36A0F">
        <w:rPr>
          <w:rFonts w:eastAsiaTheme="minorHAnsi"/>
        </w:rPr>
        <w:t xml:space="preserve">300 people per month. Compared to other Australian and international randomised control trials, this is both a large number of participants and a rapid enrolment rate (Figure </w:t>
      </w:r>
      <w:r w:rsidR="00942960">
        <w:rPr>
          <w:rFonts w:eastAsiaTheme="minorHAnsi"/>
        </w:rPr>
        <w:t>14</w:t>
      </w:r>
      <w:r w:rsidRPr="00F36A0F">
        <w:rPr>
          <w:rFonts w:eastAsiaTheme="minorHAnsi"/>
        </w:rPr>
        <w:t>).</w:t>
      </w:r>
      <w:r w:rsidR="00AB6281">
        <w:rPr>
          <w:rFonts w:eastAsiaTheme="minorHAnsi"/>
        </w:rPr>
        <w:t xml:space="preserve"> </w:t>
      </w:r>
      <w:r w:rsidR="00AB6281" w:rsidRPr="00AB6281">
        <w:rPr>
          <w:rFonts w:eastAsiaTheme="minorHAnsi"/>
        </w:rPr>
        <w:t>The number of ‘active participants’ (after taking into account a subset of withdrawals) was 6,853 at the beginning of the implementation of the pilot (baseline risk stratification) and 5,651 at the end of the implementation (final risk stratification).</w:t>
      </w:r>
    </w:p>
    <w:p w14:paraId="30BC4AD6" w14:textId="77777777" w:rsidR="00760C44" w:rsidRDefault="00760C44">
      <w:pPr>
        <w:pStyle w:val="60exhnormal"/>
        <w:keepNext/>
        <w:rPr>
          <w:caps w:val="0"/>
        </w:rPr>
      </w:pPr>
      <w:r>
        <w:rPr>
          <w:caps w:val="0"/>
        </w:rPr>
        <w:lastRenderedPageBreak/>
        <w:t>FIGURE</w:t>
      </w:r>
      <w:r w:rsidRPr="00760C44">
        <w:rPr>
          <w:caps w:val="0"/>
        </w:rPr>
        <w:t xml:space="preserve"> 14</w:t>
      </w:r>
      <w:r>
        <w:rPr>
          <w:caps w:val="0"/>
        </w:rPr>
        <w:t xml:space="preserve"> </w:t>
      </w:r>
      <w:r>
        <w:rPr>
          <w:caps w:val="0"/>
        </w:rPr>
        <w:fldChar w:fldCharType="begin" w:fldLock="1"/>
      </w:r>
      <w:r w:rsidR="00113335">
        <w:rPr>
          <w:caps w:val="0"/>
        </w:rPr>
        <w:instrText>ADDIN CSL_CITATION { "citationItems" : [ { "id" : "ITEM-1", "itemData" : { "ISSN" : "0012-1797", "PMID" : "7589820", "abstract" : "The objective of the U.K. Prospective Diabetes Study is to determine whether improved blood glucose control in type II diabetes will prevent the complications of diabetes and whether any specific therapy is advantageous or disadvantageous. The study will report in 1998, when the median duration from randomization will be 11 years. This report is on the efficacy of therapy over 6 years of follow-up and the overall incidence of diabetic complications. Subjects comprised 4,209 newly diagnosed type II diabetic patients who after 3 months' diet were asymptomatic and had fasting plasma glucose (FPG) 6.0-15.0 mmol/l. The study consists of a randomized controlled trial with two main comparisons: 1) 3,867 patients with 1,138 allocated to conventional therapy, primarily with diet, and 2,729 allocated to intensive therapy with additional sulfonylurea or insulin, which increase insulin supply, aiming for FPG &lt; 6 mmol/l; and 2) 753 obese patients with 411 allocated to conventional therapy and 342 allocated to intensive therapy with metformin, which enhances insulin sensitivity. In the first comparison, in 2,287 subjects studied for 6 years, intensive therapy with sulfonylurea and insulin similarly improved glucose control compared with conventional therapy, with median FPG at 1 year of 6.8 and 8.2 mmol/l, respectively (P &lt; 0.0001). and median HbA1c of 6.1 and 6.8%, respectively (P &lt; 0.0001). During the next 5 years, the FPG increased progressively on all therapies (P &lt; 0.0001) with medians at 6 years in the conventional and intensive groups, FPG 9.5 and 7.8 mmol/l, and HbA1c 8.0 and 7.1%, respectively. The glycemic deterioration was associated with progressive loss of beta-cell function. In the second comparison, in 548 obese subjects studied for 6 years, metformin improved glucose control similarly to intensive therapy with sulfonylurea or insulin. Metformin did not increase body weight or increase the incidence of hypoglycemia to the same extent as therapy with sulfonylurea or insulin. A high incidence of clinical complications occurred by 6-year follow-up. Of all subjects, 18.0% had suffered one or more diabetes-related clinical endpoints, with 12.1% having a macrovascular and 5.7% a microvascular endpoint. Sulfonylurea, metformin, and insulin therapies were similarly effective in improving glucose control compared with a policy of diet therapy. The study is examining whether the continued improved glucose control, obtained by intensive therapy compared with conv\u2026", "container-title" : "Diabetes", "id" : "ITEM-1", "issue" : "11", "issued" : { "date-parts" : [ [ "1995", "11" ] ] }, "page" : "1249-58", "title" : "U.K. prospective diabetes study 16. Overview of 6 years' therapy of type II diabetes: a progressive disease. U.K. Prospective Diabetes Study Group.", "type" : "article-journal", "volume" : "44" }, "uris" : [ "http://www.mendeley.com/documents/?uuid=a642a940-403a-4515-a138-9a511e286430" ] }, { "id" : "ITEM-2", "itemData" : { "DOI" : "10.1007/s00125-005-1869-1", "ISSN" : "0012-186X", "PMID" : "16025252", "abstract" : "AIMS/HYPOTHESIS: Studies suggest that in addition to blood glucose concentrations, thiazolidinediones such as rosiglitazone improve some cardiovascular (CV) risk factors and surrogate markers, that are abnormal in type 2 diabetes. However, fluid retention might lead to cardiac failure in a minority of people. The aim of the Rosiglitazone Evaluated for Cardiac Outcomes and Regulation of Glycaemia in Diabetes (RECORD) study is to evaluate the long-term impact of these effects on CV outcomes, as well as on long-term glycaemic control, in people with type 2 diabetes.\n\nMATERIALS AND METHODS: RECORD is a 6-year, randomised, open-label study in type 2 diabetic patients with inadequate blood glucose control (HbA1c 7.1-9.0%) on metformin or sulphonylurea alone. The study is being performed in 327 centres in Europe and Australasia. After a 4-week run-in, participants were randomised by current treatment stratum to add-on rosiglitazone, metformin or sulphonylurea, with dose titration to a target HbA1c of &lt; or = 7.0%. If confirmed HbA1c rises to &gt; or = 8.5%, either a third glucose-lowering drug is added (rosiglitazone-treated group) or insulin is started (non-rosiglitazone group). The same criterion for failure of triple oral drug therapy in the rosiglitazone-treated group is used for starting insulin in this group. The primary endpoint is the time to first CV hospitalisation or death, blindly adjudicated by a central endpoints committee. The study aim is to evaluate non-inferiority of the rosiglitazone group vs the non-rosiglitazone group with respect to CV outcomes. Safety, tolerability and study conduct are monitored by an independent board. All CV endpoint and safety data are held and analysed by a clinical trials organisation, and are not available to the study investigators while data collection is open.\n\nRESULTS: Over a 2-year period a total of 7,428 people were screened in 25 countries. Of these, 4,458 were randomised; 2,228 on background metformin, 2,230 on background sulphonylurea. Approximately half of the participants are male (52%) and almost all are Caucasian (99%).\n\nCONCLUSIONS/INTERPRETATION: The RECORD study should provide robust data on the extent to which rosiglitazone, in combination with metformin or sulphonylurea therapy, affects CV outcomes and progression of diabetes in the long term.", "author" : [ { "dropping-particle" : "", "family" : "Home", "given" : "P D", "non-dropping-particle" : "", "parse-names" : false, "suffix" : "" }, { "dropping-particle" : "", "family" : "Pocock", "given" : "S J", "non-dropping-particle" : "", "parse-names" : false, "suffix" : "" }, { "dropping-particle" : "", "family" : "Beck-Nielsen", "given" : "H", "non-dropping-particle" : "", "parse-names" : false, "suffix" : "" }, { "dropping-particle" : "", "family" : "Gomis", "given" : "R", "non-dropping-particle" : "", "parse-names" : false, "suffix" : "" }, { "dropping-particle" : "", "family" : "Hanefeld", "given" : "M", "non-dropping-particle" : "", "parse-names" : false, "suffix" : "" }, { "dropping-particle" : "", "family" : "Dargie", "given" : "H", "non-dropping-particle" : "", "parse-names" : false, "suffix" : "" }, { "dropping-particle" : "", "family" : "Komajda", "given" : "M", "non-dropping-particle" : "", "parse-names" : false, "suffix" : "" }, { "dropping-particle" : "", "family" : "Gubb", "given" : "J", "non-dropping-particle" : "", "parse-names" : false, "suffix" : "" }, { "dropping-particle" : "", "family" : "Biswas", "given" : "N", "non-dropping-particle" : "", "parse-names" : false, "suffix" : "" }, { "dropping-particle" : "", "family" : "Jones", "given" : "N P", "non-dropping-particle" : "", "parse-names" : false, "suffix" : "" } ], "container-title" : "Diabetologia", "id" : "ITEM-2", "issue" : "9", "issued" : { "date-parts" : [ [ "2005", "9" ] ] }, "page" : "1726-35", "title" : "Rosiglitazone Evaluated for Cardiac Outcomes and Regulation of Glycaemia in Diabetes (RECORD): study design and protocol.", "type" : "article-journal", "volume" : "48" }, "uris" : [ "http://www.mendeley.com/documents/?uuid=2ea127d5-313e-49dc-9d95-ea01e9f726ab" ] }, { "id" : "ITEM-3", "itemData" : { "DOI" : "10.1016/j.amjcard.2007.03.003", "ISSN" : "0002-9149", "PMID" : "17599422", "abstract" : "Most patients with type 2 diabetes mellitus develop cardiovascular disease (CVD), with substantial loss of life expectancy. Nonfatal CVD contributes greatly to excess healthcare costs and decreased quality of life in patients with diabetes. The current epidemic of obesity has raised expectations that CVD associated with type 2 diabetes will become an even greater public health challenge. Despite the importance of this health problem, there is a lack of definitive data on the effects of the intensive control of glycemia and other CVD risk factors on CVD event rates in patients with type 2 diabetes. The Action to Control Cardiovascular Risk in Diabetes (ACCORD) trial is a randomized, multicenter, double 2 x 2 factorial design study involving 10,251 middle-aged and older participants with type 2 diabetes who are at high risk for CVD events because of existing CVD or additional risk factors. ACCORD is testing the effects of 3 medical treatment strategies to reduce CVD morbidity and mortality. All participants are in the glycemia trial, which is testing the hypothesis that a therapeutic strategy that targets a glycosylated hemoglobin (HbA1c) level of &lt;6.0% will reduce the rate of CVD events more than a strategy that targets an HbA1c level of 7.0%-7.9%. The lipid trial includes 5,518 of the participants, who receive either fenofibrate or placebo in a double-masked fashion to test the hypothesis of whether, in the context of good glycemic control, a therapeutic strategy that uses a fibrate to increase high-density lipoprotein cholesterol and lower triglyceride levels together with a 3-hydroxy-3-methylglutaryl coenzyme A reductase inhibitor (statin) to lower low-density lipoprotein cholesterol will reduce the rate of CVD events compared with a strategy that uses a statin plus a placebo. The blood pressure trial includes the remaining 4,733 participants and tests the hypothesis that a therapeutic strategy that targets a systolic blood pressure of &lt;120 mm Hg in the context of good glycemic control will reduce the rate of CVD events compared with a strategy that targets a systolic blood pressure of &lt;140 mm Hg. The primary outcome measure for all 3 research questions is the first occurrence of a major CVD event, specifically nonfatal myocardial infarction, nonfatal stroke, or cardiovascular death. Upon the expected completion of participant follow-up in 2009, the ACCORD trial should document for the first time the benefits and risks of intensive glucose control, in\u2026", "author" : [ { "dropping-particle" : "", "family" : "Buse", "given" : "John B", "non-dropping-particle" : "", "parse-names" : false, "suffix" : "" }, { "dropping-particle" : "", "family" : "Bigger", "given" : "J Thomas", "non-dropping-particle" : "", "parse-names" : false, "suffix" : "" }, { "dropping-particle" : "", "family" : "Byington", "given" : "Robert P", "non-dropping-particle" : "", "parse-names" : false, "suffix" : "" }, { "dropping-particle" : "", "family" : "Cooper", "given" : "Lawton S", "non-dropping-particle" : "", "parse-names" : false, "suffix" : "" }, { "dropping-particle" : "", "family" : "Cushman", "given" : "William C", "non-dropping-particle" : "", "parse-names" : false, "suffix" : "" }, { "dropping-particle" : "", "family" : "Friedewald", "given" : "William T", "non-dropping-particle" : "", "parse-names" : false, "suffix" : "" }, { "dropping-particle" : "", "family" : "Genuth", "given" : "Saul", "non-dropping-particle" : "", "parse-names" : false, "suffix" : "" }, { "dropping-particle" : "", "family" : "Gerstein", "given" : "Hertzel C", "non-dropping-particle" : "", "parse-names" : false, "suffix" : "" }, { "dropping-particle" : "", "family" : "Ginsberg", "given" : "Henry N", "non-dropping-particle" : "", "parse-names" : false, "suffix" : "" }, { "dropping-particle" : "", "family" : "Goff", "given" : "David C", "non-dropping-particle" : "", "parse-names" : false, "suffix" : "" }, { "dropping-particle" : "", "family" : "Grimm", "given" : "Richard H", "non-dropping-particle" : "", "parse-names" : false, "suffix" : "" }, { "dropping-particle" : "", "family" : "Margolis", "given" : "Karen L", "non-dropping-particle" : "", "parse-names" : false, "suffix" : "" }, { "dropping-particle" : "", "family" : "Probstfield", "given" : "Jeffrey L", "non-dropping-particle" : "", "parse-names" : false, "suffix" : "" }, { "dropping-particle" : "", "family" : "Simons-Morton", "given" : "Denise G", "non-dropping-particle" : "", "parse-names" : false, "suffix" : "" }, { "dropping-particle" : "", "family" : "Sullivan", "given" : "Mark D", "non-dropping-particle" : "", "parse-names" : false, "suffix" : "" } ], "container-title" : "The American journal of cardiology", "id" : "ITEM-3", "issue" : "12A", "issued" : { "date-parts" : [ [ "2007", "6", "18" ] ] }, "page" : "21i-33i", "title" : "Action to Control Cardiovascular Risk in Diabetes (ACCORD) trial: design and methods.", "type" : "article-journal", "volume" : "99" }, "uris" : [ "http://www.mendeley.com/documents/?uuid=21d0d2e2-399d-420e-8704-5a9a27def50b" ] }, { "id" : "ITEM-4", "itemData" : { "DOI" : "10.1111/j.1464-5491.2005.01596.x", "ISSN" : "0742-3071", "PMID" : "15975103", "abstract" : "AIMS: The primary aim of ADVANCE is to determine the effects on macrovascular and microvascular disease of blood pressure lowering (with an ACE inhibitor-diuretic combination), irrespective of initial blood pressure level; and of intensive glucose lowering, in high-risk individuals with Type 2 diabetes.\n\nMETHODS: The study is a 2 x 2 factorial randomized controlled trial. Following 6 weeks on active perindopril-indapamide combination, eligible participants were randomized to perindopril/indapamide (initially 2.0/0.625 mg daily, increasing to 4.0/1.25 mg daily after 3 months) or matching placebo; and to an intensive gliclazide MR-based glucose control regimen aiming for a haemoglobin A1c (HbA1c) value of 6.5% or lower, or local standard therapy. The study is being conducted in 215 centres in 20 countries within Australasia, Asia, Europe and North America.\n\nRESULTS: Recruitment commenced in June 2001 and was completed in March 2003, with the inclusion of 11,140 randomized participants. Fifty-seven per cent of participants are male and the mean age at baseline was 66 years. On average, the diagnosis of diabetes was made 8 years before study entry. At baseline 32 and 10% of patients had a history of macrovascular and microvascular disease, respectively. The mean blood pressure at baseline was 145/81 mmHg; the mean HbA1c concentration was 7.5%. While blood pressure and HbA1c values were broadly similar, certain characteristics of randomized participants varied between countries.\n\nCONCLUSIONS: With successful worldwide recruitment completed, ADVANCE should provide reliable and broadly generalizable results on the effects of routine blood pressure lowering and intensive glucose control in high-risk individuals with Type 2 diabetes.", "container-title" : "Diabetic medicine : a journal of the British Diabetic Association", "id" : "ITEM-4", "issue" : "7", "issued" : { "date-parts" : [ [ "2005", "7" ] ] }, "page" : "882-8", "title" : "ADVANCE--Action in Diabetes and Vascular Disease: patient recruitment and characteristics of the study population at baseline.", "type" : "article-journal", "volume" : "22" }, "uris" : [ "http://www.mendeley.com/documents/?uuid=3cc69270-ff7a-4bd7-922b-7982d75ec52e" ] } ], "mendeley" : { "previouslyFormattedCitation" : "&lt;sup&gt;35\u201338&lt;/sup&gt;" }, "properties" : { "noteIndex" : 0 }, "schema" : "https://github.com/citation-style-language/schema/raw/master/csl-citation.json" }</w:instrText>
      </w:r>
      <w:r>
        <w:rPr>
          <w:caps w:val="0"/>
        </w:rPr>
        <w:fldChar w:fldCharType="separate"/>
      </w:r>
      <w:r w:rsidR="00113335" w:rsidRPr="00113335">
        <w:rPr>
          <w:caps w:val="0"/>
          <w:noProof/>
          <w:vertAlign w:val="superscript"/>
        </w:rPr>
        <w:t>35–38</w:t>
      </w:r>
      <w:r>
        <w:rPr>
          <w:caps w:val="0"/>
        </w:rPr>
        <w:fldChar w:fldCharType="end"/>
      </w:r>
    </w:p>
    <w:p w14:paraId="428FB321" w14:textId="77777777" w:rsidR="00760C44" w:rsidRPr="002F75C5" w:rsidRDefault="002F75C5" w:rsidP="000379D6">
      <w:pPr>
        <w:pStyle w:val="60exhnormal"/>
        <w:keepNext/>
        <w:jc w:val="center"/>
        <w:rPr>
          <w:caps w:val="0"/>
        </w:rPr>
      </w:pPr>
      <w:r>
        <w:rPr>
          <w:noProof/>
          <w:lang w:eastAsia="en-AU"/>
        </w:rPr>
        <w:drawing>
          <wp:inline distT="0" distB="0" distL="0" distR="0" wp14:anchorId="409DDA0D" wp14:editId="60CB1189">
            <wp:extent cx="4906645" cy="3683000"/>
            <wp:effectExtent l="0" t="0" r="8255" b="0"/>
            <wp:docPr id="292" name="Picture 292" descr="Figure 14 is a bar chart showing the DCP size and enrolment rate compared to other trials. Prior to the DCP, the largest randomised control trial in Australia enrolled 3,934 participants. In contrast, the DCP enrolled 7,781 participants. Internationally, the two largest randomised control trials enrolled 11,140 participants and 10,251 participants, respectively. The next largest randomised control trial enrolled 4,458 participants. The DCP also experienced a rapid enrolment rate of 1,297 participants per month. In comparison, the largest randomised control trial internationally had an enrolment rate of 530 participants per mon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906645" cy="3683000"/>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1DD7BE73" w14:textId="77777777" w:rsidR="00AB6281" w:rsidRDefault="008645BE" w:rsidP="008645BE">
      <w:pPr>
        <w:rPr>
          <w:rFonts w:eastAsiaTheme="minorHAnsi"/>
        </w:rPr>
      </w:pPr>
      <w:r w:rsidRPr="00F36A0F">
        <w:rPr>
          <w:rFonts w:eastAsiaTheme="minorHAnsi"/>
        </w:rPr>
        <w:t>Prior to baseline risk stratification (when participants’ clinical indicators were measured and participants were registered in the IT tool and placed into the risk stratification groups described in Chapter 2), 800 participants withdrew (approximately 10 percent of those who consented to participate). This left a total of 6,981 participants, all of whom completed the baseline risk stratificati</w:t>
      </w:r>
      <w:r w:rsidR="00583F25">
        <w:rPr>
          <w:rFonts w:eastAsiaTheme="minorHAnsi"/>
        </w:rPr>
        <w:t xml:space="preserve">on thereby beginning treatment. </w:t>
      </w:r>
      <w:r w:rsidRPr="00F36A0F">
        <w:rPr>
          <w:rFonts w:eastAsiaTheme="minorHAnsi"/>
        </w:rPr>
        <w:t xml:space="preserve">Between the baseline and </w:t>
      </w:r>
      <w:r w:rsidR="0008694D" w:rsidRPr="00F36A0F">
        <w:rPr>
          <w:rFonts w:eastAsiaTheme="minorHAnsi"/>
        </w:rPr>
        <w:t>final risk stratification 1,330 </w:t>
      </w:r>
      <w:r w:rsidRPr="00F36A0F">
        <w:rPr>
          <w:rFonts w:eastAsiaTheme="minorHAnsi"/>
        </w:rPr>
        <w:t xml:space="preserve">participants (17 percent of those who originally consented to participate) were lost to follow up, 128 of whom requested that their data collection be discontinued. The majority of these participants made this request because they moved out of the DCP area (Table </w:t>
      </w:r>
      <w:r w:rsidR="00FC1C5E">
        <w:rPr>
          <w:rFonts w:eastAsiaTheme="minorHAnsi"/>
        </w:rPr>
        <w:t>2</w:t>
      </w:r>
      <w:r w:rsidRPr="00F36A0F">
        <w:rPr>
          <w:rFonts w:eastAsiaTheme="minorHAnsi"/>
        </w:rPr>
        <w:t xml:space="preserve">). </w:t>
      </w:r>
    </w:p>
    <w:p w14:paraId="78B203DC" w14:textId="77777777" w:rsidR="008645BE" w:rsidRDefault="00644A14" w:rsidP="008645BE">
      <w:pPr>
        <w:rPr>
          <w:rFonts w:eastAsiaTheme="minorHAnsi"/>
        </w:rPr>
      </w:pPr>
      <w:r>
        <w:rPr>
          <w:rFonts w:eastAsiaTheme="minorHAnsi"/>
        </w:rPr>
        <w:t>Participants were enrolled in the DCP</w:t>
      </w:r>
      <w:r w:rsidR="00B73696">
        <w:rPr>
          <w:rFonts w:eastAsiaTheme="minorHAnsi"/>
        </w:rPr>
        <w:t xml:space="preserve"> </w:t>
      </w:r>
      <w:r w:rsidR="00131040">
        <w:rPr>
          <w:rFonts w:eastAsiaTheme="minorHAnsi"/>
        </w:rPr>
        <w:t>for an average of 17.6 months</w:t>
      </w:r>
      <w:r w:rsidR="00B73696">
        <w:rPr>
          <w:rFonts w:eastAsiaTheme="minorHAnsi"/>
        </w:rPr>
        <w:t xml:space="preserve"> (the mean number of months between their baseline risk stratification and their final risk stratification or the end date of the trial)</w:t>
      </w:r>
      <w:r w:rsidR="00131040">
        <w:rPr>
          <w:rFonts w:eastAsiaTheme="minorHAnsi"/>
        </w:rPr>
        <w:t xml:space="preserve">. </w:t>
      </w:r>
    </w:p>
    <w:p w14:paraId="604B1711" w14:textId="77777777" w:rsidR="00EC57B3" w:rsidRPr="00F36A0F" w:rsidRDefault="00EC57B3" w:rsidP="008645BE">
      <w:pPr>
        <w:rPr>
          <w:rFonts w:eastAsiaTheme="minorHAnsi"/>
        </w:rPr>
      </w:pPr>
      <w:r>
        <w:rPr>
          <w:rFonts w:eastAsiaTheme="minorHAnsi"/>
        </w:rPr>
        <w:t xml:space="preserve">In Group 2, </w:t>
      </w:r>
      <w:r w:rsidR="000B4523">
        <w:rPr>
          <w:rFonts w:eastAsiaTheme="minorHAnsi"/>
        </w:rPr>
        <w:t>nine care facilitators were employed, meaning that on average there were 280 patients per care facilitator (based on the 2,518 active Group 2 patients at baseline).</w:t>
      </w:r>
    </w:p>
    <w:p w14:paraId="3BC0C2AA" w14:textId="77777777" w:rsidR="008645BE" w:rsidRPr="00F36A0F" w:rsidRDefault="008645BE" w:rsidP="00CA618B">
      <w:pPr>
        <w:pStyle w:val="TableNumber"/>
      </w:pPr>
      <w:r w:rsidRPr="00F36A0F">
        <w:lastRenderedPageBreak/>
        <w:t xml:space="preserve">Table </w:t>
      </w:r>
      <w:r w:rsidR="00FC1C5E">
        <w:t>2</w:t>
      </w:r>
      <w:r w:rsidRPr="00F36A0F">
        <w:t xml:space="preserve">. Reasons </w:t>
      </w:r>
      <w:r w:rsidR="004B7360" w:rsidRPr="00F36A0F">
        <w:t>PARTICIPANTS</w:t>
      </w:r>
      <w:r w:rsidRPr="00F36A0F">
        <w:t xml:space="preserve"> withdrew from</w:t>
      </w:r>
      <w:r w:rsidR="000A186C">
        <w:t xml:space="preserve"> the</w:t>
      </w:r>
      <w:r w:rsidR="00522BD3">
        <w:t xml:space="preserve"> </w:t>
      </w:r>
      <w:r w:rsidR="00D02785">
        <w:t>DCP after baseline risk stratification</w:t>
      </w:r>
      <w:r w:rsidR="00522BD3">
        <w:t xml:space="preserve">, </w:t>
      </w:r>
      <w:r w:rsidR="00D02785">
        <w:t xml:space="preserve">percent </w:t>
      </w:r>
      <w:r w:rsidR="00522BD3">
        <w:t>of group (n=1,330)</w:t>
      </w:r>
    </w:p>
    <w:tbl>
      <w:tblPr>
        <w:tblStyle w:val="TableGrid"/>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Description w:val="Table 2 is a list of reasons participants withdrew from the DCP after baseline risk stratification . There were seven reasons for patient withdrawal from the DCP following baseline risk stratification: (1) they were unhappy with the level of funding they received; (2) they withdrew because of ill health; (3) they are deceased; (4) they moved out of the project area; (5) they did not complete the final risk stratification; (6) their practice withdrew from the project; and (7) “other.” In the Control Group, the most common reason for withdrawal—cited by 52 percent of those who withdrew from this group—was that the participant moved out of the project area. In Group 1, the most common reason—cited by 45 percent of those who withdrew from this group—was that participants did not complete the final risk stratification. In Group 2, the most common reason—cited by 41 percent of those who withdrew from this group—was that their practice withdrew from the project."/>
      </w:tblPr>
      <w:tblGrid>
        <w:gridCol w:w="3617"/>
        <w:gridCol w:w="1710"/>
        <w:gridCol w:w="1890"/>
        <w:gridCol w:w="1639"/>
      </w:tblGrid>
      <w:tr w:rsidR="008645BE" w:rsidRPr="00F36A0F" w14:paraId="1855BF8B" w14:textId="77777777" w:rsidTr="00E46FF1">
        <w:trPr>
          <w:cantSplit/>
          <w:tblHeader/>
        </w:trPr>
        <w:tc>
          <w:tcPr>
            <w:tcW w:w="3617" w:type="dxa"/>
            <w:shd w:val="clear" w:color="auto" w:fill="D9D9D9" w:themeFill="background1" w:themeFillShade="D9"/>
            <w:vAlign w:val="bottom"/>
          </w:tcPr>
          <w:p w14:paraId="6CF8C547" w14:textId="77777777" w:rsidR="008645BE" w:rsidRPr="00522BD3" w:rsidRDefault="008645BE" w:rsidP="00DA6CB0">
            <w:pPr>
              <w:keepNext/>
              <w:keepLines/>
              <w:spacing w:before="60" w:after="60" w:line="240" w:lineRule="auto"/>
              <w:rPr>
                <w:rFonts w:ascii="Arial" w:eastAsiaTheme="minorHAnsi" w:hAnsi="Arial" w:cs="Arial"/>
                <w:b/>
              </w:rPr>
            </w:pPr>
            <w:r w:rsidRPr="00522BD3">
              <w:rPr>
                <w:rFonts w:ascii="Arial" w:eastAsiaTheme="minorHAnsi" w:hAnsi="Arial" w:cs="Arial"/>
                <w:b/>
              </w:rPr>
              <w:t>Reason for patient withdrawal</w:t>
            </w:r>
          </w:p>
        </w:tc>
        <w:tc>
          <w:tcPr>
            <w:tcW w:w="1710" w:type="dxa"/>
            <w:shd w:val="clear" w:color="auto" w:fill="D9D9D9" w:themeFill="background1" w:themeFillShade="D9"/>
            <w:vAlign w:val="bottom"/>
          </w:tcPr>
          <w:p w14:paraId="1EB5269D" w14:textId="77777777" w:rsidR="008645BE" w:rsidRPr="00522BD3" w:rsidRDefault="008645BE" w:rsidP="00DA6CB0">
            <w:pPr>
              <w:keepNext/>
              <w:keepLines/>
              <w:spacing w:before="60" w:after="60" w:line="240" w:lineRule="auto"/>
              <w:jc w:val="center"/>
              <w:rPr>
                <w:rFonts w:ascii="Arial" w:eastAsiaTheme="minorHAnsi" w:hAnsi="Arial" w:cs="Arial"/>
                <w:b/>
              </w:rPr>
            </w:pPr>
            <w:r w:rsidRPr="00522BD3">
              <w:rPr>
                <w:rFonts w:ascii="Arial" w:eastAsiaTheme="minorHAnsi" w:hAnsi="Arial" w:cs="Arial"/>
                <w:b/>
              </w:rPr>
              <w:t>Control</w:t>
            </w:r>
          </w:p>
        </w:tc>
        <w:tc>
          <w:tcPr>
            <w:tcW w:w="1890" w:type="dxa"/>
            <w:shd w:val="clear" w:color="auto" w:fill="D9D9D9" w:themeFill="background1" w:themeFillShade="D9"/>
            <w:vAlign w:val="bottom"/>
          </w:tcPr>
          <w:p w14:paraId="26970537" w14:textId="77777777" w:rsidR="008645BE" w:rsidRPr="00522BD3" w:rsidRDefault="008645BE" w:rsidP="00DA6CB0">
            <w:pPr>
              <w:keepNext/>
              <w:keepLines/>
              <w:spacing w:before="60" w:after="60" w:line="240" w:lineRule="auto"/>
              <w:jc w:val="center"/>
              <w:rPr>
                <w:rFonts w:ascii="Arial" w:eastAsiaTheme="minorHAnsi" w:hAnsi="Arial" w:cs="Arial"/>
                <w:b/>
              </w:rPr>
            </w:pPr>
            <w:r w:rsidRPr="00522BD3">
              <w:rPr>
                <w:rFonts w:ascii="Arial" w:eastAsiaTheme="minorHAnsi" w:hAnsi="Arial" w:cs="Arial"/>
                <w:b/>
              </w:rPr>
              <w:t>Group 1</w:t>
            </w:r>
          </w:p>
        </w:tc>
        <w:tc>
          <w:tcPr>
            <w:tcW w:w="1639" w:type="dxa"/>
            <w:shd w:val="clear" w:color="auto" w:fill="D9D9D9" w:themeFill="background1" w:themeFillShade="D9"/>
            <w:vAlign w:val="bottom"/>
          </w:tcPr>
          <w:p w14:paraId="0AAFE0F5" w14:textId="77777777" w:rsidR="008645BE" w:rsidRPr="00522BD3" w:rsidRDefault="008645BE" w:rsidP="00DA6CB0">
            <w:pPr>
              <w:keepNext/>
              <w:keepLines/>
              <w:spacing w:before="60" w:after="60" w:line="240" w:lineRule="auto"/>
              <w:jc w:val="center"/>
              <w:rPr>
                <w:rFonts w:ascii="Arial" w:eastAsiaTheme="minorHAnsi" w:hAnsi="Arial" w:cs="Arial"/>
                <w:b/>
              </w:rPr>
            </w:pPr>
            <w:r w:rsidRPr="00522BD3">
              <w:rPr>
                <w:rFonts w:ascii="Arial" w:eastAsiaTheme="minorHAnsi" w:hAnsi="Arial" w:cs="Arial"/>
                <w:b/>
              </w:rPr>
              <w:t>Group 2</w:t>
            </w:r>
          </w:p>
        </w:tc>
      </w:tr>
      <w:tr w:rsidR="008645BE" w:rsidRPr="00F36A0F" w14:paraId="75C29488" w14:textId="77777777" w:rsidTr="00DA6CB0">
        <w:trPr>
          <w:cantSplit/>
        </w:trPr>
        <w:tc>
          <w:tcPr>
            <w:tcW w:w="3617" w:type="dxa"/>
            <w:vAlign w:val="bottom"/>
          </w:tcPr>
          <w:p w14:paraId="2CA1F53D" w14:textId="77777777" w:rsidR="008645BE" w:rsidRPr="00522BD3" w:rsidRDefault="008645BE" w:rsidP="00DA6CB0">
            <w:pPr>
              <w:keepNext/>
              <w:keepLines/>
              <w:spacing w:before="60" w:after="60" w:line="240" w:lineRule="auto"/>
              <w:rPr>
                <w:rFonts w:ascii="Arial" w:eastAsiaTheme="minorHAnsi" w:hAnsi="Arial" w:cs="Arial"/>
              </w:rPr>
            </w:pPr>
            <w:r w:rsidRPr="00522BD3">
              <w:rPr>
                <w:rFonts w:ascii="Arial" w:eastAsiaTheme="minorHAnsi" w:hAnsi="Arial" w:cs="Arial"/>
              </w:rPr>
              <w:t>Dissatisfaction with funding</w:t>
            </w:r>
          </w:p>
        </w:tc>
        <w:tc>
          <w:tcPr>
            <w:tcW w:w="1710" w:type="dxa"/>
            <w:vAlign w:val="bottom"/>
          </w:tcPr>
          <w:p w14:paraId="5C49F269" w14:textId="77777777" w:rsidR="008645BE" w:rsidRPr="00522BD3" w:rsidRDefault="008645BE" w:rsidP="00DA6CB0">
            <w:pPr>
              <w:keepNext/>
              <w:keepLines/>
              <w:spacing w:before="60" w:after="60" w:line="240" w:lineRule="auto"/>
              <w:ind w:right="433"/>
              <w:jc w:val="right"/>
              <w:rPr>
                <w:rFonts w:ascii="Arial" w:eastAsiaTheme="minorHAnsi" w:hAnsi="Arial" w:cs="Arial"/>
              </w:rPr>
            </w:pPr>
            <w:r w:rsidRPr="00522BD3">
              <w:rPr>
                <w:rFonts w:ascii="Arial" w:eastAsiaTheme="minorHAnsi" w:hAnsi="Arial" w:cs="Arial"/>
              </w:rPr>
              <w:t>0</w:t>
            </w:r>
          </w:p>
        </w:tc>
        <w:tc>
          <w:tcPr>
            <w:tcW w:w="1890" w:type="dxa"/>
            <w:vAlign w:val="bottom"/>
          </w:tcPr>
          <w:p w14:paraId="1BE58A67" w14:textId="77777777" w:rsidR="008645BE" w:rsidRPr="00522BD3" w:rsidRDefault="008645BE" w:rsidP="00DA6CB0">
            <w:pPr>
              <w:keepNext/>
              <w:keepLines/>
              <w:spacing w:before="60" w:after="60" w:line="240" w:lineRule="auto"/>
              <w:ind w:right="338"/>
              <w:jc w:val="right"/>
              <w:rPr>
                <w:rFonts w:ascii="Arial" w:eastAsiaTheme="minorHAnsi" w:hAnsi="Arial" w:cs="Arial"/>
              </w:rPr>
            </w:pPr>
            <w:r w:rsidRPr="00522BD3">
              <w:rPr>
                <w:rFonts w:ascii="Arial" w:eastAsiaTheme="minorHAnsi" w:hAnsi="Arial" w:cs="Arial"/>
              </w:rPr>
              <w:t>0</w:t>
            </w:r>
          </w:p>
        </w:tc>
        <w:tc>
          <w:tcPr>
            <w:tcW w:w="1639" w:type="dxa"/>
            <w:vAlign w:val="bottom"/>
          </w:tcPr>
          <w:p w14:paraId="4FFB463E" w14:textId="77777777" w:rsidR="008645BE" w:rsidRPr="00522BD3" w:rsidRDefault="008645BE" w:rsidP="00DA6CB0">
            <w:pPr>
              <w:keepNext/>
              <w:keepLines/>
              <w:spacing w:before="60" w:after="60" w:line="240" w:lineRule="auto"/>
              <w:ind w:right="276"/>
              <w:jc w:val="right"/>
              <w:rPr>
                <w:rFonts w:ascii="Arial" w:eastAsiaTheme="minorHAnsi" w:hAnsi="Arial" w:cs="Arial"/>
              </w:rPr>
            </w:pPr>
            <w:r w:rsidRPr="00522BD3">
              <w:rPr>
                <w:rFonts w:ascii="Arial" w:eastAsiaTheme="minorHAnsi" w:hAnsi="Arial" w:cs="Arial"/>
              </w:rPr>
              <w:t>1</w:t>
            </w:r>
          </w:p>
        </w:tc>
      </w:tr>
      <w:tr w:rsidR="008645BE" w:rsidRPr="00F36A0F" w14:paraId="15176556" w14:textId="77777777" w:rsidTr="00DA6CB0">
        <w:trPr>
          <w:cantSplit/>
        </w:trPr>
        <w:tc>
          <w:tcPr>
            <w:tcW w:w="3617" w:type="dxa"/>
            <w:vAlign w:val="bottom"/>
          </w:tcPr>
          <w:p w14:paraId="44C927B5" w14:textId="77777777" w:rsidR="008645BE" w:rsidRPr="00522BD3" w:rsidRDefault="008645BE" w:rsidP="00DA6CB0">
            <w:pPr>
              <w:keepNext/>
              <w:keepLines/>
              <w:spacing w:before="60" w:after="60" w:line="240" w:lineRule="auto"/>
              <w:rPr>
                <w:rFonts w:ascii="Arial" w:eastAsiaTheme="minorHAnsi" w:hAnsi="Arial" w:cs="Arial"/>
              </w:rPr>
            </w:pPr>
            <w:r w:rsidRPr="00522BD3">
              <w:rPr>
                <w:rFonts w:ascii="Arial" w:eastAsiaTheme="minorHAnsi" w:hAnsi="Arial" w:cs="Arial"/>
              </w:rPr>
              <w:t>Ill health</w:t>
            </w:r>
          </w:p>
        </w:tc>
        <w:tc>
          <w:tcPr>
            <w:tcW w:w="1710" w:type="dxa"/>
            <w:vAlign w:val="bottom"/>
          </w:tcPr>
          <w:p w14:paraId="74051FCB" w14:textId="77777777" w:rsidR="008645BE" w:rsidRPr="00522BD3" w:rsidRDefault="008645BE" w:rsidP="00DA6CB0">
            <w:pPr>
              <w:keepNext/>
              <w:keepLines/>
              <w:spacing w:before="60" w:after="60" w:line="240" w:lineRule="auto"/>
              <w:ind w:right="433"/>
              <w:jc w:val="right"/>
              <w:rPr>
                <w:rFonts w:ascii="Arial" w:eastAsiaTheme="minorHAnsi" w:hAnsi="Arial" w:cs="Arial"/>
              </w:rPr>
            </w:pPr>
            <w:r w:rsidRPr="00522BD3">
              <w:rPr>
                <w:rFonts w:ascii="Arial" w:eastAsiaTheme="minorHAnsi" w:hAnsi="Arial" w:cs="Arial"/>
              </w:rPr>
              <w:t>1</w:t>
            </w:r>
          </w:p>
        </w:tc>
        <w:tc>
          <w:tcPr>
            <w:tcW w:w="1890" w:type="dxa"/>
            <w:vAlign w:val="bottom"/>
          </w:tcPr>
          <w:p w14:paraId="03A1B52C" w14:textId="77777777" w:rsidR="008645BE" w:rsidRPr="00522BD3" w:rsidRDefault="008645BE" w:rsidP="00DA6CB0">
            <w:pPr>
              <w:keepNext/>
              <w:keepLines/>
              <w:spacing w:before="60" w:after="60" w:line="240" w:lineRule="auto"/>
              <w:ind w:right="338"/>
              <w:jc w:val="right"/>
              <w:rPr>
                <w:rFonts w:ascii="Arial" w:eastAsiaTheme="minorHAnsi" w:hAnsi="Arial" w:cs="Arial"/>
              </w:rPr>
            </w:pPr>
            <w:r w:rsidRPr="00522BD3">
              <w:rPr>
                <w:rFonts w:ascii="Arial" w:eastAsiaTheme="minorHAnsi" w:hAnsi="Arial" w:cs="Arial"/>
              </w:rPr>
              <w:t>1</w:t>
            </w:r>
          </w:p>
        </w:tc>
        <w:tc>
          <w:tcPr>
            <w:tcW w:w="1639" w:type="dxa"/>
            <w:vAlign w:val="bottom"/>
          </w:tcPr>
          <w:p w14:paraId="6DB0075D" w14:textId="77777777" w:rsidR="008645BE" w:rsidRPr="00522BD3" w:rsidRDefault="008645BE" w:rsidP="00DA6CB0">
            <w:pPr>
              <w:keepNext/>
              <w:keepLines/>
              <w:spacing w:before="60" w:after="60" w:line="240" w:lineRule="auto"/>
              <w:ind w:right="276"/>
              <w:jc w:val="right"/>
              <w:rPr>
                <w:rFonts w:ascii="Arial" w:eastAsiaTheme="minorHAnsi" w:hAnsi="Arial" w:cs="Arial"/>
              </w:rPr>
            </w:pPr>
            <w:r w:rsidRPr="00522BD3">
              <w:rPr>
                <w:rFonts w:ascii="Arial" w:eastAsiaTheme="minorHAnsi" w:hAnsi="Arial" w:cs="Arial"/>
              </w:rPr>
              <w:t>2</w:t>
            </w:r>
          </w:p>
        </w:tc>
      </w:tr>
      <w:tr w:rsidR="008645BE" w:rsidRPr="00F36A0F" w14:paraId="4933A3F3" w14:textId="77777777" w:rsidTr="00DA6CB0">
        <w:trPr>
          <w:cantSplit/>
        </w:trPr>
        <w:tc>
          <w:tcPr>
            <w:tcW w:w="3617" w:type="dxa"/>
            <w:vAlign w:val="bottom"/>
          </w:tcPr>
          <w:p w14:paraId="3D97531C" w14:textId="77777777" w:rsidR="008645BE" w:rsidRPr="00522BD3" w:rsidRDefault="008645BE" w:rsidP="00DA6CB0">
            <w:pPr>
              <w:keepNext/>
              <w:keepLines/>
              <w:spacing w:before="60" w:after="60" w:line="240" w:lineRule="auto"/>
              <w:rPr>
                <w:rFonts w:ascii="Arial" w:eastAsiaTheme="minorHAnsi" w:hAnsi="Arial" w:cs="Arial"/>
              </w:rPr>
            </w:pPr>
            <w:r w:rsidRPr="00522BD3">
              <w:rPr>
                <w:rFonts w:ascii="Arial" w:eastAsiaTheme="minorHAnsi" w:hAnsi="Arial" w:cs="Arial"/>
              </w:rPr>
              <w:t>Other</w:t>
            </w:r>
          </w:p>
        </w:tc>
        <w:tc>
          <w:tcPr>
            <w:tcW w:w="1710" w:type="dxa"/>
            <w:vAlign w:val="bottom"/>
          </w:tcPr>
          <w:p w14:paraId="715C1BDB" w14:textId="77777777" w:rsidR="008645BE" w:rsidRPr="00522BD3" w:rsidRDefault="008645BE" w:rsidP="00DA6CB0">
            <w:pPr>
              <w:keepNext/>
              <w:keepLines/>
              <w:spacing w:before="60" w:after="60" w:line="240" w:lineRule="auto"/>
              <w:ind w:right="433"/>
              <w:jc w:val="right"/>
              <w:rPr>
                <w:rFonts w:ascii="Arial" w:eastAsiaTheme="minorHAnsi" w:hAnsi="Arial" w:cs="Arial"/>
              </w:rPr>
            </w:pPr>
            <w:r w:rsidRPr="00522BD3">
              <w:rPr>
                <w:rFonts w:ascii="Arial" w:eastAsiaTheme="minorHAnsi" w:hAnsi="Arial" w:cs="Arial"/>
              </w:rPr>
              <w:t>4</w:t>
            </w:r>
          </w:p>
        </w:tc>
        <w:tc>
          <w:tcPr>
            <w:tcW w:w="1890" w:type="dxa"/>
            <w:vAlign w:val="bottom"/>
          </w:tcPr>
          <w:p w14:paraId="75A593B8" w14:textId="77777777" w:rsidR="008645BE" w:rsidRPr="00522BD3" w:rsidRDefault="008645BE" w:rsidP="00DA6CB0">
            <w:pPr>
              <w:keepNext/>
              <w:keepLines/>
              <w:spacing w:before="60" w:after="60" w:line="240" w:lineRule="auto"/>
              <w:ind w:right="338"/>
              <w:jc w:val="right"/>
              <w:rPr>
                <w:rFonts w:ascii="Arial" w:eastAsiaTheme="minorHAnsi" w:hAnsi="Arial" w:cs="Arial"/>
              </w:rPr>
            </w:pPr>
            <w:r w:rsidRPr="00522BD3">
              <w:rPr>
                <w:rFonts w:ascii="Arial" w:eastAsiaTheme="minorHAnsi" w:hAnsi="Arial" w:cs="Arial"/>
              </w:rPr>
              <w:t>2</w:t>
            </w:r>
          </w:p>
        </w:tc>
        <w:tc>
          <w:tcPr>
            <w:tcW w:w="1639" w:type="dxa"/>
            <w:vAlign w:val="bottom"/>
          </w:tcPr>
          <w:p w14:paraId="6C210116" w14:textId="77777777" w:rsidR="008645BE" w:rsidRPr="00522BD3" w:rsidRDefault="008645BE" w:rsidP="00DA6CB0">
            <w:pPr>
              <w:keepNext/>
              <w:keepLines/>
              <w:spacing w:before="60" w:after="60" w:line="240" w:lineRule="auto"/>
              <w:ind w:right="276"/>
              <w:jc w:val="right"/>
              <w:rPr>
                <w:rFonts w:ascii="Arial" w:eastAsiaTheme="minorHAnsi" w:hAnsi="Arial" w:cs="Arial"/>
              </w:rPr>
            </w:pPr>
            <w:r w:rsidRPr="00522BD3">
              <w:rPr>
                <w:rFonts w:ascii="Arial" w:eastAsiaTheme="minorHAnsi" w:hAnsi="Arial" w:cs="Arial"/>
              </w:rPr>
              <w:t>8</w:t>
            </w:r>
          </w:p>
        </w:tc>
      </w:tr>
      <w:tr w:rsidR="008645BE" w:rsidRPr="00F36A0F" w14:paraId="7F16F349" w14:textId="77777777" w:rsidTr="00DA6CB0">
        <w:trPr>
          <w:cantSplit/>
        </w:trPr>
        <w:tc>
          <w:tcPr>
            <w:tcW w:w="3617" w:type="dxa"/>
            <w:vAlign w:val="bottom"/>
          </w:tcPr>
          <w:p w14:paraId="5D257DF6" w14:textId="77777777" w:rsidR="008645BE" w:rsidRPr="00522BD3" w:rsidRDefault="008645BE" w:rsidP="00DA6CB0">
            <w:pPr>
              <w:keepNext/>
              <w:keepLines/>
              <w:spacing w:before="60" w:after="60" w:line="240" w:lineRule="auto"/>
              <w:rPr>
                <w:rFonts w:ascii="Arial" w:eastAsiaTheme="minorHAnsi" w:hAnsi="Arial" w:cs="Arial"/>
              </w:rPr>
            </w:pPr>
            <w:r w:rsidRPr="00522BD3">
              <w:rPr>
                <w:rFonts w:ascii="Arial" w:eastAsiaTheme="minorHAnsi" w:hAnsi="Arial" w:cs="Arial"/>
              </w:rPr>
              <w:t>Deceased</w:t>
            </w:r>
          </w:p>
        </w:tc>
        <w:tc>
          <w:tcPr>
            <w:tcW w:w="1710" w:type="dxa"/>
            <w:vAlign w:val="bottom"/>
          </w:tcPr>
          <w:p w14:paraId="025E3AA9" w14:textId="77777777" w:rsidR="008645BE" w:rsidRPr="00522BD3" w:rsidRDefault="008645BE" w:rsidP="00DA6CB0">
            <w:pPr>
              <w:keepNext/>
              <w:keepLines/>
              <w:spacing w:before="60" w:after="60" w:line="240" w:lineRule="auto"/>
              <w:ind w:right="433"/>
              <w:jc w:val="right"/>
              <w:rPr>
                <w:rFonts w:ascii="Arial" w:eastAsiaTheme="minorHAnsi" w:hAnsi="Arial" w:cs="Arial"/>
              </w:rPr>
            </w:pPr>
            <w:r w:rsidRPr="00522BD3">
              <w:rPr>
                <w:rFonts w:ascii="Arial" w:eastAsiaTheme="minorHAnsi" w:hAnsi="Arial" w:cs="Arial"/>
              </w:rPr>
              <w:t>9</w:t>
            </w:r>
          </w:p>
        </w:tc>
        <w:tc>
          <w:tcPr>
            <w:tcW w:w="1890" w:type="dxa"/>
            <w:vAlign w:val="bottom"/>
          </w:tcPr>
          <w:p w14:paraId="73FD1545" w14:textId="77777777" w:rsidR="008645BE" w:rsidRPr="00522BD3" w:rsidRDefault="008645BE" w:rsidP="00DA6CB0">
            <w:pPr>
              <w:keepNext/>
              <w:keepLines/>
              <w:spacing w:before="60" w:after="60" w:line="240" w:lineRule="auto"/>
              <w:ind w:right="338"/>
              <w:jc w:val="right"/>
              <w:rPr>
                <w:rFonts w:ascii="Arial" w:eastAsiaTheme="minorHAnsi" w:hAnsi="Arial" w:cs="Arial"/>
              </w:rPr>
            </w:pPr>
            <w:r w:rsidRPr="00522BD3">
              <w:rPr>
                <w:rFonts w:ascii="Arial" w:eastAsiaTheme="minorHAnsi" w:hAnsi="Arial" w:cs="Arial"/>
              </w:rPr>
              <w:t>7</w:t>
            </w:r>
          </w:p>
        </w:tc>
        <w:tc>
          <w:tcPr>
            <w:tcW w:w="1639" w:type="dxa"/>
            <w:vAlign w:val="bottom"/>
          </w:tcPr>
          <w:p w14:paraId="4F25FAE5" w14:textId="77777777" w:rsidR="008645BE" w:rsidRPr="00522BD3" w:rsidRDefault="008645BE" w:rsidP="00DA6CB0">
            <w:pPr>
              <w:keepNext/>
              <w:keepLines/>
              <w:spacing w:before="60" w:after="60" w:line="240" w:lineRule="auto"/>
              <w:ind w:right="276"/>
              <w:jc w:val="right"/>
              <w:rPr>
                <w:rFonts w:ascii="Arial" w:eastAsiaTheme="minorHAnsi" w:hAnsi="Arial" w:cs="Arial"/>
              </w:rPr>
            </w:pPr>
            <w:r w:rsidRPr="00522BD3">
              <w:rPr>
                <w:rFonts w:ascii="Arial" w:eastAsiaTheme="minorHAnsi" w:hAnsi="Arial" w:cs="Arial"/>
              </w:rPr>
              <w:t>6</w:t>
            </w:r>
          </w:p>
        </w:tc>
      </w:tr>
      <w:tr w:rsidR="008645BE" w:rsidRPr="00F36A0F" w14:paraId="26F81B93" w14:textId="77777777" w:rsidTr="00DA6CB0">
        <w:trPr>
          <w:cantSplit/>
        </w:trPr>
        <w:tc>
          <w:tcPr>
            <w:tcW w:w="3617" w:type="dxa"/>
            <w:vAlign w:val="bottom"/>
          </w:tcPr>
          <w:p w14:paraId="2E803E64" w14:textId="77777777" w:rsidR="008645BE" w:rsidRPr="00522BD3" w:rsidRDefault="008645BE" w:rsidP="00DA6CB0">
            <w:pPr>
              <w:keepNext/>
              <w:keepLines/>
              <w:spacing w:before="60" w:after="60" w:line="240" w:lineRule="auto"/>
              <w:rPr>
                <w:rFonts w:ascii="Arial" w:eastAsiaTheme="minorHAnsi" w:hAnsi="Arial" w:cs="Arial"/>
              </w:rPr>
            </w:pPr>
            <w:r w:rsidRPr="00522BD3">
              <w:rPr>
                <w:rFonts w:ascii="Arial" w:eastAsiaTheme="minorHAnsi" w:hAnsi="Arial" w:cs="Arial"/>
              </w:rPr>
              <w:t>Moved out of project area</w:t>
            </w:r>
          </w:p>
        </w:tc>
        <w:tc>
          <w:tcPr>
            <w:tcW w:w="1710" w:type="dxa"/>
            <w:vAlign w:val="bottom"/>
          </w:tcPr>
          <w:p w14:paraId="08E65A5F" w14:textId="77777777" w:rsidR="008645BE" w:rsidRPr="00522BD3" w:rsidRDefault="008645BE" w:rsidP="00DA6CB0">
            <w:pPr>
              <w:keepNext/>
              <w:keepLines/>
              <w:spacing w:before="60" w:after="60" w:line="240" w:lineRule="auto"/>
              <w:ind w:right="433"/>
              <w:jc w:val="right"/>
              <w:rPr>
                <w:rFonts w:ascii="Arial" w:eastAsiaTheme="minorHAnsi" w:hAnsi="Arial" w:cs="Arial"/>
              </w:rPr>
            </w:pPr>
            <w:r w:rsidRPr="00522BD3">
              <w:rPr>
                <w:rFonts w:ascii="Arial" w:eastAsiaTheme="minorHAnsi" w:hAnsi="Arial" w:cs="Arial"/>
              </w:rPr>
              <w:t>52</w:t>
            </w:r>
          </w:p>
        </w:tc>
        <w:tc>
          <w:tcPr>
            <w:tcW w:w="1890" w:type="dxa"/>
            <w:vAlign w:val="bottom"/>
          </w:tcPr>
          <w:p w14:paraId="0825B267" w14:textId="77777777" w:rsidR="008645BE" w:rsidRPr="00522BD3" w:rsidRDefault="008645BE" w:rsidP="00DA6CB0">
            <w:pPr>
              <w:keepNext/>
              <w:keepLines/>
              <w:spacing w:before="60" w:after="60" w:line="240" w:lineRule="auto"/>
              <w:ind w:right="338"/>
              <w:jc w:val="right"/>
              <w:rPr>
                <w:rFonts w:ascii="Arial" w:eastAsiaTheme="minorHAnsi" w:hAnsi="Arial" w:cs="Arial"/>
              </w:rPr>
            </w:pPr>
            <w:r w:rsidRPr="00522BD3">
              <w:rPr>
                <w:rFonts w:ascii="Arial" w:eastAsiaTheme="minorHAnsi" w:hAnsi="Arial" w:cs="Arial"/>
              </w:rPr>
              <w:t>32</w:t>
            </w:r>
          </w:p>
        </w:tc>
        <w:tc>
          <w:tcPr>
            <w:tcW w:w="1639" w:type="dxa"/>
            <w:vAlign w:val="bottom"/>
          </w:tcPr>
          <w:p w14:paraId="2939BC43" w14:textId="77777777" w:rsidR="008645BE" w:rsidRPr="00522BD3" w:rsidRDefault="008645BE" w:rsidP="00DA6CB0">
            <w:pPr>
              <w:keepNext/>
              <w:keepLines/>
              <w:spacing w:before="60" w:after="60" w:line="240" w:lineRule="auto"/>
              <w:ind w:right="276"/>
              <w:jc w:val="right"/>
              <w:rPr>
                <w:rFonts w:ascii="Arial" w:eastAsiaTheme="minorHAnsi" w:hAnsi="Arial" w:cs="Arial"/>
              </w:rPr>
            </w:pPr>
            <w:r w:rsidRPr="00522BD3">
              <w:rPr>
                <w:rFonts w:ascii="Arial" w:eastAsiaTheme="minorHAnsi" w:hAnsi="Arial" w:cs="Arial"/>
              </w:rPr>
              <w:t>20</w:t>
            </w:r>
          </w:p>
        </w:tc>
      </w:tr>
      <w:tr w:rsidR="008645BE" w:rsidRPr="00F36A0F" w14:paraId="5BEC7851" w14:textId="77777777" w:rsidTr="00DA6CB0">
        <w:trPr>
          <w:cantSplit/>
        </w:trPr>
        <w:tc>
          <w:tcPr>
            <w:tcW w:w="3617" w:type="dxa"/>
            <w:vAlign w:val="bottom"/>
          </w:tcPr>
          <w:p w14:paraId="1746A9F3" w14:textId="77777777" w:rsidR="008645BE" w:rsidRPr="00522BD3" w:rsidRDefault="008645BE" w:rsidP="00DA6CB0">
            <w:pPr>
              <w:keepNext/>
              <w:keepLines/>
              <w:spacing w:before="60" w:after="60" w:line="240" w:lineRule="auto"/>
              <w:rPr>
                <w:rFonts w:ascii="Arial" w:eastAsiaTheme="minorHAnsi" w:hAnsi="Arial" w:cs="Arial"/>
              </w:rPr>
            </w:pPr>
            <w:r w:rsidRPr="00522BD3">
              <w:rPr>
                <w:rFonts w:ascii="Arial" w:eastAsiaTheme="minorHAnsi" w:hAnsi="Arial" w:cs="Arial"/>
              </w:rPr>
              <w:t>Did not complete final risk stratification</w:t>
            </w:r>
          </w:p>
        </w:tc>
        <w:tc>
          <w:tcPr>
            <w:tcW w:w="1710" w:type="dxa"/>
            <w:vAlign w:val="bottom"/>
          </w:tcPr>
          <w:p w14:paraId="0CF29710" w14:textId="77777777" w:rsidR="008645BE" w:rsidRPr="00522BD3" w:rsidRDefault="008645BE" w:rsidP="00DA6CB0">
            <w:pPr>
              <w:keepNext/>
              <w:keepLines/>
              <w:spacing w:before="60" w:after="60" w:line="240" w:lineRule="auto"/>
              <w:ind w:right="433"/>
              <w:jc w:val="right"/>
              <w:rPr>
                <w:rFonts w:ascii="Arial" w:eastAsiaTheme="minorHAnsi" w:hAnsi="Arial" w:cs="Arial"/>
              </w:rPr>
            </w:pPr>
            <w:r w:rsidRPr="00522BD3">
              <w:rPr>
                <w:rFonts w:ascii="Arial" w:eastAsiaTheme="minorHAnsi" w:hAnsi="Arial" w:cs="Arial"/>
              </w:rPr>
              <w:t>31</w:t>
            </w:r>
          </w:p>
        </w:tc>
        <w:tc>
          <w:tcPr>
            <w:tcW w:w="1890" w:type="dxa"/>
            <w:vAlign w:val="bottom"/>
          </w:tcPr>
          <w:p w14:paraId="5199F4BD" w14:textId="77777777" w:rsidR="008645BE" w:rsidRPr="00522BD3" w:rsidRDefault="008645BE" w:rsidP="00DA6CB0">
            <w:pPr>
              <w:keepNext/>
              <w:keepLines/>
              <w:spacing w:before="60" w:after="60" w:line="240" w:lineRule="auto"/>
              <w:ind w:right="338"/>
              <w:jc w:val="right"/>
              <w:rPr>
                <w:rFonts w:ascii="Arial" w:eastAsiaTheme="minorHAnsi" w:hAnsi="Arial" w:cs="Arial"/>
              </w:rPr>
            </w:pPr>
            <w:r w:rsidRPr="00522BD3">
              <w:rPr>
                <w:rFonts w:ascii="Arial" w:eastAsiaTheme="minorHAnsi" w:hAnsi="Arial" w:cs="Arial"/>
              </w:rPr>
              <w:t>45</w:t>
            </w:r>
          </w:p>
        </w:tc>
        <w:tc>
          <w:tcPr>
            <w:tcW w:w="1639" w:type="dxa"/>
            <w:vAlign w:val="bottom"/>
          </w:tcPr>
          <w:p w14:paraId="1A4ECBC8" w14:textId="77777777" w:rsidR="008645BE" w:rsidRPr="00522BD3" w:rsidRDefault="008645BE" w:rsidP="00DA6CB0">
            <w:pPr>
              <w:keepNext/>
              <w:keepLines/>
              <w:spacing w:before="60" w:after="60" w:line="240" w:lineRule="auto"/>
              <w:ind w:right="276"/>
              <w:jc w:val="right"/>
              <w:rPr>
                <w:rFonts w:ascii="Arial" w:eastAsiaTheme="minorHAnsi" w:hAnsi="Arial" w:cs="Arial"/>
              </w:rPr>
            </w:pPr>
            <w:r w:rsidRPr="00522BD3">
              <w:rPr>
                <w:rFonts w:ascii="Arial" w:eastAsiaTheme="minorHAnsi" w:hAnsi="Arial" w:cs="Arial"/>
              </w:rPr>
              <w:t>22</w:t>
            </w:r>
          </w:p>
        </w:tc>
      </w:tr>
      <w:tr w:rsidR="008645BE" w:rsidRPr="00F36A0F" w14:paraId="4F521B17" w14:textId="77777777" w:rsidTr="00DA6CB0">
        <w:trPr>
          <w:cantSplit/>
        </w:trPr>
        <w:tc>
          <w:tcPr>
            <w:tcW w:w="3617" w:type="dxa"/>
            <w:vAlign w:val="bottom"/>
          </w:tcPr>
          <w:p w14:paraId="19D0B244" w14:textId="77777777" w:rsidR="008645BE" w:rsidRPr="00522BD3" w:rsidRDefault="008645BE" w:rsidP="00DA6CB0">
            <w:pPr>
              <w:keepNext/>
              <w:keepLines/>
              <w:spacing w:before="60" w:after="60" w:line="240" w:lineRule="auto"/>
              <w:rPr>
                <w:rFonts w:ascii="Arial" w:eastAsiaTheme="minorHAnsi" w:hAnsi="Arial" w:cs="Arial"/>
              </w:rPr>
            </w:pPr>
            <w:r w:rsidRPr="00522BD3">
              <w:rPr>
                <w:rFonts w:ascii="Arial" w:eastAsiaTheme="minorHAnsi" w:hAnsi="Arial" w:cs="Arial"/>
              </w:rPr>
              <w:t>Practice withdrew from project</w:t>
            </w:r>
          </w:p>
        </w:tc>
        <w:tc>
          <w:tcPr>
            <w:tcW w:w="1710" w:type="dxa"/>
            <w:vAlign w:val="bottom"/>
          </w:tcPr>
          <w:p w14:paraId="76539153" w14:textId="77777777" w:rsidR="008645BE" w:rsidRPr="00522BD3" w:rsidRDefault="008645BE" w:rsidP="00DA6CB0">
            <w:pPr>
              <w:keepNext/>
              <w:keepLines/>
              <w:spacing w:before="60" w:after="60" w:line="240" w:lineRule="auto"/>
              <w:ind w:right="433"/>
              <w:jc w:val="right"/>
              <w:rPr>
                <w:rFonts w:ascii="Arial" w:eastAsiaTheme="minorHAnsi" w:hAnsi="Arial" w:cs="Arial"/>
              </w:rPr>
            </w:pPr>
            <w:r w:rsidRPr="00522BD3">
              <w:rPr>
                <w:rFonts w:ascii="Arial" w:eastAsiaTheme="minorHAnsi" w:hAnsi="Arial" w:cs="Arial"/>
              </w:rPr>
              <w:t>3</w:t>
            </w:r>
          </w:p>
        </w:tc>
        <w:tc>
          <w:tcPr>
            <w:tcW w:w="1890" w:type="dxa"/>
            <w:vAlign w:val="bottom"/>
          </w:tcPr>
          <w:p w14:paraId="7EFB06F3" w14:textId="77777777" w:rsidR="008645BE" w:rsidRPr="00522BD3" w:rsidRDefault="008645BE" w:rsidP="00DA6CB0">
            <w:pPr>
              <w:keepNext/>
              <w:keepLines/>
              <w:spacing w:before="60" w:after="60" w:line="240" w:lineRule="auto"/>
              <w:ind w:right="338"/>
              <w:jc w:val="right"/>
              <w:rPr>
                <w:rFonts w:ascii="Arial" w:eastAsiaTheme="minorHAnsi" w:hAnsi="Arial" w:cs="Arial"/>
              </w:rPr>
            </w:pPr>
            <w:r w:rsidRPr="00522BD3">
              <w:rPr>
                <w:rFonts w:ascii="Arial" w:eastAsiaTheme="minorHAnsi" w:hAnsi="Arial" w:cs="Arial"/>
              </w:rPr>
              <w:t>14</w:t>
            </w:r>
          </w:p>
        </w:tc>
        <w:tc>
          <w:tcPr>
            <w:tcW w:w="1639" w:type="dxa"/>
            <w:vAlign w:val="bottom"/>
          </w:tcPr>
          <w:p w14:paraId="7F468465" w14:textId="77777777" w:rsidR="008645BE" w:rsidRPr="00522BD3" w:rsidRDefault="008645BE" w:rsidP="00DA6CB0">
            <w:pPr>
              <w:keepNext/>
              <w:keepLines/>
              <w:spacing w:before="60" w:after="60" w:line="240" w:lineRule="auto"/>
              <w:ind w:right="276"/>
              <w:jc w:val="right"/>
              <w:rPr>
                <w:rFonts w:ascii="Arial" w:eastAsiaTheme="minorHAnsi" w:hAnsi="Arial" w:cs="Arial"/>
              </w:rPr>
            </w:pPr>
            <w:r w:rsidRPr="00522BD3">
              <w:rPr>
                <w:rFonts w:ascii="Arial" w:eastAsiaTheme="minorHAnsi" w:hAnsi="Arial" w:cs="Arial"/>
              </w:rPr>
              <w:t>41</w:t>
            </w:r>
          </w:p>
        </w:tc>
      </w:tr>
      <w:tr w:rsidR="008645BE" w:rsidRPr="00F36A0F" w14:paraId="26D0CD24" w14:textId="77777777" w:rsidTr="00DA6CB0">
        <w:trPr>
          <w:cantSplit/>
        </w:trPr>
        <w:tc>
          <w:tcPr>
            <w:tcW w:w="3617" w:type="dxa"/>
            <w:vAlign w:val="bottom"/>
          </w:tcPr>
          <w:p w14:paraId="1BE619B3" w14:textId="77777777" w:rsidR="008645BE" w:rsidRPr="00522BD3" w:rsidRDefault="008645BE" w:rsidP="00DA6CB0">
            <w:pPr>
              <w:keepNext/>
              <w:keepLines/>
              <w:spacing w:before="60" w:after="60" w:line="240" w:lineRule="auto"/>
              <w:rPr>
                <w:rFonts w:ascii="Arial" w:eastAsiaTheme="minorHAnsi" w:hAnsi="Arial" w:cs="Arial"/>
                <w:b/>
              </w:rPr>
            </w:pPr>
            <w:r w:rsidRPr="00522BD3">
              <w:rPr>
                <w:rFonts w:ascii="Arial" w:eastAsiaTheme="minorHAnsi" w:hAnsi="Arial" w:cs="Arial"/>
                <w:b/>
              </w:rPr>
              <w:t>Total</w:t>
            </w:r>
          </w:p>
        </w:tc>
        <w:tc>
          <w:tcPr>
            <w:tcW w:w="1710" w:type="dxa"/>
            <w:vAlign w:val="bottom"/>
          </w:tcPr>
          <w:p w14:paraId="6574A16C" w14:textId="77777777" w:rsidR="008645BE" w:rsidRPr="00522BD3" w:rsidRDefault="008645BE" w:rsidP="00DA6CB0">
            <w:pPr>
              <w:keepNext/>
              <w:keepLines/>
              <w:spacing w:before="60" w:after="60" w:line="240" w:lineRule="auto"/>
              <w:ind w:right="433"/>
              <w:jc w:val="right"/>
              <w:rPr>
                <w:rFonts w:ascii="Arial" w:eastAsiaTheme="minorHAnsi" w:hAnsi="Arial" w:cs="Arial"/>
                <w:b/>
              </w:rPr>
            </w:pPr>
            <w:r w:rsidRPr="00522BD3">
              <w:rPr>
                <w:rFonts w:ascii="Arial" w:eastAsiaTheme="minorHAnsi" w:hAnsi="Arial" w:cs="Arial"/>
                <w:b/>
              </w:rPr>
              <w:t>100</w:t>
            </w:r>
          </w:p>
        </w:tc>
        <w:tc>
          <w:tcPr>
            <w:tcW w:w="1890" w:type="dxa"/>
            <w:vAlign w:val="bottom"/>
          </w:tcPr>
          <w:p w14:paraId="46618B51" w14:textId="77777777" w:rsidR="008645BE" w:rsidRPr="00522BD3" w:rsidRDefault="008645BE" w:rsidP="00DA6CB0">
            <w:pPr>
              <w:keepNext/>
              <w:keepLines/>
              <w:spacing w:before="60" w:after="60" w:line="240" w:lineRule="auto"/>
              <w:ind w:right="338"/>
              <w:jc w:val="right"/>
              <w:rPr>
                <w:rFonts w:ascii="Arial" w:eastAsiaTheme="minorHAnsi" w:hAnsi="Arial" w:cs="Arial"/>
                <w:b/>
              </w:rPr>
            </w:pPr>
            <w:r w:rsidRPr="00522BD3">
              <w:rPr>
                <w:rFonts w:ascii="Arial" w:eastAsiaTheme="minorHAnsi" w:hAnsi="Arial" w:cs="Arial"/>
                <w:b/>
              </w:rPr>
              <w:t>100</w:t>
            </w:r>
          </w:p>
        </w:tc>
        <w:tc>
          <w:tcPr>
            <w:tcW w:w="1639" w:type="dxa"/>
            <w:vAlign w:val="bottom"/>
          </w:tcPr>
          <w:p w14:paraId="272A8F86" w14:textId="77777777" w:rsidR="008645BE" w:rsidRPr="00522BD3" w:rsidRDefault="008645BE" w:rsidP="00DA6CB0">
            <w:pPr>
              <w:keepNext/>
              <w:keepLines/>
              <w:spacing w:before="60" w:after="60" w:line="240" w:lineRule="auto"/>
              <w:ind w:right="276"/>
              <w:jc w:val="right"/>
              <w:rPr>
                <w:rFonts w:ascii="Arial" w:eastAsiaTheme="minorHAnsi" w:hAnsi="Arial" w:cs="Arial"/>
                <w:b/>
              </w:rPr>
            </w:pPr>
            <w:r w:rsidRPr="00522BD3">
              <w:rPr>
                <w:rFonts w:ascii="Arial" w:eastAsiaTheme="minorHAnsi" w:hAnsi="Arial" w:cs="Arial"/>
                <w:b/>
              </w:rPr>
              <w:t>100</w:t>
            </w:r>
          </w:p>
        </w:tc>
      </w:tr>
    </w:tbl>
    <w:p w14:paraId="36BF4D0A" w14:textId="77777777" w:rsidR="009B20D8" w:rsidRPr="00F36A0F" w:rsidRDefault="009B20D8" w:rsidP="009B20D8">
      <w:pPr>
        <w:rPr>
          <w:rFonts w:eastAsiaTheme="minorHAnsi"/>
        </w:rPr>
      </w:pPr>
      <w:r w:rsidRPr="00F36A0F">
        <w:rPr>
          <w:rFonts w:eastAsiaTheme="minorHAnsi"/>
        </w:rPr>
        <w:t xml:space="preserve">The DCP cohort was broadly consistent with the national population </w:t>
      </w:r>
      <w:r>
        <w:rPr>
          <w:rFonts w:eastAsiaTheme="minorHAnsi"/>
        </w:rPr>
        <w:t xml:space="preserve">of </w:t>
      </w:r>
      <w:r w:rsidRPr="00F36A0F">
        <w:rPr>
          <w:rFonts w:eastAsiaTheme="minorHAnsi"/>
        </w:rPr>
        <w:t xml:space="preserve">people with diabetes in terms of gender and employment status, although </w:t>
      </w:r>
      <w:r>
        <w:rPr>
          <w:rFonts w:eastAsiaTheme="minorHAnsi"/>
        </w:rPr>
        <w:t xml:space="preserve">they were </w:t>
      </w:r>
      <w:r w:rsidRPr="00F36A0F">
        <w:rPr>
          <w:rFonts w:eastAsiaTheme="minorHAnsi"/>
        </w:rPr>
        <w:t xml:space="preserve">slightly older and </w:t>
      </w:r>
      <w:r>
        <w:rPr>
          <w:rFonts w:eastAsiaTheme="minorHAnsi"/>
        </w:rPr>
        <w:t xml:space="preserve">there were </w:t>
      </w:r>
      <w:r w:rsidRPr="00F36A0F">
        <w:rPr>
          <w:rFonts w:eastAsiaTheme="minorHAnsi"/>
        </w:rPr>
        <w:t xml:space="preserve">fewer people of Asian descent (Figure </w:t>
      </w:r>
      <w:r>
        <w:rPr>
          <w:rFonts w:eastAsiaTheme="minorHAnsi"/>
        </w:rPr>
        <w:t>15</w:t>
      </w:r>
      <w:r w:rsidRPr="00F36A0F">
        <w:rPr>
          <w:rFonts w:eastAsiaTheme="minorHAnsi"/>
        </w:rPr>
        <w:t>). The DCP</w:t>
      </w:r>
      <w:r>
        <w:rPr>
          <w:rFonts w:eastAsiaTheme="minorHAnsi"/>
        </w:rPr>
        <w:t xml:space="preserve"> also</w:t>
      </w:r>
      <w:r w:rsidRPr="00F36A0F">
        <w:rPr>
          <w:rFonts w:eastAsiaTheme="minorHAnsi"/>
        </w:rPr>
        <w:t xml:space="preserve"> attracted a higher-risk population according to the trial's risk stratification framework (Figure </w:t>
      </w:r>
      <w:r>
        <w:rPr>
          <w:rFonts w:eastAsiaTheme="minorHAnsi"/>
        </w:rPr>
        <w:t>16</w:t>
      </w:r>
      <w:r w:rsidRPr="00F36A0F">
        <w:rPr>
          <w:rFonts w:eastAsiaTheme="minorHAnsi"/>
        </w:rPr>
        <w:t xml:space="preserve">). There were minimal differences in measured clinical characteristics at baseline between participants across the trial arms (see Appendix 1), although participants in </w:t>
      </w:r>
      <w:r>
        <w:rPr>
          <w:rFonts w:eastAsiaTheme="minorHAnsi"/>
        </w:rPr>
        <w:t xml:space="preserve">the </w:t>
      </w:r>
      <w:r w:rsidRPr="00F36A0F">
        <w:rPr>
          <w:rFonts w:eastAsiaTheme="minorHAnsi"/>
        </w:rPr>
        <w:t>Control Group had lower reported diabetes</w:t>
      </w:r>
      <w:r>
        <w:rPr>
          <w:rFonts w:eastAsiaTheme="minorHAnsi"/>
        </w:rPr>
        <w:t>-</w:t>
      </w:r>
      <w:r w:rsidRPr="00F36A0F">
        <w:rPr>
          <w:rFonts w:eastAsiaTheme="minorHAnsi"/>
        </w:rPr>
        <w:t xml:space="preserve">related stress than </w:t>
      </w:r>
      <w:r>
        <w:rPr>
          <w:rFonts w:eastAsiaTheme="minorHAnsi"/>
        </w:rPr>
        <w:t xml:space="preserve">participants in </w:t>
      </w:r>
      <w:r w:rsidRPr="00F36A0F">
        <w:rPr>
          <w:rFonts w:eastAsiaTheme="minorHAnsi"/>
        </w:rPr>
        <w:t xml:space="preserve">Groups 1 and 2. </w:t>
      </w:r>
      <w:r>
        <w:rPr>
          <w:rFonts w:eastAsiaTheme="minorHAnsi"/>
        </w:rPr>
        <w:t xml:space="preserve">Other </w:t>
      </w:r>
      <w:r w:rsidRPr="00F36A0F">
        <w:rPr>
          <w:rFonts w:eastAsiaTheme="minorHAnsi"/>
        </w:rPr>
        <w:t xml:space="preserve">substantial differences in baseline characteristics that were statistically significant </w:t>
      </w:r>
      <w:r>
        <w:rPr>
          <w:rFonts w:eastAsiaTheme="minorHAnsi"/>
        </w:rPr>
        <w:t xml:space="preserve">are outlined below </w:t>
      </w:r>
      <w:r w:rsidRPr="00F36A0F">
        <w:rPr>
          <w:rFonts w:eastAsiaTheme="minorHAnsi"/>
        </w:rPr>
        <w:t>(full list in Appendix 1):</w:t>
      </w:r>
    </w:p>
    <w:p w14:paraId="63FB540B" w14:textId="77777777" w:rsidR="009B20D8" w:rsidRPr="00F36A0F" w:rsidRDefault="009B20D8" w:rsidP="009B20D8">
      <w:pPr>
        <w:pStyle w:val="01squarebullet"/>
        <w:rPr>
          <w:rFonts w:eastAsiaTheme="minorHAnsi"/>
        </w:rPr>
      </w:pPr>
      <w:r w:rsidRPr="00F36A0F">
        <w:rPr>
          <w:rFonts w:eastAsiaTheme="minorHAnsi"/>
          <w:b/>
        </w:rPr>
        <w:t>Co-morbidities</w:t>
      </w:r>
      <w:r w:rsidRPr="00F36A0F">
        <w:rPr>
          <w:rFonts w:eastAsiaTheme="minorHAnsi"/>
        </w:rPr>
        <w:t xml:space="preserve">. Group 2 self-reported higher rates of asthma, arthritis, mental health issues, and coronary heart disease than </w:t>
      </w:r>
      <w:r>
        <w:rPr>
          <w:rFonts w:eastAsiaTheme="minorHAnsi"/>
        </w:rPr>
        <w:t xml:space="preserve">the </w:t>
      </w:r>
      <w:r w:rsidRPr="00F36A0F">
        <w:rPr>
          <w:rFonts w:eastAsiaTheme="minorHAnsi"/>
        </w:rPr>
        <w:t xml:space="preserve">Control </w:t>
      </w:r>
      <w:r>
        <w:rPr>
          <w:rFonts w:eastAsiaTheme="minorHAnsi"/>
        </w:rPr>
        <w:t xml:space="preserve">Group </w:t>
      </w:r>
      <w:r w:rsidRPr="00F36A0F">
        <w:rPr>
          <w:rFonts w:eastAsiaTheme="minorHAnsi"/>
        </w:rPr>
        <w:t>and Group 1</w:t>
      </w:r>
      <w:r>
        <w:rPr>
          <w:rFonts w:eastAsiaTheme="minorHAnsi"/>
        </w:rPr>
        <w:t>.</w:t>
      </w:r>
    </w:p>
    <w:p w14:paraId="3BD41AEA" w14:textId="77777777" w:rsidR="009B20D8" w:rsidRPr="00F36A0F" w:rsidRDefault="009B20D8" w:rsidP="009B20D8">
      <w:pPr>
        <w:pStyle w:val="01squarebullet"/>
        <w:rPr>
          <w:rFonts w:eastAsiaTheme="minorHAnsi"/>
        </w:rPr>
      </w:pPr>
      <w:r w:rsidRPr="00F36A0F">
        <w:rPr>
          <w:rFonts w:eastAsiaTheme="minorHAnsi"/>
          <w:b/>
        </w:rPr>
        <w:t>Patient experience</w:t>
      </w:r>
      <w:r w:rsidRPr="00F36A0F">
        <w:rPr>
          <w:rFonts w:eastAsiaTheme="minorHAnsi"/>
        </w:rPr>
        <w:t>.</w:t>
      </w:r>
      <w:r>
        <w:rPr>
          <w:rFonts w:eastAsiaTheme="minorHAnsi"/>
        </w:rPr>
        <w:t xml:space="preserve"> The</w:t>
      </w:r>
      <w:r w:rsidRPr="00F36A0F">
        <w:rPr>
          <w:rFonts w:eastAsiaTheme="minorHAnsi"/>
        </w:rPr>
        <w:t xml:space="preserve"> Control</w:t>
      </w:r>
      <w:r>
        <w:rPr>
          <w:rFonts w:eastAsiaTheme="minorHAnsi"/>
        </w:rPr>
        <w:t xml:space="preserve"> Group</w:t>
      </w:r>
      <w:r w:rsidRPr="00F36A0F">
        <w:rPr>
          <w:rFonts w:eastAsiaTheme="minorHAnsi"/>
        </w:rPr>
        <w:t xml:space="preserve"> and Group 1 had higher self-management scores than Group 2</w:t>
      </w:r>
      <w:r>
        <w:rPr>
          <w:rFonts w:eastAsiaTheme="minorHAnsi"/>
        </w:rPr>
        <w:t>.</w:t>
      </w:r>
    </w:p>
    <w:p w14:paraId="53195295" w14:textId="77777777" w:rsidR="009B20D8" w:rsidRPr="00F36A0F" w:rsidRDefault="009B20D8" w:rsidP="009B20D8">
      <w:pPr>
        <w:pStyle w:val="01squarebullet"/>
        <w:rPr>
          <w:rFonts w:eastAsiaTheme="minorHAnsi"/>
        </w:rPr>
      </w:pPr>
      <w:r w:rsidRPr="00F36A0F">
        <w:rPr>
          <w:rFonts w:eastAsiaTheme="minorHAnsi"/>
          <w:b/>
        </w:rPr>
        <w:t>English language and ethnicity</w:t>
      </w:r>
      <w:r w:rsidRPr="00F36A0F">
        <w:rPr>
          <w:rFonts w:eastAsiaTheme="minorHAnsi"/>
        </w:rPr>
        <w:t xml:space="preserve">. </w:t>
      </w:r>
      <w:r>
        <w:rPr>
          <w:rFonts w:eastAsiaTheme="minorHAnsi"/>
        </w:rPr>
        <w:t>The Control G</w:t>
      </w:r>
      <w:r w:rsidRPr="00F36A0F">
        <w:rPr>
          <w:rFonts w:eastAsiaTheme="minorHAnsi"/>
        </w:rPr>
        <w:t xml:space="preserve">roup had more people </w:t>
      </w:r>
      <w:r>
        <w:rPr>
          <w:rFonts w:eastAsiaTheme="minorHAnsi"/>
        </w:rPr>
        <w:t>who spoke English very well (80 percent</w:t>
      </w:r>
      <w:r w:rsidRPr="00F36A0F">
        <w:rPr>
          <w:rFonts w:eastAsiaTheme="minorHAnsi"/>
        </w:rPr>
        <w:t>) than Group 1</w:t>
      </w:r>
      <w:r>
        <w:rPr>
          <w:rFonts w:eastAsiaTheme="minorHAnsi"/>
        </w:rPr>
        <w:t xml:space="preserve"> (75 percent) and Group 2 (</w:t>
      </w:r>
      <w:r w:rsidRPr="00F36A0F">
        <w:rPr>
          <w:rFonts w:eastAsiaTheme="minorHAnsi"/>
        </w:rPr>
        <w:t>76</w:t>
      </w:r>
      <w:r>
        <w:rPr>
          <w:rFonts w:eastAsiaTheme="minorHAnsi"/>
        </w:rPr>
        <w:t xml:space="preserve"> percent</w:t>
      </w:r>
      <w:r w:rsidRPr="00F36A0F">
        <w:rPr>
          <w:rFonts w:eastAsiaTheme="minorHAnsi"/>
        </w:rPr>
        <w:t>), and more people who identified as Anglo-Celtic (63</w:t>
      </w:r>
      <w:r>
        <w:rPr>
          <w:rFonts w:eastAsiaTheme="minorHAnsi"/>
        </w:rPr>
        <w:t xml:space="preserve"> percent</w:t>
      </w:r>
      <w:r w:rsidRPr="00F36A0F">
        <w:rPr>
          <w:rFonts w:eastAsiaTheme="minorHAnsi"/>
        </w:rPr>
        <w:t>) than Group 1 (57</w:t>
      </w:r>
      <w:r>
        <w:rPr>
          <w:rFonts w:eastAsiaTheme="minorHAnsi"/>
        </w:rPr>
        <w:t xml:space="preserve"> percent</w:t>
      </w:r>
      <w:r w:rsidRPr="00F36A0F">
        <w:rPr>
          <w:rFonts w:eastAsiaTheme="minorHAnsi"/>
        </w:rPr>
        <w:t>)</w:t>
      </w:r>
      <w:r>
        <w:rPr>
          <w:rFonts w:eastAsiaTheme="minorHAnsi"/>
        </w:rPr>
        <w:t>.</w:t>
      </w:r>
    </w:p>
    <w:p w14:paraId="0D81F43A" w14:textId="77777777" w:rsidR="009B20D8" w:rsidRPr="00F36A0F" w:rsidRDefault="009B20D8" w:rsidP="009B20D8">
      <w:pPr>
        <w:pStyle w:val="01squarebullet"/>
        <w:rPr>
          <w:rFonts w:eastAsiaTheme="minorHAnsi"/>
        </w:rPr>
      </w:pPr>
      <w:r w:rsidRPr="00F36A0F">
        <w:rPr>
          <w:rFonts w:eastAsiaTheme="minorHAnsi"/>
          <w:b/>
        </w:rPr>
        <w:t>Private health insurance</w:t>
      </w:r>
      <w:r w:rsidRPr="00F36A0F">
        <w:rPr>
          <w:rFonts w:eastAsiaTheme="minorHAnsi"/>
        </w:rPr>
        <w:t>. Group 2 had more people with private health insurance (52</w:t>
      </w:r>
      <w:r>
        <w:rPr>
          <w:rFonts w:eastAsiaTheme="minorHAnsi"/>
        </w:rPr>
        <w:t> percent</w:t>
      </w:r>
      <w:r w:rsidRPr="00F36A0F">
        <w:rPr>
          <w:rFonts w:eastAsiaTheme="minorHAnsi"/>
        </w:rPr>
        <w:t xml:space="preserve">) than </w:t>
      </w:r>
      <w:r>
        <w:rPr>
          <w:rFonts w:eastAsiaTheme="minorHAnsi"/>
        </w:rPr>
        <w:t>the Control Group (48 percent) and Group 1 (44 percent).</w:t>
      </w:r>
    </w:p>
    <w:p w14:paraId="4D82FD3B" w14:textId="77777777" w:rsidR="009B20D8" w:rsidRPr="00F36A0F" w:rsidRDefault="009B20D8" w:rsidP="009B20D8">
      <w:pPr>
        <w:pStyle w:val="01squarebullet"/>
        <w:rPr>
          <w:rFonts w:eastAsiaTheme="minorHAnsi"/>
        </w:rPr>
      </w:pPr>
      <w:r w:rsidRPr="00F36A0F">
        <w:rPr>
          <w:rFonts w:eastAsiaTheme="minorHAnsi"/>
          <w:b/>
        </w:rPr>
        <w:t>Risk stratification</w:t>
      </w:r>
      <w:r w:rsidRPr="00F36A0F">
        <w:rPr>
          <w:rFonts w:eastAsiaTheme="minorHAnsi"/>
        </w:rPr>
        <w:t xml:space="preserve">. </w:t>
      </w:r>
      <w:r>
        <w:rPr>
          <w:rFonts w:eastAsiaTheme="minorHAnsi"/>
        </w:rPr>
        <w:t xml:space="preserve">The </w:t>
      </w:r>
      <w:r w:rsidRPr="00F36A0F">
        <w:rPr>
          <w:rFonts w:eastAsiaTheme="minorHAnsi"/>
        </w:rPr>
        <w:t>Con</w:t>
      </w:r>
      <w:r>
        <w:rPr>
          <w:rFonts w:eastAsiaTheme="minorHAnsi"/>
        </w:rPr>
        <w:t>trol G</w:t>
      </w:r>
      <w:r w:rsidRPr="00F36A0F">
        <w:rPr>
          <w:rFonts w:eastAsiaTheme="minorHAnsi"/>
        </w:rPr>
        <w:t xml:space="preserve">roup had </w:t>
      </w:r>
      <w:r>
        <w:rPr>
          <w:rFonts w:eastAsiaTheme="minorHAnsi"/>
        </w:rPr>
        <w:t>more people in the ‘out-of-range and complex’</w:t>
      </w:r>
      <w:r w:rsidRPr="00F36A0F">
        <w:rPr>
          <w:rFonts w:eastAsiaTheme="minorHAnsi"/>
        </w:rPr>
        <w:t xml:space="preserve"> risk stratification group (37</w:t>
      </w:r>
      <w:r>
        <w:rPr>
          <w:rFonts w:eastAsiaTheme="minorHAnsi"/>
        </w:rPr>
        <w:t xml:space="preserve"> percent) than Group</w:t>
      </w:r>
      <w:r w:rsidRPr="00F36A0F">
        <w:rPr>
          <w:rFonts w:eastAsiaTheme="minorHAnsi"/>
        </w:rPr>
        <w:t xml:space="preserve"> 1 </w:t>
      </w:r>
      <w:r>
        <w:rPr>
          <w:rFonts w:eastAsiaTheme="minorHAnsi"/>
        </w:rPr>
        <w:t xml:space="preserve">(31 percent) </w:t>
      </w:r>
      <w:r w:rsidRPr="00F36A0F">
        <w:rPr>
          <w:rFonts w:eastAsiaTheme="minorHAnsi"/>
        </w:rPr>
        <w:t xml:space="preserve">and </w:t>
      </w:r>
      <w:r>
        <w:rPr>
          <w:rFonts w:eastAsiaTheme="minorHAnsi"/>
        </w:rPr>
        <w:t>Group 2 (</w:t>
      </w:r>
      <w:r w:rsidRPr="00F36A0F">
        <w:rPr>
          <w:rFonts w:eastAsiaTheme="minorHAnsi"/>
        </w:rPr>
        <w:t>33</w:t>
      </w:r>
      <w:r>
        <w:rPr>
          <w:rFonts w:eastAsiaTheme="minorHAnsi"/>
        </w:rPr>
        <w:t xml:space="preserve"> percent</w:t>
      </w:r>
      <w:r w:rsidRPr="00F36A0F">
        <w:rPr>
          <w:rFonts w:eastAsiaTheme="minorHAnsi"/>
        </w:rPr>
        <w:t>)</w:t>
      </w:r>
      <w:r>
        <w:rPr>
          <w:rFonts w:eastAsiaTheme="minorHAnsi"/>
        </w:rPr>
        <w:t>.</w:t>
      </w:r>
    </w:p>
    <w:p w14:paraId="3539A80F" w14:textId="77777777" w:rsidR="009B20D8" w:rsidRPr="00F36A0F" w:rsidRDefault="009B20D8" w:rsidP="009B20D8">
      <w:pPr>
        <w:pStyle w:val="01squarebullet"/>
        <w:rPr>
          <w:rFonts w:eastAsiaTheme="minorHAnsi"/>
        </w:rPr>
      </w:pPr>
      <w:r w:rsidRPr="00F36A0F">
        <w:rPr>
          <w:rFonts w:eastAsiaTheme="minorHAnsi"/>
          <w:b/>
        </w:rPr>
        <w:t>Type of diabetes</w:t>
      </w:r>
      <w:r w:rsidRPr="00F36A0F">
        <w:rPr>
          <w:rFonts w:eastAsiaTheme="minorHAnsi"/>
        </w:rPr>
        <w:t xml:space="preserve">. </w:t>
      </w:r>
      <w:r>
        <w:rPr>
          <w:rFonts w:eastAsiaTheme="minorHAnsi"/>
        </w:rPr>
        <w:t>More</w:t>
      </w:r>
      <w:r w:rsidRPr="00F36A0F">
        <w:rPr>
          <w:rFonts w:eastAsiaTheme="minorHAnsi"/>
        </w:rPr>
        <w:t xml:space="preserve"> </w:t>
      </w:r>
      <w:r>
        <w:rPr>
          <w:rFonts w:eastAsiaTheme="minorHAnsi"/>
        </w:rPr>
        <w:t>Control Group participants had</w:t>
      </w:r>
      <w:r w:rsidRPr="00F36A0F">
        <w:rPr>
          <w:rFonts w:eastAsiaTheme="minorHAnsi"/>
        </w:rPr>
        <w:t xml:space="preserve"> </w:t>
      </w:r>
      <w:r>
        <w:rPr>
          <w:rFonts w:eastAsiaTheme="minorHAnsi"/>
        </w:rPr>
        <w:t>t</w:t>
      </w:r>
      <w:r w:rsidRPr="00F36A0F">
        <w:rPr>
          <w:rFonts w:eastAsiaTheme="minorHAnsi"/>
        </w:rPr>
        <w:t>ype</w:t>
      </w:r>
      <w:r>
        <w:rPr>
          <w:rFonts w:eastAsiaTheme="minorHAnsi"/>
        </w:rPr>
        <w:t xml:space="preserve"> 1 diabetes (seven percent), compared to </w:t>
      </w:r>
      <w:r w:rsidRPr="00F36A0F">
        <w:rPr>
          <w:rFonts w:eastAsiaTheme="minorHAnsi"/>
        </w:rPr>
        <w:t>Groups 1 and 2</w:t>
      </w:r>
      <w:r>
        <w:rPr>
          <w:rFonts w:eastAsiaTheme="minorHAnsi"/>
        </w:rPr>
        <w:t xml:space="preserve"> (six percent).</w:t>
      </w:r>
    </w:p>
    <w:p w14:paraId="7FF1294D" w14:textId="77777777" w:rsidR="00DD08C4" w:rsidRDefault="00DD08C4">
      <w:pPr>
        <w:pStyle w:val="60exhnormal"/>
        <w:keepNext/>
        <w:rPr>
          <w:caps w:val="0"/>
        </w:rPr>
      </w:pPr>
      <w:r w:rsidRPr="00731926">
        <w:rPr>
          <w:caps w:val="0"/>
        </w:rPr>
        <w:lastRenderedPageBreak/>
        <w:t xml:space="preserve">FIGURE 15 </w:t>
      </w:r>
      <w:r w:rsidR="005B20CC">
        <w:rPr>
          <w:caps w:val="0"/>
        </w:rPr>
        <w:fldChar w:fldCharType="begin" w:fldLock="1"/>
      </w:r>
      <w:r w:rsidR="00113335">
        <w:rPr>
          <w:caps w:val="0"/>
        </w:rPr>
        <w:instrText>ADDIN CSL_CITATION { "citationItems" : [ { "id" : "ITEM-1", "itemData" : { "abstract" : "Key Findings", "author" : [ { "dropping-particle" : "", "family" : "Australian Bureau of Statistics", "given" : "", "non-dropping-particle" : "", "parse-names" : false, "suffix" : "" } ], "id" : "ITEM-1", "issued" : { "date-parts" : [ [ "2012" ] ] }, "publisher" : "Australian Bureau of Statistics", "publisher-place" : "Canberra", "title" : "Australian Health Survey: updated results, 2011\u201312. ABS cat. no. 4364.0.55.003.", "type" : "report" }, "uris" : [ "http://www.mendeley.com/documents/?uuid=88d14e68-15fc-4d51-aff4-33956d607ff2" ] } ], "mendeley" : { "previouslyFormattedCitation" : "&lt;sup&gt;1&lt;/sup&gt;" }, "properties" : { "noteIndex" : 0 }, "schema" : "https://github.com/citation-style-language/schema/raw/master/csl-citation.json" }</w:instrText>
      </w:r>
      <w:r w:rsidR="005B20CC">
        <w:rPr>
          <w:caps w:val="0"/>
        </w:rPr>
        <w:fldChar w:fldCharType="separate"/>
      </w:r>
      <w:r w:rsidR="00113335" w:rsidRPr="00113335">
        <w:rPr>
          <w:caps w:val="0"/>
          <w:noProof/>
          <w:vertAlign w:val="superscript"/>
        </w:rPr>
        <w:t>1</w:t>
      </w:r>
      <w:r w:rsidR="005B20CC">
        <w:rPr>
          <w:caps w:val="0"/>
        </w:rPr>
        <w:fldChar w:fldCharType="end"/>
      </w:r>
    </w:p>
    <w:p w14:paraId="61CA77B7" w14:textId="77777777" w:rsidR="002F75C5" w:rsidRPr="00731926" w:rsidRDefault="002F75C5" w:rsidP="002F75C5">
      <w:pPr>
        <w:pStyle w:val="60exhnormal"/>
        <w:keepNext/>
        <w:jc w:val="center"/>
        <w:rPr>
          <w:caps w:val="0"/>
        </w:rPr>
      </w:pPr>
      <w:r>
        <w:rPr>
          <w:noProof/>
          <w:lang w:eastAsia="en-AU"/>
        </w:rPr>
        <w:drawing>
          <wp:inline distT="0" distB="0" distL="0" distR="0" wp14:anchorId="0E3C6585" wp14:editId="68B72DD3">
            <wp:extent cx="4906645" cy="3679825"/>
            <wp:effectExtent l="0" t="0" r="8255" b="0"/>
            <wp:docPr id="302" name="Picture 302" descr="Figure 15 contains 4 column charts comparing the Demographics of enrolled participants compared to Australia overall. The DCP cohort was broadly consistent with the national population of people with diabetes in terms of gender and employment status, although DCP participants were slightly older and there were fewer people of Asian descent. For example, 52.1 percent of Australians with diabetes are over the age of 65, compared with 60.7 percent of the DCP cohort. Similarly, 16.2 percent of Australians with diabetes are Asian, compared with only 5.2 percent of the DCP coh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2F5F945A" w14:textId="77777777" w:rsidR="005B20CC" w:rsidRDefault="005B20CC">
      <w:pPr>
        <w:pStyle w:val="60exhnormal"/>
        <w:keepNext/>
      </w:pPr>
      <w:r>
        <w:t>FIGURE 16</w:t>
      </w:r>
    </w:p>
    <w:p w14:paraId="00CB179E" w14:textId="77777777" w:rsidR="002F75C5" w:rsidRDefault="002F75C5" w:rsidP="002F75C5">
      <w:pPr>
        <w:pStyle w:val="60exhnormal"/>
        <w:keepNext/>
        <w:jc w:val="center"/>
      </w:pPr>
      <w:r>
        <w:rPr>
          <w:noProof/>
          <w:lang w:eastAsia="en-AU"/>
        </w:rPr>
        <w:drawing>
          <wp:inline distT="0" distB="0" distL="0" distR="0" wp14:anchorId="7074758D" wp14:editId="04BFF512">
            <wp:extent cx="4906645" cy="3679825"/>
            <wp:effectExtent l="0" t="0" r="8255" b="0"/>
            <wp:docPr id="304" name="Picture 304" descr="Figure 16 is a stacked column chart showing the risk distribution across cohort groups, and compared to Australian population. The DCP attracted a higher-risk cohort when compared with the Australian population. Only 26 percent of Australians with diabetes are categorised as out of range and complex, compared with 37 percent of the Control Group, 31 percent of Group 1 and 33 percent of Group 2. Similarly, only 19 percent of Australians with diabetes are categorised as within range but complex, compared with 24 percent of the Control Group, 29 percent of Group 1 and 25 percent of Grou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0A55B07D" w14:textId="77777777" w:rsidR="000E4E27" w:rsidRDefault="000E4E27" w:rsidP="00731926">
      <w:pPr>
        <w:rPr>
          <w:rFonts w:eastAsiaTheme="minorHAnsi"/>
        </w:rPr>
      </w:pPr>
      <w:r>
        <w:rPr>
          <w:rFonts w:eastAsiaTheme="minorHAnsi"/>
        </w:rPr>
        <w:lastRenderedPageBreak/>
        <w:t>Interviews and focus groups were conducted in the latter half of the trial period with 39 patient participants in Groups 1 and 2.</w:t>
      </w:r>
    </w:p>
    <w:p w14:paraId="146065B5" w14:textId="77777777" w:rsidR="008645BE" w:rsidRPr="00F36A0F" w:rsidRDefault="008645BE" w:rsidP="008645BE">
      <w:pPr>
        <w:pStyle w:val="20major"/>
        <w:rPr>
          <w:rFonts w:eastAsiaTheme="minorHAnsi"/>
        </w:rPr>
      </w:pPr>
      <w:bookmarkStart w:id="12" w:name="_Toc419905887"/>
      <w:r w:rsidRPr="00F36A0F">
        <w:rPr>
          <w:rFonts w:eastAsiaTheme="minorHAnsi"/>
        </w:rPr>
        <w:t xml:space="preserve">3.2 </w:t>
      </w:r>
      <w:r w:rsidR="00511B7D">
        <w:rPr>
          <w:rFonts w:eastAsiaTheme="minorHAnsi"/>
        </w:rPr>
        <w:t>R</w:t>
      </w:r>
      <w:r w:rsidR="00511B7D" w:rsidRPr="00F36A0F">
        <w:rPr>
          <w:rFonts w:eastAsiaTheme="minorHAnsi"/>
        </w:rPr>
        <w:t>esults</w:t>
      </w:r>
      <w:bookmarkEnd w:id="12"/>
      <w:r w:rsidR="00511B7D">
        <w:rPr>
          <w:rFonts w:eastAsiaTheme="minorHAnsi"/>
        </w:rPr>
        <w:t xml:space="preserve"> </w:t>
      </w:r>
    </w:p>
    <w:p w14:paraId="512A9BDE" w14:textId="77777777" w:rsidR="008645BE" w:rsidRPr="00F36A0F" w:rsidRDefault="008645BE" w:rsidP="008645BE">
      <w:pPr>
        <w:rPr>
          <w:rFonts w:eastAsiaTheme="minorHAnsi"/>
        </w:rPr>
      </w:pPr>
      <w:r w:rsidRPr="00F36A0F">
        <w:rPr>
          <w:rFonts w:eastAsiaTheme="minorHAnsi"/>
        </w:rPr>
        <w:t>This section describes the results of the DCP:</w:t>
      </w:r>
    </w:p>
    <w:p w14:paraId="6AAA844D" w14:textId="77777777" w:rsidR="008645BE" w:rsidRPr="00F36A0F" w:rsidRDefault="008645BE" w:rsidP="008645BE">
      <w:pPr>
        <w:pStyle w:val="01squarebullet"/>
        <w:rPr>
          <w:rFonts w:eastAsiaTheme="minorHAnsi"/>
        </w:rPr>
      </w:pPr>
      <w:r w:rsidRPr="00F36A0F">
        <w:rPr>
          <w:rFonts w:eastAsiaTheme="minorHAnsi"/>
        </w:rPr>
        <w:t>3.2.1. Clinical outcomes</w:t>
      </w:r>
    </w:p>
    <w:p w14:paraId="2AA26EAB" w14:textId="77777777" w:rsidR="008645BE" w:rsidRPr="00F36A0F" w:rsidRDefault="008645BE" w:rsidP="008645BE">
      <w:pPr>
        <w:pStyle w:val="01squarebullet"/>
        <w:rPr>
          <w:rFonts w:eastAsiaTheme="minorHAnsi"/>
        </w:rPr>
      </w:pPr>
      <w:r w:rsidRPr="00F36A0F">
        <w:rPr>
          <w:rFonts w:eastAsiaTheme="minorHAnsi"/>
        </w:rPr>
        <w:t>3.2.2. Care processes</w:t>
      </w:r>
    </w:p>
    <w:p w14:paraId="347C50CA" w14:textId="77777777" w:rsidR="008645BE" w:rsidRPr="00F36A0F" w:rsidRDefault="000F29DA" w:rsidP="008645BE">
      <w:pPr>
        <w:pStyle w:val="01squarebullet"/>
        <w:rPr>
          <w:rFonts w:eastAsiaTheme="minorHAnsi"/>
        </w:rPr>
      </w:pPr>
      <w:r>
        <w:rPr>
          <w:rFonts w:eastAsiaTheme="minorHAnsi"/>
        </w:rPr>
        <w:t>3.2.3</w:t>
      </w:r>
      <w:r w:rsidR="008645BE" w:rsidRPr="00F36A0F">
        <w:rPr>
          <w:rFonts w:eastAsiaTheme="minorHAnsi"/>
        </w:rPr>
        <w:t>. Patient experience</w:t>
      </w:r>
    </w:p>
    <w:p w14:paraId="203437D7" w14:textId="77777777" w:rsidR="008645BE" w:rsidRPr="00F36A0F" w:rsidRDefault="000F29DA" w:rsidP="008645BE">
      <w:pPr>
        <w:pStyle w:val="01squarebullet"/>
        <w:rPr>
          <w:rFonts w:eastAsiaTheme="minorHAnsi"/>
        </w:rPr>
      </w:pPr>
      <w:r>
        <w:rPr>
          <w:rFonts w:eastAsiaTheme="minorHAnsi"/>
        </w:rPr>
        <w:t>3.2.4</w:t>
      </w:r>
      <w:r w:rsidR="008645BE" w:rsidRPr="00F36A0F">
        <w:rPr>
          <w:rFonts w:eastAsiaTheme="minorHAnsi"/>
        </w:rPr>
        <w:t xml:space="preserve">. Cost of care </w:t>
      </w:r>
    </w:p>
    <w:p w14:paraId="0E4F0082" w14:textId="77777777" w:rsidR="008645BE" w:rsidRPr="00F36A0F" w:rsidRDefault="008645BE" w:rsidP="008645BE">
      <w:pPr>
        <w:pStyle w:val="21minor"/>
        <w:rPr>
          <w:rFonts w:eastAsiaTheme="minorHAnsi"/>
        </w:rPr>
      </w:pPr>
      <w:r w:rsidRPr="00F36A0F">
        <w:rPr>
          <w:rFonts w:eastAsiaTheme="minorHAnsi"/>
        </w:rPr>
        <w:t>3.2.1. Clinical Outcomes</w:t>
      </w:r>
    </w:p>
    <w:p w14:paraId="07D3470F" w14:textId="77777777" w:rsidR="008645BE" w:rsidRPr="00F36A0F" w:rsidRDefault="003D2506" w:rsidP="003D2506">
      <w:pPr>
        <w:rPr>
          <w:rFonts w:eastAsiaTheme="minorHAnsi"/>
        </w:rPr>
        <w:sectPr w:rsidR="008645BE" w:rsidRPr="00F36A0F" w:rsidSect="00474F70">
          <w:footnotePr>
            <w:numFmt w:val="lowerLetter"/>
          </w:footnotePr>
          <w:type w:val="continuous"/>
          <w:pgSz w:w="11906" w:h="16838"/>
          <w:pgMar w:top="1803" w:right="1440" w:bottom="1843" w:left="1440" w:header="709" w:footer="709" w:gutter="0"/>
          <w:pgBorders w:offsetFrom="page">
            <w:top w:val="none" w:sz="0" w:space="0" w:color="000000"/>
            <w:left w:val="none" w:sz="0" w:space="0" w:color="000000"/>
            <w:bottom w:val="none" w:sz="0" w:space="0" w:color="000000"/>
            <w:right w:val="none" w:sz="0" w:space="0" w:color="000000"/>
          </w:pgBorders>
          <w:cols w:space="708"/>
          <w:docGrid w:linePitch="360"/>
        </w:sectPr>
      </w:pPr>
      <w:r w:rsidRPr="00F36A0F">
        <w:rPr>
          <w:rFonts w:eastAsiaTheme="minorHAnsi"/>
        </w:rPr>
        <w:t xml:space="preserve">The primary </w:t>
      </w:r>
      <w:r w:rsidR="00A70CA4">
        <w:rPr>
          <w:rFonts w:eastAsiaTheme="minorHAnsi"/>
        </w:rPr>
        <w:t xml:space="preserve">clinical </w:t>
      </w:r>
      <w:r w:rsidRPr="00F36A0F">
        <w:rPr>
          <w:rFonts w:eastAsiaTheme="minorHAnsi"/>
        </w:rPr>
        <w:t xml:space="preserve">outcome of the DCP was that participants in Group 2 showed </w:t>
      </w:r>
      <w:r w:rsidR="00DA2DE1">
        <w:rPr>
          <w:rFonts w:eastAsiaTheme="minorHAnsi"/>
        </w:rPr>
        <w:t xml:space="preserve">a statistically </w:t>
      </w:r>
      <w:r w:rsidRPr="00F36A0F">
        <w:rPr>
          <w:rFonts w:eastAsiaTheme="minorHAnsi"/>
        </w:rPr>
        <w:t>significant improvement in HbA1c levels compared to Control Group participants. There were also improvements in other</w:t>
      </w:r>
      <w:r w:rsidR="008752A2">
        <w:rPr>
          <w:rFonts w:eastAsiaTheme="minorHAnsi"/>
        </w:rPr>
        <w:t xml:space="preserve"> secondary </w:t>
      </w:r>
      <w:r w:rsidR="00A70CA4">
        <w:rPr>
          <w:rFonts w:eastAsiaTheme="minorHAnsi"/>
        </w:rPr>
        <w:t xml:space="preserve">clinical </w:t>
      </w:r>
      <w:r w:rsidR="00397AFB">
        <w:rPr>
          <w:rFonts w:eastAsiaTheme="minorHAnsi"/>
        </w:rPr>
        <w:t xml:space="preserve">outcomes </w:t>
      </w:r>
      <w:r w:rsidR="008752A2">
        <w:rPr>
          <w:rFonts w:eastAsiaTheme="minorHAnsi"/>
        </w:rPr>
        <w:t>in Group 2—</w:t>
      </w:r>
      <w:r w:rsidRPr="00F36A0F">
        <w:rPr>
          <w:rFonts w:eastAsiaTheme="minorHAnsi"/>
        </w:rPr>
        <w:t>including</w:t>
      </w:r>
      <w:r w:rsidR="00B6700A">
        <w:rPr>
          <w:rFonts w:eastAsiaTheme="minorHAnsi"/>
        </w:rPr>
        <w:t xml:space="preserve"> </w:t>
      </w:r>
      <w:r w:rsidRPr="00F36A0F">
        <w:rPr>
          <w:rFonts w:eastAsiaTheme="minorHAnsi"/>
        </w:rPr>
        <w:t>systolic blood pressure, cholesterol,</w:t>
      </w:r>
      <w:r w:rsidR="00B6700A">
        <w:rPr>
          <w:rFonts w:eastAsiaTheme="minorHAnsi"/>
        </w:rPr>
        <w:t xml:space="preserve"> triglycerides,</w:t>
      </w:r>
      <w:r w:rsidR="008752A2">
        <w:rPr>
          <w:rFonts w:eastAsiaTheme="minorHAnsi"/>
        </w:rPr>
        <w:t xml:space="preserve"> waist circumference</w:t>
      </w:r>
      <w:r w:rsidR="00B6700A">
        <w:rPr>
          <w:rFonts w:eastAsiaTheme="minorHAnsi"/>
        </w:rPr>
        <w:t>,</w:t>
      </w:r>
      <w:r w:rsidR="00E76532">
        <w:rPr>
          <w:rFonts w:eastAsiaTheme="minorHAnsi"/>
        </w:rPr>
        <w:t xml:space="preserve"> </w:t>
      </w:r>
      <w:r w:rsidR="00B6700A">
        <w:rPr>
          <w:rFonts w:eastAsiaTheme="minorHAnsi"/>
        </w:rPr>
        <w:t xml:space="preserve">incidence of </w:t>
      </w:r>
      <w:r w:rsidR="00B6700A" w:rsidRPr="00F36A0F">
        <w:rPr>
          <w:rFonts w:eastAsiaTheme="minorHAnsi"/>
        </w:rPr>
        <w:t xml:space="preserve">depression, </w:t>
      </w:r>
      <w:r w:rsidR="00B6700A">
        <w:rPr>
          <w:rFonts w:eastAsiaTheme="minorHAnsi"/>
        </w:rPr>
        <w:t>and diabetes-related stress</w:t>
      </w:r>
      <w:r w:rsidR="008752A2">
        <w:rPr>
          <w:rFonts w:eastAsiaTheme="minorHAnsi"/>
        </w:rPr>
        <w:t>—</w:t>
      </w:r>
      <w:r w:rsidRPr="00F36A0F">
        <w:rPr>
          <w:rFonts w:eastAsiaTheme="minorHAnsi"/>
        </w:rPr>
        <w:t xml:space="preserve">although these were clinically </w:t>
      </w:r>
      <w:r w:rsidR="00403F49">
        <w:rPr>
          <w:rFonts w:eastAsiaTheme="minorHAnsi"/>
        </w:rPr>
        <w:t>modest</w:t>
      </w:r>
      <w:r w:rsidRPr="00F36A0F">
        <w:rPr>
          <w:rFonts w:eastAsiaTheme="minorHAnsi"/>
        </w:rPr>
        <w:t xml:space="preserve"> (Table </w:t>
      </w:r>
      <w:r w:rsidR="00403F49">
        <w:rPr>
          <w:rFonts w:eastAsiaTheme="minorHAnsi"/>
        </w:rPr>
        <w:t>3</w:t>
      </w:r>
      <w:r w:rsidRPr="00F36A0F">
        <w:rPr>
          <w:rFonts w:eastAsiaTheme="minorHAnsi"/>
        </w:rPr>
        <w:t>). Group 1 did not experience a significant improvement in HbA1c levels or other clinical metrics, aside from a small improvement in renal function, compared to</w:t>
      </w:r>
      <w:r w:rsidR="008752A2">
        <w:rPr>
          <w:rFonts w:eastAsiaTheme="minorHAnsi"/>
        </w:rPr>
        <w:t xml:space="preserve"> the</w:t>
      </w:r>
      <w:r w:rsidRPr="00F36A0F">
        <w:rPr>
          <w:rFonts w:eastAsiaTheme="minorHAnsi"/>
        </w:rPr>
        <w:t xml:space="preserve"> Control Group (Table </w:t>
      </w:r>
      <w:r w:rsidR="00FC1C5E">
        <w:rPr>
          <w:rFonts w:eastAsiaTheme="minorHAnsi"/>
        </w:rPr>
        <w:t>3</w:t>
      </w:r>
      <w:r w:rsidRPr="00F36A0F">
        <w:rPr>
          <w:rFonts w:eastAsiaTheme="minorHAnsi"/>
        </w:rPr>
        <w:t>)</w:t>
      </w:r>
      <w:r w:rsidR="008645BE" w:rsidRPr="00F36A0F">
        <w:rPr>
          <w:rFonts w:eastAsiaTheme="minorHAnsi"/>
        </w:rPr>
        <w:t>.</w:t>
      </w:r>
    </w:p>
    <w:p w14:paraId="4F59B708" w14:textId="77777777" w:rsidR="008645BE" w:rsidRPr="00F36A0F" w:rsidRDefault="008645BE" w:rsidP="00425BCC">
      <w:pPr>
        <w:pStyle w:val="TableNumber"/>
      </w:pPr>
      <w:r w:rsidRPr="00F36A0F">
        <w:lastRenderedPageBreak/>
        <w:t xml:space="preserve">table </w:t>
      </w:r>
      <w:r w:rsidR="00FC1C5E">
        <w:t>3</w:t>
      </w:r>
      <w:r w:rsidRPr="00F36A0F">
        <w:t>. change in mean scores between baseline and end of trial</w:t>
      </w:r>
      <w:r w:rsidR="003D2506" w:rsidRPr="00F36A0F">
        <w:t xml:space="preserve"> </w:t>
      </w:r>
    </w:p>
    <w:tbl>
      <w:tblPr>
        <w:tblStyle w:val="TableGrid"/>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Caption w:val="Table 3 Change in mean scores between baseline and end of trial"/>
        <w:tblDescription w:val="In Group 2, there was a statistically significant improvement in HbA1c levels compared to Control Group participants (p&lt;0.001). Compared to the Control Group, HbA1c levels among Group 2 participants decreased by 0.19 percent. There was also an improvement in systolic blood pressure, which decreased by 1.11 mmHg relative to the Control Group (p=0.045); cholesterol, which decreased by 0.07 mmol/L (p=0.012); triglycerides, which decreased by 0.07 mmol/L (p=0.007); waist circumference, which decreased by 0.41cm (p=0.031); the PHQ-9 depression score, which fell by 0.63 points (score out of 27) (p&lt;0.001); and the diabetes-related stress score, which fell by 1.33 points (score out of 80) (p&lt;0.001)"/>
      </w:tblPr>
      <w:tblGrid>
        <w:gridCol w:w="1498"/>
        <w:gridCol w:w="955"/>
        <w:gridCol w:w="954"/>
        <w:gridCol w:w="1084"/>
        <w:gridCol w:w="1084"/>
        <w:gridCol w:w="1013"/>
        <w:gridCol w:w="1013"/>
        <w:gridCol w:w="1013"/>
        <w:gridCol w:w="889"/>
        <w:gridCol w:w="889"/>
        <w:gridCol w:w="889"/>
        <w:gridCol w:w="889"/>
        <w:gridCol w:w="889"/>
        <w:gridCol w:w="889"/>
      </w:tblGrid>
      <w:tr w:rsidR="00267849" w:rsidRPr="00550CA3" w14:paraId="37161CFE" w14:textId="77777777" w:rsidTr="00267849">
        <w:trPr>
          <w:cantSplit/>
          <w:tblHeader/>
        </w:trPr>
        <w:tc>
          <w:tcPr>
            <w:tcW w:w="0" w:type="auto"/>
            <w:tcBorders>
              <w:bottom w:val="nil"/>
            </w:tcBorders>
            <w:shd w:val="clear" w:color="auto" w:fill="D9D9D9" w:themeFill="background1" w:themeFillShade="D9"/>
            <w:vAlign w:val="center"/>
          </w:tcPr>
          <w:p w14:paraId="3FCF8AAB" w14:textId="77777777" w:rsidR="00267849" w:rsidRPr="00550CA3" w:rsidRDefault="00267849" w:rsidP="00B363CB">
            <w:pPr>
              <w:spacing w:before="60" w:after="60" w:line="240" w:lineRule="auto"/>
              <w:rPr>
                <w:rFonts w:ascii="Arial" w:hAnsi="Arial" w:cs="Arial"/>
                <w:b/>
                <w:sz w:val="12"/>
                <w:szCs w:val="16"/>
              </w:rPr>
            </w:pPr>
          </w:p>
        </w:tc>
        <w:tc>
          <w:tcPr>
            <w:tcW w:w="0" w:type="auto"/>
            <w:shd w:val="clear" w:color="auto" w:fill="D9D9D9" w:themeFill="background1" w:themeFillShade="D9"/>
            <w:vAlign w:val="center"/>
          </w:tcPr>
          <w:p w14:paraId="18079705" w14:textId="77777777" w:rsidR="00267849" w:rsidRPr="00550CA3" w:rsidRDefault="00267849" w:rsidP="00FF7EB6">
            <w:pPr>
              <w:spacing w:before="60" w:after="60" w:line="240" w:lineRule="auto"/>
              <w:jc w:val="center"/>
              <w:rPr>
                <w:rFonts w:ascii="Arial" w:hAnsi="Arial" w:cs="Arial"/>
                <w:b/>
                <w:sz w:val="12"/>
                <w:szCs w:val="16"/>
              </w:rPr>
            </w:pPr>
            <w:r w:rsidRPr="00550CA3">
              <w:rPr>
                <w:rFonts w:ascii="Arial" w:hAnsi="Arial" w:cs="Arial"/>
                <w:b/>
                <w:sz w:val="12"/>
                <w:szCs w:val="16"/>
              </w:rPr>
              <w:t>Mean Change</w:t>
            </w:r>
          </w:p>
        </w:tc>
        <w:tc>
          <w:tcPr>
            <w:tcW w:w="0" w:type="auto"/>
            <w:shd w:val="clear" w:color="auto" w:fill="D9D9D9" w:themeFill="background1" w:themeFillShade="D9"/>
            <w:vAlign w:val="center"/>
          </w:tcPr>
          <w:p w14:paraId="76394692" w14:textId="77777777" w:rsidR="00267849" w:rsidRPr="00550CA3" w:rsidRDefault="00267849" w:rsidP="00267849">
            <w:pPr>
              <w:spacing w:before="60" w:after="60" w:line="240" w:lineRule="auto"/>
              <w:jc w:val="center"/>
              <w:rPr>
                <w:rFonts w:ascii="Arial" w:hAnsi="Arial" w:cs="Arial"/>
                <w:b/>
                <w:sz w:val="12"/>
                <w:szCs w:val="16"/>
              </w:rPr>
            </w:pPr>
            <w:r w:rsidRPr="00550CA3">
              <w:rPr>
                <w:rFonts w:ascii="Arial" w:hAnsi="Arial" w:cs="Arial"/>
                <w:b/>
                <w:sz w:val="12"/>
                <w:szCs w:val="16"/>
              </w:rPr>
              <w:t>Mean Change</w:t>
            </w:r>
          </w:p>
        </w:tc>
        <w:tc>
          <w:tcPr>
            <w:tcW w:w="0" w:type="auto"/>
            <w:shd w:val="clear" w:color="auto" w:fill="D9D9D9" w:themeFill="background1" w:themeFillShade="D9"/>
            <w:vAlign w:val="center"/>
          </w:tcPr>
          <w:p w14:paraId="0E55523E" w14:textId="77777777" w:rsidR="00267849" w:rsidRPr="00550CA3" w:rsidRDefault="00267849" w:rsidP="00267849">
            <w:pPr>
              <w:spacing w:before="60" w:after="60" w:line="240" w:lineRule="auto"/>
              <w:jc w:val="center"/>
              <w:rPr>
                <w:rFonts w:ascii="Arial" w:hAnsi="Arial" w:cs="Arial"/>
                <w:b/>
                <w:sz w:val="12"/>
                <w:szCs w:val="16"/>
              </w:rPr>
            </w:pPr>
            <w:r w:rsidRPr="00550CA3">
              <w:rPr>
                <w:rFonts w:ascii="Arial" w:hAnsi="Arial" w:cs="Arial"/>
                <w:b/>
                <w:sz w:val="12"/>
                <w:szCs w:val="16"/>
              </w:rPr>
              <w:t>Significance*</w:t>
            </w:r>
          </w:p>
        </w:tc>
        <w:tc>
          <w:tcPr>
            <w:tcW w:w="0" w:type="auto"/>
            <w:shd w:val="clear" w:color="auto" w:fill="D9D9D9" w:themeFill="background1" w:themeFillShade="D9"/>
            <w:vAlign w:val="center"/>
          </w:tcPr>
          <w:p w14:paraId="7A40CA18"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Significance*</w:t>
            </w:r>
          </w:p>
        </w:tc>
        <w:tc>
          <w:tcPr>
            <w:tcW w:w="0" w:type="auto"/>
            <w:shd w:val="clear" w:color="auto" w:fill="D9D9D9" w:themeFill="background1" w:themeFillShade="D9"/>
            <w:vAlign w:val="center"/>
          </w:tcPr>
          <w:p w14:paraId="2295F60E" w14:textId="77777777" w:rsidR="00267849" w:rsidRPr="00550CA3" w:rsidRDefault="00267849" w:rsidP="00267849">
            <w:pPr>
              <w:spacing w:before="60" w:after="60" w:line="240" w:lineRule="auto"/>
              <w:jc w:val="center"/>
              <w:rPr>
                <w:rFonts w:ascii="Arial" w:hAnsi="Arial" w:cs="Arial"/>
                <w:b/>
                <w:sz w:val="12"/>
                <w:szCs w:val="16"/>
              </w:rPr>
            </w:pPr>
            <w:r w:rsidRPr="00550CA3">
              <w:rPr>
                <w:rFonts w:ascii="Arial" w:hAnsi="Arial" w:cs="Arial"/>
                <w:b/>
                <w:sz w:val="12"/>
                <w:szCs w:val="16"/>
              </w:rPr>
              <w:t>Control Group (N=1845)</w:t>
            </w:r>
          </w:p>
        </w:tc>
        <w:tc>
          <w:tcPr>
            <w:tcW w:w="0" w:type="auto"/>
            <w:shd w:val="clear" w:color="auto" w:fill="D9D9D9" w:themeFill="background1" w:themeFillShade="D9"/>
            <w:vAlign w:val="center"/>
          </w:tcPr>
          <w:p w14:paraId="6E0D29F6" w14:textId="77777777" w:rsidR="00267849" w:rsidRPr="00550CA3" w:rsidRDefault="00267849" w:rsidP="00267849">
            <w:pPr>
              <w:spacing w:before="60" w:after="60" w:line="240" w:lineRule="auto"/>
              <w:jc w:val="center"/>
              <w:rPr>
                <w:rFonts w:ascii="Arial" w:hAnsi="Arial" w:cs="Arial"/>
                <w:b/>
                <w:sz w:val="12"/>
                <w:szCs w:val="16"/>
              </w:rPr>
            </w:pPr>
            <w:r w:rsidRPr="00550CA3">
              <w:rPr>
                <w:rFonts w:ascii="Arial" w:hAnsi="Arial" w:cs="Arial"/>
                <w:b/>
                <w:sz w:val="12"/>
                <w:szCs w:val="16"/>
              </w:rPr>
              <w:t>Control Group (N=1845)</w:t>
            </w:r>
          </w:p>
        </w:tc>
        <w:tc>
          <w:tcPr>
            <w:tcW w:w="0" w:type="auto"/>
            <w:shd w:val="clear" w:color="auto" w:fill="D9D9D9" w:themeFill="background1" w:themeFillShade="D9"/>
            <w:vAlign w:val="center"/>
          </w:tcPr>
          <w:p w14:paraId="0A0FA906" w14:textId="77777777" w:rsidR="00267849" w:rsidRPr="00550CA3" w:rsidRDefault="00267849" w:rsidP="00267849">
            <w:pPr>
              <w:spacing w:before="60" w:after="60" w:line="240" w:lineRule="auto"/>
              <w:jc w:val="center"/>
              <w:rPr>
                <w:rFonts w:ascii="Arial" w:hAnsi="Arial" w:cs="Arial"/>
                <w:b/>
                <w:sz w:val="12"/>
                <w:szCs w:val="16"/>
              </w:rPr>
            </w:pPr>
            <w:r w:rsidRPr="00550CA3">
              <w:rPr>
                <w:rFonts w:ascii="Arial" w:hAnsi="Arial" w:cs="Arial"/>
                <w:b/>
                <w:sz w:val="12"/>
                <w:szCs w:val="16"/>
              </w:rPr>
              <w:t>Control Group (N=1845)</w:t>
            </w:r>
          </w:p>
        </w:tc>
        <w:tc>
          <w:tcPr>
            <w:tcW w:w="0" w:type="auto"/>
            <w:shd w:val="clear" w:color="auto" w:fill="D9D9D9" w:themeFill="background1" w:themeFillShade="D9"/>
            <w:vAlign w:val="center"/>
          </w:tcPr>
          <w:p w14:paraId="15D3F8F7" w14:textId="77777777" w:rsidR="00267849" w:rsidRPr="00550CA3" w:rsidRDefault="00267849" w:rsidP="00267849">
            <w:pPr>
              <w:spacing w:before="60" w:after="60" w:line="240" w:lineRule="auto"/>
              <w:jc w:val="center"/>
              <w:rPr>
                <w:rFonts w:ascii="Arial" w:hAnsi="Arial" w:cs="Arial"/>
                <w:b/>
                <w:sz w:val="12"/>
                <w:szCs w:val="16"/>
              </w:rPr>
            </w:pPr>
            <w:r w:rsidRPr="00550CA3">
              <w:rPr>
                <w:rFonts w:ascii="Arial" w:hAnsi="Arial" w:cs="Arial"/>
                <w:b/>
                <w:sz w:val="12"/>
                <w:szCs w:val="16"/>
              </w:rPr>
              <w:t>Group 1 (N=2449)</w:t>
            </w:r>
          </w:p>
        </w:tc>
        <w:tc>
          <w:tcPr>
            <w:tcW w:w="0" w:type="auto"/>
            <w:shd w:val="clear" w:color="auto" w:fill="D9D9D9" w:themeFill="background1" w:themeFillShade="D9"/>
            <w:vAlign w:val="center"/>
          </w:tcPr>
          <w:p w14:paraId="0002CE89" w14:textId="77777777" w:rsidR="00267849" w:rsidRPr="00550CA3" w:rsidRDefault="00267849" w:rsidP="00267849">
            <w:pPr>
              <w:spacing w:before="60" w:after="60" w:line="240" w:lineRule="auto"/>
              <w:jc w:val="center"/>
              <w:rPr>
                <w:rFonts w:ascii="Arial" w:hAnsi="Arial" w:cs="Arial"/>
                <w:b/>
                <w:sz w:val="12"/>
                <w:szCs w:val="16"/>
              </w:rPr>
            </w:pPr>
            <w:r w:rsidRPr="00550CA3">
              <w:rPr>
                <w:rFonts w:ascii="Arial" w:hAnsi="Arial" w:cs="Arial"/>
                <w:b/>
                <w:sz w:val="12"/>
                <w:szCs w:val="16"/>
              </w:rPr>
              <w:t>Group 1 (N=2449)</w:t>
            </w:r>
          </w:p>
        </w:tc>
        <w:tc>
          <w:tcPr>
            <w:tcW w:w="0" w:type="auto"/>
            <w:shd w:val="clear" w:color="auto" w:fill="D9D9D9" w:themeFill="background1" w:themeFillShade="D9"/>
            <w:vAlign w:val="center"/>
          </w:tcPr>
          <w:p w14:paraId="06BA1718" w14:textId="77777777" w:rsidR="00267849" w:rsidRPr="00550CA3" w:rsidRDefault="00267849" w:rsidP="00267849">
            <w:pPr>
              <w:spacing w:before="60" w:after="60" w:line="240" w:lineRule="auto"/>
              <w:jc w:val="center"/>
              <w:rPr>
                <w:rFonts w:ascii="Arial" w:hAnsi="Arial" w:cs="Arial"/>
                <w:b/>
                <w:sz w:val="12"/>
                <w:szCs w:val="16"/>
              </w:rPr>
            </w:pPr>
            <w:r w:rsidRPr="00550CA3">
              <w:rPr>
                <w:rFonts w:ascii="Arial" w:hAnsi="Arial" w:cs="Arial"/>
                <w:b/>
                <w:sz w:val="12"/>
                <w:szCs w:val="16"/>
              </w:rPr>
              <w:t>Group 1 (N=2449)</w:t>
            </w:r>
          </w:p>
        </w:tc>
        <w:tc>
          <w:tcPr>
            <w:tcW w:w="0" w:type="auto"/>
            <w:shd w:val="clear" w:color="auto" w:fill="D9D9D9" w:themeFill="background1" w:themeFillShade="D9"/>
            <w:vAlign w:val="center"/>
          </w:tcPr>
          <w:p w14:paraId="2C14A579" w14:textId="77777777" w:rsidR="00267849" w:rsidRPr="00550CA3" w:rsidRDefault="00267849" w:rsidP="00267849">
            <w:pPr>
              <w:spacing w:before="60" w:after="60" w:line="240" w:lineRule="auto"/>
              <w:jc w:val="center"/>
              <w:rPr>
                <w:rFonts w:ascii="Arial" w:hAnsi="Arial" w:cs="Arial"/>
                <w:b/>
                <w:sz w:val="12"/>
                <w:szCs w:val="16"/>
              </w:rPr>
            </w:pPr>
            <w:r w:rsidRPr="00550CA3">
              <w:rPr>
                <w:rFonts w:ascii="Arial" w:hAnsi="Arial" w:cs="Arial"/>
                <w:b/>
                <w:sz w:val="12"/>
                <w:szCs w:val="16"/>
              </w:rPr>
              <w:t>Group 2 (N=2339)</w:t>
            </w:r>
          </w:p>
        </w:tc>
        <w:tc>
          <w:tcPr>
            <w:tcW w:w="0" w:type="auto"/>
            <w:shd w:val="clear" w:color="auto" w:fill="D9D9D9" w:themeFill="background1" w:themeFillShade="D9"/>
            <w:vAlign w:val="center"/>
          </w:tcPr>
          <w:p w14:paraId="2F1CEBA5" w14:textId="77777777" w:rsidR="00267849" w:rsidRPr="00550CA3" w:rsidRDefault="00267849" w:rsidP="00267849">
            <w:pPr>
              <w:spacing w:before="60" w:after="60" w:line="240" w:lineRule="auto"/>
              <w:jc w:val="center"/>
              <w:rPr>
                <w:rFonts w:ascii="Arial" w:hAnsi="Arial" w:cs="Arial"/>
                <w:b/>
                <w:sz w:val="12"/>
                <w:szCs w:val="16"/>
              </w:rPr>
            </w:pPr>
            <w:r w:rsidRPr="00550CA3">
              <w:rPr>
                <w:rFonts w:ascii="Arial" w:hAnsi="Arial" w:cs="Arial"/>
                <w:b/>
                <w:sz w:val="12"/>
                <w:szCs w:val="16"/>
              </w:rPr>
              <w:t>Group 2 (N=2339)</w:t>
            </w:r>
          </w:p>
        </w:tc>
        <w:tc>
          <w:tcPr>
            <w:tcW w:w="0" w:type="auto"/>
            <w:shd w:val="clear" w:color="auto" w:fill="D9D9D9" w:themeFill="background1" w:themeFillShade="D9"/>
            <w:vAlign w:val="center"/>
          </w:tcPr>
          <w:p w14:paraId="0388EDC4" w14:textId="77777777" w:rsidR="00267849" w:rsidRPr="00550CA3" w:rsidRDefault="00267849" w:rsidP="00267849">
            <w:pPr>
              <w:spacing w:before="60" w:after="60" w:line="240" w:lineRule="auto"/>
              <w:jc w:val="center"/>
              <w:rPr>
                <w:rFonts w:ascii="Arial" w:hAnsi="Arial" w:cs="Arial"/>
                <w:b/>
                <w:sz w:val="12"/>
                <w:szCs w:val="16"/>
              </w:rPr>
            </w:pPr>
            <w:r w:rsidRPr="00550CA3">
              <w:rPr>
                <w:rFonts w:ascii="Arial" w:hAnsi="Arial" w:cs="Arial"/>
                <w:b/>
                <w:sz w:val="12"/>
                <w:szCs w:val="16"/>
              </w:rPr>
              <w:t>Group 2 (N=2339)</w:t>
            </w:r>
          </w:p>
        </w:tc>
      </w:tr>
      <w:tr w:rsidR="00267849" w:rsidRPr="00550CA3" w14:paraId="72B136CB" w14:textId="77777777" w:rsidTr="00267849">
        <w:tc>
          <w:tcPr>
            <w:tcW w:w="0" w:type="auto"/>
            <w:tcBorders>
              <w:top w:val="nil"/>
            </w:tcBorders>
            <w:shd w:val="clear" w:color="auto" w:fill="D9D9D9" w:themeFill="background1" w:themeFillShade="D9"/>
            <w:vAlign w:val="center"/>
          </w:tcPr>
          <w:p w14:paraId="66631D3B" w14:textId="77777777" w:rsidR="00267849" w:rsidRPr="00550CA3" w:rsidRDefault="00267849" w:rsidP="00267849">
            <w:pPr>
              <w:spacing w:before="60" w:after="60" w:line="240" w:lineRule="auto"/>
              <w:rPr>
                <w:rFonts w:ascii="Arial" w:hAnsi="Arial" w:cs="Arial"/>
                <w:b/>
                <w:sz w:val="12"/>
                <w:szCs w:val="16"/>
              </w:rPr>
            </w:pPr>
            <w:r w:rsidRPr="00550CA3">
              <w:rPr>
                <w:rFonts w:ascii="Arial" w:hAnsi="Arial" w:cs="Arial"/>
                <w:b/>
                <w:sz w:val="12"/>
                <w:szCs w:val="16"/>
              </w:rPr>
              <w:t>Characteristic</w:t>
            </w:r>
          </w:p>
        </w:tc>
        <w:tc>
          <w:tcPr>
            <w:tcW w:w="0" w:type="auto"/>
            <w:shd w:val="clear" w:color="auto" w:fill="D9D9D9" w:themeFill="background1" w:themeFillShade="D9"/>
            <w:vAlign w:val="center"/>
          </w:tcPr>
          <w:p w14:paraId="03653BED"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Group 1 minus Control</w:t>
            </w:r>
          </w:p>
        </w:tc>
        <w:tc>
          <w:tcPr>
            <w:tcW w:w="0" w:type="auto"/>
            <w:shd w:val="clear" w:color="auto" w:fill="D9D9D9" w:themeFill="background1" w:themeFillShade="D9"/>
            <w:vAlign w:val="center"/>
          </w:tcPr>
          <w:p w14:paraId="5DB89E41"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Group 2 minus Control</w:t>
            </w:r>
          </w:p>
        </w:tc>
        <w:tc>
          <w:tcPr>
            <w:tcW w:w="0" w:type="auto"/>
            <w:shd w:val="clear" w:color="auto" w:fill="D9D9D9" w:themeFill="background1" w:themeFillShade="D9"/>
            <w:vAlign w:val="center"/>
          </w:tcPr>
          <w:p w14:paraId="0E9C156F"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Group 1 vs Control</w:t>
            </w:r>
          </w:p>
        </w:tc>
        <w:tc>
          <w:tcPr>
            <w:tcW w:w="0" w:type="auto"/>
            <w:tcBorders>
              <w:bottom w:val="single" w:sz="4" w:space="0" w:color="808080"/>
            </w:tcBorders>
            <w:shd w:val="clear" w:color="auto" w:fill="D9D9D9" w:themeFill="background1" w:themeFillShade="D9"/>
            <w:vAlign w:val="center"/>
          </w:tcPr>
          <w:p w14:paraId="14EEF36E"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Group 2 vs Control</w:t>
            </w:r>
          </w:p>
        </w:tc>
        <w:tc>
          <w:tcPr>
            <w:tcW w:w="0" w:type="auto"/>
            <w:shd w:val="clear" w:color="auto" w:fill="D9D9D9" w:themeFill="background1" w:themeFillShade="D9"/>
            <w:vAlign w:val="center"/>
          </w:tcPr>
          <w:p w14:paraId="2DFD8DF7"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n</w:t>
            </w:r>
          </w:p>
        </w:tc>
        <w:tc>
          <w:tcPr>
            <w:tcW w:w="0" w:type="auto"/>
            <w:shd w:val="clear" w:color="auto" w:fill="D9D9D9" w:themeFill="background1" w:themeFillShade="D9"/>
            <w:vAlign w:val="center"/>
          </w:tcPr>
          <w:p w14:paraId="733C0FC0"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Mean</w:t>
            </w:r>
          </w:p>
        </w:tc>
        <w:tc>
          <w:tcPr>
            <w:tcW w:w="0" w:type="auto"/>
            <w:shd w:val="clear" w:color="auto" w:fill="D9D9D9" w:themeFill="background1" w:themeFillShade="D9"/>
            <w:vAlign w:val="center"/>
          </w:tcPr>
          <w:p w14:paraId="62351C7A"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SD</w:t>
            </w:r>
          </w:p>
        </w:tc>
        <w:tc>
          <w:tcPr>
            <w:tcW w:w="0" w:type="auto"/>
            <w:shd w:val="clear" w:color="auto" w:fill="D9D9D9" w:themeFill="background1" w:themeFillShade="D9"/>
            <w:vAlign w:val="center"/>
          </w:tcPr>
          <w:p w14:paraId="2A926B88"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n</w:t>
            </w:r>
          </w:p>
        </w:tc>
        <w:tc>
          <w:tcPr>
            <w:tcW w:w="0" w:type="auto"/>
            <w:shd w:val="clear" w:color="auto" w:fill="D9D9D9" w:themeFill="background1" w:themeFillShade="D9"/>
            <w:vAlign w:val="center"/>
          </w:tcPr>
          <w:p w14:paraId="4E3419DF"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Mean</w:t>
            </w:r>
          </w:p>
        </w:tc>
        <w:tc>
          <w:tcPr>
            <w:tcW w:w="0" w:type="auto"/>
            <w:shd w:val="clear" w:color="auto" w:fill="D9D9D9" w:themeFill="background1" w:themeFillShade="D9"/>
            <w:vAlign w:val="center"/>
          </w:tcPr>
          <w:p w14:paraId="3FD15535"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SD</w:t>
            </w:r>
          </w:p>
        </w:tc>
        <w:tc>
          <w:tcPr>
            <w:tcW w:w="0" w:type="auto"/>
            <w:shd w:val="clear" w:color="auto" w:fill="D9D9D9" w:themeFill="background1" w:themeFillShade="D9"/>
            <w:vAlign w:val="center"/>
          </w:tcPr>
          <w:p w14:paraId="5CBE99E2"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n</w:t>
            </w:r>
          </w:p>
        </w:tc>
        <w:tc>
          <w:tcPr>
            <w:tcW w:w="0" w:type="auto"/>
            <w:shd w:val="clear" w:color="auto" w:fill="D9D9D9" w:themeFill="background1" w:themeFillShade="D9"/>
            <w:vAlign w:val="center"/>
          </w:tcPr>
          <w:p w14:paraId="172265D2"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Mean</w:t>
            </w:r>
          </w:p>
        </w:tc>
        <w:tc>
          <w:tcPr>
            <w:tcW w:w="0" w:type="auto"/>
            <w:shd w:val="clear" w:color="auto" w:fill="D9D9D9" w:themeFill="background1" w:themeFillShade="D9"/>
            <w:vAlign w:val="center"/>
          </w:tcPr>
          <w:p w14:paraId="1DA8E04A" w14:textId="77777777" w:rsidR="00267849" w:rsidRPr="00550CA3" w:rsidRDefault="00267849" w:rsidP="00B363CB">
            <w:pPr>
              <w:spacing w:before="60" w:after="60" w:line="240" w:lineRule="auto"/>
              <w:jc w:val="center"/>
              <w:rPr>
                <w:rFonts w:ascii="Arial" w:hAnsi="Arial" w:cs="Arial"/>
                <w:b/>
                <w:sz w:val="12"/>
                <w:szCs w:val="16"/>
              </w:rPr>
            </w:pPr>
            <w:r w:rsidRPr="00550CA3">
              <w:rPr>
                <w:rFonts w:ascii="Arial" w:hAnsi="Arial" w:cs="Arial"/>
                <w:b/>
                <w:sz w:val="12"/>
                <w:szCs w:val="16"/>
              </w:rPr>
              <w:t>SD</w:t>
            </w:r>
          </w:p>
        </w:tc>
      </w:tr>
      <w:tr w:rsidR="00267849" w:rsidRPr="00550CA3" w14:paraId="784A57CC" w14:textId="77777777" w:rsidTr="00550CA3">
        <w:trPr>
          <w:cantSplit/>
        </w:trPr>
        <w:tc>
          <w:tcPr>
            <w:tcW w:w="0" w:type="auto"/>
            <w:vAlign w:val="center"/>
          </w:tcPr>
          <w:p w14:paraId="139007A1"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HbA1c (%)</w:t>
            </w:r>
          </w:p>
        </w:tc>
        <w:tc>
          <w:tcPr>
            <w:tcW w:w="0" w:type="auto"/>
            <w:vAlign w:val="center"/>
          </w:tcPr>
          <w:p w14:paraId="178164F6"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-0.02</w:t>
            </w:r>
          </w:p>
        </w:tc>
        <w:tc>
          <w:tcPr>
            <w:tcW w:w="0" w:type="auto"/>
            <w:vAlign w:val="center"/>
          </w:tcPr>
          <w:p w14:paraId="5A0AF10E"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-0.19</w:t>
            </w:r>
          </w:p>
        </w:tc>
        <w:tc>
          <w:tcPr>
            <w:tcW w:w="0" w:type="auto"/>
            <w:vAlign w:val="center"/>
          </w:tcPr>
          <w:p w14:paraId="70CE8F0F"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0.614</w:t>
            </w:r>
          </w:p>
        </w:tc>
        <w:tc>
          <w:tcPr>
            <w:tcW w:w="0" w:type="auto"/>
            <w:shd w:val="clear" w:color="auto" w:fill="auto"/>
            <w:vAlign w:val="center"/>
          </w:tcPr>
          <w:p w14:paraId="3F531EA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&lt;0.001</w:t>
            </w:r>
          </w:p>
        </w:tc>
        <w:tc>
          <w:tcPr>
            <w:tcW w:w="0" w:type="auto"/>
            <w:vAlign w:val="center"/>
          </w:tcPr>
          <w:p w14:paraId="72CB84D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1,803</w:t>
            </w:r>
          </w:p>
        </w:tc>
        <w:tc>
          <w:tcPr>
            <w:tcW w:w="0" w:type="auto"/>
            <w:vAlign w:val="center"/>
          </w:tcPr>
          <w:p w14:paraId="04B52C3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0.01</w:t>
            </w:r>
          </w:p>
        </w:tc>
        <w:tc>
          <w:tcPr>
            <w:tcW w:w="0" w:type="auto"/>
            <w:vAlign w:val="center"/>
          </w:tcPr>
          <w:p w14:paraId="356D0AE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1.01</w:t>
            </w:r>
          </w:p>
        </w:tc>
        <w:tc>
          <w:tcPr>
            <w:tcW w:w="0" w:type="auto"/>
            <w:vAlign w:val="center"/>
          </w:tcPr>
          <w:p w14:paraId="3346FA42"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2,505</w:t>
            </w:r>
          </w:p>
        </w:tc>
        <w:tc>
          <w:tcPr>
            <w:tcW w:w="0" w:type="auto"/>
            <w:vAlign w:val="center"/>
          </w:tcPr>
          <w:p w14:paraId="44FB895F"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-0.01</w:t>
            </w:r>
          </w:p>
        </w:tc>
        <w:tc>
          <w:tcPr>
            <w:tcW w:w="0" w:type="auto"/>
            <w:vAlign w:val="center"/>
          </w:tcPr>
          <w:p w14:paraId="00D1E1B9"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1.10</w:t>
            </w:r>
          </w:p>
        </w:tc>
        <w:tc>
          <w:tcPr>
            <w:tcW w:w="0" w:type="auto"/>
            <w:vAlign w:val="center"/>
          </w:tcPr>
          <w:p w14:paraId="0ECD326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2,515</w:t>
            </w:r>
          </w:p>
        </w:tc>
        <w:tc>
          <w:tcPr>
            <w:tcW w:w="0" w:type="auto"/>
            <w:vAlign w:val="center"/>
          </w:tcPr>
          <w:p w14:paraId="7112613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-0.19</w:t>
            </w:r>
          </w:p>
        </w:tc>
        <w:tc>
          <w:tcPr>
            <w:tcW w:w="0" w:type="auto"/>
            <w:vAlign w:val="center"/>
          </w:tcPr>
          <w:p w14:paraId="6929811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1.03</w:t>
            </w:r>
          </w:p>
        </w:tc>
      </w:tr>
      <w:tr w:rsidR="00267849" w:rsidRPr="00550CA3" w14:paraId="6CDFC6BF" w14:textId="77777777" w:rsidTr="00550CA3">
        <w:trPr>
          <w:cantSplit/>
        </w:trPr>
        <w:tc>
          <w:tcPr>
            <w:tcW w:w="0" w:type="auto"/>
            <w:vAlign w:val="center"/>
          </w:tcPr>
          <w:p w14:paraId="57172465" w14:textId="77777777" w:rsidR="00267849" w:rsidRPr="00550CA3" w:rsidRDefault="00267849" w:rsidP="008752A2">
            <w:pPr>
              <w:spacing w:before="80" w:after="80" w:line="240" w:lineRule="auto"/>
              <w:rPr>
                <w:rFonts w:ascii="Arial" w:hAnsi="Arial" w:cs="Arial"/>
                <w:sz w:val="12"/>
                <w:szCs w:val="16"/>
              </w:rPr>
            </w:pPr>
            <w:r w:rsidRPr="00550CA3">
              <w:rPr>
                <w:rFonts w:ascii="Arial" w:hAnsi="Arial" w:cs="Arial"/>
                <w:sz w:val="12"/>
                <w:szCs w:val="16"/>
              </w:rPr>
              <w:t>Systolic blood pressure (mmHg)</w:t>
            </w:r>
          </w:p>
        </w:tc>
        <w:tc>
          <w:tcPr>
            <w:tcW w:w="0" w:type="auto"/>
            <w:vAlign w:val="center"/>
          </w:tcPr>
          <w:p w14:paraId="2DDC1720"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0.68</w:t>
            </w:r>
          </w:p>
        </w:tc>
        <w:tc>
          <w:tcPr>
            <w:tcW w:w="0" w:type="auto"/>
            <w:vAlign w:val="center"/>
          </w:tcPr>
          <w:p w14:paraId="6F6FF7B2"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-1.11</w:t>
            </w:r>
          </w:p>
        </w:tc>
        <w:tc>
          <w:tcPr>
            <w:tcW w:w="0" w:type="auto"/>
            <w:vAlign w:val="center"/>
          </w:tcPr>
          <w:p w14:paraId="357E5609"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0.210</w:t>
            </w:r>
          </w:p>
        </w:tc>
        <w:tc>
          <w:tcPr>
            <w:tcW w:w="0" w:type="auto"/>
            <w:shd w:val="clear" w:color="auto" w:fill="auto"/>
            <w:vAlign w:val="center"/>
          </w:tcPr>
          <w:p w14:paraId="4AB7602D"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0.045</w:t>
            </w:r>
          </w:p>
        </w:tc>
        <w:tc>
          <w:tcPr>
            <w:tcW w:w="0" w:type="auto"/>
            <w:vAlign w:val="center"/>
          </w:tcPr>
          <w:p w14:paraId="77F16E1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1,795</w:t>
            </w:r>
          </w:p>
        </w:tc>
        <w:tc>
          <w:tcPr>
            <w:tcW w:w="0" w:type="auto"/>
            <w:vAlign w:val="center"/>
          </w:tcPr>
          <w:p w14:paraId="04188C9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-1.69</w:t>
            </w:r>
          </w:p>
        </w:tc>
        <w:tc>
          <w:tcPr>
            <w:tcW w:w="0" w:type="auto"/>
            <w:vAlign w:val="center"/>
          </w:tcPr>
          <w:p w14:paraId="3CD5836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17.17</w:t>
            </w:r>
          </w:p>
        </w:tc>
        <w:tc>
          <w:tcPr>
            <w:tcW w:w="0" w:type="auto"/>
            <w:vAlign w:val="center"/>
          </w:tcPr>
          <w:p w14:paraId="661EA90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2,500</w:t>
            </w:r>
          </w:p>
        </w:tc>
        <w:tc>
          <w:tcPr>
            <w:tcW w:w="0" w:type="auto"/>
            <w:vAlign w:val="center"/>
          </w:tcPr>
          <w:p w14:paraId="414794F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-1.01</w:t>
            </w:r>
          </w:p>
        </w:tc>
        <w:tc>
          <w:tcPr>
            <w:tcW w:w="0" w:type="auto"/>
            <w:vAlign w:val="center"/>
          </w:tcPr>
          <w:p w14:paraId="722A814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17.03</w:t>
            </w:r>
          </w:p>
        </w:tc>
        <w:tc>
          <w:tcPr>
            <w:tcW w:w="0" w:type="auto"/>
            <w:vAlign w:val="center"/>
          </w:tcPr>
          <w:p w14:paraId="63AE477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2,491</w:t>
            </w:r>
          </w:p>
        </w:tc>
        <w:tc>
          <w:tcPr>
            <w:tcW w:w="0" w:type="auto"/>
            <w:vAlign w:val="center"/>
          </w:tcPr>
          <w:p w14:paraId="2FF7EBB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-2.80</w:t>
            </w:r>
          </w:p>
        </w:tc>
        <w:tc>
          <w:tcPr>
            <w:tcW w:w="0" w:type="auto"/>
            <w:vAlign w:val="center"/>
          </w:tcPr>
          <w:p w14:paraId="551A4BE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18.19</w:t>
            </w:r>
          </w:p>
        </w:tc>
      </w:tr>
      <w:tr w:rsidR="00267849" w:rsidRPr="00550CA3" w14:paraId="27614F65" w14:textId="77777777" w:rsidTr="00550CA3">
        <w:trPr>
          <w:cantSplit/>
        </w:trPr>
        <w:tc>
          <w:tcPr>
            <w:tcW w:w="0" w:type="auto"/>
            <w:vAlign w:val="center"/>
          </w:tcPr>
          <w:p w14:paraId="5FD86CB2" w14:textId="77777777" w:rsidR="00267849" w:rsidRPr="00550CA3" w:rsidRDefault="00267849" w:rsidP="008752A2">
            <w:pPr>
              <w:spacing w:before="80" w:after="80" w:line="240" w:lineRule="auto"/>
              <w:rPr>
                <w:rFonts w:ascii="Arial" w:hAnsi="Arial" w:cs="Arial"/>
                <w:sz w:val="12"/>
                <w:szCs w:val="16"/>
              </w:rPr>
            </w:pPr>
            <w:r w:rsidRPr="00550CA3">
              <w:rPr>
                <w:rFonts w:ascii="Arial" w:hAnsi="Arial" w:cs="Arial"/>
                <w:sz w:val="12"/>
                <w:szCs w:val="16"/>
              </w:rPr>
              <w:t>Diastolic blood pressure (mmHg)</w:t>
            </w:r>
          </w:p>
        </w:tc>
        <w:tc>
          <w:tcPr>
            <w:tcW w:w="0" w:type="auto"/>
            <w:vAlign w:val="center"/>
          </w:tcPr>
          <w:p w14:paraId="0CCEC44E"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-0.21</w:t>
            </w:r>
          </w:p>
        </w:tc>
        <w:tc>
          <w:tcPr>
            <w:tcW w:w="0" w:type="auto"/>
            <w:vAlign w:val="center"/>
          </w:tcPr>
          <w:p w14:paraId="734D9D6E"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-0.28</w:t>
            </w:r>
          </w:p>
        </w:tc>
        <w:tc>
          <w:tcPr>
            <w:tcW w:w="0" w:type="auto"/>
            <w:vAlign w:val="center"/>
          </w:tcPr>
          <w:p w14:paraId="039D6E8A"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0.530</w:t>
            </w:r>
          </w:p>
        </w:tc>
        <w:tc>
          <w:tcPr>
            <w:tcW w:w="0" w:type="auto"/>
            <w:shd w:val="clear" w:color="auto" w:fill="auto"/>
            <w:vAlign w:val="center"/>
          </w:tcPr>
          <w:p w14:paraId="49A6551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0.402</w:t>
            </w:r>
          </w:p>
        </w:tc>
        <w:tc>
          <w:tcPr>
            <w:tcW w:w="0" w:type="auto"/>
            <w:vAlign w:val="center"/>
          </w:tcPr>
          <w:p w14:paraId="0D1A11BF"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1,796</w:t>
            </w:r>
          </w:p>
        </w:tc>
        <w:tc>
          <w:tcPr>
            <w:tcW w:w="0" w:type="auto"/>
            <w:vAlign w:val="center"/>
          </w:tcPr>
          <w:p w14:paraId="3C277214"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-1.02</w:t>
            </w:r>
          </w:p>
        </w:tc>
        <w:tc>
          <w:tcPr>
            <w:tcW w:w="0" w:type="auto"/>
            <w:vAlign w:val="center"/>
          </w:tcPr>
          <w:p w14:paraId="50502AC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10.99</w:t>
            </w:r>
          </w:p>
        </w:tc>
        <w:tc>
          <w:tcPr>
            <w:tcW w:w="0" w:type="auto"/>
            <w:vAlign w:val="center"/>
          </w:tcPr>
          <w:p w14:paraId="2E84FE8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2,500</w:t>
            </w:r>
          </w:p>
        </w:tc>
        <w:tc>
          <w:tcPr>
            <w:tcW w:w="0" w:type="auto"/>
            <w:vAlign w:val="center"/>
          </w:tcPr>
          <w:p w14:paraId="3F24BD9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-1.23</w:t>
            </w:r>
          </w:p>
        </w:tc>
        <w:tc>
          <w:tcPr>
            <w:tcW w:w="0" w:type="auto"/>
            <w:vAlign w:val="center"/>
          </w:tcPr>
          <w:p w14:paraId="7F8AD13A"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11.02</w:t>
            </w:r>
          </w:p>
        </w:tc>
        <w:tc>
          <w:tcPr>
            <w:tcW w:w="0" w:type="auto"/>
            <w:vAlign w:val="center"/>
          </w:tcPr>
          <w:p w14:paraId="0B8989D2"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2,491</w:t>
            </w:r>
          </w:p>
        </w:tc>
        <w:tc>
          <w:tcPr>
            <w:tcW w:w="0" w:type="auto"/>
            <w:vAlign w:val="center"/>
          </w:tcPr>
          <w:p w14:paraId="3678F88F"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-1.30</w:t>
            </w:r>
          </w:p>
        </w:tc>
        <w:tc>
          <w:tcPr>
            <w:tcW w:w="0" w:type="auto"/>
            <w:vAlign w:val="center"/>
          </w:tcPr>
          <w:p w14:paraId="59E4536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11.21</w:t>
            </w:r>
          </w:p>
        </w:tc>
      </w:tr>
      <w:tr w:rsidR="00267849" w:rsidRPr="00550CA3" w14:paraId="05C2F402" w14:textId="77777777" w:rsidTr="00550CA3">
        <w:trPr>
          <w:cantSplit/>
        </w:trPr>
        <w:tc>
          <w:tcPr>
            <w:tcW w:w="0" w:type="auto"/>
            <w:vAlign w:val="center"/>
          </w:tcPr>
          <w:p w14:paraId="5B2FA484"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Total cholesterol (mmol/L)</w:t>
            </w:r>
          </w:p>
        </w:tc>
        <w:tc>
          <w:tcPr>
            <w:tcW w:w="0" w:type="auto"/>
            <w:vAlign w:val="center"/>
          </w:tcPr>
          <w:p w14:paraId="4DC73917"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0.02</w:t>
            </w:r>
          </w:p>
        </w:tc>
        <w:tc>
          <w:tcPr>
            <w:tcW w:w="0" w:type="auto"/>
            <w:vAlign w:val="center"/>
          </w:tcPr>
          <w:p w14:paraId="6EE5F8BA"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-0.07</w:t>
            </w:r>
          </w:p>
        </w:tc>
        <w:tc>
          <w:tcPr>
            <w:tcW w:w="0" w:type="auto"/>
            <w:vAlign w:val="center"/>
          </w:tcPr>
          <w:p w14:paraId="0783DB74"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0.358</w:t>
            </w:r>
          </w:p>
        </w:tc>
        <w:tc>
          <w:tcPr>
            <w:tcW w:w="0" w:type="auto"/>
            <w:shd w:val="clear" w:color="auto" w:fill="auto"/>
            <w:vAlign w:val="center"/>
          </w:tcPr>
          <w:p w14:paraId="6886A98F"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0.012</w:t>
            </w:r>
          </w:p>
        </w:tc>
        <w:tc>
          <w:tcPr>
            <w:tcW w:w="0" w:type="auto"/>
            <w:vAlign w:val="center"/>
          </w:tcPr>
          <w:p w14:paraId="1123CA8A"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1,802</w:t>
            </w:r>
          </w:p>
        </w:tc>
        <w:tc>
          <w:tcPr>
            <w:tcW w:w="0" w:type="auto"/>
            <w:vAlign w:val="center"/>
          </w:tcPr>
          <w:p w14:paraId="251DBFB7"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-0.13</w:t>
            </w:r>
          </w:p>
        </w:tc>
        <w:tc>
          <w:tcPr>
            <w:tcW w:w="0" w:type="auto"/>
            <w:vAlign w:val="center"/>
          </w:tcPr>
          <w:p w14:paraId="0150901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0.80</w:t>
            </w:r>
          </w:p>
        </w:tc>
        <w:tc>
          <w:tcPr>
            <w:tcW w:w="0" w:type="auto"/>
            <w:vAlign w:val="center"/>
          </w:tcPr>
          <w:p w14:paraId="0AB3CC0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2,504</w:t>
            </w:r>
          </w:p>
        </w:tc>
        <w:tc>
          <w:tcPr>
            <w:tcW w:w="0" w:type="auto"/>
            <w:vAlign w:val="center"/>
          </w:tcPr>
          <w:p w14:paraId="2EA7A31B"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-0.11</w:t>
            </w:r>
          </w:p>
        </w:tc>
        <w:tc>
          <w:tcPr>
            <w:tcW w:w="0" w:type="auto"/>
            <w:vAlign w:val="center"/>
          </w:tcPr>
          <w:p w14:paraId="7029115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0.88</w:t>
            </w:r>
          </w:p>
        </w:tc>
        <w:tc>
          <w:tcPr>
            <w:tcW w:w="0" w:type="auto"/>
            <w:vAlign w:val="center"/>
          </w:tcPr>
          <w:p w14:paraId="728C417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2,517</w:t>
            </w:r>
          </w:p>
        </w:tc>
        <w:tc>
          <w:tcPr>
            <w:tcW w:w="0" w:type="auto"/>
            <w:vAlign w:val="center"/>
          </w:tcPr>
          <w:p w14:paraId="09B758B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-0.20</w:t>
            </w:r>
          </w:p>
        </w:tc>
        <w:tc>
          <w:tcPr>
            <w:tcW w:w="0" w:type="auto"/>
            <w:vAlign w:val="center"/>
          </w:tcPr>
          <w:p w14:paraId="59D2C45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0.88</w:t>
            </w:r>
          </w:p>
        </w:tc>
      </w:tr>
      <w:tr w:rsidR="00267849" w:rsidRPr="00550CA3" w14:paraId="2E80DBC9" w14:textId="77777777" w:rsidTr="00550CA3">
        <w:trPr>
          <w:cantSplit/>
        </w:trPr>
        <w:tc>
          <w:tcPr>
            <w:tcW w:w="0" w:type="auto"/>
            <w:vAlign w:val="center"/>
          </w:tcPr>
          <w:p w14:paraId="23179F42"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HDL (mmol/L)</w:t>
            </w:r>
          </w:p>
        </w:tc>
        <w:tc>
          <w:tcPr>
            <w:tcW w:w="0" w:type="auto"/>
            <w:vAlign w:val="center"/>
          </w:tcPr>
          <w:p w14:paraId="5C457919"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0.01</w:t>
            </w:r>
          </w:p>
        </w:tc>
        <w:tc>
          <w:tcPr>
            <w:tcW w:w="0" w:type="auto"/>
            <w:vAlign w:val="center"/>
          </w:tcPr>
          <w:p w14:paraId="704390EA"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0.01</w:t>
            </w:r>
          </w:p>
        </w:tc>
        <w:tc>
          <w:tcPr>
            <w:tcW w:w="0" w:type="auto"/>
            <w:vAlign w:val="center"/>
          </w:tcPr>
          <w:p w14:paraId="6B1B633B"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0.546</w:t>
            </w:r>
          </w:p>
        </w:tc>
        <w:tc>
          <w:tcPr>
            <w:tcW w:w="0" w:type="auto"/>
            <w:shd w:val="clear" w:color="auto" w:fill="auto"/>
            <w:vAlign w:val="center"/>
          </w:tcPr>
          <w:p w14:paraId="14BAC2F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0.325</w:t>
            </w:r>
          </w:p>
        </w:tc>
        <w:tc>
          <w:tcPr>
            <w:tcW w:w="0" w:type="auto"/>
            <w:vAlign w:val="center"/>
          </w:tcPr>
          <w:p w14:paraId="5BD5A92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1,744</w:t>
            </w:r>
          </w:p>
        </w:tc>
        <w:tc>
          <w:tcPr>
            <w:tcW w:w="0" w:type="auto"/>
            <w:vAlign w:val="center"/>
          </w:tcPr>
          <w:p w14:paraId="2EC67AC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-0.03</w:t>
            </w:r>
          </w:p>
        </w:tc>
        <w:tc>
          <w:tcPr>
            <w:tcW w:w="0" w:type="auto"/>
            <w:vAlign w:val="center"/>
          </w:tcPr>
          <w:p w14:paraId="0F61270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0.20</w:t>
            </w:r>
          </w:p>
        </w:tc>
        <w:tc>
          <w:tcPr>
            <w:tcW w:w="0" w:type="auto"/>
            <w:vAlign w:val="center"/>
          </w:tcPr>
          <w:p w14:paraId="1D23A96A"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2,24</w:t>
            </w:r>
          </w:p>
        </w:tc>
        <w:tc>
          <w:tcPr>
            <w:tcW w:w="0" w:type="auto"/>
            <w:vAlign w:val="center"/>
          </w:tcPr>
          <w:p w14:paraId="7C2707D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-0.02</w:t>
            </w:r>
          </w:p>
        </w:tc>
        <w:tc>
          <w:tcPr>
            <w:tcW w:w="0" w:type="auto"/>
            <w:vAlign w:val="center"/>
          </w:tcPr>
          <w:p w14:paraId="0065D0FB"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0.25</w:t>
            </w:r>
          </w:p>
        </w:tc>
        <w:tc>
          <w:tcPr>
            <w:tcW w:w="0" w:type="auto"/>
            <w:vAlign w:val="center"/>
          </w:tcPr>
          <w:p w14:paraId="5D0ECE1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2,399</w:t>
            </w:r>
          </w:p>
        </w:tc>
        <w:tc>
          <w:tcPr>
            <w:tcW w:w="0" w:type="auto"/>
            <w:vAlign w:val="center"/>
          </w:tcPr>
          <w:p w14:paraId="1C04A52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-0.02</w:t>
            </w:r>
          </w:p>
        </w:tc>
        <w:tc>
          <w:tcPr>
            <w:tcW w:w="0" w:type="auto"/>
            <w:vAlign w:val="center"/>
          </w:tcPr>
          <w:p w14:paraId="7940301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0.20</w:t>
            </w:r>
          </w:p>
        </w:tc>
      </w:tr>
      <w:tr w:rsidR="00267849" w:rsidRPr="00550CA3" w14:paraId="3FF2BEFC" w14:textId="77777777" w:rsidTr="00550CA3">
        <w:trPr>
          <w:cantSplit/>
        </w:trPr>
        <w:tc>
          <w:tcPr>
            <w:tcW w:w="0" w:type="auto"/>
            <w:vAlign w:val="center"/>
          </w:tcPr>
          <w:p w14:paraId="207C7F2B"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LDL (mmol/L)</w:t>
            </w:r>
          </w:p>
        </w:tc>
        <w:tc>
          <w:tcPr>
            <w:tcW w:w="0" w:type="auto"/>
            <w:vAlign w:val="center"/>
          </w:tcPr>
          <w:p w14:paraId="63276398"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0.02</w:t>
            </w:r>
          </w:p>
        </w:tc>
        <w:tc>
          <w:tcPr>
            <w:tcW w:w="0" w:type="auto"/>
            <w:vAlign w:val="center"/>
          </w:tcPr>
          <w:p w14:paraId="7924A94A"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-0.06</w:t>
            </w:r>
          </w:p>
        </w:tc>
        <w:tc>
          <w:tcPr>
            <w:tcW w:w="0" w:type="auto"/>
            <w:vAlign w:val="center"/>
          </w:tcPr>
          <w:p w14:paraId="0E7F6B6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0.451</w:t>
            </w:r>
          </w:p>
        </w:tc>
        <w:tc>
          <w:tcPr>
            <w:tcW w:w="0" w:type="auto"/>
            <w:shd w:val="clear" w:color="auto" w:fill="auto"/>
            <w:vAlign w:val="center"/>
          </w:tcPr>
          <w:p w14:paraId="4947268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0.005</w:t>
            </w:r>
          </w:p>
        </w:tc>
        <w:tc>
          <w:tcPr>
            <w:tcW w:w="0" w:type="auto"/>
            <w:vAlign w:val="center"/>
          </w:tcPr>
          <w:p w14:paraId="499CFA87"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1,722</w:t>
            </w:r>
          </w:p>
        </w:tc>
        <w:tc>
          <w:tcPr>
            <w:tcW w:w="0" w:type="auto"/>
            <w:vAlign w:val="center"/>
          </w:tcPr>
          <w:p w14:paraId="2643FAD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-0.09</w:t>
            </w:r>
          </w:p>
        </w:tc>
        <w:tc>
          <w:tcPr>
            <w:tcW w:w="0" w:type="auto"/>
            <w:vAlign w:val="center"/>
          </w:tcPr>
          <w:p w14:paraId="18F9DB6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0.61</w:t>
            </w:r>
          </w:p>
        </w:tc>
        <w:tc>
          <w:tcPr>
            <w:tcW w:w="0" w:type="auto"/>
            <w:vAlign w:val="center"/>
          </w:tcPr>
          <w:p w14:paraId="4461B53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2,195</w:t>
            </w:r>
          </w:p>
        </w:tc>
        <w:tc>
          <w:tcPr>
            <w:tcW w:w="0" w:type="auto"/>
            <w:vAlign w:val="center"/>
          </w:tcPr>
          <w:p w14:paraId="7372A3F2"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-0.07</w:t>
            </w:r>
          </w:p>
        </w:tc>
        <w:tc>
          <w:tcPr>
            <w:tcW w:w="0" w:type="auto"/>
            <w:vAlign w:val="center"/>
          </w:tcPr>
          <w:p w14:paraId="1008835D"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0.68</w:t>
            </w:r>
          </w:p>
        </w:tc>
        <w:tc>
          <w:tcPr>
            <w:tcW w:w="0" w:type="auto"/>
            <w:vAlign w:val="center"/>
          </w:tcPr>
          <w:p w14:paraId="31A4316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2,347</w:t>
            </w:r>
          </w:p>
        </w:tc>
        <w:tc>
          <w:tcPr>
            <w:tcW w:w="0" w:type="auto"/>
            <w:vAlign w:val="center"/>
          </w:tcPr>
          <w:p w14:paraId="0308BD47"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-0.15</w:t>
            </w:r>
          </w:p>
        </w:tc>
        <w:tc>
          <w:tcPr>
            <w:tcW w:w="0" w:type="auto"/>
            <w:vAlign w:val="center"/>
          </w:tcPr>
          <w:p w14:paraId="0151F36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0.70</w:t>
            </w:r>
          </w:p>
        </w:tc>
      </w:tr>
      <w:tr w:rsidR="00267849" w:rsidRPr="00550CA3" w14:paraId="3C06E4C1" w14:textId="77777777" w:rsidTr="00550CA3">
        <w:trPr>
          <w:cantSplit/>
        </w:trPr>
        <w:tc>
          <w:tcPr>
            <w:tcW w:w="0" w:type="auto"/>
            <w:vAlign w:val="center"/>
          </w:tcPr>
          <w:p w14:paraId="5E95A5DA"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HDL/LDL ratio</w:t>
            </w:r>
          </w:p>
        </w:tc>
        <w:tc>
          <w:tcPr>
            <w:tcW w:w="0" w:type="auto"/>
            <w:vAlign w:val="center"/>
          </w:tcPr>
          <w:p w14:paraId="2E0880E6"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-0.02</w:t>
            </w:r>
          </w:p>
        </w:tc>
        <w:tc>
          <w:tcPr>
            <w:tcW w:w="0" w:type="auto"/>
            <w:vAlign w:val="center"/>
          </w:tcPr>
          <w:p w14:paraId="1745D631"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0.03</w:t>
            </w:r>
          </w:p>
        </w:tc>
        <w:tc>
          <w:tcPr>
            <w:tcW w:w="0" w:type="auto"/>
            <w:vAlign w:val="center"/>
          </w:tcPr>
          <w:p w14:paraId="6D36D91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0.638</w:t>
            </w:r>
          </w:p>
        </w:tc>
        <w:tc>
          <w:tcPr>
            <w:tcW w:w="0" w:type="auto"/>
            <w:tcBorders>
              <w:bottom w:val="single" w:sz="4" w:space="0" w:color="808080"/>
            </w:tcBorders>
            <w:shd w:val="clear" w:color="auto" w:fill="auto"/>
            <w:vAlign w:val="center"/>
          </w:tcPr>
          <w:p w14:paraId="6C32FF2D"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0.627</w:t>
            </w:r>
          </w:p>
        </w:tc>
        <w:tc>
          <w:tcPr>
            <w:tcW w:w="0" w:type="auto"/>
            <w:vAlign w:val="center"/>
          </w:tcPr>
          <w:p w14:paraId="7B74479F"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1,750</w:t>
            </w:r>
          </w:p>
        </w:tc>
        <w:tc>
          <w:tcPr>
            <w:tcW w:w="0" w:type="auto"/>
            <w:vAlign w:val="center"/>
          </w:tcPr>
          <w:p w14:paraId="36EC9CB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0.65</w:t>
            </w:r>
          </w:p>
        </w:tc>
        <w:tc>
          <w:tcPr>
            <w:tcW w:w="0" w:type="auto"/>
            <w:vAlign w:val="center"/>
          </w:tcPr>
          <w:p w14:paraId="2E44FF5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0.44</w:t>
            </w:r>
          </w:p>
        </w:tc>
        <w:tc>
          <w:tcPr>
            <w:tcW w:w="0" w:type="auto"/>
            <w:vAlign w:val="center"/>
          </w:tcPr>
          <w:p w14:paraId="28052EF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2,252</w:t>
            </w:r>
          </w:p>
        </w:tc>
        <w:tc>
          <w:tcPr>
            <w:tcW w:w="0" w:type="auto"/>
            <w:vAlign w:val="center"/>
          </w:tcPr>
          <w:p w14:paraId="69E7523B"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0.63</w:t>
            </w:r>
          </w:p>
        </w:tc>
        <w:tc>
          <w:tcPr>
            <w:tcW w:w="0" w:type="auto"/>
            <w:vAlign w:val="center"/>
          </w:tcPr>
          <w:p w14:paraId="6A4A8A7B"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0.32</w:t>
            </w:r>
          </w:p>
        </w:tc>
        <w:tc>
          <w:tcPr>
            <w:tcW w:w="0" w:type="auto"/>
            <w:vAlign w:val="center"/>
          </w:tcPr>
          <w:p w14:paraId="48AF83D9"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2,469</w:t>
            </w:r>
          </w:p>
        </w:tc>
        <w:tc>
          <w:tcPr>
            <w:tcW w:w="0" w:type="auto"/>
            <w:vAlign w:val="center"/>
          </w:tcPr>
          <w:p w14:paraId="1061FCA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0.68</w:t>
            </w:r>
          </w:p>
        </w:tc>
        <w:tc>
          <w:tcPr>
            <w:tcW w:w="0" w:type="auto"/>
            <w:vAlign w:val="center"/>
          </w:tcPr>
          <w:p w14:paraId="1A25ED22"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0.37</w:t>
            </w:r>
          </w:p>
        </w:tc>
      </w:tr>
      <w:tr w:rsidR="00267849" w:rsidRPr="00550CA3" w14:paraId="67B198ED" w14:textId="77777777" w:rsidTr="00550CA3">
        <w:trPr>
          <w:cantSplit/>
        </w:trPr>
        <w:tc>
          <w:tcPr>
            <w:tcW w:w="0" w:type="auto"/>
            <w:vAlign w:val="center"/>
          </w:tcPr>
          <w:p w14:paraId="6F828AD0"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Triglycerides (mmol/L)</w:t>
            </w:r>
          </w:p>
        </w:tc>
        <w:tc>
          <w:tcPr>
            <w:tcW w:w="0" w:type="auto"/>
            <w:vAlign w:val="center"/>
          </w:tcPr>
          <w:p w14:paraId="7E14516F"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-0.03</w:t>
            </w:r>
          </w:p>
        </w:tc>
        <w:tc>
          <w:tcPr>
            <w:tcW w:w="0" w:type="auto"/>
            <w:vAlign w:val="center"/>
          </w:tcPr>
          <w:p w14:paraId="6C850389"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-0.07</w:t>
            </w:r>
          </w:p>
        </w:tc>
        <w:tc>
          <w:tcPr>
            <w:tcW w:w="0" w:type="auto"/>
            <w:tcBorders>
              <w:bottom w:val="single" w:sz="4" w:space="0" w:color="808080"/>
            </w:tcBorders>
            <w:vAlign w:val="center"/>
          </w:tcPr>
          <w:p w14:paraId="45E5947B"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0.321</w:t>
            </w:r>
          </w:p>
        </w:tc>
        <w:tc>
          <w:tcPr>
            <w:tcW w:w="0" w:type="auto"/>
            <w:shd w:val="clear" w:color="auto" w:fill="auto"/>
            <w:vAlign w:val="center"/>
          </w:tcPr>
          <w:p w14:paraId="137E1A5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0.007</w:t>
            </w:r>
          </w:p>
        </w:tc>
        <w:tc>
          <w:tcPr>
            <w:tcW w:w="0" w:type="auto"/>
            <w:vAlign w:val="center"/>
          </w:tcPr>
          <w:p w14:paraId="67C42A8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1,746</w:t>
            </w:r>
          </w:p>
        </w:tc>
        <w:tc>
          <w:tcPr>
            <w:tcW w:w="0" w:type="auto"/>
            <w:vAlign w:val="center"/>
          </w:tcPr>
          <w:p w14:paraId="6BA16BF7"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0.03</w:t>
            </w:r>
          </w:p>
        </w:tc>
        <w:tc>
          <w:tcPr>
            <w:tcW w:w="0" w:type="auto"/>
            <w:vAlign w:val="center"/>
          </w:tcPr>
          <w:p w14:paraId="2AB7CF87"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0.75</w:t>
            </w:r>
          </w:p>
        </w:tc>
        <w:tc>
          <w:tcPr>
            <w:tcW w:w="0" w:type="auto"/>
            <w:vAlign w:val="center"/>
          </w:tcPr>
          <w:p w14:paraId="68A13DFD"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2,485</w:t>
            </w:r>
          </w:p>
        </w:tc>
        <w:tc>
          <w:tcPr>
            <w:tcW w:w="0" w:type="auto"/>
            <w:vAlign w:val="center"/>
          </w:tcPr>
          <w:p w14:paraId="0CD40BD9"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0.00</w:t>
            </w:r>
          </w:p>
        </w:tc>
        <w:tc>
          <w:tcPr>
            <w:tcW w:w="0" w:type="auto"/>
            <w:vAlign w:val="center"/>
          </w:tcPr>
          <w:p w14:paraId="3DD73DC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0.79</w:t>
            </w:r>
          </w:p>
        </w:tc>
        <w:tc>
          <w:tcPr>
            <w:tcW w:w="0" w:type="auto"/>
            <w:vAlign w:val="center"/>
          </w:tcPr>
          <w:p w14:paraId="0568D84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2,451</w:t>
            </w:r>
          </w:p>
        </w:tc>
        <w:tc>
          <w:tcPr>
            <w:tcW w:w="0" w:type="auto"/>
            <w:vAlign w:val="center"/>
          </w:tcPr>
          <w:p w14:paraId="223CDF8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-0.04</w:t>
            </w:r>
          </w:p>
        </w:tc>
        <w:tc>
          <w:tcPr>
            <w:tcW w:w="0" w:type="auto"/>
            <w:vAlign w:val="center"/>
          </w:tcPr>
          <w:p w14:paraId="1456F99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0.78</w:t>
            </w:r>
          </w:p>
        </w:tc>
      </w:tr>
      <w:tr w:rsidR="00267849" w:rsidRPr="00550CA3" w14:paraId="55E96890" w14:textId="77777777" w:rsidTr="00550CA3">
        <w:trPr>
          <w:cantSplit/>
        </w:trPr>
        <w:tc>
          <w:tcPr>
            <w:tcW w:w="0" w:type="auto"/>
            <w:vAlign w:val="center"/>
          </w:tcPr>
          <w:p w14:paraId="2344A719" w14:textId="77777777" w:rsidR="00267849" w:rsidRPr="00550CA3" w:rsidRDefault="00267849" w:rsidP="009B487E">
            <w:pPr>
              <w:spacing w:before="80" w:after="80" w:line="240" w:lineRule="auto"/>
              <w:rPr>
                <w:rFonts w:ascii="Arial" w:hAnsi="Arial" w:cs="Arial"/>
                <w:sz w:val="12"/>
                <w:szCs w:val="16"/>
              </w:rPr>
            </w:pPr>
            <w:r w:rsidRPr="00550CA3">
              <w:rPr>
                <w:rFonts w:ascii="Arial" w:hAnsi="Arial" w:cs="Arial"/>
                <w:sz w:val="12"/>
                <w:szCs w:val="16"/>
              </w:rPr>
              <w:t>Serum creatinine (µmol/L)</w:t>
            </w:r>
          </w:p>
        </w:tc>
        <w:tc>
          <w:tcPr>
            <w:tcW w:w="0" w:type="auto"/>
            <w:vAlign w:val="center"/>
          </w:tcPr>
          <w:p w14:paraId="1BCB2C3F"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-1.69</w:t>
            </w:r>
          </w:p>
        </w:tc>
        <w:tc>
          <w:tcPr>
            <w:tcW w:w="0" w:type="auto"/>
            <w:vAlign w:val="center"/>
          </w:tcPr>
          <w:p w14:paraId="5C6D2F46"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0.84</w:t>
            </w:r>
          </w:p>
        </w:tc>
        <w:tc>
          <w:tcPr>
            <w:tcW w:w="0" w:type="auto"/>
            <w:shd w:val="clear" w:color="auto" w:fill="auto"/>
            <w:vAlign w:val="center"/>
          </w:tcPr>
          <w:p w14:paraId="63BB67B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&lt;0.001</w:t>
            </w:r>
          </w:p>
        </w:tc>
        <w:tc>
          <w:tcPr>
            <w:tcW w:w="0" w:type="auto"/>
            <w:shd w:val="clear" w:color="auto" w:fill="auto"/>
            <w:vAlign w:val="center"/>
          </w:tcPr>
          <w:p w14:paraId="2786EF2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0.063</w:t>
            </w:r>
          </w:p>
        </w:tc>
        <w:tc>
          <w:tcPr>
            <w:tcW w:w="0" w:type="auto"/>
            <w:vAlign w:val="center"/>
          </w:tcPr>
          <w:p w14:paraId="7E90DDC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1,771</w:t>
            </w:r>
          </w:p>
        </w:tc>
        <w:tc>
          <w:tcPr>
            <w:tcW w:w="0" w:type="auto"/>
            <w:vAlign w:val="center"/>
          </w:tcPr>
          <w:p w14:paraId="1698900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1.47</w:t>
            </w:r>
          </w:p>
        </w:tc>
        <w:tc>
          <w:tcPr>
            <w:tcW w:w="0" w:type="auto"/>
            <w:vAlign w:val="center"/>
          </w:tcPr>
          <w:p w14:paraId="75DB39A2"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13.97</w:t>
            </w:r>
          </w:p>
        </w:tc>
        <w:tc>
          <w:tcPr>
            <w:tcW w:w="0" w:type="auto"/>
            <w:vAlign w:val="center"/>
          </w:tcPr>
          <w:p w14:paraId="763EDFC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2,478</w:t>
            </w:r>
          </w:p>
        </w:tc>
        <w:tc>
          <w:tcPr>
            <w:tcW w:w="0" w:type="auto"/>
            <w:vAlign w:val="center"/>
          </w:tcPr>
          <w:p w14:paraId="651CC7A9"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-0.22</w:t>
            </w:r>
          </w:p>
        </w:tc>
        <w:tc>
          <w:tcPr>
            <w:tcW w:w="0" w:type="auto"/>
            <w:vAlign w:val="center"/>
          </w:tcPr>
          <w:p w14:paraId="1C2498E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14.49</w:t>
            </w:r>
          </w:p>
        </w:tc>
        <w:tc>
          <w:tcPr>
            <w:tcW w:w="0" w:type="auto"/>
            <w:vAlign w:val="center"/>
          </w:tcPr>
          <w:p w14:paraId="430AAF1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2,447</w:t>
            </w:r>
          </w:p>
        </w:tc>
        <w:tc>
          <w:tcPr>
            <w:tcW w:w="0" w:type="auto"/>
            <w:vAlign w:val="center"/>
          </w:tcPr>
          <w:p w14:paraId="0BEB985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2.31</w:t>
            </w:r>
          </w:p>
        </w:tc>
        <w:tc>
          <w:tcPr>
            <w:tcW w:w="0" w:type="auto"/>
            <w:vAlign w:val="center"/>
          </w:tcPr>
          <w:p w14:paraId="683F0D2D"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14.86</w:t>
            </w:r>
          </w:p>
        </w:tc>
      </w:tr>
      <w:tr w:rsidR="00267849" w:rsidRPr="00550CA3" w14:paraId="298502F5" w14:textId="77777777" w:rsidTr="00550CA3">
        <w:trPr>
          <w:cantSplit/>
        </w:trPr>
        <w:tc>
          <w:tcPr>
            <w:tcW w:w="0" w:type="auto"/>
            <w:vAlign w:val="center"/>
          </w:tcPr>
          <w:p w14:paraId="765D47C2"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GFR (ml/min/1.73m2 body surface area)</w:t>
            </w:r>
          </w:p>
        </w:tc>
        <w:tc>
          <w:tcPr>
            <w:tcW w:w="0" w:type="auto"/>
            <w:vAlign w:val="center"/>
          </w:tcPr>
          <w:p w14:paraId="7396C972"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1.44</w:t>
            </w:r>
          </w:p>
        </w:tc>
        <w:tc>
          <w:tcPr>
            <w:tcW w:w="0" w:type="auto"/>
            <w:vAlign w:val="center"/>
          </w:tcPr>
          <w:p w14:paraId="7ABB10DF"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-0.47</w:t>
            </w:r>
          </w:p>
        </w:tc>
        <w:tc>
          <w:tcPr>
            <w:tcW w:w="0" w:type="auto"/>
            <w:shd w:val="clear" w:color="auto" w:fill="auto"/>
            <w:vAlign w:val="center"/>
          </w:tcPr>
          <w:p w14:paraId="758341F4"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&lt;0.001</w:t>
            </w:r>
          </w:p>
        </w:tc>
        <w:tc>
          <w:tcPr>
            <w:tcW w:w="0" w:type="auto"/>
            <w:shd w:val="clear" w:color="auto" w:fill="auto"/>
            <w:vAlign w:val="center"/>
          </w:tcPr>
          <w:p w14:paraId="4786331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0.134</w:t>
            </w:r>
          </w:p>
        </w:tc>
        <w:tc>
          <w:tcPr>
            <w:tcW w:w="0" w:type="auto"/>
            <w:vAlign w:val="center"/>
          </w:tcPr>
          <w:p w14:paraId="0262C02B"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1,766</w:t>
            </w:r>
          </w:p>
        </w:tc>
        <w:tc>
          <w:tcPr>
            <w:tcW w:w="0" w:type="auto"/>
            <w:vAlign w:val="center"/>
          </w:tcPr>
          <w:p w14:paraId="2172D7B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-0.67</w:t>
            </w:r>
          </w:p>
        </w:tc>
        <w:tc>
          <w:tcPr>
            <w:tcW w:w="0" w:type="auto"/>
            <w:vAlign w:val="center"/>
          </w:tcPr>
          <w:p w14:paraId="4DC938E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9.35</w:t>
            </w:r>
          </w:p>
        </w:tc>
        <w:tc>
          <w:tcPr>
            <w:tcW w:w="0" w:type="auto"/>
            <w:vAlign w:val="center"/>
          </w:tcPr>
          <w:p w14:paraId="3B98EF14"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2,471</w:t>
            </w:r>
          </w:p>
        </w:tc>
        <w:tc>
          <w:tcPr>
            <w:tcW w:w="0" w:type="auto"/>
            <w:vAlign w:val="center"/>
          </w:tcPr>
          <w:p w14:paraId="7518A11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0.77</w:t>
            </w:r>
          </w:p>
        </w:tc>
        <w:tc>
          <w:tcPr>
            <w:tcW w:w="0" w:type="auto"/>
            <w:vAlign w:val="center"/>
          </w:tcPr>
          <w:p w14:paraId="4CE8CC7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10.63</w:t>
            </w:r>
          </w:p>
        </w:tc>
        <w:tc>
          <w:tcPr>
            <w:tcW w:w="0" w:type="auto"/>
            <w:vAlign w:val="center"/>
          </w:tcPr>
          <w:p w14:paraId="19F9CF39"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2,432</w:t>
            </w:r>
          </w:p>
        </w:tc>
        <w:tc>
          <w:tcPr>
            <w:tcW w:w="0" w:type="auto"/>
            <w:vAlign w:val="center"/>
          </w:tcPr>
          <w:p w14:paraId="1F8F8232"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-1.14</w:t>
            </w:r>
          </w:p>
        </w:tc>
        <w:tc>
          <w:tcPr>
            <w:tcW w:w="0" w:type="auto"/>
            <w:vAlign w:val="center"/>
          </w:tcPr>
          <w:p w14:paraId="5F826C6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9.61</w:t>
            </w:r>
          </w:p>
        </w:tc>
      </w:tr>
      <w:tr w:rsidR="00267849" w:rsidRPr="00550CA3" w14:paraId="65C67BF3" w14:textId="77777777" w:rsidTr="00550CA3">
        <w:trPr>
          <w:cantSplit/>
        </w:trPr>
        <w:tc>
          <w:tcPr>
            <w:tcW w:w="0" w:type="auto"/>
            <w:vAlign w:val="center"/>
          </w:tcPr>
          <w:p w14:paraId="6ECF478B"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ACR (mg/mmol)</w:t>
            </w:r>
          </w:p>
        </w:tc>
        <w:tc>
          <w:tcPr>
            <w:tcW w:w="0" w:type="auto"/>
            <w:vAlign w:val="center"/>
          </w:tcPr>
          <w:p w14:paraId="20F897D5"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0.88</w:t>
            </w:r>
          </w:p>
        </w:tc>
        <w:tc>
          <w:tcPr>
            <w:tcW w:w="0" w:type="auto"/>
            <w:vAlign w:val="center"/>
          </w:tcPr>
          <w:p w14:paraId="7BE5956D"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0.21</w:t>
            </w:r>
          </w:p>
        </w:tc>
        <w:tc>
          <w:tcPr>
            <w:tcW w:w="0" w:type="auto"/>
            <w:vAlign w:val="center"/>
          </w:tcPr>
          <w:p w14:paraId="31A268A4"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0.129</w:t>
            </w:r>
          </w:p>
        </w:tc>
        <w:tc>
          <w:tcPr>
            <w:tcW w:w="0" w:type="auto"/>
            <w:shd w:val="clear" w:color="auto" w:fill="auto"/>
            <w:vAlign w:val="center"/>
          </w:tcPr>
          <w:p w14:paraId="3E9520BD"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0.750</w:t>
            </w:r>
          </w:p>
        </w:tc>
        <w:tc>
          <w:tcPr>
            <w:tcW w:w="0" w:type="auto"/>
            <w:vAlign w:val="center"/>
          </w:tcPr>
          <w:p w14:paraId="7A15BF3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1,155</w:t>
            </w:r>
          </w:p>
        </w:tc>
        <w:tc>
          <w:tcPr>
            <w:tcW w:w="0" w:type="auto"/>
            <w:vAlign w:val="center"/>
          </w:tcPr>
          <w:p w14:paraId="2F56531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0.24</w:t>
            </w:r>
          </w:p>
        </w:tc>
        <w:tc>
          <w:tcPr>
            <w:tcW w:w="0" w:type="auto"/>
            <w:vAlign w:val="center"/>
          </w:tcPr>
          <w:p w14:paraId="1DBD66C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17.44</w:t>
            </w:r>
          </w:p>
        </w:tc>
        <w:tc>
          <w:tcPr>
            <w:tcW w:w="0" w:type="auto"/>
            <w:vAlign w:val="center"/>
          </w:tcPr>
          <w:p w14:paraId="061DA61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1,853</w:t>
            </w:r>
          </w:p>
        </w:tc>
        <w:tc>
          <w:tcPr>
            <w:tcW w:w="0" w:type="auto"/>
            <w:vAlign w:val="center"/>
          </w:tcPr>
          <w:p w14:paraId="3A7944C7"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1.12</w:t>
            </w:r>
          </w:p>
        </w:tc>
        <w:tc>
          <w:tcPr>
            <w:tcW w:w="0" w:type="auto"/>
            <w:vAlign w:val="center"/>
          </w:tcPr>
          <w:p w14:paraId="59505544"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17.42</w:t>
            </w:r>
          </w:p>
        </w:tc>
        <w:tc>
          <w:tcPr>
            <w:tcW w:w="0" w:type="auto"/>
            <w:vAlign w:val="center"/>
          </w:tcPr>
          <w:p w14:paraId="79E3FCC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1,773</w:t>
            </w:r>
          </w:p>
        </w:tc>
        <w:tc>
          <w:tcPr>
            <w:tcW w:w="0" w:type="auto"/>
            <w:vAlign w:val="center"/>
          </w:tcPr>
          <w:p w14:paraId="3A65276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0.45</w:t>
            </w:r>
          </w:p>
        </w:tc>
        <w:tc>
          <w:tcPr>
            <w:tcW w:w="0" w:type="auto"/>
            <w:vAlign w:val="center"/>
          </w:tcPr>
          <w:p w14:paraId="55A63EDD"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18.76</w:t>
            </w:r>
          </w:p>
        </w:tc>
      </w:tr>
      <w:tr w:rsidR="00267849" w:rsidRPr="00550CA3" w14:paraId="61B1636C" w14:textId="77777777" w:rsidTr="00550CA3">
        <w:trPr>
          <w:cantSplit/>
        </w:trPr>
        <w:tc>
          <w:tcPr>
            <w:tcW w:w="0" w:type="auto"/>
            <w:vAlign w:val="center"/>
          </w:tcPr>
          <w:p w14:paraId="0A8E070D"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Weight (Kg)</w:t>
            </w:r>
          </w:p>
        </w:tc>
        <w:tc>
          <w:tcPr>
            <w:tcW w:w="0" w:type="auto"/>
            <w:vAlign w:val="center"/>
          </w:tcPr>
          <w:p w14:paraId="05B1352C"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-0.16</w:t>
            </w:r>
          </w:p>
        </w:tc>
        <w:tc>
          <w:tcPr>
            <w:tcW w:w="0" w:type="auto"/>
            <w:vAlign w:val="center"/>
          </w:tcPr>
          <w:p w14:paraId="7A519C57"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-0.13</w:t>
            </w:r>
          </w:p>
        </w:tc>
        <w:tc>
          <w:tcPr>
            <w:tcW w:w="0" w:type="auto"/>
            <w:vAlign w:val="center"/>
          </w:tcPr>
          <w:p w14:paraId="27E7C12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0.383</w:t>
            </w:r>
          </w:p>
        </w:tc>
        <w:tc>
          <w:tcPr>
            <w:tcW w:w="0" w:type="auto"/>
            <w:shd w:val="clear" w:color="auto" w:fill="auto"/>
            <w:vAlign w:val="center"/>
          </w:tcPr>
          <w:p w14:paraId="00E8A47F"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0.425</w:t>
            </w:r>
          </w:p>
        </w:tc>
        <w:tc>
          <w:tcPr>
            <w:tcW w:w="0" w:type="auto"/>
            <w:vAlign w:val="center"/>
          </w:tcPr>
          <w:p w14:paraId="77FB54A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1,668</w:t>
            </w:r>
          </w:p>
        </w:tc>
        <w:tc>
          <w:tcPr>
            <w:tcW w:w="0" w:type="auto"/>
            <w:vAlign w:val="center"/>
          </w:tcPr>
          <w:p w14:paraId="7FEAA30A"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-0.29</w:t>
            </w:r>
          </w:p>
        </w:tc>
        <w:tc>
          <w:tcPr>
            <w:tcW w:w="0" w:type="auto"/>
            <w:vAlign w:val="center"/>
          </w:tcPr>
          <w:p w14:paraId="677DBA6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5.95</w:t>
            </w:r>
          </w:p>
        </w:tc>
        <w:tc>
          <w:tcPr>
            <w:tcW w:w="0" w:type="auto"/>
            <w:vAlign w:val="center"/>
          </w:tcPr>
          <w:p w14:paraId="5D65FB4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2,324</w:t>
            </w:r>
          </w:p>
        </w:tc>
        <w:tc>
          <w:tcPr>
            <w:tcW w:w="0" w:type="auto"/>
            <w:vAlign w:val="center"/>
          </w:tcPr>
          <w:p w14:paraId="2C65D38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-0.45</w:t>
            </w:r>
          </w:p>
        </w:tc>
        <w:tc>
          <w:tcPr>
            <w:tcW w:w="0" w:type="auto"/>
            <w:vAlign w:val="center"/>
          </w:tcPr>
          <w:p w14:paraId="59707167"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5.36</w:t>
            </w:r>
          </w:p>
        </w:tc>
        <w:tc>
          <w:tcPr>
            <w:tcW w:w="0" w:type="auto"/>
            <w:vAlign w:val="center"/>
          </w:tcPr>
          <w:p w14:paraId="49BB5F5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2,210</w:t>
            </w:r>
          </w:p>
        </w:tc>
        <w:tc>
          <w:tcPr>
            <w:tcW w:w="0" w:type="auto"/>
            <w:vAlign w:val="center"/>
          </w:tcPr>
          <w:p w14:paraId="3444C40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-0.42</w:t>
            </w:r>
          </w:p>
        </w:tc>
        <w:tc>
          <w:tcPr>
            <w:tcW w:w="0" w:type="auto"/>
            <w:vAlign w:val="center"/>
          </w:tcPr>
          <w:p w14:paraId="4D200D77"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6.19</w:t>
            </w:r>
          </w:p>
        </w:tc>
      </w:tr>
      <w:tr w:rsidR="00267849" w:rsidRPr="00550CA3" w14:paraId="3F6D18B9" w14:textId="77777777" w:rsidTr="00550CA3">
        <w:trPr>
          <w:cantSplit/>
        </w:trPr>
        <w:tc>
          <w:tcPr>
            <w:tcW w:w="0" w:type="auto"/>
            <w:vAlign w:val="center"/>
          </w:tcPr>
          <w:p w14:paraId="6D40143A"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BMI (kg/m</w:t>
            </w:r>
            <w:r w:rsidRPr="00550CA3">
              <w:rPr>
                <w:rFonts w:ascii="Arial" w:hAnsi="Arial" w:cs="Arial"/>
                <w:sz w:val="12"/>
                <w:szCs w:val="16"/>
                <w:vertAlign w:val="superscript"/>
              </w:rPr>
              <w:t>2</w:t>
            </w:r>
            <w:r w:rsidRPr="00550CA3">
              <w:rPr>
                <w:rFonts w:ascii="Arial" w:hAnsi="Arial" w:cs="Arial"/>
                <w:sz w:val="12"/>
                <w:szCs w:val="16"/>
              </w:rPr>
              <w:t>)</w:t>
            </w:r>
          </w:p>
        </w:tc>
        <w:tc>
          <w:tcPr>
            <w:tcW w:w="0" w:type="auto"/>
            <w:vAlign w:val="center"/>
          </w:tcPr>
          <w:p w14:paraId="4E54E7C9"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-0.07</w:t>
            </w:r>
          </w:p>
        </w:tc>
        <w:tc>
          <w:tcPr>
            <w:tcW w:w="0" w:type="auto"/>
            <w:vAlign w:val="center"/>
          </w:tcPr>
          <w:p w14:paraId="2A4CE775" w14:textId="77777777" w:rsidR="00267849" w:rsidRPr="00550CA3" w:rsidRDefault="00267849" w:rsidP="00B363CB">
            <w:pPr>
              <w:spacing w:before="80" w:after="80" w:line="240" w:lineRule="auto"/>
              <w:jc w:val="right"/>
              <w:rPr>
                <w:rFonts w:ascii="Arial" w:hAnsi="Arial" w:cs="Arial"/>
                <w:color w:val="000000"/>
                <w:sz w:val="12"/>
                <w:szCs w:val="16"/>
              </w:rPr>
            </w:pPr>
            <w:r w:rsidRPr="00550CA3">
              <w:rPr>
                <w:rFonts w:ascii="Arial" w:hAnsi="Arial" w:cs="Arial"/>
                <w:color w:val="000000"/>
                <w:sz w:val="12"/>
                <w:szCs w:val="16"/>
              </w:rPr>
              <w:t>0.01</w:t>
            </w:r>
          </w:p>
        </w:tc>
        <w:tc>
          <w:tcPr>
            <w:tcW w:w="0" w:type="auto"/>
            <w:vAlign w:val="center"/>
          </w:tcPr>
          <w:p w14:paraId="63583A62"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0.385</w:t>
            </w:r>
          </w:p>
        </w:tc>
        <w:tc>
          <w:tcPr>
            <w:tcW w:w="0" w:type="auto"/>
            <w:shd w:val="clear" w:color="auto" w:fill="auto"/>
            <w:vAlign w:val="center"/>
          </w:tcPr>
          <w:p w14:paraId="4AC4BB5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0.999</w:t>
            </w:r>
          </w:p>
        </w:tc>
        <w:tc>
          <w:tcPr>
            <w:tcW w:w="0" w:type="auto"/>
            <w:vAlign w:val="center"/>
          </w:tcPr>
          <w:p w14:paraId="785498A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1,575</w:t>
            </w:r>
          </w:p>
        </w:tc>
        <w:tc>
          <w:tcPr>
            <w:tcW w:w="0" w:type="auto"/>
            <w:vAlign w:val="center"/>
          </w:tcPr>
          <w:p w14:paraId="60703B04"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-0.08</w:t>
            </w:r>
          </w:p>
        </w:tc>
        <w:tc>
          <w:tcPr>
            <w:tcW w:w="0" w:type="auto"/>
            <w:vAlign w:val="center"/>
          </w:tcPr>
          <w:p w14:paraId="4C95034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2.28</w:t>
            </w:r>
          </w:p>
        </w:tc>
        <w:tc>
          <w:tcPr>
            <w:tcW w:w="0" w:type="auto"/>
            <w:vAlign w:val="center"/>
          </w:tcPr>
          <w:p w14:paraId="0BAAF00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2,232</w:t>
            </w:r>
          </w:p>
        </w:tc>
        <w:tc>
          <w:tcPr>
            <w:tcW w:w="0" w:type="auto"/>
            <w:vAlign w:val="center"/>
          </w:tcPr>
          <w:p w14:paraId="37C698A7"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-0.15</w:t>
            </w:r>
          </w:p>
        </w:tc>
        <w:tc>
          <w:tcPr>
            <w:tcW w:w="0" w:type="auto"/>
            <w:vAlign w:val="center"/>
          </w:tcPr>
          <w:p w14:paraId="58DB184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2.31</w:t>
            </w:r>
          </w:p>
        </w:tc>
        <w:tc>
          <w:tcPr>
            <w:tcW w:w="0" w:type="auto"/>
            <w:vAlign w:val="center"/>
          </w:tcPr>
          <w:p w14:paraId="683F6549"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2,071</w:t>
            </w:r>
          </w:p>
        </w:tc>
        <w:tc>
          <w:tcPr>
            <w:tcW w:w="0" w:type="auto"/>
            <w:vAlign w:val="center"/>
          </w:tcPr>
          <w:p w14:paraId="631D874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-0.07</w:t>
            </w:r>
          </w:p>
        </w:tc>
        <w:tc>
          <w:tcPr>
            <w:tcW w:w="0" w:type="auto"/>
            <w:vAlign w:val="center"/>
          </w:tcPr>
          <w:p w14:paraId="7EDB5587"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1.98</w:t>
            </w:r>
          </w:p>
        </w:tc>
      </w:tr>
      <w:tr w:rsidR="00267849" w:rsidRPr="00550CA3" w14:paraId="1025B3DA" w14:textId="77777777" w:rsidTr="00550CA3">
        <w:trPr>
          <w:cantSplit/>
        </w:trPr>
        <w:tc>
          <w:tcPr>
            <w:tcW w:w="0" w:type="auto"/>
            <w:vAlign w:val="center"/>
          </w:tcPr>
          <w:p w14:paraId="575A54A3"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Waist circumference (cm)</w:t>
            </w:r>
          </w:p>
        </w:tc>
        <w:tc>
          <w:tcPr>
            <w:tcW w:w="0" w:type="auto"/>
            <w:vAlign w:val="center"/>
          </w:tcPr>
          <w:p w14:paraId="3F6DCC7A"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color w:val="000000"/>
                <w:sz w:val="12"/>
                <w:szCs w:val="16"/>
              </w:rPr>
              <w:t>0.01</w:t>
            </w:r>
          </w:p>
        </w:tc>
        <w:tc>
          <w:tcPr>
            <w:tcW w:w="0" w:type="auto"/>
            <w:vAlign w:val="center"/>
          </w:tcPr>
          <w:p w14:paraId="724A474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color w:val="000000"/>
                <w:sz w:val="12"/>
                <w:szCs w:val="16"/>
              </w:rPr>
              <w:t>-0.41</w:t>
            </w:r>
          </w:p>
        </w:tc>
        <w:tc>
          <w:tcPr>
            <w:tcW w:w="0" w:type="auto"/>
            <w:vAlign w:val="center"/>
          </w:tcPr>
          <w:p w14:paraId="269E2CCA"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0.963</w:t>
            </w:r>
          </w:p>
        </w:tc>
        <w:tc>
          <w:tcPr>
            <w:tcW w:w="0" w:type="auto"/>
            <w:shd w:val="clear" w:color="auto" w:fill="auto"/>
            <w:vAlign w:val="center"/>
          </w:tcPr>
          <w:p w14:paraId="1D2916BB"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0.031</w:t>
            </w:r>
          </w:p>
        </w:tc>
        <w:tc>
          <w:tcPr>
            <w:tcW w:w="0" w:type="auto"/>
            <w:vAlign w:val="center"/>
          </w:tcPr>
          <w:p w14:paraId="4C59B32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905</w:t>
            </w:r>
          </w:p>
        </w:tc>
        <w:tc>
          <w:tcPr>
            <w:tcW w:w="0" w:type="auto"/>
            <w:vAlign w:val="center"/>
          </w:tcPr>
          <w:p w14:paraId="283A303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0.10</w:t>
            </w:r>
          </w:p>
        </w:tc>
        <w:tc>
          <w:tcPr>
            <w:tcW w:w="0" w:type="auto"/>
            <w:vAlign w:val="center"/>
          </w:tcPr>
          <w:p w14:paraId="5B577F8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4.01</w:t>
            </w:r>
          </w:p>
        </w:tc>
        <w:tc>
          <w:tcPr>
            <w:tcW w:w="0" w:type="auto"/>
            <w:vAlign w:val="center"/>
          </w:tcPr>
          <w:p w14:paraId="46C4FD1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1,341</w:t>
            </w:r>
          </w:p>
        </w:tc>
        <w:tc>
          <w:tcPr>
            <w:tcW w:w="0" w:type="auto"/>
            <w:vAlign w:val="center"/>
          </w:tcPr>
          <w:p w14:paraId="0E2E5664"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0.11</w:t>
            </w:r>
          </w:p>
        </w:tc>
        <w:tc>
          <w:tcPr>
            <w:tcW w:w="0" w:type="auto"/>
            <w:vAlign w:val="center"/>
          </w:tcPr>
          <w:p w14:paraId="22B4F78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4.17</w:t>
            </w:r>
          </w:p>
        </w:tc>
        <w:tc>
          <w:tcPr>
            <w:tcW w:w="0" w:type="auto"/>
            <w:vAlign w:val="center"/>
          </w:tcPr>
          <w:p w14:paraId="138978B3"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1,216</w:t>
            </w:r>
          </w:p>
        </w:tc>
        <w:tc>
          <w:tcPr>
            <w:tcW w:w="0" w:type="auto"/>
            <w:vAlign w:val="center"/>
          </w:tcPr>
          <w:p w14:paraId="1BE81F6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-0.31</w:t>
            </w:r>
          </w:p>
        </w:tc>
        <w:tc>
          <w:tcPr>
            <w:tcW w:w="0" w:type="auto"/>
            <w:vAlign w:val="center"/>
          </w:tcPr>
          <w:p w14:paraId="33098AF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6.01</w:t>
            </w:r>
          </w:p>
        </w:tc>
      </w:tr>
      <w:tr w:rsidR="00267849" w:rsidRPr="00550CA3" w14:paraId="0620E4C1" w14:textId="77777777" w:rsidTr="00550CA3">
        <w:trPr>
          <w:cantSplit/>
        </w:trPr>
        <w:tc>
          <w:tcPr>
            <w:tcW w:w="0" w:type="auto"/>
            <w:vAlign w:val="center"/>
          </w:tcPr>
          <w:p w14:paraId="11715E8E"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PHQ-9 Depression (score out of 27)</w:t>
            </w:r>
          </w:p>
        </w:tc>
        <w:tc>
          <w:tcPr>
            <w:tcW w:w="0" w:type="auto"/>
            <w:vAlign w:val="center"/>
          </w:tcPr>
          <w:p w14:paraId="4545357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color w:val="000000"/>
                <w:sz w:val="12"/>
                <w:szCs w:val="16"/>
              </w:rPr>
              <w:t>-0.12</w:t>
            </w:r>
          </w:p>
        </w:tc>
        <w:tc>
          <w:tcPr>
            <w:tcW w:w="0" w:type="auto"/>
            <w:vAlign w:val="center"/>
          </w:tcPr>
          <w:p w14:paraId="0B20115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color w:val="000000"/>
                <w:sz w:val="12"/>
                <w:szCs w:val="16"/>
              </w:rPr>
              <w:t>-0.63</w:t>
            </w:r>
          </w:p>
        </w:tc>
        <w:tc>
          <w:tcPr>
            <w:tcW w:w="0" w:type="auto"/>
            <w:vAlign w:val="center"/>
          </w:tcPr>
          <w:p w14:paraId="6844D4B2"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0.701</w:t>
            </w:r>
          </w:p>
        </w:tc>
        <w:tc>
          <w:tcPr>
            <w:tcW w:w="0" w:type="auto"/>
            <w:shd w:val="clear" w:color="auto" w:fill="auto"/>
            <w:vAlign w:val="center"/>
          </w:tcPr>
          <w:p w14:paraId="33A0981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&lt;0.001</w:t>
            </w:r>
          </w:p>
        </w:tc>
        <w:tc>
          <w:tcPr>
            <w:tcW w:w="0" w:type="auto"/>
            <w:vAlign w:val="center"/>
          </w:tcPr>
          <w:p w14:paraId="32F69121"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1,395</w:t>
            </w:r>
          </w:p>
        </w:tc>
        <w:tc>
          <w:tcPr>
            <w:tcW w:w="0" w:type="auto"/>
            <w:vAlign w:val="center"/>
          </w:tcPr>
          <w:p w14:paraId="382A675F"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-0.02</w:t>
            </w:r>
          </w:p>
        </w:tc>
        <w:tc>
          <w:tcPr>
            <w:tcW w:w="0" w:type="auto"/>
            <w:vAlign w:val="center"/>
          </w:tcPr>
          <w:p w14:paraId="4DCC6CD2"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4.57</w:t>
            </w:r>
          </w:p>
        </w:tc>
        <w:tc>
          <w:tcPr>
            <w:tcW w:w="0" w:type="auto"/>
            <w:vAlign w:val="center"/>
          </w:tcPr>
          <w:p w14:paraId="36778ECE"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1,843</w:t>
            </w:r>
          </w:p>
        </w:tc>
        <w:tc>
          <w:tcPr>
            <w:tcW w:w="0" w:type="auto"/>
            <w:vAlign w:val="center"/>
          </w:tcPr>
          <w:p w14:paraId="23AE3880"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-0.14</w:t>
            </w:r>
          </w:p>
        </w:tc>
        <w:tc>
          <w:tcPr>
            <w:tcW w:w="0" w:type="auto"/>
            <w:vAlign w:val="center"/>
          </w:tcPr>
          <w:p w14:paraId="6DBA3ACC"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4.54</w:t>
            </w:r>
          </w:p>
        </w:tc>
        <w:tc>
          <w:tcPr>
            <w:tcW w:w="0" w:type="auto"/>
            <w:vAlign w:val="center"/>
          </w:tcPr>
          <w:p w14:paraId="1C6E9C12"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1,831</w:t>
            </w:r>
          </w:p>
        </w:tc>
        <w:tc>
          <w:tcPr>
            <w:tcW w:w="0" w:type="auto"/>
            <w:vAlign w:val="center"/>
          </w:tcPr>
          <w:p w14:paraId="5A663109"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-0.65</w:t>
            </w:r>
          </w:p>
        </w:tc>
        <w:tc>
          <w:tcPr>
            <w:tcW w:w="0" w:type="auto"/>
            <w:vAlign w:val="center"/>
          </w:tcPr>
          <w:p w14:paraId="1D73FF9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4.67</w:t>
            </w:r>
          </w:p>
        </w:tc>
      </w:tr>
      <w:tr w:rsidR="00267849" w:rsidRPr="00550CA3" w14:paraId="157F9610" w14:textId="77777777" w:rsidTr="00550CA3">
        <w:trPr>
          <w:cantSplit/>
        </w:trPr>
        <w:tc>
          <w:tcPr>
            <w:tcW w:w="0" w:type="auto"/>
            <w:vAlign w:val="center"/>
          </w:tcPr>
          <w:p w14:paraId="36F469A0" w14:textId="77777777" w:rsidR="00267849" w:rsidRPr="00550CA3" w:rsidRDefault="00267849" w:rsidP="00B363CB">
            <w:pPr>
              <w:spacing w:before="80" w:after="80" w:line="240" w:lineRule="auto"/>
              <w:rPr>
                <w:rFonts w:ascii="Arial" w:hAnsi="Arial" w:cs="Arial"/>
                <w:sz w:val="12"/>
                <w:szCs w:val="16"/>
              </w:rPr>
            </w:pPr>
            <w:r w:rsidRPr="00550CA3">
              <w:rPr>
                <w:rFonts w:ascii="Arial" w:hAnsi="Arial" w:cs="Arial"/>
                <w:sz w:val="12"/>
                <w:szCs w:val="16"/>
              </w:rPr>
              <w:t>AQOL total (score out of 1)</w:t>
            </w:r>
          </w:p>
        </w:tc>
        <w:tc>
          <w:tcPr>
            <w:tcW w:w="0" w:type="auto"/>
            <w:vAlign w:val="center"/>
          </w:tcPr>
          <w:p w14:paraId="5984EABA"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color w:val="000000"/>
                <w:sz w:val="12"/>
                <w:szCs w:val="16"/>
              </w:rPr>
              <w:t>-0.01</w:t>
            </w:r>
          </w:p>
        </w:tc>
        <w:tc>
          <w:tcPr>
            <w:tcW w:w="0" w:type="auto"/>
            <w:vAlign w:val="center"/>
          </w:tcPr>
          <w:p w14:paraId="5B2DC5F9"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color w:val="000000"/>
                <w:sz w:val="12"/>
                <w:szCs w:val="16"/>
              </w:rPr>
              <w:t>0.01</w:t>
            </w:r>
          </w:p>
        </w:tc>
        <w:tc>
          <w:tcPr>
            <w:tcW w:w="0" w:type="auto"/>
            <w:vAlign w:val="center"/>
          </w:tcPr>
          <w:p w14:paraId="0610CA9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0.327</w:t>
            </w:r>
          </w:p>
        </w:tc>
        <w:tc>
          <w:tcPr>
            <w:tcW w:w="0" w:type="auto"/>
            <w:tcBorders>
              <w:bottom w:val="single" w:sz="4" w:space="0" w:color="808080"/>
            </w:tcBorders>
            <w:shd w:val="clear" w:color="auto" w:fill="auto"/>
            <w:vAlign w:val="center"/>
          </w:tcPr>
          <w:p w14:paraId="4D3889E6"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0.130</w:t>
            </w:r>
          </w:p>
        </w:tc>
        <w:tc>
          <w:tcPr>
            <w:tcW w:w="0" w:type="auto"/>
            <w:vAlign w:val="center"/>
          </w:tcPr>
          <w:p w14:paraId="0D0F193F"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1,375</w:t>
            </w:r>
          </w:p>
        </w:tc>
        <w:tc>
          <w:tcPr>
            <w:tcW w:w="0" w:type="auto"/>
            <w:vAlign w:val="center"/>
          </w:tcPr>
          <w:p w14:paraId="17482D74"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-0.01</w:t>
            </w:r>
          </w:p>
        </w:tc>
        <w:tc>
          <w:tcPr>
            <w:tcW w:w="0" w:type="auto"/>
            <w:vAlign w:val="center"/>
          </w:tcPr>
          <w:p w14:paraId="47046B0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0.18</w:t>
            </w:r>
          </w:p>
        </w:tc>
        <w:tc>
          <w:tcPr>
            <w:tcW w:w="0" w:type="auto"/>
            <w:vAlign w:val="center"/>
          </w:tcPr>
          <w:p w14:paraId="0F8A7B48"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1,810</w:t>
            </w:r>
          </w:p>
        </w:tc>
        <w:tc>
          <w:tcPr>
            <w:tcW w:w="0" w:type="auto"/>
            <w:vAlign w:val="center"/>
          </w:tcPr>
          <w:p w14:paraId="4EA8322D"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-0.02</w:t>
            </w:r>
          </w:p>
        </w:tc>
        <w:tc>
          <w:tcPr>
            <w:tcW w:w="0" w:type="auto"/>
            <w:vAlign w:val="center"/>
          </w:tcPr>
          <w:p w14:paraId="2599CAF5"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0.19</w:t>
            </w:r>
          </w:p>
        </w:tc>
        <w:tc>
          <w:tcPr>
            <w:tcW w:w="0" w:type="auto"/>
            <w:vAlign w:val="center"/>
          </w:tcPr>
          <w:p w14:paraId="180BCDFB"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1,810</w:t>
            </w:r>
          </w:p>
        </w:tc>
        <w:tc>
          <w:tcPr>
            <w:tcW w:w="0" w:type="auto"/>
            <w:vAlign w:val="center"/>
          </w:tcPr>
          <w:p w14:paraId="17E9D9C6" w14:textId="77777777" w:rsidR="00267849" w:rsidRPr="00550CA3" w:rsidRDefault="00267849" w:rsidP="0079296B">
            <w:pPr>
              <w:spacing w:before="80" w:after="80" w:line="240" w:lineRule="auto"/>
              <w:jc w:val="right"/>
              <w:rPr>
                <w:rFonts w:ascii="Arial" w:hAnsi="Arial" w:cs="Arial"/>
                <w:sz w:val="12"/>
                <w:szCs w:val="16"/>
              </w:rPr>
            </w:pPr>
            <w:r w:rsidRPr="00550CA3">
              <w:rPr>
                <w:rFonts w:ascii="Arial" w:hAnsi="Arial" w:cs="Arial"/>
                <w:sz w:val="12"/>
                <w:szCs w:val="16"/>
              </w:rPr>
              <w:t>0.00</w:t>
            </w:r>
          </w:p>
        </w:tc>
        <w:tc>
          <w:tcPr>
            <w:tcW w:w="0" w:type="auto"/>
            <w:vAlign w:val="center"/>
          </w:tcPr>
          <w:p w14:paraId="01542E44" w14:textId="77777777" w:rsidR="00267849" w:rsidRPr="00550CA3" w:rsidRDefault="00267849" w:rsidP="00B363CB">
            <w:pPr>
              <w:spacing w:before="80" w:after="80" w:line="240" w:lineRule="auto"/>
              <w:jc w:val="right"/>
              <w:rPr>
                <w:rFonts w:ascii="Arial" w:hAnsi="Arial" w:cs="Arial"/>
                <w:sz w:val="12"/>
                <w:szCs w:val="16"/>
              </w:rPr>
            </w:pPr>
            <w:r w:rsidRPr="00550CA3">
              <w:rPr>
                <w:rFonts w:ascii="Arial" w:hAnsi="Arial" w:cs="Arial"/>
                <w:sz w:val="12"/>
                <w:szCs w:val="16"/>
              </w:rPr>
              <w:t>0.20</w:t>
            </w:r>
          </w:p>
        </w:tc>
      </w:tr>
      <w:tr w:rsidR="00267849" w:rsidRPr="00550CA3" w14:paraId="3F5A5B7F" w14:textId="77777777" w:rsidTr="00550CA3">
        <w:trPr>
          <w:cantSplit/>
        </w:trPr>
        <w:tc>
          <w:tcPr>
            <w:tcW w:w="0" w:type="auto"/>
            <w:vAlign w:val="center"/>
          </w:tcPr>
          <w:p w14:paraId="5AAC8F7F" w14:textId="77777777" w:rsidR="00267849" w:rsidRPr="00550CA3" w:rsidRDefault="00267849" w:rsidP="00107122">
            <w:pPr>
              <w:spacing w:before="80" w:after="80" w:line="240" w:lineRule="auto"/>
              <w:rPr>
                <w:rFonts w:ascii="Arial" w:hAnsi="Arial" w:cs="Arial"/>
                <w:sz w:val="12"/>
                <w:szCs w:val="16"/>
              </w:rPr>
            </w:pPr>
            <w:r w:rsidRPr="00550CA3">
              <w:rPr>
                <w:rFonts w:ascii="Arial" w:hAnsi="Arial" w:cs="Arial"/>
                <w:sz w:val="12"/>
                <w:szCs w:val="16"/>
              </w:rPr>
              <w:t>Diabetes-related stress (score out of 80)</w:t>
            </w:r>
          </w:p>
        </w:tc>
        <w:tc>
          <w:tcPr>
            <w:tcW w:w="0" w:type="auto"/>
            <w:vAlign w:val="center"/>
          </w:tcPr>
          <w:p w14:paraId="2909DC82"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0.04</w:t>
            </w:r>
          </w:p>
        </w:tc>
        <w:tc>
          <w:tcPr>
            <w:tcW w:w="0" w:type="auto"/>
            <w:vAlign w:val="center"/>
          </w:tcPr>
          <w:p w14:paraId="7A5D2F74"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-1.33</w:t>
            </w:r>
          </w:p>
        </w:tc>
        <w:tc>
          <w:tcPr>
            <w:tcW w:w="0" w:type="auto"/>
            <w:vAlign w:val="center"/>
          </w:tcPr>
          <w:p w14:paraId="63F2793D"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0.919</w:t>
            </w:r>
          </w:p>
        </w:tc>
        <w:tc>
          <w:tcPr>
            <w:tcW w:w="0" w:type="auto"/>
            <w:shd w:val="clear" w:color="auto" w:fill="auto"/>
            <w:vAlign w:val="center"/>
          </w:tcPr>
          <w:p w14:paraId="6821FBFD"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&lt;0.001</w:t>
            </w:r>
          </w:p>
        </w:tc>
        <w:tc>
          <w:tcPr>
            <w:tcW w:w="0" w:type="auto"/>
            <w:vAlign w:val="center"/>
          </w:tcPr>
          <w:p w14:paraId="7ACD0926"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1,374</w:t>
            </w:r>
          </w:p>
        </w:tc>
        <w:tc>
          <w:tcPr>
            <w:tcW w:w="0" w:type="auto"/>
            <w:vAlign w:val="center"/>
          </w:tcPr>
          <w:p w14:paraId="26E4FAC1"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-0.51</w:t>
            </w:r>
          </w:p>
        </w:tc>
        <w:tc>
          <w:tcPr>
            <w:tcW w:w="0" w:type="auto"/>
            <w:vAlign w:val="center"/>
          </w:tcPr>
          <w:p w14:paraId="39749302"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9.98</w:t>
            </w:r>
          </w:p>
        </w:tc>
        <w:tc>
          <w:tcPr>
            <w:tcW w:w="0" w:type="auto"/>
            <w:vAlign w:val="center"/>
          </w:tcPr>
          <w:p w14:paraId="483885D9"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1,806</w:t>
            </w:r>
          </w:p>
        </w:tc>
        <w:tc>
          <w:tcPr>
            <w:tcW w:w="0" w:type="auto"/>
            <w:vAlign w:val="center"/>
          </w:tcPr>
          <w:p w14:paraId="3B73B2AB"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-0.47</w:t>
            </w:r>
          </w:p>
        </w:tc>
        <w:tc>
          <w:tcPr>
            <w:tcW w:w="0" w:type="auto"/>
            <w:vAlign w:val="center"/>
          </w:tcPr>
          <w:p w14:paraId="609A25FB"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10.82</w:t>
            </w:r>
          </w:p>
        </w:tc>
        <w:tc>
          <w:tcPr>
            <w:tcW w:w="0" w:type="auto"/>
            <w:vAlign w:val="center"/>
          </w:tcPr>
          <w:p w14:paraId="14B0028D"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1,789</w:t>
            </w:r>
          </w:p>
        </w:tc>
        <w:tc>
          <w:tcPr>
            <w:tcW w:w="0" w:type="auto"/>
            <w:vAlign w:val="center"/>
          </w:tcPr>
          <w:p w14:paraId="3F5E9212"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-1.84</w:t>
            </w:r>
          </w:p>
        </w:tc>
        <w:tc>
          <w:tcPr>
            <w:tcW w:w="0" w:type="auto"/>
            <w:vAlign w:val="center"/>
          </w:tcPr>
          <w:p w14:paraId="2A1694E2" w14:textId="77777777" w:rsidR="00267849" w:rsidRPr="00550CA3" w:rsidRDefault="00267849" w:rsidP="00107122">
            <w:pPr>
              <w:spacing w:before="80" w:after="80" w:line="240" w:lineRule="auto"/>
              <w:jc w:val="right"/>
              <w:rPr>
                <w:rFonts w:ascii="Arial" w:hAnsi="Arial" w:cs="Arial"/>
                <w:sz w:val="12"/>
                <w:szCs w:val="16"/>
              </w:rPr>
            </w:pPr>
            <w:r w:rsidRPr="00550CA3">
              <w:rPr>
                <w:rFonts w:ascii="Arial" w:hAnsi="Arial" w:cs="Arial"/>
                <w:sz w:val="12"/>
                <w:szCs w:val="16"/>
              </w:rPr>
              <w:t>11.22</w:t>
            </w:r>
          </w:p>
        </w:tc>
      </w:tr>
    </w:tbl>
    <w:p w14:paraId="0874F639" w14:textId="77777777" w:rsidR="008645BE" w:rsidRPr="00550CA3" w:rsidRDefault="008645BE" w:rsidP="008645BE">
      <w:pPr>
        <w:rPr>
          <w:rFonts w:cs="Arial"/>
          <w:sz w:val="16"/>
          <w:szCs w:val="16"/>
        </w:rPr>
        <w:sectPr w:rsidR="008645BE" w:rsidRPr="00550CA3" w:rsidSect="006F43C4">
          <w:headerReference w:type="default" r:id="rId29"/>
          <w:pgSz w:w="16838" w:h="11906" w:orient="landscape" w:code="9"/>
          <w:pgMar w:top="1021" w:right="1440" w:bottom="964" w:left="1440" w:header="709" w:footer="680" w:gutter="0"/>
          <w:pgBorders w:offsetFrom="page">
            <w:top w:val="none" w:sz="0" w:space="0" w:color="000000"/>
            <w:left w:val="none" w:sz="0" w:space="0" w:color="000000"/>
            <w:bottom w:val="none" w:sz="0" w:space="0" w:color="000000"/>
            <w:right w:val="none" w:sz="0" w:space="0" w:color="000000"/>
          </w:pgBorders>
          <w:cols w:space="708"/>
          <w:docGrid w:linePitch="360"/>
        </w:sectPr>
      </w:pPr>
      <w:r w:rsidRPr="00550CA3">
        <w:rPr>
          <w:rFonts w:cs="Arial"/>
          <w:sz w:val="16"/>
          <w:szCs w:val="16"/>
        </w:rPr>
        <w:t xml:space="preserve">*Based on </w:t>
      </w:r>
      <w:r w:rsidR="00C72E3F" w:rsidRPr="00550CA3">
        <w:rPr>
          <w:rFonts w:cs="Arial"/>
          <w:sz w:val="16"/>
          <w:szCs w:val="16"/>
        </w:rPr>
        <w:t xml:space="preserve">a </w:t>
      </w:r>
      <w:r w:rsidRPr="00550CA3">
        <w:rPr>
          <w:rFonts w:cs="Arial"/>
          <w:sz w:val="16"/>
          <w:szCs w:val="16"/>
        </w:rPr>
        <w:t>linear mixed effects model</w:t>
      </w:r>
      <w:r w:rsidR="00231F6C" w:rsidRPr="00550CA3">
        <w:rPr>
          <w:rFonts w:cs="Arial"/>
          <w:sz w:val="16"/>
          <w:szCs w:val="16"/>
        </w:rPr>
        <w:t>,</w:t>
      </w:r>
      <w:r w:rsidRPr="00550CA3">
        <w:rPr>
          <w:rFonts w:cs="Arial"/>
          <w:sz w:val="16"/>
          <w:szCs w:val="16"/>
        </w:rPr>
        <w:t xml:space="preserve"> adjusting for ARIA score and clustering by GP practice and </w:t>
      </w:r>
      <w:r w:rsidR="00A83B18" w:rsidRPr="00550CA3">
        <w:rPr>
          <w:rFonts w:cs="Arial"/>
          <w:sz w:val="16"/>
          <w:szCs w:val="16"/>
        </w:rPr>
        <w:t>participant</w:t>
      </w:r>
      <w:r w:rsidRPr="00550CA3">
        <w:rPr>
          <w:rFonts w:cs="Arial"/>
          <w:sz w:val="16"/>
          <w:szCs w:val="16"/>
        </w:rPr>
        <w:t xml:space="preserve"> </w:t>
      </w:r>
    </w:p>
    <w:p w14:paraId="0A16AF71" w14:textId="77777777" w:rsidR="003A6FBD" w:rsidRPr="002F75C5" w:rsidRDefault="003D2506" w:rsidP="003A6FBD">
      <w:pPr>
        <w:rPr>
          <w:rFonts w:eastAsiaTheme="minorHAnsi"/>
        </w:rPr>
      </w:pPr>
      <w:r w:rsidRPr="00F36A0F">
        <w:rPr>
          <w:rFonts w:eastAsiaTheme="minorHAnsi"/>
        </w:rPr>
        <w:lastRenderedPageBreak/>
        <w:t xml:space="preserve">The improvement in HbA1c levels in Group 2 was most pronounced </w:t>
      </w:r>
      <w:r w:rsidR="00C72E3F">
        <w:rPr>
          <w:rFonts w:eastAsiaTheme="minorHAnsi"/>
        </w:rPr>
        <w:t>among</w:t>
      </w:r>
      <w:r w:rsidRPr="00F36A0F">
        <w:rPr>
          <w:rFonts w:eastAsiaTheme="minorHAnsi"/>
        </w:rPr>
        <w:t xml:space="preserve"> the mo</w:t>
      </w:r>
      <w:r w:rsidR="00FC1C5E">
        <w:rPr>
          <w:rFonts w:eastAsiaTheme="minorHAnsi"/>
        </w:rPr>
        <w:t>st out</w:t>
      </w:r>
      <w:r w:rsidR="00C72E3F">
        <w:rPr>
          <w:rFonts w:eastAsiaTheme="minorHAnsi"/>
        </w:rPr>
        <w:t>-of-</w:t>
      </w:r>
      <w:r w:rsidR="00FC1C5E">
        <w:rPr>
          <w:rFonts w:eastAsiaTheme="minorHAnsi"/>
        </w:rPr>
        <w:t>range people (Figure 17</w:t>
      </w:r>
      <w:r w:rsidRPr="00F36A0F">
        <w:rPr>
          <w:rFonts w:eastAsiaTheme="minorHAnsi"/>
        </w:rPr>
        <w:t>). Mean HbA1c</w:t>
      </w:r>
      <w:r w:rsidR="00BD6095">
        <w:rPr>
          <w:rFonts w:eastAsiaTheme="minorHAnsi"/>
        </w:rPr>
        <w:t xml:space="preserve"> levels in Group 2 </w:t>
      </w:r>
      <w:r w:rsidR="00005A54">
        <w:rPr>
          <w:rFonts w:eastAsiaTheme="minorHAnsi"/>
        </w:rPr>
        <w:t>changed</w:t>
      </w:r>
      <w:r w:rsidR="00BD6095">
        <w:rPr>
          <w:rFonts w:eastAsiaTheme="minorHAnsi"/>
        </w:rPr>
        <w:t xml:space="preserve"> by -</w:t>
      </w:r>
      <w:r w:rsidR="00A54C18">
        <w:rPr>
          <w:rFonts w:eastAsiaTheme="minorHAnsi"/>
        </w:rPr>
        <w:t>0.19</w:t>
      </w:r>
      <w:r w:rsidRPr="00F36A0F">
        <w:rPr>
          <w:rFonts w:eastAsiaTheme="minorHAnsi"/>
        </w:rPr>
        <w:t xml:space="preserve"> percentage points overall compared to the Control Group</w:t>
      </w:r>
      <w:r w:rsidR="00FF7EB6">
        <w:rPr>
          <w:rFonts w:eastAsiaTheme="minorHAnsi"/>
        </w:rPr>
        <w:t>,</w:t>
      </w:r>
      <w:r w:rsidRPr="00F36A0F">
        <w:rPr>
          <w:rFonts w:eastAsiaTheme="minorHAnsi"/>
        </w:rPr>
        <w:t xml:space="preserve"> but the decrease was larger for those with higher starting levels of HbA1c. For example, people with HbA1c levels greater than or equal to 9.0 percent and 10.0 percent at baseline showed a change in mean HbA1c </w:t>
      </w:r>
      <w:r w:rsidR="00A54C18">
        <w:rPr>
          <w:rFonts w:eastAsiaTheme="minorHAnsi"/>
        </w:rPr>
        <w:t>of -0.</w:t>
      </w:r>
      <w:r w:rsidR="009217CA">
        <w:rPr>
          <w:rFonts w:eastAsiaTheme="minorHAnsi"/>
        </w:rPr>
        <w:t xml:space="preserve">59 </w:t>
      </w:r>
      <w:r w:rsidR="00A54C18">
        <w:rPr>
          <w:rFonts w:eastAsiaTheme="minorHAnsi"/>
        </w:rPr>
        <w:t>percentage points (p=0.001</w:t>
      </w:r>
      <w:r w:rsidRPr="00F36A0F">
        <w:rPr>
          <w:rFonts w:eastAsiaTheme="minorHAnsi"/>
        </w:rPr>
        <w:t xml:space="preserve">) </w:t>
      </w:r>
      <w:r w:rsidR="00A54C18">
        <w:rPr>
          <w:rFonts w:eastAsiaTheme="minorHAnsi"/>
        </w:rPr>
        <w:t>and -</w:t>
      </w:r>
      <w:r w:rsidR="009217CA">
        <w:rPr>
          <w:rFonts w:eastAsiaTheme="minorHAnsi"/>
        </w:rPr>
        <w:t>0.61</w:t>
      </w:r>
      <w:r w:rsidR="00A54C18">
        <w:rPr>
          <w:rFonts w:eastAsiaTheme="minorHAnsi"/>
        </w:rPr>
        <w:t xml:space="preserve"> percentage points (p=0.036</w:t>
      </w:r>
      <w:r w:rsidRPr="00F36A0F">
        <w:rPr>
          <w:rFonts w:eastAsiaTheme="minorHAnsi"/>
        </w:rPr>
        <w:t>)</w:t>
      </w:r>
      <w:r w:rsidR="00C52EF0">
        <w:rPr>
          <w:rFonts w:eastAsiaTheme="minorHAnsi"/>
        </w:rPr>
        <w:t>,</w:t>
      </w:r>
      <w:r w:rsidRPr="00F36A0F">
        <w:rPr>
          <w:rFonts w:eastAsiaTheme="minorHAnsi"/>
        </w:rPr>
        <w:t xml:space="preserve"> respectively</w:t>
      </w:r>
      <w:r w:rsidR="00C52EF0">
        <w:rPr>
          <w:rFonts w:eastAsiaTheme="minorHAnsi"/>
        </w:rPr>
        <w:t>,</w:t>
      </w:r>
      <w:r w:rsidRPr="00F36A0F">
        <w:rPr>
          <w:rFonts w:eastAsiaTheme="minorHAnsi"/>
        </w:rPr>
        <w:t xml:space="preserve"> compared to </w:t>
      </w:r>
      <w:r w:rsidR="00C52EF0">
        <w:rPr>
          <w:rFonts w:eastAsiaTheme="minorHAnsi"/>
        </w:rPr>
        <w:t xml:space="preserve">the </w:t>
      </w:r>
      <w:r w:rsidRPr="00F36A0F">
        <w:rPr>
          <w:rFonts w:eastAsiaTheme="minorHAnsi"/>
        </w:rPr>
        <w:t>Control Group. The p</w:t>
      </w:r>
      <w:r w:rsidR="00A54C18">
        <w:rPr>
          <w:rFonts w:eastAsiaTheme="minorHAnsi"/>
        </w:rPr>
        <w:t>ercentage of people with HbA1c greater than</w:t>
      </w:r>
      <w:r w:rsidRPr="00F36A0F">
        <w:rPr>
          <w:rFonts w:eastAsiaTheme="minorHAnsi"/>
        </w:rPr>
        <w:t xml:space="preserve"> 7.5 percent decreased from 31 percent at baseline to 25 percent </w:t>
      </w:r>
      <w:r w:rsidR="00C52EF0">
        <w:rPr>
          <w:rFonts w:eastAsiaTheme="minorHAnsi"/>
        </w:rPr>
        <w:t>at the end of the trial period</w:t>
      </w:r>
      <w:r w:rsidRPr="00F36A0F">
        <w:rPr>
          <w:rFonts w:eastAsiaTheme="minorHAnsi"/>
        </w:rPr>
        <w:t xml:space="preserve"> (an 18 percent decrease in the siz</w:t>
      </w:r>
      <w:r w:rsidR="00C52EF0">
        <w:rPr>
          <w:rFonts w:eastAsiaTheme="minorHAnsi"/>
        </w:rPr>
        <w:t>e of the out-of-range group, p&lt;0.001</w:t>
      </w:r>
      <w:r w:rsidRPr="00F36A0F">
        <w:rPr>
          <w:rFonts w:eastAsiaTheme="minorHAnsi"/>
        </w:rPr>
        <w:t xml:space="preserve">) (Figure </w:t>
      </w:r>
      <w:r w:rsidR="00A54C18">
        <w:rPr>
          <w:rFonts w:eastAsiaTheme="minorHAnsi"/>
        </w:rPr>
        <w:t>18</w:t>
      </w:r>
      <w:r w:rsidRPr="00F36A0F">
        <w:rPr>
          <w:rFonts w:eastAsiaTheme="minorHAnsi"/>
        </w:rPr>
        <w:t xml:space="preserve">). In Group 2, improvement in HbA1c was seen in people with both type 1 </w:t>
      </w:r>
      <w:r w:rsidR="00C52EF0">
        <w:rPr>
          <w:rFonts w:eastAsiaTheme="minorHAnsi"/>
        </w:rPr>
        <w:t xml:space="preserve">diabetes </w:t>
      </w:r>
      <w:r w:rsidRPr="00F36A0F">
        <w:rPr>
          <w:rFonts w:eastAsiaTheme="minorHAnsi"/>
        </w:rPr>
        <w:t xml:space="preserve">(-0.39 percentage points relative to </w:t>
      </w:r>
      <w:r w:rsidR="00C52EF0">
        <w:rPr>
          <w:rFonts w:eastAsiaTheme="minorHAnsi"/>
        </w:rPr>
        <w:t>the Control Group</w:t>
      </w:r>
      <w:r w:rsidRPr="00F36A0F">
        <w:rPr>
          <w:rFonts w:eastAsiaTheme="minorHAnsi"/>
        </w:rPr>
        <w:t xml:space="preserve">, p=0.001) and type 2 </w:t>
      </w:r>
      <w:r w:rsidR="00C52EF0">
        <w:rPr>
          <w:rFonts w:eastAsiaTheme="minorHAnsi"/>
        </w:rPr>
        <w:t xml:space="preserve">diabetes </w:t>
      </w:r>
      <w:r w:rsidR="00C85436">
        <w:rPr>
          <w:rFonts w:eastAsiaTheme="minorHAnsi"/>
        </w:rPr>
        <w:t xml:space="preserve">  </w:t>
      </w:r>
      <w:r w:rsidRPr="00F36A0F">
        <w:rPr>
          <w:rFonts w:eastAsiaTheme="minorHAnsi"/>
        </w:rPr>
        <w:t xml:space="preserve">(-0.18 percentage points relative to </w:t>
      </w:r>
      <w:r w:rsidR="00FF7EB6">
        <w:rPr>
          <w:rFonts w:eastAsiaTheme="minorHAnsi"/>
        </w:rPr>
        <w:t>the Control Group</w:t>
      </w:r>
      <w:r w:rsidRPr="00F36A0F">
        <w:rPr>
          <w:rFonts w:eastAsiaTheme="minorHAnsi"/>
        </w:rPr>
        <w:t>, p&lt;0.001), but the Group 1 intervention made no difference in either cohort (0.07 percentage points for type 1</w:t>
      </w:r>
      <w:r w:rsidR="00FF7EB6">
        <w:rPr>
          <w:rFonts w:eastAsiaTheme="minorHAnsi"/>
        </w:rPr>
        <w:t xml:space="preserve"> diabetes</w:t>
      </w:r>
      <w:r w:rsidRPr="00F36A0F">
        <w:rPr>
          <w:rFonts w:eastAsiaTheme="minorHAnsi"/>
        </w:rPr>
        <w:t>, p=0.854; -0.02 percentage points for type 2</w:t>
      </w:r>
      <w:r w:rsidR="00FF7EB6">
        <w:rPr>
          <w:rFonts w:eastAsiaTheme="minorHAnsi"/>
        </w:rPr>
        <w:t xml:space="preserve"> diabetes</w:t>
      </w:r>
      <w:r w:rsidRPr="00F36A0F">
        <w:rPr>
          <w:rFonts w:eastAsiaTheme="minorHAnsi"/>
        </w:rPr>
        <w:t>, p=0.590).</w:t>
      </w:r>
    </w:p>
    <w:p w14:paraId="23554783" w14:textId="77777777" w:rsidR="009217CA" w:rsidRDefault="009217CA" w:rsidP="00E511C9">
      <w:pPr>
        <w:pStyle w:val="60exhnormal"/>
      </w:pPr>
      <w:r>
        <w:t>FIGURE 17</w:t>
      </w:r>
    </w:p>
    <w:p w14:paraId="19A52EAE" w14:textId="77777777" w:rsidR="002F75C5" w:rsidRDefault="002F75C5" w:rsidP="00E511C9">
      <w:pPr>
        <w:pStyle w:val="60exhnormal"/>
        <w:jc w:val="center"/>
      </w:pPr>
      <w:r>
        <w:rPr>
          <w:noProof/>
          <w:lang w:eastAsia="en-AU"/>
        </w:rPr>
        <w:drawing>
          <wp:inline distT="0" distB="0" distL="0" distR="0" wp14:anchorId="171D6E13" wp14:editId="545FECA0">
            <wp:extent cx="4906645" cy="3679825"/>
            <wp:effectExtent l="0" t="0" r="8255" b="0"/>
            <wp:docPr id="12" name="Picture 12" descr="Figure 17 is a list charting the HbA1c mean change from baseline for Group 2 compared to control. Overall, Group 2 participants showed a 0.19 percent decrease in HbA1c, relative to the Control Group, but improvement in HbA1c levels was most pronounced among the most out-of-range people. For example, participants with an HbA1c greater than or equal to ten percent showed an average decrease in HbA1c of 1.37 percent, relative to the Control Group. Similarly, those with an HbA1c greater than or equal to nine percent showed an average decrease in HbA1c of 0.88 percent, relative to the Control Group. In contrast, participants who were already within range for HbA1c showed the smallest decrease in HbA1c of 0.06 percent, relative to the Control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70FC84A0" w14:textId="77777777" w:rsidR="00C52EF0" w:rsidRDefault="00C52EF0">
      <w:pPr>
        <w:pStyle w:val="60exhnormal"/>
        <w:keepNext/>
      </w:pPr>
      <w:r>
        <w:lastRenderedPageBreak/>
        <w:t xml:space="preserve">figure </w:t>
      </w:r>
      <w:r w:rsidR="008934DB">
        <w:t>18</w:t>
      </w:r>
    </w:p>
    <w:p w14:paraId="2278EFE7" w14:textId="77777777" w:rsidR="002F75C5" w:rsidRDefault="002F75C5" w:rsidP="002F75C5">
      <w:pPr>
        <w:pStyle w:val="60exhnormal"/>
        <w:keepNext/>
        <w:jc w:val="center"/>
      </w:pPr>
      <w:r>
        <w:rPr>
          <w:noProof/>
          <w:lang w:eastAsia="en-AU"/>
        </w:rPr>
        <w:drawing>
          <wp:inline distT="0" distB="0" distL="0" distR="0" wp14:anchorId="346F8BA8" wp14:editId="6DF50234">
            <wp:extent cx="4906645" cy="3679825"/>
            <wp:effectExtent l="0" t="0" r="8255" b="0"/>
            <wp:docPr id="295" name="Picture 295" descr="Figure 18 Column chart: Change in patients out of range on HbA1c. In Group 2, the percentage of people with HbA1c levels greater than 7.5 percent decreased from 31 percent at baseline to 25 percent at the end of the trial period—an 18 percent decrease in the percentage of people who were out of range for HbA1c. This decrease was statistically significant (p&lt;0.001). In Group 1, the percentage of people with HbA1c levels greater than 7.5 percent remained unchanged, and in the Control Group, the percentage increased by five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2F2E6088" w14:textId="77777777" w:rsidR="003D2506" w:rsidRPr="00F36A0F" w:rsidRDefault="003D2506" w:rsidP="00DA6CB0">
      <w:pPr>
        <w:keepNext/>
        <w:rPr>
          <w:rFonts w:eastAsiaTheme="minorHAnsi"/>
        </w:rPr>
      </w:pPr>
      <w:r w:rsidRPr="00F36A0F">
        <w:rPr>
          <w:rFonts w:eastAsiaTheme="minorHAnsi"/>
        </w:rPr>
        <w:t xml:space="preserve">There were also small improvements </w:t>
      </w:r>
      <w:r w:rsidR="00F107EF">
        <w:rPr>
          <w:rFonts w:eastAsiaTheme="minorHAnsi"/>
        </w:rPr>
        <w:t>in</w:t>
      </w:r>
      <w:r w:rsidR="00F107EF" w:rsidRPr="00F36A0F">
        <w:rPr>
          <w:rFonts w:eastAsiaTheme="minorHAnsi"/>
        </w:rPr>
        <w:t xml:space="preserve"> </w:t>
      </w:r>
      <w:r w:rsidRPr="00F36A0F">
        <w:rPr>
          <w:rFonts w:eastAsiaTheme="minorHAnsi"/>
        </w:rPr>
        <w:t xml:space="preserve">a number of metabolic indicators measured as secondary </w:t>
      </w:r>
      <w:r w:rsidR="00C63630">
        <w:rPr>
          <w:rFonts w:eastAsiaTheme="minorHAnsi"/>
        </w:rPr>
        <w:t xml:space="preserve">clinical </w:t>
      </w:r>
      <w:r w:rsidRPr="00F36A0F">
        <w:rPr>
          <w:rFonts w:eastAsiaTheme="minorHAnsi"/>
        </w:rPr>
        <w:t xml:space="preserve">outcomes in Group 2 (Table </w:t>
      </w:r>
      <w:r w:rsidR="00A54C18">
        <w:rPr>
          <w:rFonts w:eastAsiaTheme="minorHAnsi"/>
        </w:rPr>
        <w:t>3</w:t>
      </w:r>
      <w:r w:rsidRPr="00F36A0F">
        <w:rPr>
          <w:rFonts w:eastAsiaTheme="minorHAnsi"/>
        </w:rPr>
        <w:t xml:space="preserve">). The metrics that showed statistically significant improvements were systolic blood pressure (-1.11mmHg, p=0.045), total cholesterol (-0.07, p=0.012), LDL (-0.06mmol/L, </w:t>
      </w:r>
      <w:r w:rsidR="00AD7A25">
        <w:rPr>
          <w:rFonts w:eastAsiaTheme="minorHAnsi"/>
        </w:rPr>
        <w:t>p=0.005),</w:t>
      </w:r>
      <w:r w:rsidR="00EA4B16">
        <w:rPr>
          <w:rFonts w:eastAsiaTheme="minorHAnsi"/>
        </w:rPr>
        <w:t xml:space="preserve"> triglycerides (</w:t>
      </w:r>
      <w:r w:rsidR="006A09B3">
        <w:rPr>
          <w:rFonts w:eastAsiaTheme="minorHAnsi"/>
        </w:rPr>
        <w:t>-0.07mmol/L, p=0.007),</w:t>
      </w:r>
      <w:r w:rsidR="00AD7A25">
        <w:rPr>
          <w:rFonts w:eastAsiaTheme="minorHAnsi"/>
        </w:rPr>
        <w:t xml:space="preserve"> </w:t>
      </w:r>
      <w:r w:rsidR="00EA4B16" w:rsidRPr="00F36A0F">
        <w:rPr>
          <w:rFonts w:eastAsiaTheme="minorHAnsi"/>
        </w:rPr>
        <w:t xml:space="preserve">waist circumference (-0.41cm, p=0.031), </w:t>
      </w:r>
      <w:r w:rsidR="00AD7A25">
        <w:rPr>
          <w:rFonts w:eastAsiaTheme="minorHAnsi"/>
        </w:rPr>
        <w:t xml:space="preserve">PHQ-9 depression score </w:t>
      </w:r>
      <w:r w:rsidR="00EF5AFE">
        <w:rPr>
          <w:rFonts w:eastAsiaTheme="minorHAnsi"/>
        </w:rPr>
        <w:br/>
      </w:r>
      <w:r w:rsidR="00AD7A25">
        <w:rPr>
          <w:rFonts w:eastAsiaTheme="minorHAnsi"/>
        </w:rPr>
        <w:t>(</w:t>
      </w:r>
      <w:r w:rsidR="00912771">
        <w:rPr>
          <w:rFonts w:eastAsiaTheme="minorHAnsi"/>
        </w:rPr>
        <w:t>-0.63 points, p&lt;0.001)</w:t>
      </w:r>
      <w:r w:rsidR="006A09B3">
        <w:rPr>
          <w:rFonts w:eastAsiaTheme="minorHAnsi"/>
        </w:rPr>
        <w:t>, and diabetes-related stress (</w:t>
      </w:r>
      <w:r w:rsidR="00805D73">
        <w:rPr>
          <w:rFonts w:eastAsiaTheme="minorHAnsi"/>
        </w:rPr>
        <w:t>-1.33 points, p&lt;0.001)</w:t>
      </w:r>
      <w:r w:rsidRPr="00F36A0F">
        <w:rPr>
          <w:rFonts w:eastAsiaTheme="minorHAnsi"/>
        </w:rPr>
        <w:t xml:space="preserve">. In Group 1, the only secondary outcomes that showed improvement were renal function with reductions in serum creatinine </w:t>
      </w:r>
      <w:r w:rsidR="00E76532">
        <w:rPr>
          <w:rFonts w:eastAsiaTheme="minorHAnsi"/>
        </w:rPr>
        <w:t>(-1.69</w:t>
      </w:r>
      <w:r w:rsidR="006A09B3">
        <w:rPr>
          <w:rFonts w:eastAsiaTheme="minorHAnsi"/>
        </w:rPr>
        <w:t>µ</w:t>
      </w:r>
      <w:r w:rsidR="00E76532">
        <w:rPr>
          <w:rFonts w:eastAsiaTheme="minorHAnsi"/>
        </w:rPr>
        <w:t xml:space="preserve">mol/L, p&lt;0.001) and </w:t>
      </w:r>
      <w:r w:rsidRPr="00F36A0F">
        <w:rPr>
          <w:rFonts w:eastAsiaTheme="minorHAnsi"/>
        </w:rPr>
        <w:t xml:space="preserve">improvement in </w:t>
      </w:r>
      <w:r w:rsidR="00F107EF">
        <w:rPr>
          <w:rFonts w:eastAsiaTheme="minorHAnsi"/>
        </w:rPr>
        <w:t>glomerular filtration rate (</w:t>
      </w:r>
      <w:r w:rsidRPr="00F36A0F">
        <w:rPr>
          <w:rFonts w:eastAsiaTheme="minorHAnsi"/>
        </w:rPr>
        <w:t>GFR</w:t>
      </w:r>
      <w:r w:rsidR="00F107EF">
        <w:rPr>
          <w:rFonts w:eastAsiaTheme="minorHAnsi"/>
        </w:rPr>
        <w:t>)</w:t>
      </w:r>
      <w:r w:rsidRPr="00F36A0F">
        <w:rPr>
          <w:rFonts w:eastAsiaTheme="minorHAnsi"/>
        </w:rPr>
        <w:t xml:space="preserve"> (1.44 ml/min/1.73</w:t>
      </w:r>
      <w:r w:rsidR="00E76532">
        <w:rPr>
          <w:rFonts w:eastAsiaTheme="minorHAnsi"/>
        </w:rPr>
        <w:t xml:space="preserve">m2 body surface area , p&lt;0.001). </w:t>
      </w:r>
    </w:p>
    <w:p w14:paraId="213A1780" w14:textId="77777777" w:rsidR="008645BE" w:rsidRPr="00F36A0F" w:rsidRDefault="003D2506" w:rsidP="003D2506">
      <w:pPr>
        <w:rPr>
          <w:rFonts w:eastAsiaTheme="minorHAnsi"/>
        </w:rPr>
      </w:pPr>
      <w:r w:rsidRPr="00F36A0F">
        <w:rPr>
          <w:rFonts w:eastAsiaTheme="minorHAnsi"/>
        </w:rPr>
        <w:t>People’s psychological well</w:t>
      </w:r>
      <w:r w:rsidR="00F107EF">
        <w:rPr>
          <w:rFonts w:eastAsiaTheme="minorHAnsi"/>
        </w:rPr>
        <w:t>-</w:t>
      </w:r>
      <w:r w:rsidRPr="00F36A0F">
        <w:rPr>
          <w:rFonts w:eastAsiaTheme="minorHAnsi"/>
        </w:rPr>
        <w:t>being also improved in Group 2. At the start of the trial, 20</w:t>
      </w:r>
      <w:r w:rsidR="000E2205">
        <w:rPr>
          <w:rFonts w:eastAsiaTheme="minorHAnsi"/>
        </w:rPr>
        <w:t xml:space="preserve"> </w:t>
      </w:r>
      <w:r w:rsidRPr="00F36A0F">
        <w:rPr>
          <w:rFonts w:eastAsiaTheme="minorHAnsi"/>
        </w:rPr>
        <w:t xml:space="preserve">percent of people across the study had moderate to severe depression (defined as a score of &gt;9 out of 27 on the PHQ-9 scale). This cohort of people had higher HbA1c compared to other participants (7.59 percent </w:t>
      </w:r>
      <w:r w:rsidR="00971B3E">
        <w:rPr>
          <w:rFonts w:eastAsiaTheme="minorHAnsi"/>
        </w:rPr>
        <w:t>versus</w:t>
      </w:r>
      <w:r w:rsidRPr="00F36A0F">
        <w:rPr>
          <w:rFonts w:eastAsiaTheme="minorHAnsi"/>
        </w:rPr>
        <w:t xml:space="preserve"> 7.16 percent) and cost $2,421 </w:t>
      </w:r>
      <w:r w:rsidR="00F107EF">
        <w:rPr>
          <w:rFonts w:eastAsiaTheme="minorHAnsi"/>
        </w:rPr>
        <w:t>(</w:t>
      </w:r>
      <w:r w:rsidRPr="00F36A0F">
        <w:rPr>
          <w:rFonts w:eastAsiaTheme="minorHAnsi"/>
        </w:rPr>
        <w:t>or 30</w:t>
      </w:r>
      <w:r w:rsidR="000E2205">
        <w:rPr>
          <w:rFonts w:eastAsiaTheme="minorHAnsi"/>
        </w:rPr>
        <w:t xml:space="preserve"> percent</w:t>
      </w:r>
      <w:r w:rsidR="00F107EF">
        <w:rPr>
          <w:rFonts w:eastAsiaTheme="minorHAnsi"/>
        </w:rPr>
        <w:t>)</w:t>
      </w:r>
      <w:r w:rsidRPr="00F36A0F">
        <w:rPr>
          <w:rFonts w:eastAsiaTheme="minorHAnsi"/>
        </w:rPr>
        <w:t xml:space="preserve"> more per year in healthcare costs</w:t>
      </w:r>
      <w:r w:rsidR="00CE5244">
        <w:rPr>
          <w:rFonts w:eastAsiaTheme="minorHAnsi"/>
        </w:rPr>
        <w:t xml:space="preserve"> (Figure </w:t>
      </w:r>
      <w:r w:rsidR="00C9718D">
        <w:rPr>
          <w:rFonts w:eastAsiaTheme="minorHAnsi"/>
        </w:rPr>
        <w:t>19</w:t>
      </w:r>
      <w:r w:rsidR="00CE5244">
        <w:rPr>
          <w:rFonts w:eastAsiaTheme="minorHAnsi"/>
        </w:rPr>
        <w:t>)</w:t>
      </w:r>
      <w:r w:rsidRPr="00F36A0F">
        <w:rPr>
          <w:rFonts w:eastAsiaTheme="minorHAnsi"/>
        </w:rPr>
        <w:t xml:space="preserve">. Participants in Group 2 experienced a reduction in depression during the trial period compared to the Control Group. The mean change in PHQ-9 scores </w:t>
      </w:r>
      <w:r w:rsidR="00223608">
        <w:rPr>
          <w:rFonts w:eastAsiaTheme="minorHAnsi"/>
        </w:rPr>
        <w:t xml:space="preserve">in Group 2 </w:t>
      </w:r>
      <w:r w:rsidRPr="00F36A0F">
        <w:rPr>
          <w:rFonts w:eastAsiaTheme="minorHAnsi"/>
        </w:rPr>
        <w:t xml:space="preserve">was -0.63 points compared to </w:t>
      </w:r>
      <w:r w:rsidR="00971B3E">
        <w:rPr>
          <w:rFonts w:eastAsiaTheme="minorHAnsi"/>
        </w:rPr>
        <w:t xml:space="preserve">the </w:t>
      </w:r>
      <w:r w:rsidRPr="00F36A0F">
        <w:rPr>
          <w:rFonts w:eastAsiaTheme="minorHAnsi"/>
        </w:rPr>
        <w:t xml:space="preserve">Control </w:t>
      </w:r>
      <w:r w:rsidR="00971B3E">
        <w:rPr>
          <w:rFonts w:eastAsiaTheme="minorHAnsi"/>
        </w:rPr>
        <w:t xml:space="preserve">Group </w:t>
      </w:r>
      <w:r w:rsidRPr="00F36A0F">
        <w:rPr>
          <w:rFonts w:eastAsiaTheme="minorHAnsi"/>
        </w:rPr>
        <w:t xml:space="preserve">(p&lt;0.001). Control Group participants </w:t>
      </w:r>
      <w:r w:rsidR="00971B3E">
        <w:rPr>
          <w:rFonts w:eastAsiaTheme="minorHAnsi"/>
        </w:rPr>
        <w:t>experienced</w:t>
      </w:r>
      <w:r w:rsidRPr="00F36A0F">
        <w:rPr>
          <w:rFonts w:eastAsiaTheme="minorHAnsi"/>
        </w:rPr>
        <w:t xml:space="preserve"> almost no change in PHQ-9 scores </w:t>
      </w:r>
      <w:r w:rsidR="00971B3E">
        <w:rPr>
          <w:rFonts w:eastAsiaTheme="minorHAnsi"/>
        </w:rPr>
        <w:t>between</w:t>
      </w:r>
      <w:r w:rsidRPr="00F36A0F">
        <w:rPr>
          <w:rFonts w:eastAsiaTheme="minorHAnsi"/>
        </w:rPr>
        <w:t xml:space="preserve"> baseline </w:t>
      </w:r>
      <w:r w:rsidR="00971B3E">
        <w:rPr>
          <w:rFonts w:eastAsiaTheme="minorHAnsi"/>
        </w:rPr>
        <w:t>and the end of the trial period. T</w:t>
      </w:r>
      <w:r w:rsidRPr="00F36A0F">
        <w:rPr>
          <w:rFonts w:eastAsiaTheme="minorHAnsi"/>
        </w:rPr>
        <w:t xml:space="preserve">here was </w:t>
      </w:r>
      <w:r w:rsidR="00971B3E">
        <w:rPr>
          <w:rFonts w:eastAsiaTheme="minorHAnsi"/>
        </w:rPr>
        <w:t xml:space="preserve">a </w:t>
      </w:r>
      <w:r w:rsidRPr="00F36A0F">
        <w:rPr>
          <w:rFonts w:eastAsiaTheme="minorHAnsi"/>
        </w:rPr>
        <w:t xml:space="preserve">slight improvement </w:t>
      </w:r>
      <w:r w:rsidR="00971B3E">
        <w:rPr>
          <w:rFonts w:eastAsiaTheme="minorHAnsi"/>
        </w:rPr>
        <w:t>among</w:t>
      </w:r>
      <w:r w:rsidRPr="00F36A0F">
        <w:rPr>
          <w:rFonts w:eastAsiaTheme="minorHAnsi"/>
        </w:rPr>
        <w:t xml:space="preserve"> Group 1 participants (-0.12 points) but this was not statistically significant. In Group 2, there was a reduction in the percentage of people with </w:t>
      </w:r>
      <w:r w:rsidR="008D4CB1">
        <w:rPr>
          <w:rFonts w:eastAsiaTheme="minorHAnsi"/>
        </w:rPr>
        <w:t xml:space="preserve">moderate to severe </w:t>
      </w:r>
      <w:r w:rsidRPr="00F36A0F">
        <w:rPr>
          <w:rFonts w:eastAsiaTheme="minorHAnsi"/>
        </w:rPr>
        <w:t xml:space="preserve">depression </w:t>
      </w:r>
      <w:r w:rsidR="00971B3E">
        <w:rPr>
          <w:rFonts w:eastAsiaTheme="minorHAnsi"/>
        </w:rPr>
        <w:t>(</w:t>
      </w:r>
      <w:r w:rsidRPr="00F36A0F">
        <w:rPr>
          <w:rFonts w:eastAsiaTheme="minorHAnsi"/>
        </w:rPr>
        <w:t>from 21</w:t>
      </w:r>
      <w:r w:rsidR="000E2205">
        <w:rPr>
          <w:rFonts w:eastAsiaTheme="minorHAnsi"/>
        </w:rPr>
        <w:t xml:space="preserve"> percent</w:t>
      </w:r>
      <w:r w:rsidRPr="00F36A0F">
        <w:rPr>
          <w:rFonts w:eastAsiaTheme="minorHAnsi"/>
        </w:rPr>
        <w:t xml:space="preserve"> to 16</w:t>
      </w:r>
      <w:r w:rsidR="000E2205">
        <w:rPr>
          <w:rFonts w:eastAsiaTheme="minorHAnsi"/>
        </w:rPr>
        <w:t xml:space="preserve"> percent</w:t>
      </w:r>
      <w:r w:rsidR="00971B3E">
        <w:rPr>
          <w:rFonts w:eastAsiaTheme="minorHAnsi"/>
        </w:rPr>
        <w:t>)</w:t>
      </w:r>
      <w:r w:rsidRPr="00F36A0F">
        <w:rPr>
          <w:rFonts w:eastAsiaTheme="minorHAnsi"/>
        </w:rPr>
        <w:t xml:space="preserve">, which </w:t>
      </w:r>
      <w:r w:rsidR="00971B3E">
        <w:rPr>
          <w:rFonts w:eastAsiaTheme="minorHAnsi"/>
        </w:rPr>
        <w:t>represented an</w:t>
      </w:r>
      <w:r w:rsidR="001F5AE3">
        <w:rPr>
          <w:rFonts w:eastAsiaTheme="minorHAnsi"/>
        </w:rPr>
        <w:t xml:space="preserve"> </w:t>
      </w:r>
      <w:r w:rsidRPr="00F36A0F">
        <w:rPr>
          <w:rFonts w:eastAsiaTheme="minorHAnsi"/>
        </w:rPr>
        <w:t xml:space="preserve">incremental decrease </w:t>
      </w:r>
      <w:r w:rsidR="001F5AE3">
        <w:rPr>
          <w:rFonts w:eastAsiaTheme="minorHAnsi"/>
        </w:rPr>
        <w:t xml:space="preserve">of two percentage points </w:t>
      </w:r>
      <w:r w:rsidRPr="00F36A0F">
        <w:rPr>
          <w:rFonts w:eastAsiaTheme="minorHAnsi"/>
        </w:rPr>
        <w:t xml:space="preserve">compared to </w:t>
      </w:r>
      <w:r w:rsidR="001F5AE3">
        <w:rPr>
          <w:rFonts w:eastAsiaTheme="minorHAnsi"/>
        </w:rPr>
        <w:t xml:space="preserve">the </w:t>
      </w:r>
      <w:r w:rsidRPr="00F36A0F">
        <w:rPr>
          <w:rFonts w:eastAsiaTheme="minorHAnsi"/>
        </w:rPr>
        <w:t>Control</w:t>
      </w:r>
      <w:r w:rsidR="001F5AE3">
        <w:rPr>
          <w:rFonts w:eastAsiaTheme="minorHAnsi"/>
        </w:rPr>
        <w:t xml:space="preserve"> Group (Figure 20)</w:t>
      </w:r>
      <w:r w:rsidRPr="00F36A0F">
        <w:rPr>
          <w:rFonts w:eastAsiaTheme="minorHAnsi"/>
        </w:rPr>
        <w:t>. In Group 2</w:t>
      </w:r>
      <w:r w:rsidR="001F5AE3">
        <w:rPr>
          <w:rFonts w:eastAsiaTheme="minorHAnsi"/>
        </w:rPr>
        <w:t>,</w:t>
      </w:r>
      <w:r w:rsidRPr="00F36A0F">
        <w:rPr>
          <w:rFonts w:eastAsiaTheme="minorHAnsi"/>
        </w:rPr>
        <w:t xml:space="preserve"> there was also a significant improvement in </w:t>
      </w:r>
      <w:r w:rsidR="00F107EF" w:rsidRPr="00F36A0F">
        <w:rPr>
          <w:rFonts w:eastAsiaTheme="minorHAnsi"/>
        </w:rPr>
        <w:t>diabetes</w:t>
      </w:r>
      <w:r w:rsidR="00F107EF">
        <w:rPr>
          <w:rFonts w:eastAsiaTheme="minorHAnsi"/>
        </w:rPr>
        <w:t>-</w:t>
      </w:r>
      <w:r w:rsidRPr="00F36A0F">
        <w:rPr>
          <w:rFonts w:eastAsiaTheme="minorHAnsi"/>
        </w:rPr>
        <w:t>related s</w:t>
      </w:r>
      <w:r w:rsidR="00223608">
        <w:rPr>
          <w:rFonts w:eastAsiaTheme="minorHAnsi"/>
        </w:rPr>
        <w:t>tress (improved by 1.33 points out of 80</w:t>
      </w:r>
      <w:r w:rsidRPr="00F36A0F">
        <w:rPr>
          <w:rFonts w:eastAsiaTheme="minorHAnsi"/>
        </w:rPr>
        <w:t>, p=0.001)</w:t>
      </w:r>
      <w:r w:rsidR="001F5AE3">
        <w:rPr>
          <w:rFonts w:eastAsiaTheme="minorHAnsi"/>
        </w:rPr>
        <w:t>,</w:t>
      </w:r>
      <w:r w:rsidRPr="00F36A0F">
        <w:rPr>
          <w:rFonts w:eastAsiaTheme="minorHAnsi"/>
        </w:rPr>
        <w:t xml:space="preserve"> but </w:t>
      </w:r>
      <w:r w:rsidR="001F5AE3">
        <w:rPr>
          <w:rFonts w:eastAsiaTheme="minorHAnsi"/>
        </w:rPr>
        <w:t xml:space="preserve">there was </w:t>
      </w:r>
      <w:r w:rsidR="004F05B5" w:rsidRPr="00F36A0F">
        <w:rPr>
          <w:rFonts w:eastAsiaTheme="minorHAnsi"/>
        </w:rPr>
        <w:t>no</w:t>
      </w:r>
      <w:r w:rsidRPr="00F36A0F">
        <w:rPr>
          <w:rFonts w:eastAsiaTheme="minorHAnsi"/>
        </w:rPr>
        <w:t xml:space="preserve"> change in Group</w:t>
      </w:r>
      <w:r w:rsidR="004F05B5" w:rsidRPr="00F36A0F">
        <w:rPr>
          <w:rFonts w:eastAsiaTheme="minorHAnsi"/>
        </w:rPr>
        <w:t xml:space="preserve"> 1</w:t>
      </w:r>
      <w:r w:rsidRPr="00F36A0F">
        <w:rPr>
          <w:rFonts w:eastAsiaTheme="minorHAnsi"/>
        </w:rPr>
        <w:t>.</w:t>
      </w:r>
    </w:p>
    <w:p w14:paraId="4CA45806" w14:textId="77777777" w:rsidR="00AB2C47" w:rsidRPr="00F36A0F" w:rsidRDefault="00AB2C47" w:rsidP="008645BE">
      <w:pPr>
        <w:rPr>
          <w:rFonts w:eastAsiaTheme="minorHAnsi"/>
        </w:rPr>
      </w:pPr>
    </w:p>
    <w:p w14:paraId="57D1C5CE" w14:textId="77777777" w:rsidR="00BA5279" w:rsidRDefault="00BA5279">
      <w:pPr>
        <w:pStyle w:val="60exhnormal"/>
        <w:keepNext/>
      </w:pPr>
      <w:r>
        <w:lastRenderedPageBreak/>
        <w:t>figure 19</w:t>
      </w:r>
    </w:p>
    <w:p w14:paraId="259E51B2" w14:textId="77777777" w:rsidR="0034177C" w:rsidRDefault="002F75C5" w:rsidP="002F75C5">
      <w:pPr>
        <w:pStyle w:val="60exhnormal"/>
        <w:keepNext/>
        <w:jc w:val="center"/>
      </w:pPr>
      <w:r>
        <w:rPr>
          <w:noProof/>
          <w:lang w:eastAsia="en-AU"/>
        </w:rPr>
        <w:drawing>
          <wp:inline distT="0" distB="0" distL="0" distR="0" wp14:anchorId="557A802D" wp14:editId="698F4298">
            <wp:extent cx="4906645" cy="3677285"/>
            <wp:effectExtent l="0" t="0" r="8255" b="0"/>
            <wp:docPr id="79" name="Picture 79" descr="Figure 19 Column charts: Glycaemic control and care costs at baseline based on depression status. Participants with moderate to severe depression had higher HbA1c levels and experienced greater care costs at baseline than people with mild or no depression. The mean HbA1c of participants with moderate to severe depression was 7.6 percent at baseline, compared with 7.15 percent among participants with mild or no depression (significant at p&lt;0.001). The total cost of care at baseline for participants with moderate to severe depression was $10,575, compared with $8,154 for participants with mild or no depression (significant at p&lt;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906645" cy="3677285"/>
                    </a:xfrm>
                    <a:prstGeom prst="rect">
                      <a:avLst/>
                    </a:prstGeom>
                    <a:solidFill>
                      <a:srgbClr val="FFFFFF"/>
                    </a:solidFill>
                    <a:ln w="9525" cap="flat" cmpd="sng" algn="ctr">
                      <a:noFill/>
                      <a:prstDash val="solid"/>
                      <a:round/>
                      <a:headEnd type="none" w="med" len="med"/>
                      <a:tailEnd type="none" w="med" len="med"/>
                    </a:ln>
                  </pic:spPr>
                </pic:pic>
              </a:graphicData>
            </a:graphic>
          </wp:inline>
        </w:drawing>
      </w:r>
      <w:bookmarkStart w:id="13" w:name="_GoBack"/>
      <w:bookmarkEnd w:id="13"/>
    </w:p>
    <w:p w14:paraId="45B0D5AE" w14:textId="77777777" w:rsidR="00AB2C47" w:rsidRDefault="00CE41B8">
      <w:pPr>
        <w:pStyle w:val="60exhnormal"/>
        <w:keepNext/>
      </w:pPr>
      <w:r w:rsidRPr="00F36A0F">
        <w:t>FIGURE 20</w:t>
      </w:r>
    </w:p>
    <w:p w14:paraId="2C026102" w14:textId="77777777" w:rsidR="002F75C5" w:rsidRPr="00F36A0F" w:rsidRDefault="002F75C5" w:rsidP="002F75C5">
      <w:pPr>
        <w:pStyle w:val="60exhnormal"/>
        <w:jc w:val="center"/>
      </w:pPr>
      <w:r w:rsidRPr="00CF6261">
        <w:rPr>
          <w:noProof/>
          <w:lang w:eastAsia="en-AU"/>
        </w:rPr>
        <w:drawing>
          <wp:inline distT="0" distB="0" distL="0" distR="0" wp14:anchorId="697343F5" wp14:editId="27F14AB4">
            <wp:extent cx="4906645" cy="3692525"/>
            <wp:effectExtent l="0" t="0" r="8255" b="3175"/>
            <wp:docPr id="9" name="Picture 9" descr="Figure 20 is a Chart showing the change in depression scores. Participants in Group 2 showed greater improvement in PHQ-9 clinical depression scores than the Control Group and Group 1. Participant scores in Group 2 improved by 0.6 (score out of 27), relative to the Control Group (significant at p&lt;0.001). Similarly, Group 2 showed a greater reduction in the percentage of participants with moderate to severe depression (specifically, an absolute change of two percent, relative to the Control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906645" cy="36925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725059AC" w14:textId="77777777" w:rsidR="008645BE" w:rsidRPr="00F36A0F" w:rsidRDefault="008645BE" w:rsidP="002F75C5">
      <w:pPr>
        <w:pStyle w:val="21minor"/>
        <w:keepLines/>
        <w:ind w:right="357"/>
        <w:rPr>
          <w:rFonts w:eastAsiaTheme="minorHAnsi"/>
        </w:rPr>
      </w:pPr>
      <w:r w:rsidRPr="00F36A0F">
        <w:rPr>
          <w:rFonts w:eastAsiaTheme="minorHAnsi"/>
        </w:rPr>
        <w:lastRenderedPageBreak/>
        <w:t xml:space="preserve">3.2.2. Care Processes </w:t>
      </w:r>
    </w:p>
    <w:p w14:paraId="0F8D146C" w14:textId="77777777" w:rsidR="0034177C" w:rsidRPr="00C62A00" w:rsidRDefault="00C20094" w:rsidP="001C2332">
      <w:pPr>
        <w:rPr>
          <w:rFonts w:eastAsiaTheme="minorHAnsi"/>
        </w:rPr>
      </w:pPr>
      <w:r>
        <w:rPr>
          <w:rFonts w:eastAsiaTheme="minorHAnsi"/>
        </w:rPr>
        <w:t>In Group 2, there</w:t>
      </w:r>
      <w:r w:rsidR="004F05B5" w:rsidRPr="00F36A0F">
        <w:rPr>
          <w:rFonts w:eastAsiaTheme="minorHAnsi"/>
        </w:rPr>
        <w:t xml:space="preserve"> was</w:t>
      </w:r>
      <w:r>
        <w:rPr>
          <w:rFonts w:eastAsiaTheme="minorHAnsi"/>
        </w:rPr>
        <w:t xml:space="preserve"> </w:t>
      </w:r>
      <w:r w:rsidR="004F05B5" w:rsidRPr="00F36A0F">
        <w:rPr>
          <w:rFonts w:eastAsiaTheme="minorHAnsi"/>
        </w:rPr>
        <w:t xml:space="preserve">increased adherence to recommended clinical processes and more visits to </w:t>
      </w:r>
      <w:r w:rsidR="002F6327">
        <w:rPr>
          <w:rFonts w:eastAsiaTheme="minorHAnsi"/>
        </w:rPr>
        <w:t>AHP</w:t>
      </w:r>
      <w:r w:rsidR="004F05B5" w:rsidRPr="00F36A0F">
        <w:rPr>
          <w:rFonts w:eastAsiaTheme="minorHAnsi"/>
        </w:rPr>
        <w:t xml:space="preserve">s (Figure </w:t>
      </w:r>
      <w:r w:rsidR="00C9718D">
        <w:rPr>
          <w:rFonts w:eastAsiaTheme="minorHAnsi"/>
        </w:rPr>
        <w:t>21</w:t>
      </w:r>
      <w:r w:rsidR="004F05B5" w:rsidRPr="00F36A0F">
        <w:rPr>
          <w:rFonts w:eastAsiaTheme="minorHAnsi"/>
        </w:rPr>
        <w:t xml:space="preserve">). The percentage of participants on a care plan increased from 75 percent to </w:t>
      </w:r>
      <w:r w:rsidR="00784836">
        <w:rPr>
          <w:rFonts w:eastAsiaTheme="minorHAnsi"/>
        </w:rPr>
        <w:t>96</w:t>
      </w:r>
      <w:r w:rsidR="004F05B5" w:rsidRPr="00F36A0F">
        <w:rPr>
          <w:rFonts w:eastAsiaTheme="minorHAnsi"/>
        </w:rPr>
        <w:t xml:space="preserve"> percent, the percentage of participants with </w:t>
      </w:r>
      <w:r w:rsidR="00F107EF">
        <w:rPr>
          <w:rFonts w:eastAsiaTheme="minorHAnsi"/>
        </w:rPr>
        <w:t>a completed</w:t>
      </w:r>
      <w:r w:rsidR="00F107EF" w:rsidRPr="00F36A0F">
        <w:rPr>
          <w:rFonts w:eastAsiaTheme="minorHAnsi"/>
        </w:rPr>
        <w:t xml:space="preserve"> </w:t>
      </w:r>
      <w:r w:rsidR="004F05B5" w:rsidRPr="00F36A0F">
        <w:rPr>
          <w:rFonts w:eastAsiaTheme="minorHAnsi"/>
        </w:rPr>
        <w:t>annual cycle of care increased from 35 percent to 53 percent</w:t>
      </w:r>
      <w:r w:rsidR="00F107EF">
        <w:rPr>
          <w:rFonts w:eastAsiaTheme="minorHAnsi"/>
        </w:rPr>
        <w:t>,</w:t>
      </w:r>
      <w:r w:rsidR="004F05B5" w:rsidRPr="00F36A0F">
        <w:rPr>
          <w:rFonts w:eastAsiaTheme="minorHAnsi"/>
        </w:rPr>
        <w:t xml:space="preserve"> and the number of </w:t>
      </w:r>
      <w:r w:rsidR="002F6327">
        <w:rPr>
          <w:rFonts w:eastAsiaTheme="minorHAnsi"/>
        </w:rPr>
        <w:t>AHP</w:t>
      </w:r>
      <w:r w:rsidR="004F05B5" w:rsidRPr="00F36A0F">
        <w:rPr>
          <w:rFonts w:eastAsiaTheme="minorHAnsi"/>
        </w:rPr>
        <w:t xml:space="preserve"> visits increased from two to six per year. The mix of visits across </w:t>
      </w:r>
      <w:r w:rsidR="002F6327">
        <w:rPr>
          <w:rFonts w:eastAsiaTheme="minorHAnsi"/>
        </w:rPr>
        <w:t>AHP</w:t>
      </w:r>
      <w:r w:rsidR="004F05B5" w:rsidRPr="00F36A0F">
        <w:rPr>
          <w:rFonts w:eastAsiaTheme="minorHAnsi"/>
        </w:rPr>
        <w:t xml:space="preserve"> services in Group 2 also changed, with </w:t>
      </w:r>
      <w:r w:rsidR="00F107EF">
        <w:rPr>
          <w:rFonts w:eastAsiaTheme="minorHAnsi"/>
        </w:rPr>
        <w:t xml:space="preserve">participants accessing </w:t>
      </w:r>
      <w:r w:rsidR="004F05B5" w:rsidRPr="00F36A0F">
        <w:rPr>
          <w:rFonts w:eastAsiaTheme="minorHAnsi"/>
        </w:rPr>
        <w:t xml:space="preserve">a greater diversity of </w:t>
      </w:r>
      <w:r w:rsidR="0034177C">
        <w:rPr>
          <w:rFonts w:eastAsiaTheme="minorHAnsi"/>
        </w:rPr>
        <w:t xml:space="preserve">specialties </w:t>
      </w:r>
      <w:r w:rsidR="004F05B5" w:rsidRPr="00F36A0F">
        <w:rPr>
          <w:rFonts w:eastAsiaTheme="minorHAnsi"/>
        </w:rPr>
        <w:t xml:space="preserve">compared to the Control Group (Figure </w:t>
      </w:r>
      <w:r w:rsidR="00C9718D">
        <w:rPr>
          <w:rFonts w:eastAsiaTheme="minorHAnsi"/>
        </w:rPr>
        <w:t>22</w:t>
      </w:r>
      <w:r w:rsidR="00EF5C8F">
        <w:rPr>
          <w:rFonts w:eastAsiaTheme="minorHAnsi"/>
        </w:rPr>
        <w:t>). In Group 2, p</w:t>
      </w:r>
      <w:r w:rsidR="004F05B5" w:rsidRPr="00F36A0F">
        <w:rPr>
          <w:rFonts w:eastAsiaTheme="minorHAnsi"/>
        </w:rPr>
        <w:t xml:space="preserve">odiatry </w:t>
      </w:r>
      <w:r w:rsidR="00EF5C8F">
        <w:rPr>
          <w:rFonts w:eastAsiaTheme="minorHAnsi"/>
        </w:rPr>
        <w:t>accounted for</w:t>
      </w:r>
      <w:r w:rsidR="004F05B5" w:rsidRPr="00F36A0F">
        <w:rPr>
          <w:rFonts w:eastAsiaTheme="minorHAnsi"/>
        </w:rPr>
        <w:t xml:space="preserve"> 61 percent of the visits </w:t>
      </w:r>
      <w:r w:rsidR="0004118B">
        <w:rPr>
          <w:rFonts w:eastAsiaTheme="minorHAnsi"/>
        </w:rPr>
        <w:t>in the baseline period</w:t>
      </w:r>
      <w:r w:rsidR="004F05B5" w:rsidRPr="00F36A0F">
        <w:rPr>
          <w:rFonts w:eastAsiaTheme="minorHAnsi"/>
        </w:rPr>
        <w:t xml:space="preserve"> but only 40 percent </w:t>
      </w:r>
      <w:r w:rsidR="00EF5C8F">
        <w:rPr>
          <w:rFonts w:eastAsiaTheme="minorHAnsi"/>
        </w:rPr>
        <w:t xml:space="preserve">of visits </w:t>
      </w:r>
      <w:r w:rsidR="0004118B">
        <w:rPr>
          <w:rFonts w:eastAsiaTheme="minorHAnsi"/>
        </w:rPr>
        <w:t>in</w:t>
      </w:r>
      <w:r w:rsidR="00EF5C8F">
        <w:rPr>
          <w:rFonts w:eastAsiaTheme="minorHAnsi"/>
        </w:rPr>
        <w:t xml:space="preserve"> the trial period</w:t>
      </w:r>
      <w:r w:rsidR="004F05B5" w:rsidRPr="00F36A0F">
        <w:rPr>
          <w:rFonts w:eastAsiaTheme="minorHAnsi"/>
        </w:rPr>
        <w:t xml:space="preserve">. </w:t>
      </w:r>
      <w:r w:rsidR="0004118B">
        <w:rPr>
          <w:rFonts w:eastAsiaTheme="minorHAnsi"/>
        </w:rPr>
        <w:t>Similarly,</w:t>
      </w:r>
      <w:r w:rsidR="00D155D8">
        <w:rPr>
          <w:rFonts w:eastAsiaTheme="minorHAnsi"/>
        </w:rPr>
        <w:t xml:space="preserve"> the mix of consultation types </w:t>
      </w:r>
      <w:r w:rsidR="00F107EF">
        <w:rPr>
          <w:rFonts w:eastAsiaTheme="minorHAnsi"/>
        </w:rPr>
        <w:t xml:space="preserve">changed </w:t>
      </w:r>
      <w:r w:rsidR="00D155D8">
        <w:rPr>
          <w:rFonts w:eastAsiaTheme="minorHAnsi"/>
        </w:rPr>
        <w:t xml:space="preserve">with the introduction of new </w:t>
      </w:r>
      <w:r w:rsidR="00F107EF">
        <w:rPr>
          <w:rFonts w:eastAsiaTheme="minorHAnsi"/>
        </w:rPr>
        <w:t xml:space="preserve">consultation </w:t>
      </w:r>
      <w:r w:rsidR="00D155D8">
        <w:rPr>
          <w:rFonts w:eastAsiaTheme="minorHAnsi"/>
        </w:rPr>
        <w:t>types.</w:t>
      </w:r>
      <w:r w:rsidR="00FA0012">
        <w:rPr>
          <w:rFonts w:eastAsiaTheme="minorHAnsi"/>
        </w:rPr>
        <w:t xml:space="preserve"> </w:t>
      </w:r>
      <w:r w:rsidR="00D155D8">
        <w:rPr>
          <w:rFonts w:eastAsiaTheme="minorHAnsi"/>
        </w:rPr>
        <w:t>S</w:t>
      </w:r>
      <w:r w:rsidR="00FA0012">
        <w:rPr>
          <w:rFonts w:eastAsiaTheme="minorHAnsi"/>
        </w:rPr>
        <w:t>tandard or typical</w:t>
      </w:r>
      <w:r w:rsidR="0004118B">
        <w:rPr>
          <w:rFonts w:eastAsiaTheme="minorHAnsi"/>
        </w:rPr>
        <w:t xml:space="preserve"> </w:t>
      </w:r>
      <w:r w:rsidR="00F107EF">
        <w:rPr>
          <w:rFonts w:eastAsiaTheme="minorHAnsi"/>
        </w:rPr>
        <w:t xml:space="preserve">consultations </w:t>
      </w:r>
      <w:r w:rsidR="0004118B">
        <w:rPr>
          <w:rFonts w:eastAsiaTheme="minorHAnsi"/>
        </w:rPr>
        <w:t>accounted for 91 percent of Group 2 visits in the baseline period, but only 56 percent during the trial</w:t>
      </w:r>
      <w:r w:rsidR="00355DD2">
        <w:rPr>
          <w:rFonts w:eastAsiaTheme="minorHAnsi"/>
        </w:rPr>
        <w:t xml:space="preserve"> period</w:t>
      </w:r>
      <w:r w:rsidR="0004118B">
        <w:rPr>
          <w:rFonts w:eastAsiaTheme="minorHAnsi"/>
        </w:rPr>
        <w:t>.</w:t>
      </w:r>
      <w:r w:rsidR="00D155D8">
        <w:rPr>
          <w:rFonts w:eastAsiaTheme="minorHAnsi"/>
        </w:rPr>
        <w:t xml:space="preserve"> The remainder were nurse consults (20 percent), group assessments and consults (14 percent), extended consults (7 percent), phone consults (3 percent), and short consults with podiatrists (1 percent).</w:t>
      </w:r>
      <w:r w:rsidR="0004118B">
        <w:rPr>
          <w:rFonts w:eastAsiaTheme="minorHAnsi"/>
        </w:rPr>
        <w:t xml:space="preserve"> </w:t>
      </w:r>
      <w:r w:rsidR="004F05B5" w:rsidRPr="00F36A0F">
        <w:rPr>
          <w:rFonts w:eastAsiaTheme="minorHAnsi"/>
        </w:rPr>
        <w:t xml:space="preserve">Group 1 created more care plans but showed no changes in other processes or </w:t>
      </w:r>
      <w:r w:rsidR="00355DD2">
        <w:rPr>
          <w:rFonts w:eastAsiaTheme="minorHAnsi"/>
        </w:rPr>
        <w:t xml:space="preserve">in </w:t>
      </w:r>
      <w:r w:rsidR="00EF5C8F">
        <w:rPr>
          <w:rFonts w:eastAsiaTheme="minorHAnsi"/>
        </w:rPr>
        <w:t xml:space="preserve">the </w:t>
      </w:r>
      <w:r w:rsidR="004F05B5" w:rsidRPr="00F36A0F">
        <w:rPr>
          <w:rFonts w:eastAsiaTheme="minorHAnsi"/>
        </w:rPr>
        <w:t>mixture of AHP visits.</w:t>
      </w:r>
    </w:p>
    <w:p w14:paraId="32552D4E" w14:textId="77777777" w:rsidR="00EF5C8F" w:rsidRDefault="00EF5C8F">
      <w:pPr>
        <w:pStyle w:val="60exhnormal"/>
        <w:keepNext/>
      </w:pPr>
      <w:r>
        <w:t>figure 21</w:t>
      </w:r>
    </w:p>
    <w:p w14:paraId="08B7DA69" w14:textId="77777777" w:rsidR="000A12F3" w:rsidRPr="00C62A00" w:rsidRDefault="00C62A00" w:rsidP="00C62A00">
      <w:pPr>
        <w:pStyle w:val="60exhnormal"/>
        <w:jc w:val="center"/>
      </w:pPr>
      <w:r>
        <w:rPr>
          <w:noProof/>
          <w:lang w:eastAsia="en-AU"/>
        </w:rPr>
        <w:drawing>
          <wp:inline distT="0" distB="0" distL="0" distR="0" wp14:anchorId="3CE348D5" wp14:editId="766DF4EF">
            <wp:extent cx="4906645" cy="3679825"/>
            <wp:effectExtent l="0" t="0" r="8255" b="0"/>
            <wp:docPr id="298" name="Picture 298" descr="Group 2 participants showed an increase in the number of people with a care plan and the number of people with a completed annual cycle of care, as well as an increase in the mean number of Allied Health Professional visits. In Group 2, the percentage of participants on a care plan increased from 75 percent to 96 percent; the percentage of participants with a completed annual cycle of care increased from 35 percent to 53 percent; and the number of allied health professional visits increased from two to six per year" title="Bar charts: Change in clinical proce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1042B627" w14:textId="77777777" w:rsidR="000A12F3" w:rsidRDefault="000A12F3">
      <w:pPr>
        <w:pStyle w:val="60exhnormal"/>
        <w:keepNext/>
      </w:pPr>
      <w:r>
        <w:lastRenderedPageBreak/>
        <w:t>FIGURE 22</w:t>
      </w:r>
    </w:p>
    <w:p w14:paraId="6A52BEFF" w14:textId="77777777" w:rsidR="000A12F3" w:rsidRPr="00C62A00" w:rsidRDefault="00C62A00" w:rsidP="00C62A00">
      <w:pPr>
        <w:pStyle w:val="60exhnormal"/>
        <w:keepNext/>
        <w:jc w:val="center"/>
      </w:pPr>
      <w:r>
        <w:rPr>
          <w:noProof/>
          <w:lang w:eastAsia="en-AU"/>
        </w:rPr>
        <w:drawing>
          <wp:inline distT="0" distB="0" distL="0" distR="0" wp14:anchorId="735A61B1" wp14:editId="6D62C0A7">
            <wp:extent cx="4906645" cy="3679825"/>
            <wp:effectExtent l="0" t="0" r="8255" b="0"/>
            <wp:docPr id="306" name="Picture 306" descr="Participants in Group 2 accessed more Allied Health Services compared to the Control Group. For example, while participants in the Control Group accessed 5,949 Allied Health Services items during the trial period, participants in Group 2 accessed 16,720 Allied Health Services items. Participants in Group 2 also accessed a greater diversity of specialties compared to the Control Group. At baseline, for example, podiatry accounted for 57 percent of the Allied Health Services accessed by the Control Group and 61 percent of the items accessed by Group 2. During the trial period, podiatry still accounted for the majority of Allied Health Services accessed in the Control Group (62 percent). In Group 2, however, podiatry only accounted for 40 percent of Allied Health Services accessed during the trial period, while the percentage of items accessed for dietitian, diabetes educator and exercise physiologist services increased (from 4 percent to 11 percent, 4 percent to 12 percent, and 10 percent to 24 percent, respectively)." title="Stacked column charts: Change in allied health professional utilisation patter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03762BC2" w14:textId="77777777" w:rsidR="00827A0E" w:rsidRPr="003301EF" w:rsidRDefault="004F05B5" w:rsidP="004F05B5">
      <w:pPr>
        <w:rPr>
          <w:vertAlign w:val="superscript"/>
        </w:rPr>
      </w:pPr>
      <w:r w:rsidRPr="00F36A0F">
        <w:rPr>
          <w:rFonts w:eastAsiaTheme="minorHAnsi"/>
        </w:rPr>
        <w:t xml:space="preserve">The DCP also provided opportunities to study the impact of current care planning and annual cycles of care on clinical outcomes. A </w:t>
      </w:r>
      <w:r w:rsidR="006123E1">
        <w:rPr>
          <w:rFonts w:eastAsiaTheme="minorHAnsi"/>
        </w:rPr>
        <w:t>prospective analysis</w:t>
      </w:r>
      <w:r w:rsidR="006123E1" w:rsidRPr="00F36A0F">
        <w:rPr>
          <w:rFonts w:eastAsiaTheme="minorHAnsi"/>
        </w:rPr>
        <w:t xml:space="preserve"> </w:t>
      </w:r>
      <w:r w:rsidRPr="00F36A0F">
        <w:rPr>
          <w:rFonts w:eastAsiaTheme="minorHAnsi"/>
        </w:rPr>
        <w:t xml:space="preserve">of current chronic disease funding shows </w:t>
      </w:r>
      <w:r w:rsidR="00EF5C8F">
        <w:rPr>
          <w:rFonts w:eastAsiaTheme="minorHAnsi"/>
        </w:rPr>
        <w:t xml:space="preserve">that </w:t>
      </w:r>
      <w:r w:rsidRPr="00F36A0F">
        <w:rPr>
          <w:rFonts w:eastAsiaTheme="minorHAnsi"/>
        </w:rPr>
        <w:t>there is little to no relationship between the complexity of a person’s health care needs (</w:t>
      </w:r>
      <w:r w:rsidR="00107122">
        <w:rPr>
          <w:rFonts w:eastAsiaTheme="minorHAnsi"/>
        </w:rPr>
        <w:t>such as</w:t>
      </w:r>
      <w:r w:rsidRPr="00F36A0F">
        <w:rPr>
          <w:rFonts w:eastAsiaTheme="minorHAnsi"/>
        </w:rPr>
        <w:t xml:space="preserve"> their clinical indicators</w:t>
      </w:r>
      <w:r w:rsidR="008C4B30">
        <w:rPr>
          <w:rFonts w:eastAsiaTheme="minorHAnsi"/>
        </w:rPr>
        <w:t xml:space="preserve"> and</w:t>
      </w:r>
      <w:r w:rsidRPr="00F36A0F">
        <w:rPr>
          <w:rFonts w:eastAsiaTheme="minorHAnsi"/>
        </w:rPr>
        <w:t xml:space="preserve"> whether they have other chronic diseases, complications of diabetes</w:t>
      </w:r>
      <w:r w:rsidR="00355DD2">
        <w:rPr>
          <w:rFonts w:eastAsiaTheme="minorHAnsi"/>
        </w:rPr>
        <w:t>,</w:t>
      </w:r>
      <w:r w:rsidRPr="00F36A0F">
        <w:rPr>
          <w:rFonts w:eastAsiaTheme="minorHAnsi"/>
        </w:rPr>
        <w:t xml:space="preserve"> or are high-cost users of the health system) and the amount of chronic disease funding that they receive (Figure </w:t>
      </w:r>
      <w:r w:rsidR="00917356">
        <w:rPr>
          <w:rFonts w:eastAsiaTheme="minorHAnsi"/>
        </w:rPr>
        <w:t>23</w:t>
      </w:r>
      <w:r w:rsidRPr="00F36A0F">
        <w:rPr>
          <w:rFonts w:eastAsiaTheme="minorHAnsi"/>
        </w:rPr>
        <w:t xml:space="preserve">). Care plans and annual cycles of care </w:t>
      </w:r>
      <w:r w:rsidR="00C63630">
        <w:rPr>
          <w:rFonts w:eastAsiaTheme="minorHAnsi"/>
        </w:rPr>
        <w:t>did not of themselves translate into better health outcomes for patients with diabetes</w:t>
      </w:r>
      <w:r w:rsidRPr="00F36A0F">
        <w:rPr>
          <w:rFonts w:eastAsiaTheme="minorHAnsi"/>
        </w:rPr>
        <w:t xml:space="preserve"> during the trial period. A</w:t>
      </w:r>
      <w:r w:rsidR="00EF5AFE">
        <w:t> </w:t>
      </w:r>
      <w:r w:rsidRPr="00F36A0F">
        <w:t xml:space="preserve">prospective analysis of the Control Group during the trial period showed no statistically significant difference between people who had a care plan or had completed an annual cycle of care at the start of the project </w:t>
      </w:r>
      <w:r w:rsidR="008C4B30">
        <w:t xml:space="preserve">and those who had not </w:t>
      </w:r>
      <w:r w:rsidRPr="00F36A0F">
        <w:t>and the subsequent change</w:t>
      </w:r>
      <w:r w:rsidR="008C4B30">
        <w:t>s</w:t>
      </w:r>
      <w:r w:rsidRPr="00F36A0F">
        <w:t xml:space="preserve"> in HbA1c, cholesterol, AQOL score, PHQ-9 depression score, and diabetes-related stress score (Appendix </w:t>
      </w:r>
      <w:r w:rsidR="004F25DE">
        <w:t>4</w:t>
      </w:r>
      <w:r w:rsidRPr="00F36A0F">
        <w:t xml:space="preserve">). </w:t>
      </w:r>
      <w:r w:rsidR="008C4B30">
        <w:t>(</w:t>
      </w:r>
      <w:r w:rsidRPr="00F36A0F">
        <w:t>There was</w:t>
      </w:r>
      <w:r w:rsidR="008C4B30">
        <w:t>, however,</w:t>
      </w:r>
      <w:r w:rsidRPr="00F36A0F">
        <w:t xml:space="preserve"> a small </w:t>
      </w:r>
      <w:r w:rsidR="008C4B30">
        <w:t xml:space="preserve">and </w:t>
      </w:r>
      <w:r w:rsidRPr="00F36A0F">
        <w:t>statistically significant improvement in blood pressure.</w:t>
      </w:r>
      <w:r w:rsidR="008C4B30">
        <w:t>)</w:t>
      </w:r>
      <w:r w:rsidRPr="00F36A0F">
        <w:t xml:space="preserve"> There was also no difference in changes in any of these metrics between participants in Group 1 who received an electronic care plan in the DCP’s IT system (cdmNet) and the Control Group. Other recent reports </w:t>
      </w:r>
      <w:r w:rsidR="008C4B30">
        <w:t>detail</w:t>
      </w:r>
      <w:r w:rsidRPr="00F36A0F">
        <w:t xml:space="preserve"> associations between having a care plan and improved glycaemic control, but </w:t>
      </w:r>
      <w:r w:rsidR="008C4B30">
        <w:t>these reports</w:t>
      </w:r>
      <w:r w:rsidRPr="00F36A0F">
        <w:t xml:space="preserve"> are based on research </w:t>
      </w:r>
      <w:r w:rsidR="008C4B30">
        <w:t xml:space="preserve">conducted </w:t>
      </w:r>
      <w:r w:rsidRPr="00F36A0F">
        <w:t xml:space="preserve">with lower sample sizes and </w:t>
      </w:r>
      <w:r w:rsidR="00223608">
        <w:t>greater potential for</w:t>
      </w:r>
      <w:r w:rsidRPr="00F36A0F">
        <w:t xml:space="preserve"> selection bias.</w:t>
      </w:r>
      <w:r w:rsidR="0093501F">
        <w:rPr>
          <w:vertAlign w:val="superscript"/>
        </w:rPr>
        <w:fldChar w:fldCharType="begin" w:fldLock="1"/>
      </w:r>
      <w:r w:rsidR="00113335">
        <w:rPr>
          <w:vertAlign w:val="superscript"/>
        </w:rPr>
        <w:instrText>ADDIN CSL_CITATION { "citationItems" : [ { "id" : "ITEM-1", "itemData" : { "ISSN" : "1326-5377", "PMID" : "21843123", "abstract" : "OBJECTIVE: To describe how Medical Benefits Schedule (MBS) chronic disease (CD) item claims vary by sociodemographic and health characteristics in people with heart disease, asthma or diabetes. DESIGN, SETTING AND PARTICIPANTS: A cross-sectional analysis of linked unit-level MBS and survey data from the first 102,934 participants enrolled in the 45 and Up Study, a large-scale cohort study in New South Wales, who completed the baseline survey between January 2006 and July 2008. MAIN OUTCOME MEASURE: Claim for any general practitioner CD item within 18 months before enrolment, ascertained from MBS records. RESULTS: The proportion of individuals making claims for MBS CD items was 18.5% for asthma, 22.3% for heart disease, and 44.9% for diabetes. Associations between participant characteristics and a claim for a CD item showed similar patterns across the three diseases. For heart disease and asthma, people most likely to claim a CD item were women, older, of low income and education levels, with multiple chronic conditions, fair or poor self-rated health, obesity and low physical activity levels. The pattern of claims was slightly different for participants with diabetes in that there was no significant association with number of chronic conditions, smoking or physical activity. CONCLUSIONS: Many individuals with self-reported CD do not claim CD items. People with diabetes and individuals with greatest need based on health, socioeconomic and lifestyle risk factors are the most likely to claim CD items.", "author" : [ { "dropping-particle" : "", "family" : "Douglas", "given" : "Kirsty A", "non-dropping-particle" : "", "parse-names" : false, "suffix" : "" }, { "dropping-particle" : "", "family" : "Yen", "given" : "Laurann E", "non-dropping-particle" : "", "parse-names" : false, "suffix" : "" }, { "dropping-particle" : "", "family" : "Korda", "given" : "Rosemary J", "non-dropping-particle" : "", "parse-names" : false, "suffix" : "" }, { "dropping-particle" : "", "family" : "Kljakovic", "given" : "Marjan", "non-dropping-particle" : "", "parse-names" : false, "suffix" : "" }, { "dropping-particle" : "", "family" : "Glasgow", "given" : "Nicholas J", "non-dropping-particle" : "", "parse-names" : false, "suffix" : "" } ], "container-title" : "The Medical journal of Australia", "id" : "ITEM-1", "issue" : "4", "issued" : { "date-parts" : [ [ "2011", "8", "15" ] ] }, "page" : "198-202", "title" : "Chronic disease management items in general practice: a population-based study of variation in claims by claimant characteristics.", "type" : "article-journal", "volume" : "195" }, "uris" : [ "http://www.mendeley.com/documents/?uuid=47cdfe3b-69a1-4085-9754-e11b190117f3" ] }, { "id" : "ITEM-2", "itemData" : { "DOI" : "10.1071/AH11100", "ISSN" : "0156-5788", "PMID" : "23062725", "abstract" : "OBJECTIVE: To compare the demographic, socioeconomic, and medical characteristics of patients who had a General Practitioner Management Plan (GPMP) with those for patients without GPMP.\n\nMETHODS: Cohort study of patients with chronic diseases during the time period 1 July 2006 to 30 June 2008 using the Australian Department of Veterans' Affairs (DVA) claims database.\n\nRESULTS: Of the 88 128 veterans with chronic diseases included in the study, 23 015 (26%) veterans had a GPMP and 11 089 (13%) had a Team Care Arrangement (TCA). Those with a GPMP had a higher number of comorbidities (P&lt;0.001), and a higher use of services such as health assessment and medicine review (P&lt;0.001) than did those without GPMP. Diabetes was associated with a significantly increased use of GPMP compared with all other chronic diseases except heart failure.\n\nCONCLUSIONS: GPMPs are used in a minority of patients with chronic diseases. Use is highest in people with diabetes.", "author" : [ { "dropping-particle" : "", "family" : "Vitry", "given" : "Agnes I", "non-dropping-particle" : "", "parse-names" : false, "suffix" : "" }, { "dropping-particle" : "", "family" : "Roughead", "given" : "Elizabeth E", "non-dropping-particle" : "", "parse-names" : false, "suffix" : "" }, { "dropping-particle" : "", "family" : "Ramsay", "given" : "Emmae N", "non-dropping-particle" : "", "parse-names" : false, "suffix" : "" }, { "dropping-particle" : "", "family" : "Ryan", "given" : "Philip", "non-dropping-particle" : "", "parse-names" : false, "suffix" : "" }, { "dropping-particle" : "", "family" : "Caughey", "given" : "Gillian E", "non-dropping-particle" : "", "parse-names" : false, "suffix" : "" }, { "dropping-particle" : "", "family" : "Esterman", "given" : "Adrian", "non-dropping-particle" : "", "parse-names" : false, "suffix" : "" }, { "dropping-particle" : "", "family" : "Shakib", "given" : "Sepehr", "non-dropping-particle" : "", "parse-names" : false, "suffix" : "" }, { "dropping-particle" : "", "family" : "Gilbert", "given" : "Andrew L", "non-dropping-particle" : "", "parse-names" : false, "suffix" : "" }, { "dropping-particle" : "", "family" : "McDermott", "given" : "Robyn", "non-dropping-particle" : "", "parse-names" : false, "suffix" : "" } ], "container-title" : "Australian health review : a publication of the Australian Hospital Association", "id" : "ITEM-2", "issue" : "4", "issued" : { "date-parts" : [ [ "2012", "11" ] ] }, "page" : "419-23", "title" : "Chronic disease management: does the disease affect likelihood of care planning?", "type" : "article-journal", "volume" : "36" }, "uris" : [ "http://www.mendeley.com/documents/?uuid=fba2a6ce-fd04-4e40-b50d-2f68ed7903e0" ] }, { "id" : "ITEM-3", "itemData" : { "DOI" : "10.1071/AH11136", "ISSN" : "0156-5788", "PMID" : "23157923", "abstract" : "OBJECTIVE: To test the association, in patients with a diagnosis of diabetes I and II, between having or not having a care plan, (i.e. General Practice Management Plans (GPMPs),Team Care Arrangements (TCAs)), and having the recommended number of biochemical checks according to the diabetes Annual Cycle of Care guideline. The checks comprised HbA1c, HDL cholesterol and urinary microalbumin.\n\nMETHODS: Chi-square analysis of retrospective group data obtained from the Medicare database (from 'billing' patterns only).\n\nRESULTS: The creation of GPMPs was associated with general practitioners (GPs) requesting checks for HbA1c (59.7%), HDL cholesterol (36.9%) and microalbumin (50.8%) for diabetes patients in accordance with guideline recommendations. Although the introduction of multidisciplinary care via a TCA was associated with an increase in the frequency of HbA1c checks (61.3%) in accordance with the guidelines, there was a reduction in the number of HDL cholesterol (23.7%) and microalbumin (36.8%) checks. The group with no care plans had the lowest association with HbA1c (47.8%), HDL cholesterol (19.7%) and microalbumin (29.3%) checks that met guideline requirements for diabetes.\n\nCONCLUSIONS: The use of GPMPs showed strong association with increased testing of process measures that met guideline requirements for diabetes. Further research is needed to understand the value and benefits of TCAs in promoting adherence to diabetes guidelines.", "author" : [ { "dropping-particle" : "", "family" : "Adaji", "given" : "Akuh", "non-dropping-particle" : "", "parse-names" : false, "suffix" : "" }, { "dropping-particle" : "", "family" : "Schattner", "given" : "Peter", "non-dropping-particle" : "", "parse-names" : false, "suffix" : "" }, { "dropping-particle" : "", "family" : "Jones", "given" : "Kay Margaret", "non-dropping-particle" : "", "parse-names" : false, "suffix" : "" }, { "dropping-particle" : "", "family" : "Beovich", "given" : "Bronwyn", "non-dropping-particle" : "", "parse-names" : false, "suffix" : "" }, { "dropping-particle" : "", "family" : "Piterman", "given" : "Leon", "non-dropping-particle" : "", "parse-names" : false, "suffix" : "" } ], "container-title" : "Australian health review : a publication of the Australian Hospital Association", "id" : "ITEM-3", "issue" : "1", "issued" : { "date-parts" : [ [ "2013", "3" ] ] }, "page" : "83-7", "title" : "Care planning and adherence to diabetes process guidelines: medicare data analysis.", "type" : "article-journal", "volume" : "37" }, "uris" : [ "http://www.mendeley.com/documents/?uuid=a57740d7-5bdc-4432-a155-4702d256cbc4" ] }, { "id" : "ITEM-4", "itemData" : { "ISSN" : "0300-8495", "PMID" : "17252093", "abstract" : "Since the introduction of the Enhanced Primary Care package, care plans have become part of Australian general practice. Previous research has focused on barriers to the uptake of care plans. This study examined the effect of multidisciplinary care plans on provision and outcome of care for patients with type 2 diabetes.", "author" : [ { "dropping-particle" : "", "family" : "Zwar", "given" : "Nicholas", "non-dropping-particle" : "", "parse-names" : false, "suffix" : "" }, { "dropping-particle" : "", "family" : "Hermiz", "given" : "Oshana", "non-dropping-particle" : "", "parse-names" : false, "suffix" : "" }, { "dropping-particle" : "", "family" : "Comino", "given" : "Elizabeth J", "non-dropping-particle" : "", "parse-names" : false, "suffix" : "" }, { "dropping-particle" : "", "family" : "Shortus", "given" : "Timothy", "non-dropping-particle" : "", "parse-names" : false, "suffix" : "" }, { "dropping-particle" : "", "family" : "Burns", "given" : "Joan", "non-dropping-particle" : "", "parse-names" : false, "suffix" : "" }, { "dropping-particle" : "", "family" : "Harris", "given" : "Mark", "non-dropping-particle" : "", "parse-names" : false, "suffix" : "" } ], "container-title" : "Australian family physician", "id" : "ITEM-4", "issue" : "1-2", "issued" : { "date-parts" : [ [ "2007" ] ] }, "page" : "85-9", "title" : "Do multidisciplinary care plans result in better care for patients with type 2 diabetes?", "type" : "article-journal", "volume" : "36" }, "uris" : [ "http://www.mendeley.com/documents/?uuid=d36aa957-fd97-407b-9f79-852dafe32e01" ] }, { "id" : "ITEM-5", "itemData" : { "ISSN" : "0300-8495", "PMID" : "19037474", "abstract" : "BACKGROUND: The authors have previously found that multidisciplinary care plans are associated with improved processes and outcomes of care for diabetic patients. This article examines whether care plans are more likely to be implemented and have greater benefit for patients with poor metabolic control. METHODS: Retrospective before and after medical record audit of 230 type 2 diabetic patients with care plans. RESULTS: There was more multidisciplinary care provided and a significant decrease in mean post-care plan glycated haemoglobin (HbA1c) in patients who had a pre-care plan HbA1c level of more than 7%, but no significant change in those patients with HbA1c of 7% or less. DISCUSSION: Care plans are beneficial and more often implemented for patients with poor metabolic control. If this positive impact is due to the implementation of multidisciplinary care, questions are raised about the relative effectiveness of general practitioner management plans and team care arrangements, as the former do not necessarily involve other health professionals.", "author" : [ { "dropping-particle" : "", "family" : "Zwar", "given" : "Nicholas", "non-dropping-particle" : "", "parse-names" : false, "suffix" : "" }, { "dropping-particle" : "", "family" : "Hasan", "given" : "Iqbal", "non-dropping-particle" : "", "parse-names" : false, "suffix" : "" }, { "dropping-particle" : "", "family" : "Hermiz", "given" : "Oshana", "non-dropping-particle" : "", "parse-names" : false, "suffix" : "" }, { "dropping-particle" : "", "family" : "Vagholkar", "given" : "Sanjyot", "non-dropping-particle" : "", "parse-names" : false, "suffix" : "" }, { "dropping-particle" : "", "family" : "Comino", "given" : "Elizabeth", "non-dropping-particle" : "", "parse-names" : false, "suffix" : "" }, { "dropping-particle" : "", "family" : "Harris", "given" : "Mark", "non-dropping-particle" : "", "parse-names" : false, "suffix" : "" } ], "container-title" : "Australian family physician", "id" : "ITEM-5", "issue" : "11", "issued" : { "date-parts" : [ [ "2008", "11" ] ] }, "page" : "960-2", "title" : "Multidisciplinary care plans and diabetes--benefits for patients with poor glycaemic control.", "type" : "article-journal", "volume" : "37" }, "uris" : [ "http://www.mendeley.com/documents/?uuid=51d9a8b6-80f2-4de7-8b46-22b27089e75b" ] }, { "id" : "ITEM-6", "itemData" : { "ISSN" : "1326-5377", "PMID" : "23984783", "abstract" : "OBJECTIVES: To investigate whether General Practice Management Plans (GPMPs), Team Care Arrangements (TCAs) and reviews of these improve the management and outcomes of patients with diabetes when supported by cdmNet, a web-based chronic disease management system; and to investigate adherence to the annual cycle of care (ACOC), as recommended in diabetes guidelines. DESIGN, PARTICIPANTS AND SETTING: A before-and-after study to analyse prospectively collected data on 577 patients with type 1 or 2 diabetes mellitus who were managed with a GPMP created using cdmNet between June 2008 and November 2012. MAIN OUTCOME MEASURES: Completion of the clinical tests in the ACOC (process outcome) and values of six of these clinical measurements (clinical outcomes). RESULTS: Significant improvements were seen after creation of a GPMP in the proportion of ACOC clinical tests completed (57.9% v 74.8%, P &lt; 0.001), total cholesterol level (P &lt; 0.01), low-density lipoprotein (LDL) cholesterol level (P &lt; 0.001) and body mass index (BMI) (P &lt; 0.01). Patients using GPMPs and TCAs also improved their glycated haemoglobin (HbA1c) level (P &lt; 0.05). Patients followed up with irregular reviews had significant improvements in the proportion of ACOC clinical tests completed (59.2% v 77.6%, P &lt; 0.001), total cholesterol level (P &lt; 0.05), and BMI (P &lt; 0.01), but patients with regular reviews had greater improvements in the proportion of ACOC clinical tests completed (58.9% v 85.0%, P &lt; 0.001), HbA(1c) level (57.7 v 53.0 mmol/mol, P &lt; 0.05), total cholesterol level (4.8 v 4.5 mmol/L, P &lt; 0.05), LDL cholesterol level (2.8 v 2.4 mmol/L, P &lt; 0.01) and diastolic blood pressure (76.0 v 74.0 mmHg, P &lt; 0.05). CONCLUSION: There were significant improvements in process and clinical outcomes for patients on a GPMP or a GPMP and TCA, particularly when these were followed up by regular reviews. Patients using cdmNet were four times more likely to have their GPMP or TCA followed up through regular reviews than the national average.", "author" : [ { "dropping-particle" : "", "family" : "Wickramasinghe", "given" : "Leelani K", "non-dropping-particle" : "", "parse-names" : false, "suffix" : "" }, { "dropping-particle" : "", "family" : "Schattner", "given" : "Peter", "non-dropping-particle" : "", "parse-names" : false, "suffix" : "" }, { "dropping-particle" : "", "family" : "Hibbert", "given" : "Marienne E", "non-dropping-particle" : "", "parse-names" : false, "suffix" : "" }, { "dropping-particle" : "", "family" : "Enticott", "given" : "Joanne C", "non-dropping-particle" : "", "parse-names" : false, "suffix" : "" }, { "dropping-particle" : "", "family" : "Georgeff", "given" : "Michael P", "non-dropping-particle" : "", "parse-names" : false, "suffix" : "" }, { "dropping-particle" : "", "family" : "Russell", "given" : "Grant M", "non-dropping-particle" : "", "parse-names" : false, "suffix" : "" } ], "container-title" : "The Medical journal of Australia", "id" : "ITEM-6", "issue" : "4", "issued" : { "date-parts" : [ [ "2013", "8", "19" ] ] }, "page" : "261-5", "title" : "Impact on diabetes management of General Practice Management Plans, Team Care Arrangements and reviews.", "type" : "article-journal", "volume" : "199" }, "uris" : [ "http://www.mendeley.com/documents/?uuid=5ee31872-0ef3-4c58-bbc7-6d56eeb39066" ] } ], "mendeley" : { "previouslyFormattedCitation" : "&lt;sup&gt;39\u201344&lt;/sup&gt;" }, "properties" : { "noteIndex" : 0 }, "schema" : "https://github.com/citation-style-language/schema/raw/master/csl-citation.json" }</w:instrText>
      </w:r>
      <w:r w:rsidR="0093501F">
        <w:rPr>
          <w:vertAlign w:val="superscript"/>
        </w:rPr>
        <w:fldChar w:fldCharType="separate"/>
      </w:r>
      <w:r w:rsidR="00113335" w:rsidRPr="00113335">
        <w:rPr>
          <w:noProof/>
          <w:vertAlign w:val="superscript"/>
        </w:rPr>
        <w:t>39–44</w:t>
      </w:r>
      <w:r w:rsidR="0093501F">
        <w:rPr>
          <w:vertAlign w:val="superscript"/>
        </w:rPr>
        <w:fldChar w:fldCharType="end"/>
      </w:r>
    </w:p>
    <w:p w14:paraId="67797343" w14:textId="77777777" w:rsidR="00827A0E" w:rsidRDefault="00827A0E">
      <w:pPr>
        <w:pStyle w:val="60exhnormal"/>
        <w:keepNext/>
      </w:pPr>
      <w:r>
        <w:lastRenderedPageBreak/>
        <w:t>FIGURE 23</w:t>
      </w:r>
    </w:p>
    <w:p w14:paraId="3947BD9D" w14:textId="77777777" w:rsidR="00827A0E" w:rsidRPr="00C62A00" w:rsidRDefault="00C62A00" w:rsidP="00C62A00">
      <w:pPr>
        <w:pStyle w:val="60exhnormal"/>
        <w:keepNext/>
        <w:jc w:val="center"/>
      </w:pPr>
      <w:r>
        <w:rPr>
          <w:noProof/>
          <w:lang w:eastAsia="en-AU"/>
        </w:rPr>
        <w:drawing>
          <wp:inline distT="0" distB="0" distL="0" distR="0" wp14:anchorId="0085C287" wp14:editId="26847243">
            <wp:extent cx="4906645" cy="3679825"/>
            <wp:effectExtent l="0" t="0" r="8255" b="0"/>
            <wp:docPr id="308" name="Picture 308" descr="A prospective analysis of current chronic disease funding shows that there is little to no relationship between the complexity of a person’s health care needs (such as their clinical indicators and whether they have other chronic diseases, complications of diabetes, or are high-cost users of the health system) and the amount of chronic disease funding that they receive." title="Bar charts: Medicare chronic disease funding across all participa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1041F592" w14:textId="77777777" w:rsidR="004F05B5" w:rsidRPr="00F36A0F" w:rsidRDefault="004F05B5" w:rsidP="004F05B5">
      <w:pPr>
        <w:rPr>
          <w:rFonts w:eastAsiaTheme="minorHAnsi"/>
        </w:rPr>
      </w:pPr>
      <w:r w:rsidRPr="00F36A0F">
        <w:rPr>
          <w:rFonts w:eastAsiaTheme="minorHAnsi"/>
        </w:rPr>
        <w:t xml:space="preserve">In both Group 1 and Group 2, one of the significant changes to diabetes care processes was the introduction of a new IT system designed to enable most facets of the integrated care model. </w:t>
      </w:r>
      <w:r w:rsidR="00DC0594">
        <w:rPr>
          <w:rFonts w:eastAsiaTheme="minorHAnsi"/>
        </w:rPr>
        <w:t xml:space="preserve">Practice </w:t>
      </w:r>
      <w:r w:rsidR="00355DD2">
        <w:rPr>
          <w:rFonts w:eastAsiaTheme="minorHAnsi"/>
        </w:rPr>
        <w:t>Nurses</w:t>
      </w:r>
      <w:r w:rsidR="00355DD2" w:rsidRPr="00F36A0F">
        <w:rPr>
          <w:rFonts w:eastAsiaTheme="minorHAnsi"/>
        </w:rPr>
        <w:t xml:space="preserve"> </w:t>
      </w:r>
      <w:r w:rsidRPr="00F36A0F">
        <w:rPr>
          <w:rFonts w:eastAsiaTheme="minorHAnsi"/>
        </w:rPr>
        <w:t xml:space="preserve">were the main users of the tool, accessing webpages about five times as often as GPs. Uptake was between two and six times higher in Group 2 than in Group 1 across GPs, Practice Nurses and </w:t>
      </w:r>
      <w:r w:rsidR="002F6327">
        <w:rPr>
          <w:rFonts w:eastAsiaTheme="minorHAnsi"/>
        </w:rPr>
        <w:t>AHP</w:t>
      </w:r>
      <w:r w:rsidRPr="00F36A0F">
        <w:rPr>
          <w:rFonts w:eastAsiaTheme="minorHAnsi"/>
        </w:rPr>
        <w:t xml:space="preserve">s (Figure </w:t>
      </w:r>
      <w:r w:rsidR="003239D8">
        <w:rPr>
          <w:rFonts w:eastAsiaTheme="minorHAnsi"/>
        </w:rPr>
        <w:t>24</w:t>
      </w:r>
      <w:r w:rsidRPr="00F36A0F">
        <w:rPr>
          <w:rFonts w:eastAsiaTheme="minorHAnsi"/>
        </w:rPr>
        <w:t>). There was also a difference in usage of</w:t>
      </w:r>
      <w:r w:rsidR="00FB03AC">
        <w:rPr>
          <w:rFonts w:eastAsiaTheme="minorHAnsi"/>
        </w:rPr>
        <w:t xml:space="preserve"> the patient portal. In Group 1, </w:t>
      </w:r>
      <w:r w:rsidRPr="00F36A0F">
        <w:rPr>
          <w:rFonts w:eastAsiaTheme="minorHAnsi"/>
        </w:rPr>
        <w:t>146 participants accessed the portal (about seven percent of active participants in that trial arm at baseline), and in Group 2,</w:t>
      </w:r>
      <w:r w:rsidR="00FB03AC">
        <w:rPr>
          <w:rFonts w:eastAsiaTheme="minorHAnsi"/>
        </w:rPr>
        <w:t xml:space="preserve"> </w:t>
      </w:r>
      <w:r w:rsidRPr="00F36A0F">
        <w:rPr>
          <w:rFonts w:eastAsiaTheme="minorHAnsi"/>
        </w:rPr>
        <w:t>381 people accessed the portal (about 18 percent of active people in that trial arm at baseline). There was a median of three accesses per person.</w:t>
      </w:r>
    </w:p>
    <w:p w14:paraId="4D76AB18" w14:textId="77777777" w:rsidR="00223082" w:rsidRDefault="004F05B5" w:rsidP="008645BE">
      <w:pPr>
        <w:rPr>
          <w:rFonts w:eastAsiaTheme="minorHAnsi"/>
        </w:rPr>
      </w:pPr>
      <w:r w:rsidRPr="00F36A0F">
        <w:rPr>
          <w:rFonts w:eastAsiaTheme="minorHAnsi"/>
        </w:rPr>
        <w:t>Introducing continuous quality improvement conversations was another significant change to diabetes care processes. These conversations were implemented in both Group 1 and Group 2. The continuous quality improvement conversations happened slightly more in Group 2 (</w:t>
      </w:r>
      <w:r w:rsidR="00A6430C">
        <w:rPr>
          <w:rFonts w:eastAsiaTheme="minorHAnsi"/>
        </w:rPr>
        <w:t xml:space="preserve">an </w:t>
      </w:r>
      <w:r w:rsidRPr="00F36A0F">
        <w:rPr>
          <w:rFonts w:eastAsiaTheme="minorHAnsi"/>
        </w:rPr>
        <w:t xml:space="preserve">average </w:t>
      </w:r>
      <w:r w:rsidR="00A6430C">
        <w:rPr>
          <w:rFonts w:eastAsiaTheme="minorHAnsi"/>
        </w:rPr>
        <w:t xml:space="preserve">of </w:t>
      </w:r>
      <w:r w:rsidRPr="00F36A0F">
        <w:rPr>
          <w:rFonts w:eastAsiaTheme="minorHAnsi"/>
        </w:rPr>
        <w:t xml:space="preserve">3.5 </w:t>
      </w:r>
      <w:r w:rsidR="00A6430C">
        <w:rPr>
          <w:rFonts w:eastAsiaTheme="minorHAnsi"/>
        </w:rPr>
        <w:t xml:space="preserve">times </w:t>
      </w:r>
      <w:r w:rsidRPr="00F36A0F">
        <w:rPr>
          <w:rFonts w:eastAsiaTheme="minorHAnsi"/>
        </w:rPr>
        <w:t>per practice during the trial period) than Group 1 (</w:t>
      </w:r>
      <w:r w:rsidR="00A6430C">
        <w:rPr>
          <w:rFonts w:eastAsiaTheme="minorHAnsi"/>
        </w:rPr>
        <w:t xml:space="preserve">an </w:t>
      </w:r>
      <w:r w:rsidRPr="00F36A0F">
        <w:rPr>
          <w:rFonts w:eastAsiaTheme="minorHAnsi"/>
        </w:rPr>
        <w:t>average</w:t>
      </w:r>
      <w:r w:rsidR="00A6430C">
        <w:rPr>
          <w:rFonts w:eastAsiaTheme="minorHAnsi"/>
        </w:rPr>
        <w:t xml:space="preserve"> of</w:t>
      </w:r>
      <w:r w:rsidRPr="00F36A0F">
        <w:rPr>
          <w:rFonts w:eastAsiaTheme="minorHAnsi"/>
        </w:rPr>
        <w:t xml:space="preserve"> 2.8 </w:t>
      </w:r>
      <w:r w:rsidR="00A6430C">
        <w:rPr>
          <w:rFonts w:eastAsiaTheme="minorHAnsi"/>
        </w:rPr>
        <w:t xml:space="preserve">times </w:t>
      </w:r>
      <w:r w:rsidRPr="00F36A0F">
        <w:rPr>
          <w:rFonts w:eastAsiaTheme="minorHAnsi"/>
        </w:rPr>
        <w:t>per practice during the trial period).</w:t>
      </w:r>
    </w:p>
    <w:p w14:paraId="5C8E9561" w14:textId="77777777" w:rsidR="00827A0E" w:rsidRDefault="00827A0E">
      <w:pPr>
        <w:pStyle w:val="60exhnormal"/>
        <w:keepNext/>
      </w:pPr>
      <w:r>
        <w:lastRenderedPageBreak/>
        <w:t>figure 24</w:t>
      </w:r>
    </w:p>
    <w:p w14:paraId="65058606" w14:textId="77777777" w:rsidR="00827A0E" w:rsidRPr="00C62A00" w:rsidRDefault="00C62A00" w:rsidP="00C62A00">
      <w:pPr>
        <w:pStyle w:val="60exhnormal"/>
        <w:keepNext/>
        <w:jc w:val="center"/>
      </w:pPr>
      <w:r>
        <w:rPr>
          <w:noProof/>
          <w:lang w:eastAsia="en-AU"/>
        </w:rPr>
        <w:drawing>
          <wp:inline distT="0" distB="0" distL="0" distR="0" wp14:anchorId="4220372D" wp14:editId="68F19F96">
            <wp:extent cx="4906645" cy="3679825"/>
            <wp:effectExtent l="0" t="0" r="8255" b="0"/>
            <wp:docPr id="309" name="Picture 309" descr="Practice Nurses were the main users of the IT tool—accessing webpages about five times as often as GPs—and uptake of the tool was higher in Group 2. GPs accessed the tool an average of 692 times in Group 1, compared with 1,619 times in Group 2. Practice nurses accessed it an average of 2,514 times in Group 1, compared with 7,619 times in Group 2. Allied Health Professionals accessed it an average of 193 times in Group 1, compared with 1,224 times in Group 2." title="Column chart: Frequency of use of the IT t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1FF38194" w14:textId="77777777" w:rsidR="00355DD2" w:rsidRDefault="008645BE" w:rsidP="008645BE">
      <w:pPr>
        <w:rPr>
          <w:rFonts w:eastAsiaTheme="minorHAnsi"/>
        </w:rPr>
      </w:pPr>
      <w:r w:rsidRPr="00F36A0F">
        <w:rPr>
          <w:rFonts w:eastAsiaTheme="minorHAnsi"/>
        </w:rPr>
        <w:t>Group 2 also included funding for care facilitation. Most GPs and Practice Nurses agreed that Care Facilitators were important in improving</w:t>
      </w:r>
      <w:r w:rsidRPr="00F36A0F">
        <w:rPr>
          <w:rFonts w:eastAsiaTheme="minorHAnsi"/>
          <w:bCs/>
        </w:rPr>
        <w:t xml:space="preserve"> chronic disease care in their practices (Figure </w:t>
      </w:r>
      <w:r w:rsidR="003239D8">
        <w:rPr>
          <w:rFonts w:eastAsiaTheme="minorHAnsi"/>
          <w:bCs/>
        </w:rPr>
        <w:t>25</w:t>
      </w:r>
      <w:r w:rsidRPr="00F36A0F">
        <w:rPr>
          <w:rFonts w:eastAsiaTheme="minorHAnsi"/>
          <w:bCs/>
        </w:rPr>
        <w:t xml:space="preserve">). For example, 87 percent of practices in Group 2 said that Care Facilitators implemented best practice guidelines well or completely. </w:t>
      </w:r>
      <w:r w:rsidRPr="00F36A0F">
        <w:rPr>
          <w:rFonts w:eastAsiaTheme="minorHAnsi"/>
        </w:rPr>
        <w:t xml:space="preserve">Time diary analysis shows </w:t>
      </w:r>
      <w:r w:rsidR="00223082">
        <w:rPr>
          <w:rFonts w:eastAsiaTheme="minorHAnsi"/>
        </w:rPr>
        <w:t xml:space="preserve">that </w:t>
      </w:r>
      <w:r w:rsidRPr="00F36A0F">
        <w:rPr>
          <w:rFonts w:eastAsiaTheme="minorHAnsi"/>
        </w:rPr>
        <w:t xml:space="preserve">they spent the majority of their time (64 percent) working directly with Group 2 participants and practices (Figure </w:t>
      </w:r>
      <w:r w:rsidR="003239D8">
        <w:rPr>
          <w:rFonts w:eastAsiaTheme="minorHAnsi"/>
        </w:rPr>
        <w:t>26</w:t>
      </w:r>
      <w:r w:rsidRPr="00F36A0F">
        <w:rPr>
          <w:rFonts w:eastAsiaTheme="minorHAnsi"/>
        </w:rPr>
        <w:t xml:space="preserve">). The remainder of their time was divided fairly evenly between travel (between the practices they were responsible for), meetings with supervisors, team meetings and training, practice planning, and conversations with </w:t>
      </w:r>
      <w:r w:rsidR="002F6327">
        <w:rPr>
          <w:rFonts w:eastAsiaTheme="minorHAnsi"/>
        </w:rPr>
        <w:t>AHP</w:t>
      </w:r>
      <w:r w:rsidRPr="00F36A0F">
        <w:rPr>
          <w:rFonts w:eastAsiaTheme="minorHAnsi"/>
        </w:rPr>
        <w:t xml:space="preserve">s. Care Facilitators focused their attention on the highest risk participants. For example, while out-of-range complex participants represented only 33 percent of Group 2 participants, 42 percent of Care Facilitator phone calls were made to this group. </w:t>
      </w:r>
    </w:p>
    <w:p w14:paraId="5BBEC5BC" w14:textId="77777777" w:rsidR="00207ECA" w:rsidRDefault="00207ECA">
      <w:pPr>
        <w:pStyle w:val="60exhnormal"/>
        <w:keepNext/>
        <w:rPr>
          <w:rFonts w:eastAsiaTheme="minorHAnsi"/>
        </w:rPr>
      </w:pPr>
      <w:r>
        <w:rPr>
          <w:rFonts w:eastAsiaTheme="minorHAnsi"/>
        </w:rPr>
        <w:lastRenderedPageBreak/>
        <w:t>Figure 25</w:t>
      </w:r>
    </w:p>
    <w:p w14:paraId="40B49543" w14:textId="77777777" w:rsidR="003F15BD" w:rsidRDefault="00C62A00" w:rsidP="00C62A00">
      <w:pPr>
        <w:pStyle w:val="60exhnormal"/>
        <w:keepNext/>
        <w:jc w:val="center"/>
      </w:pPr>
      <w:r>
        <w:rPr>
          <w:noProof/>
          <w:lang w:eastAsia="en-AU"/>
        </w:rPr>
        <w:drawing>
          <wp:inline distT="0" distB="0" distL="0" distR="0" wp14:anchorId="188424BF" wp14:editId="20827267">
            <wp:extent cx="4906645" cy="3673475"/>
            <wp:effectExtent l="0" t="0" r="8255" b="3175"/>
            <wp:docPr id="85" name="Picture 85" descr="Most GPs and Practice Nurses agreed that Care Facilitators were important in improving chronic disease care in their practices. For example, 87 percent of GPs and Practice Nurses in Group 2 reported that Care Facilitators implemented best practice guidelines well or completely; 84 percent reported that Care Facilitators had helped the practice achieve quality improvement support payment outcomes well or completely; 63 percent reported that Care Facilitators had improved the practice’s chronic disease management skills well or completely; and 83 percent reported that Care Facilitators had fostered stronger multi-disciplinary team collaboration well or completely." title="Bar charts: Survey on care facilitator effective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906645" cy="367347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6ACF0E9E" w14:textId="77777777" w:rsidR="00207ECA" w:rsidRDefault="00207ECA">
      <w:pPr>
        <w:pStyle w:val="60exhnormal"/>
        <w:keepNext/>
      </w:pPr>
      <w:r>
        <w:t>Figure 26</w:t>
      </w:r>
    </w:p>
    <w:p w14:paraId="2470B717" w14:textId="77777777" w:rsidR="00C62A00" w:rsidRDefault="00C62A00" w:rsidP="00C62A00">
      <w:pPr>
        <w:pStyle w:val="60exhnormal"/>
        <w:jc w:val="center"/>
      </w:pPr>
      <w:r>
        <w:rPr>
          <w:noProof/>
          <w:lang w:eastAsia="en-AU"/>
        </w:rPr>
        <w:drawing>
          <wp:inline distT="0" distB="0" distL="0" distR="0" wp14:anchorId="476BAA0A" wp14:editId="08672C8F">
            <wp:extent cx="4906645" cy="3673475"/>
            <wp:effectExtent l="0" t="0" r="8255" b="3175"/>
            <wp:docPr id="86" name="Picture 86" descr="Time diary analysis shows that Care Facilitators spent 64 percent of their time working directly with Group 2 participants and practices, nine percent of their time on travel, three percent on meetings with supervisors, 12 percent on team meetings and training, six percent on practice planning, and six percent on conversations with allied health professionals." title="Pie chart: How care facilitators in group 2 spent their time working for the pro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906645" cy="367347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132CB238" w14:textId="77777777" w:rsidR="008645BE" w:rsidRPr="00F36A0F" w:rsidRDefault="008645BE" w:rsidP="00C62A00">
      <w:pPr>
        <w:pStyle w:val="21minor"/>
        <w:ind w:right="357"/>
        <w:rPr>
          <w:rFonts w:eastAsiaTheme="minorHAnsi"/>
        </w:rPr>
      </w:pPr>
      <w:r w:rsidRPr="00F36A0F">
        <w:rPr>
          <w:rFonts w:eastAsiaTheme="minorHAnsi"/>
        </w:rPr>
        <w:lastRenderedPageBreak/>
        <w:t>3.2.3. Patient Experience</w:t>
      </w:r>
    </w:p>
    <w:p w14:paraId="34BDBF0C" w14:textId="77777777" w:rsidR="004F05B5" w:rsidRPr="00F36A0F" w:rsidRDefault="004F05B5" w:rsidP="004F05B5">
      <w:r w:rsidRPr="00F36A0F">
        <w:t xml:space="preserve">Across the DCP cohort, people in all three trial arms were relatively happy with their experience at baseline (Figure </w:t>
      </w:r>
      <w:r w:rsidR="005D1715">
        <w:t>27</w:t>
      </w:r>
      <w:r w:rsidRPr="00F36A0F">
        <w:t xml:space="preserve">). Almost all participants responded that their diabetes care was </w:t>
      </w:r>
      <w:r w:rsidR="00223608" w:rsidRPr="00F36A0F">
        <w:t xml:space="preserve">well </w:t>
      </w:r>
      <w:r w:rsidRPr="00F36A0F">
        <w:t>coordinated, with 77</w:t>
      </w:r>
      <w:r w:rsidR="00EF5AFE">
        <w:t> </w:t>
      </w:r>
      <w:r w:rsidRPr="00F36A0F">
        <w:t>percent reporting that it was ‘very well’ or ‘extremely well</w:t>
      </w:r>
      <w:r w:rsidR="000468C0">
        <w:t>’</w:t>
      </w:r>
      <w:r w:rsidR="000468C0" w:rsidRPr="000468C0">
        <w:t xml:space="preserve"> </w:t>
      </w:r>
      <w:r w:rsidR="000468C0" w:rsidRPr="00F36A0F">
        <w:t>coordinated</w:t>
      </w:r>
      <w:r w:rsidR="000468C0">
        <w:t>.</w:t>
      </w:r>
      <w:r w:rsidRPr="00F36A0F">
        <w:t xml:space="preserve"> Along each of the dimensions of</w:t>
      </w:r>
      <w:r w:rsidR="00EF5AFE">
        <w:t> </w:t>
      </w:r>
      <w:r w:rsidRPr="00F36A0F">
        <w:t xml:space="preserve">patient experience—self-management, perception of GP care and perception of care coordination—participants scored their care </w:t>
      </w:r>
      <w:r w:rsidR="000468C0">
        <w:t xml:space="preserve">at </w:t>
      </w:r>
      <w:r w:rsidRPr="00F36A0F">
        <w:t xml:space="preserve">around 70 percent </w:t>
      </w:r>
      <w:r w:rsidR="000468C0">
        <w:t xml:space="preserve">of the maximum score </w:t>
      </w:r>
      <w:r w:rsidRPr="00F36A0F">
        <w:t>across all groups.</w:t>
      </w:r>
    </w:p>
    <w:p w14:paraId="6E570BBE" w14:textId="77777777" w:rsidR="008645BE" w:rsidRPr="00F36A0F" w:rsidRDefault="004F05B5" w:rsidP="004F05B5">
      <w:pPr>
        <w:rPr>
          <w:rFonts w:eastAsiaTheme="minorHAnsi"/>
        </w:rPr>
      </w:pPr>
      <w:r w:rsidRPr="00F36A0F">
        <w:t>In Group 2, there was a statistically significant improvement in continuity of care and self-management relative to</w:t>
      </w:r>
      <w:r w:rsidR="00223082">
        <w:t xml:space="preserve"> the</w:t>
      </w:r>
      <w:r w:rsidRPr="00F36A0F">
        <w:t xml:space="preserve"> Control</w:t>
      </w:r>
      <w:r w:rsidR="00223082">
        <w:t xml:space="preserve"> Group</w:t>
      </w:r>
      <w:r w:rsidRPr="00F36A0F">
        <w:t>, although the extent of the improvement itself was relatively small (</w:t>
      </w:r>
      <w:r w:rsidR="005D1715">
        <w:t xml:space="preserve">Table </w:t>
      </w:r>
      <w:r w:rsidR="00917356">
        <w:t>4</w:t>
      </w:r>
      <w:r w:rsidRPr="00F36A0F">
        <w:t>). Group 2 saw no significant change in perception of GP care. In Group 1, there were no statistically significant changes in any of the measures of patient experience</w:t>
      </w:r>
      <w:r w:rsidR="008645BE" w:rsidRPr="00F36A0F">
        <w:rPr>
          <w:rFonts w:eastAsiaTheme="minorHAnsi"/>
        </w:rPr>
        <w:t xml:space="preserve">. </w:t>
      </w:r>
    </w:p>
    <w:p w14:paraId="1C6A76CE" w14:textId="77777777" w:rsidR="003F15BD" w:rsidRDefault="003F15BD" w:rsidP="003F15BD">
      <w:pPr>
        <w:pStyle w:val="60exhnormal"/>
        <w:keepNext/>
      </w:pPr>
      <w:r>
        <w:t>figure 27</w:t>
      </w:r>
    </w:p>
    <w:p w14:paraId="3B5C7D33" w14:textId="77777777" w:rsidR="00C62A00" w:rsidRDefault="00C62A00" w:rsidP="00C62A00">
      <w:pPr>
        <w:pStyle w:val="60exhnormal"/>
        <w:keepNext/>
        <w:jc w:val="center"/>
      </w:pPr>
      <w:r>
        <w:rPr>
          <w:noProof/>
          <w:lang w:eastAsia="en-AU"/>
        </w:rPr>
        <w:drawing>
          <wp:inline distT="0" distB="0" distL="0" distR="0" wp14:anchorId="79252524" wp14:editId="210EC2F3">
            <wp:extent cx="4906800" cy="3679200"/>
            <wp:effectExtent l="0" t="0" r="8255" b="0"/>
            <wp:docPr id="83" name="Picture 83" descr="There were three dimensions of patient experience: self-management, perception of GP care and perception of care coordination. For self-management, participants gave their care an average score of 7.73 out of 10. For perception of GP care, participants gave their care an average score of 7.24 out of 10. For perception of care coordination, participants gave their care an average score of 6.99 out of 10. In all cases, a higher score reflects better patient experience." title="Bar chart: Patient experience baseline sco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906800" cy="3679200"/>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663BE87D" w14:textId="77777777" w:rsidR="003F15BD" w:rsidRDefault="003F15BD" w:rsidP="008645BE">
      <w:pPr>
        <w:spacing w:before="0" w:after="200" w:line="276" w:lineRule="auto"/>
        <w:rPr>
          <w:rFonts w:eastAsiaTheme="minorHAnsi"/>
        </w:rPr>
      </w:pPr>
    </w:p>
    <w:p w14:paraId="2352F0E2" w14:textId="77777777" w:rsidR="003F15BD" w:rsidRPr="00F36A0F" w:rsidRDefault="003F15BD" w:rsidP="008645BE">
      <w:pPr>
        <w:spacing w:before="0" w:after="200" w:line="276" w:lineRule="auto"/>
        <w:rPr>
          <w:rFonts w:eastAsiaTheme="minorHAnsi"/>
        </w:rPr>
        <w:sectPr w:rsidR="003F15BD" w:rsidRPr="00F36A0F" w:rsidSect="006F43C4">
          <w:headerReference w:type="default" r:id="rId41"/>
          <w:pgSz w:w="11906" w:h="16838"/>
          <w:pgMar w:top="1440" w:right="1440" w:bottom="1440" w:left="1440" w:header="708" w:footer="708" w:gutter="0"/>
          <w:pgBorders w:offsetFrom="page">
            <w:top w:val="none" w:sz="0" w:space="0" w:color="000000"/>
            <w:left w:val="none" w:sz="0" w:space="0" w:color="000000"/>
            <w:bottom w:val="none" w:sz="0" w:space="0" w:color="000000"/>
            <w:right w:val="none" w:sz="0" w:space="0" w:color="000000"/>
          </w:pgBorders>
          <w:cols w:space="708"/>
          <w:docGrid w:linePitch="360"/>
        </w:sectPr>
      </w:pPr>
    </w:p>
    <w:p w14:paraId="3FEFD00A" w14:textId="77777777" w:rsidR="008645BE" w:rsidRPr="00F36A0F" w:rsidRDefault="008645BE" w:rsidP="008645BE">
      <w:pPr>
        <w:spacing w:before="0" w:after="200" w:line="276" w:lineRule="auto"/>
        <w:rPr>
          <w:rFonts w:eastAsiaTheme="minorHAnsi"/>
        </w:rPr>
      </w:pPr>
    </w:p>
    <w:p w14:paraId="6E0CE37A" w14:textId="77777777" w:rsidR="008645BE" w:rsidRPr="00F36A0F" w:rsidRDefault="008645BE" w:rsidP="00425BCC">
      <w:pPr>
        <w:pStyle w:val="TableNumber"/>
      </w:pPr>
      <w:r w:rsidRPr="00F36A0F">
        <w:t xml:space="preserve">table </w:t>
      </w:r>
      <w:r w:rsidR="00917356">
        <w:t>4</w:t>
      </w:r>
      <w:r w:rsidRPr="00F36A0F">
        <w:t>. change in mean PATIENT EXPERIENCE scores between baseline and end of</w:t>
      </w:r>
      <w:r w:rsidR="00223082">
        <w:t xml:space="preserve"> the</w:t>
      </w:r>
      <w:r w:rsidRPr="00F36A0F">
        <w:t xml:space="preserve"> trial</w:t>
      </w:r>
      <w:r w:rsidR="00223082">
        <w:t xml:space="preserve"> period</w:t>
      </w:r>
    </w:p>
    <w:tbl>
      <w:tblPr>
        <w:tblStyle w:val="TableGrid"/>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Caption w:val="Change in mean patient experience scores between baseline and end of the trial period"/>
        <w:tblDescription w:val="In Group 2, there were statistically significant improvements in continuity of care and self-management relative to the Control Group (p&lt;0.001). Compared to the Control Group, self-management scores in Group 2 were 2.81 points higher (score out of 88), and continuity of care scores were 0.95 points higher (score from 4 to 24). Group 2 saw no significant change in the perception of GP care. In Group 1, there were no statistically significant changes in any of the measures of patient experience (self-management, patient satisfaction with GP care or continuity of care)."/>
      </w:tblPr>
      <w:tblGrid>
        <w:gridCol w:w="1413"/>
        <w:gridCol w:w="857"/>
        <w:gridCol w:w="857"/>
        <w:gridCol w:w="1242"/>
        <w:gridCol w:w="1242"/>
        <w:gridCol w:w="941"/>
        <w:gridCol w:w="941"/>
        <w:gridCol w:w="941"/>
        <w:gridCol w:w="919"/>
        <w:gridCol w:w="919"/>
        <w:gridCol w:w="919"/>
        <w:gridCol w:w="919"/>
        <w:gridCol w:w="919"/>
        <w:gridCol w:w="919"/>
      </w:tblGrid>
      <w:tr w:rsidR="00EF7E0C" w:rsidRPr="00EF7E0C" w14:paraId="4F8EAA24" w14:textId="77777777" w:rsidTr="00474F70">
        <w:trPr>
          <w:cantSplit/>
          <w:tblHeader/>
        </w:trPr>
        <w:tc>
          <w:tcPr>
            <w:tcW w:w="0" w:type="auto"/>
            <w:tcBorders>
              <w:bottom w:val="nil"/>
            </w:tcBorders>
            <w:shd w:val="clear" w:color="auto" w:fill="D9D9D9" w:themeFill="background1" w:themeFillShade="D9"/>
            <w:vAlign w:val="center"/>
          </w:tcPr>
          <w:p w14:paraId="7F7FA2F9" w14:textId="77777777" w:rsidR="00EF7E0C" w:rsidRPr="00EF7E0C" w:rsidRDefault="00EF7E0C" w:rsidP="004C1AD6">
            <w:pPr>
              <w:spacing w:before="80" w:after="80" w:line="240" w:lineRule="auto"/>
              <w:rPr>
                <w:rFonts w:ascii="Arial" w:hAnsi="Arial" w:cs="Arial"/>
                <w:b/>
                <w:sz w:val="16"/>
                <w:szCs w:val="16"/>
              </w:rPr>
            </w:pPr>
          </w:p>
        </w:tc>
        <w:tc>
          <w:tcPr>
            <w:tcW w:w="0" w:type="auto"/>
            <w:shd w:val="clear" w:color="auto" w:fill="D9D9D9" w:themeFill="background1" w:themeFillShade="D9"/>
            <w:vAlign w:val="center"/>
          </w:tcPr>
          <w:p w14:paraId="5E9C1AC6" w14:textId="77777777" w:rsidR="00EF7E0C" w:rsidRPr="00EF7E0C" w:rsidRDefault="00EF7E0C" w:rsidP="00EF7E0C">
            <w:pPr>
              <w:spacing w:before="80" w:after="80" w:line="240" w:lineRule="auto"/>
              <w:jc w:val="center"/>
              <w:rPr>
                <w:rFonts w:ascii="Arial" w:hAnsi="Arial" w:cs="Arial"/>
                <w:b/>
                <w:sz w:val="16"/>
                <w:szCs w:val="16"/>
              </w:rPr>
            </w:pPr>
            <w:r w:rsidRPr="00EF7E0C">
              <w:rPr>
                <w:rFonts w:ascii="Arial" w:hAnsi="Arial" w:cs="Arial"/>
                <w:b/>
                <w:sz w:val="16"/>
                <w:szCs w:val="16"/>
              </w:rPr>
              <w:t>Mean Change</w:t>
            </w:r>
          </w:p>
        </w:tc>
        <w:tc>
          <w:tcPr>
            <w:tcW w:w="0" w:type="auto"/>
            <w:shd w:val="clear" w:color="auto" w:fill="D9D9D9" w:themeFill="background1" w:themeFillShade="D9"/>
            <w:vAlign w:val="center"/>
          </w:tcPr>
          <w:p w14:paraId="25BC028F" w14:textId="77777777" w:rsidR="00EF7E0C" w:rsidRPr="00EF7E0C" w:rsidRDefault="00EF7E0C" w:rsidP="00474F70">
            <w:pPr>
              <w:spacing w:before="80" w:after="80" w:line="240" w:lineRule="auto"/>
              <w:jc w:val="center"/>
              <w:rPr>
                <w:rFonts w:ascii="Arial" w:hAnsi="Arial" w:cs="Arial"/>
                <w:b/>
                <w:sz w:val="16"/>
                <w:szCs w:val="16"/>
              </w:rPr>
            </w:pPr>
            <w:r w:rsidRPr="00EF7E0C">
              <w:rPr>
                <w:rFonts w:ascii="Arial" w:hAnsi="Arial" w:cs="Arial"/>
                <w:b/>
                <w:sz w:val="16"/>
                <w:szCs w:val="16"/>
              </w:rPr>
              <w:t>Mean Change</w:t>
            </w:r>
          </w:p>
        </w:tc>
        <w:tc>
          <w:tcPr>
            <w:tcW w:w="0" w:type="auto"/>
            <w:shd w:val="clear" w:color="auto" w:fill="D9D9D9" w:themeFill="background1" w:themeFillShade="D9"/>
            <w:vAlign w:val="center"/>
          </w:tcPr>
          <w:p w14:paraId="38BAFF9E"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Significance*</w:t>
            </w:r>
          </w:p>
        </w:tc>
        <w:tc>
          <w:tcPr>
            <w:tcW w:w="0" w:type="auto"/>
            <w:shd w:val="clear" w:color="auto" w:fill="D9D9D9" w:themeFill="background1" w:themeFillShade="D9"/>
            <w:vAlign w:val="center"/>
          </w:tcPr>
          <w:p w14:paraId="78ED17CD"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Significance*</w:t>
            </w:r>
          </w:p>
        </w:tc>
        <w:tc>
          <w:tcPr>
            <w:tcW w:w="0" w:type="auto"/>
            <w:shd w:val="clear" w:color="auto" w:fill="D9D9D9" w:themeFill="background1" w:themeFillShade="D9"/>
            <w:vAlign w:val="center"/>
          </w:tcPr>
          <w:p w14:paraId="3AB717A6" w14:textId="77777777" w:rsidR="00EF7E0C" w:rsidRPr="00EF7E0C" w:rsidRDefault="00EF7E0C" w:rsidP="00EF7E0C">
            <w:pPr>
              <w:spacing w:before="80" w:after="80" w:line="240" w:lineRule="auto"/>
              <w:jc w:val="center"/>
              <w:rPr>
                <w:rFonts w:ascii="Arial" w:hAnsi="Arial" w:cs="Arial"/>
                <w:b/>
                <w:sz w:val="16"/>
                <w:szCs w:val="16"/>
              </w:rPr>
            </w:pPr>
            <w:r w:rsidRPr="00EF7E0C">
              <w:rPr>
                <w:rFonts w:ascii="Arial" w:hAnsi="Arial" w:cs="Arial"/>
                <w:b/>
                <w:sz w:val="16"/>
                <w:szCs w:val="16"/>
              </w:rPr>
              <w:t>Control Group (N=1845)</w:t>
            </w:r>
          </w:p>
        </w:tc>
        <w:tc>
          <w:tcPr>
            <w:tcW w:w="0" w:type="auto"/>
            <w:shd w:val="clear" w:color="auto" w:fill="D9D9D9" w:themeFill="background1" w:themeFillShade="D9"/>
            <w:vAlign w:val="center"/>
          </w:tcPr>
          <w:p w14:paraId="1D12FEAB" w14:textId="77777777" w:rsidR="00EF7E0C" w:rsidRPr="00EF7E0C" w:rsidRDefault="00EF7E0C" w:rsidP="00EF7E0C">
            <w:pPr>
              <w:spacing w:before="80" w:after="80" w:line="240" w:lineRule="auto"/>
              <w:jc w:val="center"/>
              <w:rPr>
                <w:rFonts w:ascii="Arial" w:hAnsi="Arial" w:cs="Arial"/>
                <w:b/>
                <w:sz w:val="16"/>
                <w:szCs w:val="16"/>
              </w:rPr>
            </w:pPr>
            <w:r w:rsidRPr="00EF7E0C">
              <w:rPr>
                <w:rFonts w:ascii="Arial" w:hAnsi="Arial" w:cs="Arial"/>
                <w:b/>
                <w:sz w:val="16"/>
                <w:szCs w:val="16"/>
              </w:rPr>
              <w:t>Control Group (N=1845)</w:t>
            </w:r>
          </w:p>
        </w:tc>
        <w:tc>
          <w:tcPr>
            <w:tcW w:w="0" w:type="auto"/>
            <w:shd w:val="clear" w:color="auto" w:fill="D9D9D9" w:themeFill="background1" w:themeFillShade="D9"/>
            <w:vAlign w:val="center"/>
          </w:tcPr>
          <w:p w14:paraId="7CC0A4E8" w14:textId="77777777" w:rsidR="00EF7E0C" w:rsidRPr="00EF7E0C" w:rsidRDefault="00EF7E0C" w:rsidP="00EF7E0C">
            <w:pPr>
              <w:spacing w:before="80" w:after="80" w:line="240" w:lineRule="auto"/>
              <w:jc w:val="center"/>
              <w:rPr>
                <w:rFonts w:ascii="Arial" w:hAnsi="Arial" w:cs="Arial"/>
                <w:b/>
                <w:sz w:val="16"/>
                <w:szCs w:val="16"/>
              </w:rPr>
            </w:pPr>
            <w:r w:rsidRPr="00EF7E0C">
              <w:rPr>
                <w:rFonts w:ascii="Arial" w:hAnsi="Arial" w:cs="Arial"/>
                <w:b/>
                <w:sz w:val="16"/>
                <w:szCs w:val="16"/>
              </w:rPr>
              <w:t>Control Group (N=1845)</w:t>
            </w:r>
          </w:p>
        </w:tc>
        <w:tc>
          <w:tcPr>
            <w:tcW w:w="0" w:type="auto"/>
            <w:shd w:val="clear" w:color="auto" w:fill="D9D9D9" w:themeFill="background1" w:themeFillShade="D9"/>
            <w:vAlign w:val="center"/>
          </w:tcPr>
          <w:p w14:paraId="058360BB" w14:textId="77777777" w:rsidR="00EF7E0C" w:rsidRPr="00EF7E0C" w:rsidRDefault="00EF7E0C" w:rsidP="00EF7E0C">
            <w:pPr>
              <w:spacing w:before="80" w:after="80" w:line="240" w:lineRule="auto"/>
              <w:jc w:val="center"/>
              <w:rPr>
                <w:rFonts w:ascii="Arial" w:hAnsi="Arial" w:cs="Arial"/>
                <w:b/>
                <w:sz w:val="16"/>
                <w:szCs w:val="16"/>
              </w:rPr>
            </w:pPr>
            <w:r w:rsidRPr="00EF7E0C">
              <w:rPr>
                <w:rFonts w:ascii="Arial" w:hAnsi="Arial" w:cs="Arial"/>
                <w:b/>
                <w:sz w:val="16"/>
                <w:szCs w:val="16"/>
              </w:rPr>
              <w:t>Group 1 (N=2449)</w:t>
            </w:r>
          </w:p>
        </w:tc>
        <w:tc>
          <w:tcPr>
            <w:tcW w:w="0" w:type="auto"/>
            <w:shd w:val="clear" w:color="auto" w:fill="D9D9D9" w:themeFill="background1" w:themeFillShade="D9"/>
            <w:vAlign w:val="center"/>
          </w:tcPr>
          <w:p w14:paraId="1C229092" w14:textId="77777777" w:rsidR="00EF7E0C" w:rsidRPr="00EF7E0C" w:rsidRDefault="00EF7E0C" w:rsidP="00EF7E0C">
            <w:pPr>
              <w:spacing w:before="80" w:after="80" w:line="240" w:lineRule="auto"/>
              <w:jc w:val="center"/>
              <w:rPr>
                <w:rFonts w:ascii="Arial" w:hAnsi="Arial" w:cs="Arial"/>
                <w:b/>
                <w:sz w:val="16"/>
                <w:szCs w:val="16"/>
              </w:rPr>
            </w:pPr>
            <w:r w:rsidRPr="00EF7E0C">
              <w:rPr>
                <w:rFonts w:ascii="Arial" w:hAnsi="Arial" w:cs="Arial"/>
                <w:b/>
                <w:sz w:val="16"/>
                <w:szCs w:val="16"/>
              </w:rPr>
              <w:t>Group 1 (N=2449)</w:t>
            </w:r>
          </w:p>
        </w:tc>
        <w:tc>
          <w:tcPr>
            <w:tcW w:w="0" w:type="auto"/>
            <w:shd w:val="clear" w:color="auto" w:fill="D9D9D9" w:themeFill="background1" w:themeFillShade="D9"/>
            <w:vAlign w:val="center"/>
          </w:tcPr>
          <w:p w14:paraId="7510F213" w14:textId="77777777" w:rsidR="00EF7E0C" w:rsidRPr="00EF7E0C" w:rsidRDefault="00EF7E0C" w:rsidP="00EF7E0C">
            <w:pPr>
              <w:spacing w:before="80" w:after="80" w:line="240" w:lineRule="auto"/>
              <w:jc w:val="center"/>
              <w:rPr>
                <w:rFonts w:ascii="Arial" w:hAnsi="Arial" w:cs="Arial"/>
                <w:b/>
                <w:sz w:val="16"/>
                <w:szCs w:val="16"/>
              </w:rPr>
            </w:pPr>
            <w:r w:rsidRPr="00EF7E0C">
              <w:rPr>
                <w:rFonts w:ascii="Arial" w:hAnsi="Arial" w:cs="Arial"/>
                <w:b/>
                <w:sz w:val="16"/>
                <w:szCs w:val="16"/>
              </w:rPr>
              <w:t>Group 1 (N=2449)</w:t>
            </w:r>
          </w:p>
        </w:tc>
        <w:tc>
          <w:tcPr>
            <w:tcW w:w="0" w:type="auto"/>
            <w:shd w:val="clear" w:color="auto" w:fill="D9D9D9" w:themeFill="background1" w:themeFillShade="D9"/>
            <w:vAlign w:val="center"/>
          </w:tcPr>
          <w:p w14:paraId="2623B638" w14:textId="77777777" w:rsidR="00EF7E0C" w:rsidRPr="00EF7E0C" w:rsidRDefault="00EF7E0C" w:rsidP="00EF7E0C">
            <w:pPr>
              <w:spacing w:before="80" w:after="80" w:line="240" w:lineRule="auto"/>
              <w:jc w:val="center"/>
              <w:rPr>
                <w:rFonts w:ascii="Arial" w:hAnsi="Arial" w:cs="Arial"/>
                <w:b/>
                <w:sz w:val="16"/>
                <w:szCs w:val="16"/>
              </w:rPr>
            </w:pPr>
            <w:r w:rsidRPr="00EF7E0C">
              <w:rPr>
                <w:rFonts w:ascii="Arial" w:hAnsi="Arial" w:cs="Arial"/>
                <w:b/>
                <w:sz w:val="16"/>
                <w:szCs w:val="16"/>
              </w:rPr>
              <w:t>Group 2 (N=2339)</w:t>
            </w:r>
          </w:p>
        </w:tc>
        <w:tc>
          <w:tcPr>
            <w:tcW w:w="0" w:type="auto"/>
            <w:shd w:val="clear" w:color="auto" w:fill="D9D9D9" w:themeFill="background1" w:themeFillShade="D9"/>
            <w:vAlign w:val="center"/>
          </w:tcPr>
          <w:p w14:paraId="43124ACD" w14:textId="77777777" w:rsidR="00EF7E0C" w:rsidRPr="00EF7E0C" w:rsidRDefault="00EF7E0C" w:rsidP="00EF7E0C">
            <w:pPr>
              <w:spacing w:before="80" w:after="80" w:line="240" w:lineRule="auto"/>
              <w:jc w:val="center"/>
              <w:rPr>
                <w:rFonts w:ascii="Arial" w:hAnsi="Arial" w:cs="Arial"/>
                <w:b/>
                <w:sz w:val="16"/>
                <w:szCs w:val="16"/>
              </w:rPr>
            </w:pPr>
            <w:r w:rsidRPr="00EF7E0C">
              <w:rPr>
                <w:rFonts w:ascii="Arial" w:hAnsi="Arial" w:cs="Arial"/>
                <w:b/>
                <w:sz w:val="16"/>
                <w:szCs w:val="16"/>
              </w:rPr>
              <w:t>Group 2 (N=2339)</w:t>
            </w:r>
          </w:p>
        </w:tc>
        <w:tc>
          <w:tcPr>
            <w:tcW w:w="0" w:type="auto"/>
            <w:shd w:val="clear" w:color="auto" w:fill="D9D9D9" w:themeFill="background1" w:themeFillShade="D9"/>
            <w:vAlign w:val="center"/>
          </w:tcPr>
          <w:p w14:paraId="2FCC66C0" w14:textId="77777777" w:rsidR="00EF7E0C" w:rsidRPr="00EF7E0C" w:rsidRDefault="00EF7E0C" w:rsidP="00EF7E0C">
            <w:pPr>
              <w:spacing w:before="80" w:after="80" w:line="240" w:lineRule="auto"/>
              <w:jc w:val="center"/>
              <w:rPr>
                <w:rFonts w:ascii="Arial" w:hAnsi="Arial" w:cs="Arial"/>
                <w:b/>
                <w:sz w:val="16"/>
                <w:szCs w:val="16"/>
              </w:rPr>
            </w:pPr>
            <w:r w:rsidRPr="00EF7E0C">
              <w:rPr>
                <w:rFonts w:ascii="Arial" w:hAnsi="Arial" w:cs="Arial"/>
                <w:b/>
                <w:sz w:val="16"/>
                <w:szCs w:val="16"/>
              </w:rPr>
              <w:t>Group 2 (N=2339)</w:t>
            </w:r>
          </w:p>
        </w:tc>
      </w:tr>
      <w:tr w:rsidR="00EF7E0C" w:rsidRPr="00EF7E0C" w14:paraId="6CF43154" w14:textId="77777777" w:rsidTr="00EF7E0C">
        <w:tc>
          <w:tcPr>
            <w:tcW w:w="0" w:type="auto"/>
            <w:tcBorders>
              <w:top w:val="nil"/>
            </w:tcBorders>
            <w:shd w:val="clear" w:color="auto" w:fill="D9D9D9" w:themeFill="background1" w:themeFillShade="D9"/>
            <w:vAlign w:val="center"/>
          </w:tcPr>
          <w:p w14:paraId="2F22117A" w14:textId="77777777" w:rsidR="00EF7E0C" w:rsidRPr="00EF7E0C" w:rsidRDefault="00EF7E0C" w:rsidP="00474F70">
            <w:pPr>
              <w:spacing w:before="80" w:after="80" w:line="240" w:lineRule="auto"/>
              <w:rPr>
                <w:rFonts w:ascii="Arial" w:hAnsi="Arial" w:cs="Arial"/>
                <w:b/>
                <w:sz w:val="16"/>
                <w:szCs w:val="16"/>
              </w:rPr>
            </w:pPr>
            <w:r w:rsidRPr="00EF7E0C">
              <w:rPr>
                <w:rFonts w:ascii="Arial" w:hAnsi="Arial" w:cs="Arial"/>
                <w:b/>
                <w:sz w:val="16"/>
                <w:szCs w:val="16"/>
              </w:rPr>
              <w:t>Characteristic</w:t>
            </w:r>
          </w:p>
        </w:tc>
        <w:tc>
          <w:tcPr>
            <w:tcW w:w="0" w:type="auto"/>
            <w:shd w:val="clear" w:color="auto" w:fill="D9D9D9" w:themeFill="background1" w:themeFillShade="D9"/>
            <w:vAlign w:val="center"/>
          </w:tcPr>
          <w:p w14:paraId="49054C76"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Group 1 minus Control</w:t>
            </w:r>
          </w:p>
        </w:tc>
        <w:tc>
          <w:tcPr>
            <w:tcW w:w="0" w:type="auto"/>
            <w:shd w:val="clear" w:color="auto" w:fill="D9D9D9" w:themeFill="background1" w:themeFillShade="D9"/>
            <w:vAlign w:val="center"/>
          </w:tcPr>
          <w:p w14:paraId="6B532E38"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Group 2 minus Control</w:t>
            </w:r>
          </w:p>
        </w:tc>
        <w:tc>
          <w:tcPr>
            <w:tcW w:w="0" w:type="auto"/>
            <w:shd w:val="clear" w:color="auto" w:fill="D9D9D9" w:themeFill="background1" w:themeFillShade="D9"/>
            <w:vAlign w:val="center"/>
          </w:tcPr>
          <w:p w14:paraId="71211500"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Group 1 vs Control</w:t>
            </w:r>
          </w:p>
        </w:tc>
        <w:tc>
          <w:tcPr>
            <w:tcW w:w="0" w:type="auto"/>
            <w:shd w:val="clear" w:color="auto" w:fill="D9D9D9" w:themeFill="background1" w:themeFillShade="D9"/>
            <w:vAlign w:val="center"/>
          </w:tcPr>
          <w:p w14:paraId="1D2F882E"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Group 2 vs Control</w:t>
            </w:r>
          </w:p>
        </w:tc>
        <w:tc>
          <w:tcPr>
            <w:tcW w:w="0" w:type="auto"/>
            <w:shd w:val="clear" w:color="auto" w:fill="D9D9D9" w:themeFill="background1" w:themeFillShade="D9"/>
            <w:vAlign w:val="center"/>
          </w:tcPr>
          <w:p w14:paraId="438804D5"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n</w:t>
            </w:r>
          </w:p>
        </w:tc>
        <w:tc>
          <w:tcPr>
            <w:tcW w:w="0" w:type="auto"/>
            <w:shd w:val="clear" w:color="auto" w:fill="D9D9D9" w:themeFill="background1" w:themeFillShade="D9"/>
            <w:vAlign w:val="center"/>
          </w:tcPr>
          <w:p w14:paraId="542E3B17"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Mean</w:t>
            </w:r>
          </w:p>
        </w:tc>
        <w:tc>
          <w:tcPr>
            <w:tcW w:w="0" w:type="auto"/>
            <w:shd w:val="clear" w:color="auto" w:fill="D9D9D9" w:themeFill="background1" w:themeFillShade="D9"/>
            <w:vAlign w:val="center"/>
          </w:tcPr>
          <w:p w14:paraId="0C9DC7C9"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SD</w:t>
            </w:r>
          </w:p>
        </w:tc>
        <w:tc>
          <w:tcPr>
            <w:tcW w:w="0" w:type="auto"/>
            <w:shd w:val="clear" w:color="auto" w:fill="D9D9D9" w:themeFill="background1" w:themeFillShade="D9"/>
            <w:vAlign w:val="center"/>
          </w:tcPr>
          <w:p w14:paraId="1C06291D"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n</w:t>
            </w:r>
          </w:p>
        </w:tc>
        <w:tc>
          <w:tcPr>
            <w:tcW w:w="0" w:type="auto"/>
            <w:shd w:val="clear" w:color="auto" w:fill="D9D9D9" w:themeFill="background1" w:themeFillShade="D9"/>
            <w:vAlign w:val="center"/>
          </w:tcPr>
          <w:p w14:paraId="3363EEC4"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Mean</w:t>
            </w:r>
          </w:p>
        </w:tc>
        <w:tc>
          <w:tcPr>
            <w:tcW w:w="0" w:type="auto"/>
            <w:shd w:val="clear" w:color="auto" w:fill="D9D9D9" w:themeFill="background1" w:themeFillShade="D9"/>
            <w:vAlign w:val="center"/>
          </w:tcPr>
          <w:p w14:paraId="1BCB95A5"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SD</w:t>
            </w:r>
          </w:p>
        </w:tc>
        <w:tc>
          <w:tcPr>
            <w:tcW w:w="0" w:type="auto"/>
            <w:shd w:val="clear" w:color="auto" w:fill="D9D9D9" w:themeFill="background1" w:themeFillShade="D9"/>
            <w:vAlign w:val="center"/>
          </w:tcPr>
          <w:p w14:paraId="6C389682"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n</w:t>
            </w:r>
          </w:p>
        </w:tc>
        <w:tc>
          <w:tcPr>
            <w:tcW w:w="0" w:type="auto"/>
            <w:shd w:val="clear" w:color="auto" w:fill="D9D9D9" w:themeFill="background1" w:themeFillShade="D9"/>
            <w:vAlign w:val="center"/>
          </w:tcPr>
          <w:p w14:paraId="51F2E293"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Mean</w:t>
            </w:r>
          </w:p>
        </w:tc>
        <w:tc>
          <w:tcPr>
            <w:tcW w:w="0" w:type="auto"/>
            <w:shd w:val="clear" w:color="auto" w:fill="D9D9D9" w:themeFill="background1" w:themeFillShade="D9"/>
            <w:vAlign w:val="center"/>
          </w:tcPr>
          <w:p w14:paraId="6DEB0A39" w14:textId="77777777" w:rsidR="00EF7E0C" w:rsidRPr="00EF7E0C" w:rsidRDefault="00EF7E0C" w:rsidP="004C1AD6">
            <w:pPr>
              <w:spacing w:before="80" w:after="80" w:line="240" w:lineRule="auto"/>
              <w:jc w:val="center"/>
              <w:rPr>
                <w:rFonts w:ascii="Arial" w:hAnsi="Arial" w:cs="Arial"/>
                <w:b/>
                <w:sz w:val="16"/>
                <w:szCs w:val="16"/>
              </w:rPr>
            </w:pPr>
            <w:r w:rsidRPr="00EF7E0C">
              <w:rPr>
                <w:rFonts w:ascii="Arial" w:hAnsi="Arial" w:cs="Arial"/>
                <w:b/>
                <w:sz w:val="16"/>
                <w:szCs w:val="16"/>
              </w:rPr>
              <w:t>SD</w:t>
            </w:r>
          </w:p>
        </w:tc>
      </w:tr>
      <w:tr w:rsidR="00EF7E0C" w:rsidRPr="00EF7E0C" w14:paraId="1D12A616" w14:textId="77777777" w:rsidTr="006F43C4">
        <w:tc>
          <w:tcPr>
            <w:tcW w:w="0" w:type="auto"/>
            <w:vAlign w:val="center"/>
          </w:tcPr>
          <w:p w14:paraId="6F1550D5" w14:textId="77777777" w:rsidR="00EF7E0C" w:rsidRPr="00EF7E0C" w:rsidRDefault="00EF7E0C" w:rsidP="004C1AD6">
            <w:pPr>
              <w:spacing w:before="80" w:after="80" w:line="240" w:lineRule="auto"/>
              <w:rPr>
                <w:rFonts w:ascii="Arial" w:hAnsi="Arial" w:cs="Arial"/>
                <w:sz w:val="16"/>
                <w:szCs w:val="16"/>
              </w:rPr>
            </w:pPr>
            <w:r w:rsidRPr="00EF7E0C">
              <w:rPr>
                <w:rFonts w:ascii="Arial" w:hAnsi="Arial" w:cs="Arial"/>
                <w:sz w:val="16"/>
                <w:szCs w:val="16"/>
              </w:rPr>
              <w:t>Self-management (score out of 88)</w:t>
            </w:r>
          </w:p>
        </w:tc>
        <w:tc>
          <w:tcPr>
            <w:tcW w:w="0" w:type="auto"/>
            <w:vAlign w:val="center"/>
          </w:tcPr>
          <w:p w14:paraId="1FCAFC2F"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color w:val="000000"/>
                <w:sz w:val="16"/>
                <w:szCs w:val="16"/>
              </w:rPr>
              <w:t>-0.33</w:t>
            </w:r>
          </w:p>
        </w:tc>
        <w:tc>
          <w:tcPr>
            <w:tcW w:w="0" w:type="auto"/>
            <w:vAlign w:val="center"/>
          </w:tcPr>
          <w:p w14:paraId="493953D7"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color w:val="000000"/>
                <w:sz w:val="16"/>
                <w:szCs w:val="16"/>
              </w:rPr>
              <w:t>2.81</w:t>
            </w:r>
          </w:p>
        </w:tc>
        <w:tc>
          <w:tcPr>
            <w:tcW w:w="0" w:type="auto"/>
            <w:vAlign w:val="center"/>
          </w:tcPr>
          <w:p w14:paraId="375244DC"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0.599</w:t>
            </w:r>
          </w:p>
        </w:tc>
        <w:tc>
          <w:tcPr>
            <w:tcW w:w="0" w:type="auto"/>
            <w:shd w:val="clear" w:color="auto" w:fill="FFFFFF" w:themeFill="background1"/>
            <w:vAlign w:val="center"/>
          </w:tcPr>
          <w:p w14:paraId="6A287905"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&lt;0.001</w:t>
            </w:r>
          </w:p>
        </w:tc>
        <w:tc>
          <w:tcPr>
            <w:tcW w:w="0" w:type="auto"/>
            <w:vAlign w:val="center"/>
          </w:tcPr>
          <w:p w14:paraId="2DB7B180"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1,276</w:t>
            </w:r>
          </w:p>
        </w:tc>
        <w:tc>
          <w:tcPr>
            <w:tcW w:w="0" w:type="auto"/>
            <w:vAlign w:val="center"/>
          </w:tcPr>
          <w:p w14:paraId="7B213890"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1.70</w:t>
            </w:r>
          </w:p>
        </w:tc>
        <w:tc>
          <w:tcPr>
            <w:tcW w:w="0" w:type="auto"/>
            <w:vAlign w:val="center"/>
          </w:tcPr>
          <w:p w14:paraId="4483EDF0"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13.56</w:t>
            </w:r>
          </w:p>
        </w:tc>
        <w:tc>
          <w:tcPr>
            <w:tcW w:w="0" w:type="auto"/>
            <w:vAlign w:val="center"/>
          </w:tcPr>
          <w:p w14:paraId="144BF352"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1,689</w:t>
            </w:r>
          </w:p>
        </w:tc>
        <w:tc>
          <w:tcPr>
            <w:tcW w:w="0" w:type="auto"/>
            <w:vAlign w:val="center"/>
          </w:tcPr>
          <w:p w14:paraId="40C2502E"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1.37</w:t>
            </w:r>
          </w:p>
        </w:tc>
        <w:tc>
          <w:tcPr>
            <w:tcW w:w="0" w:type="auto"/>
            <w:vAlign w:val="center"/>
          </w:tcPr>
          <w:p w14:paraId="798AC1CF"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15.31</w:t>
            </w:r>
          </w:p>
        </w:tc>
        <w:tc>
          <w:tcPr>
            <w:tcW w:w="0" w:type="auto"/>
            <w:vAlign w:val="center"/>
          </w:tcPr>
          <w:p w14:paraId="5B3A1EE1"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1,705</w:t>
            </w:r>
          </w:p>
        </w:tc>
        <w:tc>
          <w:tcPr>
            <w:tcW w:w="0" w:type="auto"/>
            <w:vAlign w:val="center"/>
          </w:tcPr>
          <w:p w14:paraId="5FBF812B"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4.51</w:t>
            </w:r>
          </w:p>
        </w:tc>
        <w:tc>
          <w:tcPr>
            <w:tcW w:w="0" w:type="auto"/>
            <w:vAlign w:val="center"/>
          </w:tcPr>
          <w:p w14:paraId="50CB29E2"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15.61</w:t>
            </w:r>
          </w:p>
        </w:tc>
      </w:tr>
      <w:tr w:rsidR="00EF7E0C" w:rsidRPr="00EF7E0C" w14:paraId="595E299B" w14:textId="77777777" w:rsidTr="004C1AD6">
        <w:tc>
          <w:tcPr>
            <w:tcW w:w="0" w:type="auto"/>
            <w:vAlign w:val="center"/>
          </w:tcPr>
          <w:p w14:paraId="6F7A4B71" w14:textId="77777777" w:rsidR="00EF7E0C" w:rsidRPr="00EF7E0C" w:rsidRDefault="00EF7E0C" w:rsidP="004C1AD6">
            <w:pPr>
              <w:spacing w:before="80" w:after="80" w:line="240" w:lineRule="auto"/>
              <w:rPr>
                <w:rFonts w:ascii="Arial" w:hAnsi="Arial" w:cs="Arial"/>
                <w:sz w:val="16"/>
                <w:szCs w:val="16"/>
              </w:rPr>
            </w:pPr>
            <w:r w:rsidRPr="00EF7E0C">
              <w:rPr>
                <w:rFonts w:ascii="Arial" w:hAnsi="Arial" w:cs="Arial"/>
                <w:sz w:val="16"/>
                <w:szCs w:val="16"/>
              </w:rPr>
              <w:t>Patient satisfaction with GP care (score from 14 to 70)</w:t>
            </w:r>
          </w:p>
        </w:tc>
        <w:tc>
          <w:tcPr>
            <w:tcW w:w="0" w:type="auto"/>
            <w:vAlign w:val="center"/>
          </w:tcPr>
          <w:p w14:paraId="41AD29C2"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color w:val="000000"/>
                <w:sz w:val="16"/>
                <w:szCs w:val="16"/>
              </w:rPr>
              <w:t>0.40</w:t>
            </w:r>
          </w:p>
        </w:tc>
        <w:tc>
          <w:tcPr>
            <w:tcW w:w="0" w:type="auto"/>
            <w:vAlign w:val="center"/>
          </w:tcPr>
          <w:p w14:paraId="2B27CD1F"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color w:val="000000"/>
                <w:sz w:val="16"/>
                <w:szCs w:val="16"/>
              </w:rPr>
              <w:t>0.61</w:t>
            </w:r>
          </w:p>
        </w:tc>
        <w:tc>
          <w:tcPr>
            <w:tcW w:w="0" w:type="auto"/>
            <w:vAlign w:val="center"/>
          </w:tcPr>
          <w:p w14:paraId="30F4E957"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0.268</w:t>
            </w:r>
          </w:p>
        </w:tc>
        <w:tc>
          <w:tcPr>
            <w:tcW w:w="0" w:type="auto"/>
            <w:vAlign w:val="center"/>
          </w:tcPr>
          <w:p w14:paraId="3EA88898"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0.168</w:t>
            </w:r>
          </w:p>
        </w:tc>
        <w:tc>
          <w:tcPr>
            <w:tcW w:w="0" w:type="auto"/>
            <w:vAlign w:val="center"/>
          </w:tcPr>
          <w:p w14:paraId="628D0ED3"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1,386</w:t>
            </w:r>
          </w:p>
        </w:tc>
        <w:tc>
          <w:tcPr>
            <w:tcW w:w="0" w:type="auto"/>
            <w:vAlign w:val="center"/>
          </w:tcPr>
          <w:p w14:paraId="587EAC29"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-0.75</w:t>
            </w:r>
          </w:p>
        </w:tc>
        <w:tc>
          <w:tcPr>
            <w:tcW w:w="0" w:type="auto"/>
            <w:vAlign w:val="center"/>
          </w:tcPr>
          <w:p w14:paraId="0E9F963C"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9.89</w:t>
            </w:r>
          </w:p>
        </w:tc>
        <w:tc>
          <w:tcPr>
            <w:tcW w:w="0" w:type="auto"/>
            <w:vAlign w:val="center"/>
          </w:tcPr>
          <w:p w14:paraId="1B534082"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1,847</w:t>
            </w:r>
          </w:p>
        </w:tc>
        <w:tc>
          <w:tcPr>
            <w:tcW w:w="0" w:type="auto"/>
            <w:vAlign w:val="center"/>
          </w:tcPr>
          <w:p w14:paraId="63DE845B"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-0.35</w:t>
            </w:r>
          </w:p>
        </w:tc>
        <w:tc>
          <w:tcPr>
            <w:tcW w:w="0" w:type="auto"/>
            <w:vAlign w:val="center"/>
          </w:tcPr>
          <w:p w14:paraId="6A887BAF"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10.23</w:t>
            </w:r>
          </w:p>
        </w:tc>
        <w:tc>
          <w:tcPr>
            <w:tcW w:w="0" w:type="auto"/>
            <w:vAlign w:val="center"/>
          </w:tcPr>
          <w:p w14:paraId="10FDE69B"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1,831</w:t>
            </w:r>
          </w:p>
        </w:tc>
        <w:tc>
          <w:tcPr>
            <w:tcW w:w="0" w:type="auto"/>
            <w:vAlign w:val="center"/>
          </w:tcPr>
          <w:p w14:paraId="77848FB6"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-0.14</w:t>
            </w:r>
          </w:p>
        </w:tc>
        <w:tc>
          <w:tcPr>
            <w:tcW w:w="0" w:type="auto"/>
            <w:vAlign w:val="center"/>
          </w:tcPr>
          <w:p w14:paraId="338A3D4B" w14:textId="77777777" w:rsidR="00EF7E0C" w:rsidRPr="00EF7E0C" w:rsidRDefault="00EF7E0C" w:rsidP="004F05B5">
            <w:pPr>
              <w:spacing w:before="80" w:after="80" w:line="240" w:lineRule="auto"/>
              <w:jc w:val="right"/>
              <w:rPr>
                <w:rFonts w:ascii="Arial" w:hAnsi="Arial" w:cs="Arial"/>
                <w:sz w:val="16"/>
                <w:szCs w:val="16"/>
              </w:rPr>
            </w:pPr>
            <w:r w:rsidRPr="00EF7E0C">
              <w:rPr>
                <w:rFonts w:ascii="Arial" w:hAnsi="Arial" w:cs="Arial"/>
                <w:sz w:val="16"/>
                <w:szCs w:val="16"/>
              </w:rPr>
              <w:t>10.26</w:t>
            </w:r>
          </w:p>
        </w:tc>
      </w:tr>
      <w:tr w:rsidR="00EF7E0C" w:rsidRPr="00EF7E0C" w14:paraId="25D73B3A" w14:textId="77777777" w:rsidTr="006F43C4">
        <w:tc>
          <w:tcPr>
            <w:tcW w:w="0" w:type="auto"/>
            <w:vAlign w:val="center"/>
          </w:tcPr>
          <w:p w14:paraId="0C6F0477" w14:textId="77777777" w:rsidR="00EF7E0C" w:rsidRPr="00EF7E0C" w:rsidRDefault="00EF7E0C" w:rsidP="004C1AD6">
            <w:pPr>
              <w:spacing w:before="80" w:after="80" w:line="240" w:lineRule="auto"/>
              <w:rPr>
                <w:rFonts w:ascii="Arial" w:hAnsi="Arial" w:cs="Arial"/>
                <w:sz w:val="16"/>
                <w:szCs w:val="16"/>
              </w:rPr>
            </w:pPr>
            <w:r w:rsidRPr="00EF7E0C">
              <w:rPr>
                <w:rFonts w:ascii="Arial" w:hAnsi="Arial" w:cs="Arial"/>
                <w:sz w:val="16"/>
                <w:szCs w:val="16"/>
              </w:rPr>
              <w:t>Continuity of care (score from 4 to 24)</w:t>
            </w:r>
          </w:p>
        </w:tc>
        <w:tc>
          <w:tcPr>
            <w:tcW w:w="0" w:type="auto"/>
            <w:vAlign w:val="center"/>
          </w:tcPr>
          <w:p w14:paraId="1A0B04F3"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color w:val="000000"/>
                <w:sz w:val="16"/>
                <w:szCs w:val="16"/>
              </w:rPr>
              <w:t>0.23</w:t>
            </w:r>
          </w:p>
        </w:tc>
        <w:tc>
          <w:tcPr>
            <w:tcW w:w="0" w:type="auto"/>
            <w:vAlign w:val="center"/>
          </w:tcPr>
          <w:p w14:paraId="33C9AF33"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color w:val="000000"/>
                <w:sz w:val="16"/>
                <w:szCs w:val="16"/>
              </w:rPr>
              <w:t>0.95</w:t>
            </w:r>
          </w:p>
        </w:tc>
        <w:tc>
          <w:tcPr>
            <w:tcW w:w="0" w:type="auto"/>
            <w:vAlign w:val="center"/>
          </w:tcPr>
          <w:p w14:paraId="5B5317F5"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0.200</w:t>
            </w:r>
          </w:p>
        </w:tc>
        <w:tc>
          <w:tcPr>
            <w:tcW w:w="0" w:type="auto"/>
            <w:shd w:val="clear" w:color="auto" w:fill="FFFFFF" w:themeFill="background1"/>
            <w:vAlign w:val="center"/>
          </w:tcPr>
          <w:p w14:paraId="1DCB0971"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&lt;0.001</w:t>
            </w:r>
          </w:p>
        </w:tc>
        <w:tc>
          <w:tcPr>
            <w:tcW w:w="0" w:type="auto"/>
            <w:vAlign w:val="center"/>
          </w:tcPr>
          <w:p w14:paraId="1135FC0F"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1,258</w:t>
            </w:r>
          </w:p>
        </w:tc>
        <w:tc>
          <w:tcPr>
            <w:tcW w:w="0" w:type="auto"/>
            <w:vAlign w:val="center"/>
          </w:tcPr>
          <w:p w14:paraId="5F139447"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0.23</w:t>
            </w:r>
          </w:p>
        </w:tc>
        <w:tc>
          <w:tcPr>
            <w:tcW w:w="0" w:type="auto"/>
            <w:vAlign w:val="center"/>
          </w:tcPr>
          <w:p w14:paraId="0D2C56EA"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3.87</w:t>
            </w:r>
          </w:p>
        </w:tc>
        <w:tc>
          <w:tcPr>
            <w:tcW w:w="0" w:type="auto"/>
            <w:vAlign w:val="center"/>
          </w:tcPr>
          <w:p w14:paraId="790F10CB"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1,679</w:t>
            </w:r>
          </w:p>
        </w:tc>
        <w:tc>
          <w:tcPr>
            <w:tcW w:w="0" w:type="auto"/>
            <w:vAlign w:val="center"/>
          </w:tcPr>
          <w:p w14:paraId="52042804"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0.46</w:t>
            </w:r>
          </w:p>
        </w:tc>
        <w:tc>
          <w:tcPr>
            <w:tcW w:w="0" w:type="auto"/>
            <w:vAlign w:val="center"/>
          </w:tcPr>
          <w:p w14:paraId="04800D6E"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3.96</w:t>
            </w:r>
          </w:p>
        </w:tc>
        <w:tc>
          <w:tcPr>
            <w:tcW w:w="0" w:type="auto"/>
            <w:vAlign w:val="center"/>
          </w:tcPr>
          <w:p w14:paraId="3F8FDE9F"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1,621</w:t>
            </w:r>
          </w:p>
        </w:tc>
        <w:tc>
          <w:tcPr>
            <w:tcW w:w="0" w:type="auto"/>
            <w:vAlign w:val="center"/>
          </w:tcPr>
          <w:p w14:paraId="0D5C534E"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1.18</w:t>
            </w:r>
          </w:p>
        </w:tc>
        <w:tc>
          <w:tcPr>
            <w:tcW w:w="0" w:type="auto"/>
            <w:vAlign w:val="center"/>
          </w:tcPr>
          <w:p w14:paraId="29F48D23" w14:textId="77777777" w:rsidR="00EF7E0C" w:rsidRPr="00EF7E0C" w:rsidRDefault="00EF7E0C" w:rsidP="004C1AD6">
            <w:pPr>
              <w:spacing w:before="80" w:after="80" w:line="240" w:lineRule="auto"/>
              <w:jc w:val="right"/>
              <w:rPr>
                <w:rFonts w:ascii="Arial" w:hAnsi="Arial" w:cs="Arial"/>
                <w:sz w:val="16"/>
                <w:szCs w:val="16"/>
              </w:rPr>
            </w:pPr>
            <w:r w:rsidRPr="00EF7E0C">
              <w:rPr>
                <w:rFonts w:ascii="Arial" w:hAnsi="Arial" w:cs="Arial"/>
                <w:sz w:val="16"/>
                <w:szCs w:val="16"/>
              </w:rPr>
              <w:t>3.86</w:t>
            </w:r>
          </w:p>
        </w:tc>
      </w:tr>
    </w:tbl>
    <w:p w14:paraId="4D07ECCC" w14:textId="77777777" w:rsidR="008645BE" w:rsidRPr="00EF7E0C" w:rsidRDefault="008645BE" w:rsidP="00EF7E0C">
      <w:pPr>
        <w:spacing w:before="240"/>
        <w:rPr>
          <w:rFonts w:eastAsiaTheme="minorHAnsi"/>
          <w:sz w:val="16"/>
          <w:szCs w:val="16"/>
        </w:rPr>
        <w:sectPr w:rsidR="008645BE" w:rsidRPr="00EF7E0C" w:rsidSect="006F43C4">
          <w:headerReference w:type="default" r:id="rId42"/>
          <w:pgSz w:w="16838" w:h="11906" w:orient="landscape"/>
          <w:pgMar w:top="1440" w:right="1440" w:bottom="1440" w:left="1440" w:header="706" w:footer="706" w:gutter="0"/>
          <w:pgBorders w:offsetFrom="page">
            <w:top w:val="none" w:sz="0" w:space="0" w:color="000000"/>
            <w:left w:val="none" w:sz="0" w:space="0" w:color="000000"/>
            <w:bottom w:val="none" w:sz="0" w:space="0" w:color="000000"/>
            <w:right w:val="none" w:sz="0" w:space="0" w:color="000000"/>
          </w:pgBorders>
          <w:cols w:space="708"/>
          <w:docGrid w:linePitch="360"/>
        </w:sectPr>
      </w:pPr>
      <w:r w:rsidRPr="00EF7E0C">
        <w:rPr>
          <w:rFonts w:cs="Arial"/>
          <w:sz w:val="16"/>
          <w:szCs w:val="16"/>
        </w:rPr>
        <w:t>*Based on</w:t>
      </w:r>
      <w:r w:rsidR="00223082" w:rsidRPr="00EF7E0C">
        <w:rPr>
          <w:rFonts w:cs="Arial"/>
          <w:sz w:val="16"/>
          <w:szCs w:val="16"/>
        </w:rPr>
        <w:t xml:space="preserve"> a</w:t>
      </w:r>
      <w:r w:rsidRPr="00EF7E0C">
        <w:rPr>
          <w:rFonts w:cs="Arial"/>
          <w:sz w:val="16"/>
          <w:szCs w:val="16"/>
        </w:rPr>
        <w:t xml:space="preserve"> linear mixed effects model</w:t>
      </w:r>
      <w:r w:rsidR="00223082" w:rsidRPr="00EF7E0C">
        <w:rPr>
          <w:rFonts w:cs="Arial"/>
          <w:sz w:val="16"/>
          <w:szCs w:val="16"/>
        </w:rPr>
        <w:t>,</w:t>
      </w:r>
      <w:r w:rsidRPr="00EF7E0C">
        <w:rPr>
          <w:rFonts w:cs="Arial"/>
          <w:sz w:val="16"/>
          <w:szCs w:val="16"/>
        </w:rPr>
        <w:t xml:space="preserve"> adjusting for ARIA score and clustering by GP practice and </w:t>
      </w:r>
      <w:r w:rsidR="00A83B18" w:rsidRPr="00EF7E0C">
        <w:rPr>
          <w:rFonts w:cs="Arial"/>
          <w:sz w:val="16"/>
          <w:szCs w:val="16"/>
        </w:rPr>
        <w:t>participant</w:t>
      </w:r>
    </w:p>
    <w:p w14:paraId="441427F3" w14:textId="77777777" w:rsidR="00D0423F" w:rsidRDefault="00D0423F" w:rsidP="00D0423F">
      <w:pPr>
        <w:pStyle w:val="21minor"/>
        <w:rPr>
          <w:rFonts w:eastAsiaTheme="minorHAnsi"/>
        </w:rPr>
      </w:pPr>
      <w:r w:rsidRPr="00F36A0F">
        <w:rPr>
          <w:rFonts w:eastAsiaTheme="minorHAnsi"/>
        </w:rPr>
        <w:lastRenderedPageBreak/>
        <w:t xml:space="preserve">3.2.4. Cost of Care  </w:t>
      </w:r>
    </w:p>
    <w:p w14:paraId="544D66F3" w14:textId="77777777" w:rsidR="00D0423F" w:rsidRPr="00F36A0F" w:rsidRDefault="00D0423F" w:rsidP="00D0423F">
      <w:r w:rsidRPr="00F36A0F">
        <w:rPr>
          <w:rFonts w:eastAsiaTheme="minorHAnsi"/>
        </w:rPr>
        <w:t xml:space="preserve">At baseline, the average total healthcare cost across all groups was $8,647 per </w:t>
      </w:r>
      <w:r w:rsidR="00A83B18">
        <w:rPr>
          <w:rFonts w:eastAsiaTheme="minorHAnsi"/>
        </w:rPr>
        <w:t>person</w:t>
      </w:r>
      <w:r w:rsidRPr="00F36A0F">
        <w:rPr>
          <w:rFonts w:eastAsiaTheme="minorHAnsi"/>
        </w:rPr>
        <w:t xml:space="preserve"> per annum (Figure </w:t>
      </w:r>
      <w:r w:rsidR="00EB0E0F">
        <w:rPr>
          <w:rFonts w:eastAsiaTheme="minorHAnsi"/>
        </w:rPr>
        <w:t>28</w:t>
      </w:r>
      <w:r w:rsidRPr="00F36A0F">
        <w:rPr>
          <w:rFonts w:eastAsiaTheme="minorHAnsi"/>
        </w:rPr>
        <w:t>). Hospital costs were the largest contributor</w:t>
      </w:r>
      <w:r>
        <w:rPr>
          <w:rFonts w:eastAsiaTheme="minorHAnsi"/>
        </w:rPr>
        <w:t xml:space="preserve"> to this</w:t>
      </w:r>
      <w:r w:rsidRPr="00F36A0F">
        <w:rPr>
          <w:rFonts w:eastAsiaTheme="minorHAnsi"/>
        </w:rPr>
        <w:t xml:space="preserve"> ($3,941 per </w:t>
      </w:r>
      <w:r w:rsidR="00A83B18">
        <w:rPr>
          <w:rFonts w:eastAsiaTheme="minorHAnsi"/>
        </w:rPr>
        <w:t>person</w:t>
      </w:r>
      <w:r w:rsidRPr="00F36A0F">
        <w:rPr>
          <w:rFonts w:eastAsiaTheme="minorHAnsi"/>
        </w:rPr>
        <w:t xml:space="preserve"> per annum) an</w:t>
      </w:r>
      <w:r w:rsidR="00397AFB">
        <w:rPr>
          <w:rFonts w:eastAsiaTheme="minorHAnsi"/>
        </w:rPr>
        <w:t>d eight</w:t>
      </w:r>
      <w:r w:rsidR="00D85CA6">
        <w:rPr>
          <w:rFonts w:eastAsiaTheme="minorHAnsi"/>
        </w:rPr>
        <w:t xml:space="preserve"> percent</w:t>
      </w:r>
      <w:r w:rsidRPr="00F36A0F">
        <w:rPr>
          <w:rFonts w:eastAsiaTheme="minorHAnsi"/>
        </w:rPr>
        <w:t xml:space="preserve"> of these costs were associated with </w:t>
      </w:r>
      <w:r w:rsidR="00D85CA6" w:rsidRPr="00F36A0F">
        <w:rPr>
          <w:rFonts w:eastAsiaTheme="minorHAnsi"/>
        </w:rPr>
        <w:t>potentially</w:t>
      </w:r>
      <w:r w:rsidR="00D85CA6">
        <w:rPr>
          <w:rFonts w:eastAsiaTheme="minorHAnsi"/>
        </w:rPr>
        <w:t>-</w:t>
      </w:r>
      <w:r w:rsidRPr="00F36A0F">
        <w:rPr>
          <w:rFonts w:eastAsiaTheme="minorHAnsi"/>
        </w:rPr>
        <w:t>preventable hospitalisations.</w:t>
      </w:r>
      <w:r w:rsidRPr="0011645E">
        <w:rPr>
          <w:rStyle w:val="FootnoteReference"/>
          <w:rFonts w:eastAsiaTheme="minorHAnsi"/>
        </w:rPr>
        <w:footnoteReference w:id="3"/>
      </w:r>
      <w:r w:rsidR="00590E77">
        <w:rPr>
          <w:rFonts w:eastAsiaTheme="minorHAnsi"/>
        </w:rPr>
        <w:t xml:space="preserve"> </w:t>
      </w:r>
      <w:r w:rsidRPr="0011645E">
        <w:rPr>
          <w:rFonts w:eastAsiaTheme="minorHAnsi"/>
        </w:rPr>
        <w:t xml:space="preserve">Costs were unevenly distributed across the DCP cohort. The most costly </w:t>
      </w:r>
      <w:r>
        <w:rPr>
          <w:rFonts w:eastAsiaTheme="minorHAnsi"/>
        </w:rPr>
        <w:t>five</w:t>
      </w:r>
      <w:r w:rsidRPr="0011645E">
        <w:rPr>
          <w:rFonts w:eastAsiaTheme="minorHAnsi"/>
        </w:rPr>
        <w:t xml:space="preserve"> percent of participants accounted for 62 percent of potentially-preventable hospital costs, 47 percent of other hospital costs, and 13 percent of Pharmaceutical Benefits Scheme (PBS) and National Diabetes Services Scheme (NDSS) costs. In terms of chronic disease funding, the contribu</w:t>
      </w:r>
      <w:r w:rsidRPr="00F36A0F">
        <w:rPr>
          <w:rFonts w:eastAsiaTheme="minorHAnsi"/>
        </w:rPr>
        <w:t>tion of these participants w</w:t>
      </w:r>
      <w:r>
        <w:rPr>
          <w:rFonts w:eastAsiaTheme="minorHAnsi"/>
        </w:rPr>
        <w:t>as less skewed, accounting for six</w:t>
      </w:r>
      <w:r w:rsidRPr="00F36A0F">
        <w:rPr>
          <w:rFonts w:eastAsiaTheme="minorHAnsi"/>
        </w:rPr>
        <w:t xml:space="preserve"> percent of </w:t>
      </w:r>
      <w:r>
        <w:rPr>
          <w:rFonts w:eastAsiaTheme="minorHAnsi"/>
        </w:rPr>
        <w:t>AHP</w:t>
      </w:r>
      <w:r w:rsidRPr="00F36A0F">
        <w:rPr>
          <w:rFonts w:eastAsiaTheme="minorHAnsi"/>
        </w:rPr>
        <w:t xml:space="preserve"> costs and </w:t>
      </w:r>
      <w:r>
        <w:rPr>
          <w:rFonts w:eastAsiaTheme="minorHAnsi"/>
        </w:rPr>
        <w:t xml:space="preserve">five </w:t>
      </w:r>
      <w:r w:rsidRPr="00F36A0F">
        <w:rPr>
          <w:rFonts w:eastAsiaTheme="minorHAnsi"/>
        </w:rPr>
        <w:t xml:space="preserve">percent of GP chronic disease item costs (Figure </w:t>
      </w:r>
      <w:r w:rsidR="00EB0E0F">
        <w:rPr>
          <w:rFonts w:eastAsiaTheme="minorHAnsi"/>
        </w:rPr>
        <w:t>29</w:t>
      </w:r>
      <w:r w:rsidRPr="00F36A0F">
        <w:rPr>
          <w:rFonts w:eastAsiaTheme="minorHAnsi"/>
        </w:rPr>
        <w:t xml:space="preserve">). The most costly </w:t>
      </w:r>
      <w:r>
        <w:rPr>
          <w:rFonts w:eastAsiaTheme="minorHAnsi"/>
        </w:rPr>
        <w:t>five</w:t>
      </w:r>
      <w:r w:rsidRPr="00F36A0F">
        <w:rPr>
          <w:rFonts w:eastAsiaTheme="minorHAnsi"/>
        </w:rPr>
        <w:t xml:space="preserve"> percent of participants had an average total cost of $48,623 per </w:t>
      </w:r>
      <w:r w:rsidR="00A83B18">
        <w:rPr>
          <w:rFonts w:eastAsiaTheme="minorHAnsi"/>
        </w:rPr>
        <w:t>person</w:t>
      </w:r>
      <w:r w:rsidRPr="00F36A0F">
        <w:rPr>
          <w:rFonts w:eastAsiaTheme="minorHAnsi"/>
        </w:rPr>
        <w:t xml:space="preserve"> per annum, compared to $16,560 for </w:t>
      </w:r>
      <w:r w:rsidR="00B137E4">
        <w:rPr>
          <w:rFonts w:eastAsiaTheme="minorHAnsi"/>
        </w:rPr>
        <w:t xml:space="preserve">next </w:t>
      </w:r>
      <w:r w:rsidRPr="00F36A0F">
        <w:rPr>
          <w:rFonts w:eastAsiaTheme="minorHAnsi"/>
        </w:rPr>
        <w:t xml:space="preserve">15 percent of the DCP cohort, and $4,670 for the </w:t>
      </w:r>
      <w:r w:rsidR="00B137E4">
        <w:rPr>
          <w:rFonts w:eastAsiaTheme="minorHAnsi"/>
        </w:rPr>
        <w:t xml:space="preserve">remaining </w:t>
      </w:r>
      <w:r w:rsidRPr="00F36A0F">
        <w:rPr>
          <w:rFonts w:eastAsiaTheme="minorHAnsi"/>
        </w:rPr>
        <w:t>80 percent of the DCP cohort</w:t>
      </w:r>
      <w:r w:rsidRPr="00F36A0F">
        <w:t>.</w:t>
      </w:r>
    </w:p>
    <w:p w14:paraId="387351AB" w14:textId="77777777" w:rsidR="00192E4B" w:rsidRDefault="00192E4B">
      <w:pPr>
        <w:pStyle w:val="60exhnormal"/>
        <w:keepNext/>
      </w:pPr>
      <w:r>
        <w:t>figure 28</w:t>
      </w:r>
    </w:p>
    <w:p w14:paraId="3B10DB59" w14:textId="77777777" w:rsidR="00D0423F" w:rsidRPr="00F36A0F" w:rsidRDefault="00C62A00" w:rsidP="00C62A00">
      <w:pPr>
        <w:pStyle w:val="60exhnormal"/>
        <w:jc w:val="center"/>
      </w:pPr>
      <w:r>
        <w:rPr>
          <w:noProof/>
          <w:lang w:eastAsia="en-AU"/>
        </w:rPr>
        <w:drawing>
          <wp:inline distT="0" distB="0" distL="0" distR="0" wp14:anchorId="4E59BB45" wp14:editId="63721B7C">
            <wp:extent cx="4906645" cy="3679825"/>
            <wp:effectExtent l="0" t="0" r="8255" b="0"/>
            <wp:docPr id="310" name="Picture 310" descr="At baseline, the average total healthcare cost across all groups was $8,647 per person per year. Hospital costs accounted for $3,941 of this total healthcare cost, and eight percent of these hospital costs ($311) were associated with potentially preventable hospitalisations. PBS/NDSS costs accounted for $2,357 of the total healthcare cost per person per annum; other MBS items accounted for $1,503; other GP MBS items accounted for $518; Allied Health Professional visits accounted for $104; and GP chronic disease items accounted for $224." title="Pie chart: Breakdown of average cost of care for DCP participants at base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10BBB116" w14:textId="77777777" w:rsidR="00192E4B" w:rsidRDefault="00192E4B">
      <w:pPr>
        <w:pStyle w:val="60exhnormal"/>
        <w:keepNext/>
      </w:pPr>
      <w:r>
        <w:lastRenderedPageBreak/>
        <w:t>FIGURE 29</w:t>
      </w:r>
    </w:p>
    <w:p w14:paraId="0B8564F9" w14:textId="77777777" w:rsidR="00C9555B" w:rsidRDefault="00C9555B" w:rsidP="00C9555B">
      <w:pPr>
        <w:pStyle w:val="60exhnormal"/>
        <w:keepNext/>
        <w:jc w:val="center"/>
      </w:pPr>
      <w:r>
        <w:rPr>
          <w:noProof/>
          <w:lang w:eastAsia="en-AU"/>
        </w:rPr>
        <w:drawing>
          <wp:inline distT="0" distB="0" distL="0" distR="0" wp14:anchorId="2B954096" wp14:editId="17DB7A7C">
            <wp:extent cx="4906645" cy="3679825"/>
            <wp:effectExtent l="0" t="0" r="8255" b="0"/>
            <wp:docPr id="311" name="Picture 311" descr="The most costly five percent of participants accounted for 62 percent of potentially preventable hospital costs, 47 percent of other hospital costs, 13 percent of Pharmaceutical Benefits Scheme (PBS) and National Diabetes Services Scheme (NDSS) costs, ten percent of other MBS costs, nine percent of other GP MBS costs, six percent of Allied Health Professional costs, and five percent of GP chronic disease item costs. In contrast, the least costly 80 percent of participants accounted for only nine percent of potentially preventable hospital costs, 18 percent of other hospital costs, 62 percent of PBS/NDSS costs, 64 percent of other MBS costs, 70 percent of other GP MBS costs, 75 percent of Allied Health Professional visit costs, and 77 percent of GP chronic disease item costs." title="Bar chart: Distribution of patient costs (proportion of total co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177F5EFB" w14:textId="77777777" w:rsidR="00D85CA6" w:rsidRDefault="00D85CA6" w:rsidP="00D0423F"/>
    <w:p w14:paraId="0C6B7158" w14:textId="77777777" w:rsidR="00D0423F" w:rsidRDefault="00D0423F" w:rsidP="00D0423F">
      <w:r w:rsidRPr="00F36A0F">
        <w:t>Costs in Group 1 and Group 2 increased by $718 and $</w:t>
      </w:r>
      <w:r w:rsidR="0010638A">
        <w:t>203</w:t>
      </w:r>
      <w:r w:rsidR="0010638A" w:rsidRPr="00F36A0F">
        <w:t xml:space="preserve"> </w:t>
      </w:r>
      <w:r w:rsidRPr="00F36A0F">
        <w:t xml:space="preserve">per </w:t>
      </w:r>
      <w:r w:rsidR="00A83B18">
        <w:t>person</w:t>
      </w:r>
      <w:r w:rsidRPr="00F36A0F">
        <w:t xml:space="preserve"> per annum respectively</w:t>
      </w:r>
      <w:r>
        <w:t>,</w:t>
      </w:r>
      <w:r w:rsidRPr="00F36A0F">
        <w:t xml:space="preserve"> i</w:t>
      </w:r>
      <w:r>
        <w:t>ncremental to the Control Group, after adjusting for differences at baseline</w:t>
      </w:r>
      <w:r w:rsidRPr="00F36A0F">
        <w:t>. Neither difference was statistically signific</w:t>
      </w:r>
      <w:r w:rsidR="00AB57A5">
        <w:t>ant overall (p=0.</w:t>
      </w:r>
      <w:r w:rsidR="0010638A">
        <w:t xml:space="preserve">275 </w:t>
      </w:r>
      <w:r w:rsidR="00AB57A5">
        <w:t>and p=0.</w:t>
      </w:r>
      <w:r w:rsidR="0010638A">
        <w:t>758</w:t>
      </w:r>
      <w:r w:rsidR="0010638A" w:rsidRPr="00F36A0F">
        <w:t xml:space="preserve"> </w:t>
      </w:r>
      <w:r w:rsidRPr="00F36A0F">
        <w:t xml:space="preserve">respectively), largely because of the wide variation in hospital costs (Figure </w:t>
      </w:r>
      <w:r w:rsidR="001834EF">
        <w:t>30</w:t>
      </w:r>
      <w:r w:rsidRPr="00F36A0F">
        <w:t xml:space="preserve">). </w:t>
      </w:r>
      <w:r w:rsidR="003F3E6C">
        <w:t>Furthermore, there was a high degree of fluctuation in MBS, PBS, NDSS and hospital costs over time, with no clear pattern across groups</w:t>
      </w:r>
      <w:r w:rsidR="00A714E5">
        <w:t xml:space="preserve"> when broken down over time</w:t>
      </w:r>
      <w:r w:rsidR="003F3E6C">
        <w:t xml:space="preserve"> (Figure </w:t>
      </w:r>
      <w:r w:rsidR="001834EF">
        <w:t>31</w:t>
      </w:r>
      <w:r w:rsidR="003F3E6C">
        <w:t xml:space="preserve">). </w:t>
      </w:r>
      <w:r w:rsidRPr="00F36A0F">
        <w:t>However, a number of individual cost components within Group 2 did increase significantly. The funding received by general practices for chronic disease management rose by $</w:t>
      </w:r>
      <w:r w:rsidR="0010638A">
        <w:t>107</w:t>
      </w:r>
      <w:r w:rsidR="0010638A" w:rsidRPr="00F36A0F">
        <w:t xml:space="preserve"> </w:t>
      </w:r>
      <w:r w:rsidRPr="00F36A0F">
        <w:t xml:space="preserve">per </w:t>
      </w:r>
      <w:r w:rsidR="00A83B18">
        <w:t>person</w:t>
      </w:r>
      <w:r w:rsidRPr="00F36A0F">
        <w:t xml:space="preserve"> per annum in Group 2, compared to the Control Group (p&lt;0.001). </w:t>
      </w:r>
      <w:r>
        <w:t>AHP</w:t>
      </w:r>
      <w:r w:rsidRPr="00F36A0F">
        <w:t xml:space="preserve"> funding in Group 2 increased by $</w:t>
      </w:r>
      <w:r w:rsidR="0010638A">
        <w:t>135</w:t>
      </w:r>
      <w:r w:rsidR="0010638A" w:rsidRPr="00F36A0F">
        <w:t xml:space="preserve"> </w:t>
      </w:r>
      <w:r w:rsidRPr="00F36A0F">
        <w:t xml:space="preserve">per </w:t>
      </w:r>
      <w:r w:rsidR="00A83B18">
        <w:t>person</w:t>
      </w:r>
      <w:r w:rsidRPr="00F36A0F">
        <w:t xml:space="preserve"> per annum due to the additional cost allocation to, and multi-disciplinary support for, </w:t>
      </w:r>
      <w:r>
        <w:t>AHP</w:t>
      </w:r>
      <w:r w:rsidRPr="00F36A0F">
        <w:t xml:space="preserve"> consultations (p&lt;0.001). These increased costs were due in part to uncertainty in determining the true cost of the current system when the payments were designed, and</w:t>
      </w:r>
      <w:r>
        <w:t xml:space="preserve"> in part because of</w:t>
      </w:r>
      <w:r w:rsidRPr="00F36A0F">
        <w:t xml:space="preserve"> the need to incentivise voluntary enrolment by practices that had a choice between the current system and the pilot payment model. The introduction of Care Facilitators added a new cost to diabetes care (</w:t>
      </w:r>
      <w:r w:rsidR="0010638A">
        <w:t>$205</w:t>
      </w:r>
      <w:r w:rsidRPr="00F36A0F">
        <w:t xml:space="preserve"> per </w:t>
      </w:r>
      <w:r w:rsidR="00A83B18">
        <w:t>person</w:t>
      </w:r>
      <w:r w:rsidRPr="00F36A0F">
        <w:t xml:space="preserve"> per annum), and PBS and NDSS costs rose by $158 per </w:t>
      </w:r>
      <w:r w:rsidR="00A83B18">
        <w:t>person</w:t>
      </w:r>
      <w:r w:rsidRPr="00F36A0F">
        <w:t xml:space="preserve"> per annum as a result of different prescribing habits (including the increased use of insulin and newer generation diabetes drugs during the trial) (Figure </w:t>
      </w:r>
      <w:r w:rsidR="001834EF">
        <w:t>32</w:t>
      </w:r>
      <w:r w:rsidRPr="00F36A0F">
        <w:t xml:space="preserve">), although this was not statistically significant (p=0.204). </w:t>
      </w:r>
      <w:r>
        <w:t>This cost assessment also includes an allowance of $3</w:t>
      </w:r>
      <w:r w:rsidR="00371A15">
        <w:t>1</w:t>
      </w:r>
      <w:r>
        <w:t xml:space="preserve"> per </w:t>
      </w:r>
      <w:r w:rsidR="00A83B18">
        <w:t>person</w:t>
      </w:r>
      <w:r>
        <w:t xml:space="preserve"> for administrative support and IT costs, based on an estimation of the costs required assumin</w:t>
      </w:r>
      <w:r w:rsidR="00B966D0">
        <w:t>g the model was scaled up (see A</w:t>
      </w:r>
      <w:r>
        <w:t xml:space="preserve">ppendix </w:t>
      </w:r>
      <w:r w:rsidR="004F25DE">
        <w:t>5</w:t>
      </w:r>
      <w:r w:rsidR="00EC2184">
        <w:t xml:space="preserve"> for details</w:t>
      </w:r>
      <w:r>
        <w:t>)</w:t>
      </w:r>
      <w:r w:rsidR="00EC2184">
        <w:t>.</w:t>
      </w:r>
    </w:p>
    <w:p w14:paraId="10E7EC40" w14:textId="77777777" w:rsidR="001834EF" w:rsidRDefault="001834EF" w:rsidP="00D0423F"/>
    <w:p w14:paraId="2C5F1E54" w14:textId="77777777" w:rsidR="001834EF" w:rsidRDefault="001834EF" w:rsidP="001834EF">
      <w:pPr>
        <w:pStyle w:val="60exhnormal"/>
        <w:keepNext/>
      </w:pPr>
      <w:r>
        <w:lastRenderedPageBreak/>
        <w:t>f</w:t>
      </w:r>
      <w:r w:rsidR="00C10FD3">
        <w:t xml:space="preserve">igure </w:t>
      </w:r>
      <w:r>
        <w:t>30</w:t>
      </w:r>
    </w:p>
    <w:p w14:paraId="581B5681" w14:textId="77777777" w:rsidR="00C9555B" w:rsidRDefault="00C9555B" w:rsidP="00C9555B">
      <w:pPr>
        <w:pStyle w:val="60exhnormal"/>
        <w:keepNext/>
        <w:jc w:val="center"/>
      </w:pPr>
      <w:r>
        <w:rPr>
          <w:noProof/>
          <w:lang w:eastAsia="en-AU"/>
        </w:rPr>
        <w:drawing>
          <wp:inline distT="0" distB="0" distL="0" distR="0" wp14:anchorId="59F69F2B" wp14:editId="65451055">
            <wp:extent cx="4906645" cy="3679825"/>
            <wp:effectExtent l="0" t="0" r="8255" b="0"/>
            <wp:docPr id="315" name="Picture 315" descr="Group 2 costs increased by $203 per person per annum, incremental to the Control Group, after adjusting for differences at baseline, although this difference was not statistically significant (p=0.758)." title="Chart: Group 2 costs during trial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2BD27279" w14:textId="77777777" w:rsidR="006C0327" w:rsidRPr="00F36A0F" w:rsidRDefault="006C0327" w:rsidP="00D0423F"/>
    <w:p w14:paraId="437E5D1B" w14:textId="77777777" w:rsidR="009A11F6" w:rsidRDefault="009A11F6">
      <w:pPr>
        <w:pStyle w:val="60exhnormal"/>
        <w:keepNext/>
      </w:pPr>
      <w:r>
        <w:t>FIGURE 31</w:t>
      </w:r>
    </w:p>
    <w:p w14:paraId="61C6A3C8" w14:textId="77777777" w:rsidR="00C9555B" w:rsidRDefault="00C9555B" w:rsidP="0077163B">
      <w:pPr>
        <w:pStyle w:val="60exhnormal"/>
        <w:jc w:val="center"/>
      </w:pPr>
      <w:r>
        <w:rPr>
          <w:noProof/>
          <w:lang w:eastAsia="en-AU"/>
        </w:rPr>
        <w:drawing>
          <wp:inline distT="0" distB="0" distL="0" distR="0" wp14:anchorId="2590734F" wp14:editId="31A45CCA">
            <wp:extent cx="4906645" cy="3676015"/>
            <wp:effectExtent l="0" t="0" r="8255" b="635"/>
            <wp:docPr id="3" name="Picture 3" descr="This figure illustrates that MBS, PBS, NDSS and hospital costs fluctuated over time, both before and during the trial." title="Line chart: MBS, PBS, NDSS and hospital costs over t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906645" cy="367601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1C861ABB" w14:textId="77777777" w:rsidR="001834EF" w:rsidRDefault="00C10FD3" w:rsidP="001834EF">
      <w:pPr>
        <w:pStyle w:val="60exhnormal"/>
        <w:keepNext/>
      </w:pPr>
      <w:r>
        <w:lastRenderedPageBreak/>
        <w:t xml:space="preserve">FIGURE </w:t>
      </w:r>
      <w:r w:rsidR="001834EF">
        <w:t>32</w:t>
      </w:r>
    </w:p>
    <w:p w14:paraId="5FBC4110" w14:textId="77777777" w:rsidR="001834EF" w:rsidRDefault="0077163B" w:rsidP="00484AAE">
      <w:pPr>
        <w:pStyle w:val="60exhnormal"/>
        <w:keepNext/>
        <w:jc w:val="center"/>
      </w:pPr>
      <w:r w:rsidRPr="00CF6261">
        <w:rPr>
          <w:noProof/>
          <w:lang w:eastAsia="en-AU"/>
        </w:rPr>
        <w:drawing>
          <wp:inline distT="0" distB="0" distL="0" distR="0" wp14:anchorId="098888FA" wp14:editId="55FB9F42">
            <wp:extent cx="4906645" cy="3673475"/>
            <wp:effectExtent l="0" t="0" r="8255" b="3175"/>
            <wp:docPr id="316" name="Picture 316" descr="In Group 2, sulfonamide cost $28 per patient per year during the trial period—an increase of three percent from baseline. Metformin cost $53 per person—a decrease of four percent from baseline. Other insulins cost $126 per person—an increase of 14 percent from baseline. Long-acting insulins cost $220 per person—an increase of 27 percent from baseline. Lastly, other drugs and newer generation drugs (including combinations with metformin, DPP4-inhibitors, alpha-glucosidase-inhibitors, PRAR-agonists, SGLT2-inhibitors and GLP1-agonists) cost $221 per person—an increase of 38 percent from baseline." title="Bar charts: Total cost of diabetes-related drugs by ty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906645" cy="367347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5418E771" w14:textId="77777777" w:rsidR="00D0423F" w:rsidRPr="00F36A0F" w:rsidRDefault="00D0423F" w:rsidP="00D0423F">
      <w:r w:rsidRPr="00F36A0F">
        <w:t xml:space="preserve">The DCP only affected the source and type of funding </w:t>
      </w:r>
      <w:r>
        <w:t xml:space="preserve">provided </w:t>
      </w:r>
      <w:r w:rsidRPr="00F36A0F">
        <w:t xml:space="preserve">to </w:t>
      </w:r>
      <w:r>
        <w:t>general practices</w:t>
      </w:r>
      <w:r w:rsidRPr="00F36A0F">
        <w:t xml:space="preserve"> in Group 2 through the introduction of flexible funding and QISP (Figure </w:t>
      </w:r>
      <w:r w:rsidR="00C10FD3">
        <w:t>33</w:t>
      </w:r>
      <w:r w:rsidRPr="00F36A0F">
        <w:t xml:space="preserve">). Flexible funding </w:t>
      </w:r>
      <w:r>
        <w:t xml:space="preserve">to general practices </w:t>
      </w:r>
      <w:r w:rsidRPr="00F36A0F">
        <w:t xml:space="preserve">was tiered based on risk and was higher than the </w:t>
      </w:r>
      <w:r>
        <w:t xml:space="preserve">Medicare chronic disease </w:t>
      </w:r>
      <w:r w:rsidRPr="00F36A0F">
        <w:t>fundi</w:t>
      </w:r>
      <w:r>
        <w:t xml:space="preserve">ng received </w:t>
      </w:r>
      <w:r w:rsidRPr="00F36A0F">
        <w:t xml:space="preserve">on a care plan </w:t>
      </w:r>
      <w:r w:rsidR="00C01D1F">
        <w:t xml:space="preserve">at baseline </w:t>
      </w:r>
      <w:r w:rsidRPr="00F36A0F">
        <w:t xml:space="preserve">(Figure </w:t>
      </w:r>
      <w:r w:rsidR="00C10FD3">
        <w:t>34</w:t>
      </w:r>
      <w:r w:rsidRPr="00F36A0F">
        <w:t>). For the QISP, practices in Group 2 received on average about 70 percent of the maximum payment available for a full year period but the range was from $25 to $150 p</w:t>
      </w:r>
      <w:r w:rsidR="004445F4">
        <w:t xml:space="preserve">er </w:t>
      </w:r>
      <w:r w:rsidR="00A83B18">
        <w:t>person</w:t>
      </w:r>
      <w:r w:rsidR="004445F4">
        <w:t xml:space="preserve"> per year</w:t>
      </w:r>
      <w:r w:rsidRPr="00F36A0F">
        <w:t>. There was no substantial change in QISP payments between the</w:t>
      </w:r>
      <w:r w:rsidR="00AB57A5">
        <w:t xml:space="preserve"> first year of the intervention</w:t>
      </w:r>
      <w:r w:rsidRPr="00F36A0F">
        <w:t xml:space="preserve"> and the second year </w:t>
      </w:r>
      <w:r w:rsidR="00AB57A5">
        <w:t>of the intervention</w:t>
      </w:r>
      <w:r w:rsidRPr="00F36A0F">
        <w:t>.</w:t>
      </w:r>
      <w:r w:rsidR="00C01D1F">
        <w:t xml:space="preserve"> There </w:t>
      </w:r>
      <w:r w:rsidR="005C7161">
        <w:t xml:space="preserve">was </w:t>
      </w:r>
      <w:r w:rsidR="00D42253">
        <w:t>some</w:t>
      </w:r>
      <w:r w:rsidR="00C01D1F">
        <w:t xml:space="preserve"> </w:t>
      </w:r>
      <w:r w:rsidR="005C7161">
        <w:t xml:space="preserve">variation </w:t>
      </w:r>
      <w:r w:rsidR="00C01D1F">
        <w:t xml:space="preserve">in the actual GP and AHP payments per patient (Figure </w:t>
      </w:r>
      <w:r w:rsidR="00C10FD3">
        <w:t>34</w:t>
      </w:r>
      <w:r w:rsidR="00C01D1F">
        <w:t xml:space="preserve">) from the trial design (Figure 9), due to varying proportions of newly diagnosed patients in each risk stratification group, </w:t>
      </w:r>
      <w:r w:rsidR="00D42253">
        <w:t xml:space="preserve">variable take-up of allied health top-up payments, and </w:t>
      </w:r>
      <w:r w:rsidR="005C7161">
        <w:t xml:space="preserve">annualisation </w:t>
      </w:r>
      <w:r w:rsidR="00D42253">
        <w:t>methods used to account for the 18-month trial length (see Appendix 5).</w:t>
      </w:r>
    </w:p>
    <w:p w14:paraId="5A73B1B7" w14:textId="77777777" w:rsidR="00192E4B" w:rsidRDefault="00192E4B">
      <w:pPr>
        <w:pStyle w:val="60exhnormal"/>
        <w:keepNext/>
      </w:pPr>
      <w:r>
        <w:lastRenderedPageBreak/>
        <w:t>F</w:t>
      </w:r>
      <w:r w:rsidR="00C10FD3">
        <w:t xml:space="preserve">IGURE </w:t>
      </w:r>
      <w:r w:rsidR="005035D0">
        <w:t>33</w:t>
      </w:r>
    </w:p>
    <w:p w14:paraId="2375A741" w14:textId="77777777" w:rsidR="007176BE" w:rsidRDefault="0077163B" w:rsidP="0077163B">
      <w:pPr>
        <w:pStyle w:val="60exhnormal"/>
        <w:keepNext/>
        <w:jc w:val="center"/>
      </w:pPr>
      <w:r>
        <w:rPr>
          <w:noProof/>
          <w:lang w:eastAsia="en-AU"/>
        </w:rPr>
        <w:drawing>
          <wp:inline distT="0" distB="0" distL="0" distR="0" wp14:anchorId="311988E9" wp14:editId="3BA615A2">
            <wp:extent cx="4906645" cy="3679825"/>
            <wp:effectExtent l="0" t="0" r="8255" b="0"/>
            <wp:docPr id="312" name="Picture 312" descr="During the trial period, GPs in the Control Group received a total of $794 per patient per annum. This included $240 for MBS chronic disease items, $524 for other MBS items and $30 for PIPs and/or SIPs. GPs in Group 1 received $816 per patient per annum. This included $235 for MBS chronic disease items, $555 for other MBS items and $25 for PIPs and/or SIPs. In comparison, GPs in Group 2 received a total of $909 per patient per annum. This included $230 in flexible funding and $97 in QISP, as well as $15 for MBS chronic disease items and $567 for other MBS items. Allied Health Professionals in the Control Group and Group 1 received $116 and $129 per patient per annum, respectively, for MBS chronic disease items. In contrast, Allied Health Professionals in Group 2 received $249 per patient per annum in flexible funding." title="Payments to GPs and AHPs during trial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739E200F" w14:textId="77777777" w:rsidR="00192E4B" w:rsidRDefault="00192E4B">
      <w:pPr>
        <w:pStyle w:val="60exhnormal"/>
        <w:keepNext/>
      </w:pPr>
      <w:r>
        <w:t>F</w:t>
      </w:r>
      <w:r w:rsidR="00C10FD3">
        <w:t xml:space="preserve">IGURE </w:t>
      </w:r>
      <w:r w:rsidR="005035D0">
        <w:t>34</w:t>
      </w:r>
    </w:p>
    <w:p w14:paraId="1440C92D" w14:textId="77777777" w:rsidR="0077163B" w:rsidRDefault="0077163B" w:rsidP="0077163B">
      <w:pPr>
        <w:pStyle w:val="60exhnormal"/>
        <w:keepNext/>
        <w:jc w:val="center"/>
      </w:pPr>
      <w:r>
        <w:rPr>
          <w:noProof/>
          <w:lang w:eastAsia="en-AU"/>
        </w:rPr>
        <w:drawing>
          <wp:inline distT="0" distB="0" distL="0" distR="0" wp14:anchorId="6D98AA29" wp14:editId="14C4DD95">
            <wp:extent cx="4906645" cy="3679825"/>
            <wp:effectExtent l="0" t="0" r="8255" b="0"/>
            <wp:docPr id="313" name="Picture 313" descr="Flexible funding to general practices was tiered based on risk and was higher than Medicare chronic disease funding on a care plan for both out-of-range and complex patients. For example, while an out-of-range and complex patient on a care plan received $294 per annum in GP chronic disease management funding during the baseline period, a Group 2 participant received $410 per annum during the trial period. Similarly, while an out-of-range and complex patient on a care plan received $132 per annum in Allied Health Professional chronic disease management funding during the baseline period, a Group 2 participant received $296 per annum during the trial period." title="Bar charts: Chronic disease funding by risk stratif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14728237" w14:textId="77777777" w:rsidR="00D0423F" w:rsidRPr="00F36A0F" w:rsidRDefault="00D0423F" w:rsidP="00D0423F">
      <w:pPr>
        <w:rPr>
          <w:rFonts w:eastAsiaTheme="minorHAnsi"/>
        </w:rPr>
      </w:pPr>
      <w:r w:rsidRPr="00F36A0F">
        <w:rPr>
          <w:rFonts w:eastAsiaTheme="minorHAnsi"/>
        </w:rPr>
        <w:t xml:space="preserve">The cost increases </w:t>
      </w:r>
      <w:r>
        <w:rPr>
          <w:rFonts w:eastAsiaTheme="minorHAnsi"/>
        </w:rPr>
        <w:t>associated with the</w:t>
      </w:r>
      <w:r w:rsidRPr="00F36A0F">
        <w:rPr>
          <w:rFonts w:eastAsiaTheme="minorHAnsi"/>
        </w:rPr>
        <w:t xml:space="preserve"> </w:t>
      </w:r>
      <w:r w:rsidRPr="00F36A0F">
        <w:t xml:space="preserve">Group 2 interventions were partially offset by a decrease in hospital costs of $461 compared to the Control Group, although this </w:t>
      </w:r>
      <w:r>
        <w:t xml:space="preserve">decrease </w:t>
      </w:r>
      <w:r w:rsidRPr="00F36A0F">
        <w:t xml:space="preserve">was not statistically significant </w:t>
      </w:r>
      <w:r w:rsidRPr="00F36A0F">
        <w:lastRenderedPageBreak/>
        <w:t xml:space="preserve">(p=0.438, 95% CI $-1,628-$705). </w:t>
      </w:r>
      <w:r>
        <w:t>The decline in costs</w:t>
      </w:r>
      <w:r w:rsidRPr="00F36A0F">
        <w:t xml:space="preserve"> was primarily driven by a $</w:t>
      </w:r>
      <w:r w:rsidR="00AB57A5">
        <w:t>294</w:t>
      </w:r>
      <w:r w:rsidRPr="00F36A0F">
        <w:t xml:space="preserve"> decrease in the cost of potentially-preventable hospitalisat</w:t>
      </w:r>
      <w:r w:rsidR="00AB57A5">
        <w:t>ions (p=0.083</w:t>
      </w:r>
      <w:r w:rsidR="00091FEE">
        <w:t xml:space="preserve">, 95% CI $-627 to </w:t>
      </w:r>
      <w:r w:rsidR="00B966D0">
        <w:t>$3</w:t>
      </w:r>
      <w:r w:rsidR="00091FEE">
        <w:t>8</w:t>
      </w:r>
      <w:r w:rsidR="00B966D0">
        <w:t>)</w:t>
      </w:r>
      <w:r w:rsidRPr="00F36A0F">
        <w:t xml:space="preserve">. </w:t>
      </w:r>
      <w:r>
        <w:t>This</w:t>
      </w:r>
      <w:r w:rsidRPr="00F36A0F">
        <w:t xml:space="preserve"> was most likely due to a reduction in length of stay for potentially-preventable hospitalisations which </w:t>
      </w:r>
      <w:r w:rsidR="005C7161">
        <w:t>decreased</w:t>
      </w:r>
      <w:r w:rsidR="005C7161" w:rsidRPr="00F36A0F">
        <w:t xml:space="preserve"> </w:t>
      </w:r>
      <w:r w:rsidRPr="00F36A0F">
        <w:t>by</w:t>
      </w:r>
      <w:r w:rsidR="00AF3C5B">
        <w:t xml:space="preserve"> a median of</w:t>
      </w:r>
      <w:r w:rsidRPr="00F36A0F">
        <w:t xml:space="preserve"> one day relative to </w:t>
      </w:r>
      <w:r>
        <w:t xml:space="preserve">the </w:t>
      </w:r>
      <w:r w:rsidRPr="00F36A0F">
        <w:t xml:space="preserve">Control </w:t>
      </w:r>
      <w:r>
        <w:t xml:space="preserve">Group </w:t>
      </w:r>
      <w:r w:rsidRPr="00F36A0F">
        <w:t xml:space="preserve">(Figure </w:t>
      </w:r>
      <w:r w:rsidR="00AB1F4F">
        <w:t>3</w:t>
      </w:r>
      <w:r w:rsidR="00541EF8">
        <w:t>5</w:t>
      </w:r>
      <w:r w:rsidRPr="00F36A0F">
        <w:t>) (p=0.005)</w:t>
      </w:r>
      <w:r w:rsidRPr="00F36A0F">
        <w:rPr>
          <w:rFonts w:eastAsiaTheme="minorHAnsi"/>
        </w:rPr>
        <w:t>.</w:t>
      </w:r>
      <w:r w:rsidR="008F5BC6">
        <w:rPr>
          <w:rFonts w:eastAsiaTheme="minorHAnsi"/>
        </w:rPr>
        <w:t xml:space="preserve"> In contrast</w:t>
      </w:r>
      <w:r w:rsidR="005C7161">
        <w:rPr>
          <w:rFonts w:eastAsiaTheme="minorHAnsi"/>
        </w:rPr>
        <w:t xml:space="preserve">, </w:t>
      </w:r>
      <w:r w:rsidR="008F5BC6">
        <w:rPr>
          <w:rFonts w:eastAsiaTheme="minorHAnsi"/>
        </w:rPr>
        <w:t xml:space="preserve">hospital costs </w:t>
      </w:r>
      <w:r w:rsidR="005C7161">
        <w:rPr>
          <w:rFonts w:eastAsiaTheme="minorHAnsi"/>
        </w:rPr>
        <w:t xml:space="preserve">in Group 1 </w:t>
      </w:r>
      <w:r w:rsidR="008F5BC6">
        <w:rPr>
          <w:rFonts w:eastAsiaTheme="minorHAnsi"/>
        </w:rPr>
        <w:t>rose by $677 per patient per annum compared to the Control Group, although again this was not statistically significant.</w:t>
      </w:r>
    </w:p>
    <w:p w14:paraId="07FA3AAC" w14:textId="77777777" w:rsidR="00D0423F" w:rsidRDefault="00AB1F4F" w:rsidP="00D0423F">
      <w:pPr>
        <w:pStyle w:val="60exhnormal"/>
        <w:keepNext/>
      </w:pPr>
      <w:r>
        <w:t>FIGURE 3</w:t>
      </w:r>
      <w:r w:rsidR="001D599B">
        <w:t>5</w:t>
      </w:r>
    </w:p>
    <w:p w14:paraId="25A97EED" w14:textId="77777777" w:rsidR="00D0423F" w:rsidRPr="00484AAE" w:rsidRDefault="0077163B" w:rsidP="00484AAE">
      <w:pPr>
        <w:pStyle w:val="60exhnormal"/>
        <w:keepNext/>
        <w:jc w:val="center"/>
      </w:pPr>
      <w:r w:rsidRPr="00CF6261">
        <w:rPr>
          <w:noProof/>
          <w:lang w:eastAsia="en-AU"/>
        </w:rPr>
        <w:drawing>
          <wp:inline distT="0" distB="0" distL="0" distR="0" wp14:anchorId="5F756C2D" wp14:editId="36C3EC64">
            <wp:extent cx="4906645" cy="3692525"/>
            <wp:effectExtent l="0" t="0" r="8255" b="3175"/>
            <wp:docPr id="303" name="Picture 303" descr="During the trial, the number of participants in Group 2 with potentially preventable hospitalisations decreased by 0.9 percent (from 3.7 percent at baseline to 2.8 percent). This was not statistically significant. The length of stay for potentially preventable hospitalisations also decreased by a median of one day in Group 1 and Group 2, relative to the Control Group, although this was only statistically significant for Group 2 (p=0.005)." title="Change in potentially preventable hospitalis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4906645" cy="36925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7277048A" w14:textId="77777777" w:rsidR="00D0423F" w:rsidRDefault="00D0423F" w:rsidP="00D0423F">
      <w:pPr>
        <w:rPr>
          <w:rFonts w:eastAsiaTheme="minorHAnsi"/>
        </w:rPr>
      </w:pPr>
      <w:r w:rsidRPr="00F36A0F">
        <w:rPr>
          <w:rFonts w:eastAsiaTheme="minorHAnsi"/>
        </w:rPr>
        <w:t xml:space="preserve">Measuring </w:t>
      </w:r>
      <w:r>
        <w:rPr>
          <w:rFonts w:eastAsiaTheme="minorHAnsi"/>
        </w:rPr>
        <w:t xml:space="preserve">the </w:t>
      </w:r>
      <w:r w:rsidRPr="00F36A0F">
        <w:rPr>
          <w:rFonts w:eastAsiaTheme="minorHAnsi"/>
        </w:rPr>
        <w:t>cost-effectiveness</w:t>
      </w:r>
      <w:r>
        <w:rPr>
          <w:rFonts w:eastAsiaTheme="minorHAnsi"/>
        </w:rPr>
        <w:t xml:space="preserve"> of the Group 2 model of care</w:t>
      </w:r>
      <w:r w:rsidR="00371A15">
        <w:rPr>
          <w:rFonts w:eastAsiaTheme="minorHAnsi"/>
        </w:rPr>
        <w:t xml:space="preserve"> is challenging</w:t>
      </w:r>
      <w:r w:rsidRPr="00F36A0F">
        <w:rPr>
          <w:rFonts w:eastAsiaTheme="minorHAnsi"/>
        </w:rPr>
        <w:t xml:space="preserve"> </w:t>
      </w:r>
      <w:r>
        <w:rPr>
          <w:rFonts w:eastAsiaTheme="minorHAnsi"/>
        </w:rPr>
        <w:t>because</w:t>
      </w:r>
      <w:r w:rsidRPr="00F36A0F">
        <w:rPr>
          <w:rFonts w:eastAsiaTheme="minorHAnsi"/>
        </w:rPr>
        <w:t xml:space="preserve"> the main benefits of improved blood glucose control would be expected downstream in the form of reduced complications (i.e. outside of </w:t>
      </w:r>
      <w:r w:rsidR="005C7161">
        <w:rPr>
          <w:rFonts w:eastAsiaTheme="minorHAnsi"/>
        </w:rPr>
        <w:t xml:space="preserve">the </w:t>
      </w:r>
      <w:r w:rsidRPr="00F36A0F">
        <w:rPr>
          <w:rFonts w:eastAsiaTheme="minorHAnsi"/>
        </w:rPr>
        <w:t xml:space="preserve">18 </w:t>
      </w:r>
      <w:r>
        <w:rPr>
          <w:rFonts w:eastAsiaTheme="minorHAnsi"/>
        </w:rPr>
        <w:t>month trial period</w:t>
      </w:r>
      <w:r w:rsidRPr="00F36A0F">
        <w:rPr>
          <w:rFonts w:eastAsiaTheme="minorHAnsi"/>
        </w:rPr>
        <w:t>).</w:t>
      </w:r>
      <w:r w:rsidR="0093501F">
        <w:rPr>
          <w:rFonts w:eastAsiaTheme="minorHAnsi"/>
        </w:rPr>
        <w:fldChar w:fldCharType="begin" w:fldLock="1"/>
      </w:r>
      <w:r w:rsidR="00113335">
        <w:rPr>
          <w:rFonts w:eastAsiaTheme="minorHAnsi"/>
        </w:rPr>
        <w:instrText>ADDIN CSL_CITATION { "citationItems" : [ { "id" : "ITEM-1", "itemData" : { "ISSN" : "0959-8138", "PMID" : "10938048", "abstract" : "OBJECTIVE: To determine the relation between exposure to glycaemia over time and the risk of macrovascular or microvascular complications in patients with type 2 diabetes. DESIGN: Prospective observational study. SETTING: 23 hospital based clinics in England, Scotland, and Northern Ireland. PARTICIPANTS: 4585 white, Asian Indian, and Afro-Caribbean UKPDS patients, whether randomised or not to treatment, were included in analyses of incidence; of these, 3642 were included in analyses of relative risk. OUTCOME MEASURES: Primary predefined aggregate clinical outcomes: any end point or deaths related to diabetes and all cause mortality. Secondary aggregate outcomes: myocardial infarction, stroke, amputation (including death from peripheral vascular disease), and microvascular disease (predominantly retinal photo-coagulation). Single end points: non-fatal heart failure and cataract extraction. Risk reduction associated with a 1% reduction in updated mean HbA(1c) adjusted for possible confounders at diagnosis of diabetes. RESULTS: The incidence of clinical complications was significantly associated with glycaemia. Each 1% reduction in updated mean HbA(1c) was associated with reductions in risk of 21% for any end point related to diabetes (95% confidence interval 17% to 24%, P&lt;0.0001), 21% for deaths related to diabetes (15% to 27%, P&lt;0.0001), 14% for myocardial infarction (8% to 21%, P&lt;0.0001), and 37% for microvascular complications (33% to 41%, P&lt;0.0001). No threshold of risk was observed for any end point. CONCLUSIONS: In patients with type 2 diabetes the risk of diabetic complications was strongly associated with previous hyperglycaemia. Any reduction in HbA(1c) is likely to reduce the risk of complications, with the lowest risk being in those with HbA(1c) values in the normal range (&lt;6.0%).", "author" : [ { "dropping-particle" : "", "family" : "Stratton", "given" : "I M", "non-dropping-particle" : "", "parse-names" : false, "suffix" : "" }, { "dropping-particle" : "", "family" : "Adler", "given" : "A I", "non-dropping-particle" : "", "parse-names" : false, "suffix" : "" }, { "dropping-particle" : "", "family" : "Neil", "given" : "H A", "non-dropping-particle" : "", "parse-names" : false, "suffix" : "" }, { "dropping-particle" : "", "family" : "Matthews", "given" : "D R", "non-dropping-particle" : "", "parse-names" : false, "suffix" : "" }, { "dropping-particle" : "", "family" : "Manley", "given" : "S E", "non-dropping-particle" : "", "parse-names" : false, "suffix" : "" }, { "dropping-particle" : "", "family" : "Cull", "given" : "C A", "non-dropping-particle" : "", "parse-names" : false, "suffix" : "" }, { "dropping-particle" : "", "family" : "Hadden", "given" : "D", "non-dropping-particle" : "", "parse-names" : false, "suffix" : "" }, { "dropping-particle" : "", "family" : "Turner", "given" : "R C", "non-dropping-particle" : "", "parse-names" : false, "suffix" : "" }, { "dropping-particle" : "", "family" : "Holman", "given" : "R R", "non-dropping-particle" : "", "parse-names" : false, "suffix" : "" } ], "container-title" : "BMJ (Clinical research ed.)", "id" : "ITEM-1", "issue" : "7258", "issued" : { "date-parts" : [ [ "2000", "8", "12" ] ] }, "page" : "405-12", "title" : "Association of glycaemia with macrovascular and microvascular complications of type 2 diabetes (UKPDS 35): prospective observational study.", "type" : "article-journal", "volume" : "321" }, "uris" : [ "http://www.mendeley.com/documents/?uuid=31a8d302-3f3a-46ad-b8c3-9929bdc1a426" ] } ], "mendeley" : { "previouslyFormattedCitation" : "&lt;sup&gt;45&lt;/sup&gt;" }, "properties" : { "noteIndex" : 0 }, "schema" : "https://github.com/citation-style-language/schema/raw/master/csl-citation.json" }</w:instrText>
      </w:r>
      <w:r w:rsidR="0093501F">
        <w:rPr>
          <w:rFonts w:eastAsiaTheme="minorHAnsi"/>
        </w:rPr>
        <w:fldChar w:fldCharType="separate"/>
      </w:r>
      <w:r w:rsidR="00113335" w:rsidRPr="00113335">
        <w:rPr>
          <w:rFonts w:eastAsiaTheme="minorHAnsi"/>
          <w:noProof/>
          <w:vertAlign w:val="superscript"/>
        </w:rPr>
        <w:t>45</w:t>
      </w:r>
      <w:r w:rsidR="0093501F">
        <w:rPr>
          <w:rFonts w:eastAsiaTheme="minorHAnsi"/>
        </w:rPr>
        <w:fldChar w:fldCharType="end"/>
      </w:r>
      <w:r w:rsidRPr="00F36A0F">
        <w:rPr>
          <w:rFonts w:eastAsiaTheme="minorHAnsi"/>
        </w:rPr>
        <w:t xml:space="preserve"> </w:t>
      </w:r>
      <w:r w:rsidR="00205DB8">
        <w:rPr>
          <w:rFonts w:eastAsiaTheme="minorHAnsi"/>
        </w:rPr>
        <w:t>These benefits were extrapolated</w:t>
      </w:r>
      <w:r w:rsidRPr="00F36A0F">
        <w:rPr>
          <w:rFonts w:eastAsiaTheme="minorHAnsi"/>
        </w:rPr>
        <w:t xml:space="preserve"> (based on HbA1c and other clinical changes)</w:t>
      </w:r>
      <w:r w:rsidR="00205DB8">
        <w:rPr>
          <w:rFonts w:eastAsiaTheme="minorHAnsi"/>
        </w:rPr>
        <w:t>,</w:t>
      </w:r>
      <w:r w:rsidRPr="00F36A0F">
        <w:rPr>
          <w:rFonts w:eastAsiaTheme="minorHAnsi"/>
        </w:rPr>
        <w:t xml:space="preserve"> </w:t>
      </w:r>
      <w:r w:rsidR="00205DB8">
        <w:rPr>
          <w:rFonts w:eastAsiaTheme="minorHAnsi"/>
        </w:rPr>
        <w:t>along with</w:t>
      </w:r>
      <w:r w:rsidR="00205DB8" w:rsidRPr="00F36A0F">
        <w:rPr>
          <w:rFonts w:eastAsiaTheme="minorHAnsi"/>
        </w:rPr>
        <w:t xml:space="preserve"> </w:t>
      </w:r>
      <w:r w:rsidRPr="00F36A0F">
        <w:rPr>
          <w:rFonts w:eastAsiaTheme="minorHAnsi"/>
        </w:rPr>
        <w:t>costs</w:t>
      </w:r>
      <w:r w:rsidR="00205DB8">
        <w:rPr>
          <w:rFonts w:eastAsiaTheme="minorHAnsi"/>
        </w:rPr>
        <w:t>,</w:t>
      </w:r>
      <w:r w:rsidRPr="00F36A0F">
        <w:rPr>
          <w:rFonts w:eastAsiaTheme="minorHAnsi"/>
        </w:rPr>
        <w:t xml:space="preserve"> for an extended period. Two different population simulation models</w:t>
      </w:r>
      <w:r w:rsidR="005C7161">
        <w:rPr>
          <w:rFonts w:eastAsiaTheme="minorHAnsi"/>
        </w:rPr>
        <w:t>—</w:t>
      </w:r>
      <w:r w:rsidRPr="00F36A0F">
        <w:rPr>
          <w:rFonts w:eastAsiaTheme="minorHAnsi"/>
        </w:rPr>
        <w:t>the UKPDS model and the Archimedes model</w:t>
      </w:r>
      <w:r w:rsidR="005C7161">
        <w:rPr>
          <w:rFonts w:eastAsiaTheme="minorHAnsi"/>
        </w:rPr>
        <w:t>—</w:t>
      </w:r>
      <w:r w:rsidRPr="00F36A0F">
        <w:rPr>
          <w:rFonts w:eastAsiaTheme="minorHAnsi"/>
        </w:rPr>
        <w:t>predicted long-term benefits in Group 2 of 0.015 and 0.019 QALYs per person</w:t>
      </w:r>
      <w:r w:rsidR="005C7161">
        <w:rPr>
          <w:rFonts w:eastAsiaTheme="minorHAnsi"/>
        </w:rPr>
        <w:t>,</w:t>
      </w:r>
      <w:r w:rsidRPr="00F36A0F">
        <w:rPr>
          <w:rFonts w:eastAsiaTheme="minorHAnsi"/>
        </w:rPr>
        <w:t xml:space="preserve"> respectively.</w:t>
      </w:r>
    </w:p>
    <w:p w14:paraId="5AF6160C" w14:textId="77777777" w:rsidR="00BD046C" w:rsidRDefault="00D0423F" w:rsidP="00086AC2">
      <w:pPr>
        <w:rPr>
          <w:rFonts w:eastAsiaTheme="minorHAnsi"/>
        </w:rPr>
      </w:pPr>
      <w:r>
        <w:rPr>
          <w:rFonts w:eastAsiaTheme="minorHAnsi"/>
        </w:rPr>
        <w:t>Overall</w:t>
      </w:r>
      <w:r w:rsidR="005C7161">
        <w:rPr>
          <w:rFonts w:eastAsiaTheme="minorHAnsi"/>
        </w:rPr>
        <w:t>,</w:t>
      </w:r>
      <w:r>
        <w:rPr>
          <w:rFonts w:eastAsiaTheme="minorHAnsi"/>
        </w:rPr>
        <w:t xml:space="preserve"> </w:t>
      </w:r>
      <w:r w:rsidR="00205DB8">
        <w:rPr>
          <w:rFonts w:eastAsiaTheme="minorHAnsi"/>
        </w:rPr>
        <w:t>there is no</w:t>
      </w:r>
      <w:r w:rsidR="00C52A53">
        <w:rPr>
          <w:rFonts w:eastAsiaTheme="minorHAnsi"/>
        </w:rPr>
        <w:t xml:space="preserve"> evidence to suggest</w:t>
      </w:r>
      <w:r w:rsidR="00433E6D">
        <w:rPr>
          <w:rFonts w:eastAsiaTheme="minorHAnsi"/>
        </w:rPr>
        <w:t xml:space="preserve"> that</w:t>
      </w:r>
      <w:r>
        <w:rPr>
          <w:rFonts w:eastAsiaTheme="minorHAnsi"/>
        </w:rPr>
        <w:t xml:space="preserve"> the Group 2 model of care would be </w:t>
      </w:r>
      <w:r w:rsidR="00433E6D">
        <w:rPr>
          <w:rFonts w:eastAsiaTheme="minorHAnsi"/>
        </w:rPr>
        <w:t>cost-</w:t>
      </w:r>
      <w:r>
        <w:rPr>
          <w:rFonts w:eastAsiaTheme="minorHAnsi"/>
        </w:rPr>
        <w:t>effective if adopted for longer</w:t>
      </w:r>
      <w:r w:rsidR="00C52A53">
        <w:rPr>
          <w:rFonts w:eastAsiaTheme="minorHAnsi"/>
        </w:rPr>
        <w:t xml:space="preserve">, with </w:t>
      </w:r>
      <w:r>
        <w:rPr>
          <w:rFonts w:eastAsiaTheme="minorHAnsi"/>
        </w:rPr>
        <w:t xml:space="preserve">large uncertainties </w:t>
      </w:r>
      <w:r w:rsidR="00433E6D">
        <w:rPr>
          <w:rFonts w:eastAsiaTheme="minorHAnsi"/>
        </w:rPr>
        <w:t xml:space="preserve">regarding </w:t>
      </w:r>
      <w:r>
        <w:rPr>
          <w:rFonts w:eastAsiaTheme="minorHAnsi"/>
        </w:rPr>
        <w:t>both the net cost and benefits of the intervention. Projecting the incremental cost of Group 2 in primary care (i.e. assuming the hospital cost changes seen in the trial d</w:t>
      </w:r>
      <w:r w:rsidR="003640F0">
        <w:rPr>
          <w:rFonts w:eastAsiaTheme="minorHAnsi"/>
        </w:rPr>
        <w:t>o not persist) and assuming a two percent</w:t>
      </w:r>
      <w:r>
        <w:rPr>
          <w:rFonts w:eastAsiaTheme="minorHAnsi"/>
        </w:rPr>
        <w:t xml:space="preserve"> reduction in hospital costs based </w:t>
      </w:r>
      <w:r w:rsidR="00433E6D">
        <w:rPr>
          <w:rFonts w:eastAsiaTheme="minorHAnsi"/>
        </w:rPr>
        <w:t xml:space="preserve">on </w:t>
      </w:r>
      <w:r>
        <w:rPr>
          <w:rFonts w:eastAsiaTheme="minorHAnsi"/>
        </w:rPr>
        <w:t>the predictable effect of changes in HbA1c,</w:t>
      </w:r>
      <w:r w:rsidR="0093501F">
        <w:rPr>
          <w:rFonts w:eastAsiaTheme="minorHAnsi"/>
          <w:vertAlign w:val="superscript"/>
        </w:rPr>
        <w:fldChar w:fldCharType="begin" w:fldLock="1"/>
      </w:r>
      <w:r w:rsidR="00113335">
        <w:rPr>
          <w:rFonts w:eastAsiaTheme="minorHAnsi"/>
          <w:vertAlign w:val="superscript"/>
        </w:rPr>
        <w:instrText>ADDIN CSL_CITATION { "citationItems" : [ { "id" : "ITEM-1", "itemData" : { "ISSN" : "0025-729X", "PMID" : "20854235", "abstract" : "OBJECTIVE: To determine the cost-effectiveness of routine administration, irrespective of blood pressure (BP), of a fixed-dose combination of perindopril and indapamide to patients with type 2 diabetes mellitus. DESIGN, SETTING AND PARTICIPANTS: Prospective cost-effectiveness analysis within the Action in Diabetes and Vascular Disease: Preterax and Diamicron-MR Controlled Evaluation (ADVANCE) trial, an international, multicentre, randomised controlled trial of 11,140 participants with type 2 diabetes randomly allocated to receive perindopril plus indapamide (4 mg-1.25 mg/day) or placebo. MAIN OUTCOME MEASURES: Health-related quality-of-life measured by the EuroQol-5D, resource utilisation, and cost-effectiveness (cost per death averted at 4.3 years' average follow-up, and estimated cost per life-year gained, by extrapolation). RESULTS: The mean health-related quality-of-life score of survivors was 0.80 (on a 0-1 scale [death to full health]), with no difference between treatment groups. Active treatment reduced hospital admissions for coronary heart disease and coronary revascularisation by 5%. For the Australian participants, perindopril-indapamide cost A$1368 per patient during the trial period, but reduced total hospitalisation costs by A$410 and other medication costs (mainly other BP-lowering drugs) by A$332. The absolute reduction in all-cause mortality for the active treatment group was 1.1%, giving a cost per life saved of A$49,200. Lifetime extrapolation gave an estimated cost per life-year saved of A$10,040 (discounted at 5% per year). CONCLUSION: The combination of perindopril and indapamide in patients with type 2 diabetes appears to be cost-effective. TRIAL REGISTRATION: United States National Library of Medicine NCT00145925.", "author" : [ { "dropping-particle" : "", "family" : "Glasziou", "given" : "Paul P", "non-dropping-particle" : "", "parse-names" : false, "suffix" : "" }, { "dropping-particle" : "", "family" : "Clarke", "given" : "Philip", "non-dropping-particle" : "", "parse-names" : false, "suffix" : "" }, { "dropping-particle" : "", "family" : "Alexander", "given" : "Jan", "non-dropping-particle" : "", "parse-names" : false, "suffix" : "" }, { "dropping-particle" : "", "family" : "Rajmokan", "given" : "Mohana", "non-dropping-particle" : "", "parse-names" : false, "suffix" : "" }, { "dropping-particle" : "", "family" : "Beller", "given" : "Elaine", "non-dropping-particle" : "", "parse-names" : false, "suffix" : "" }, { "dropping-particle" : "", "family" : "Woodward", "given" : "Mark", "non-dropping-particle" : "", "parse-names" : false, "suffix" : "" }, { "dropping-particle" : "", "family" : "Chalmers", "given" : "John", "non-dropping-particle" : "", "parse-names" : false, "suffix" : "" }, { "dropping-particle" : "", "family" : "Poulter", "given" : "Neil", "non-dropping-particle" : "", "parse-names" : false, "suffix" : "" }, { "dropping-particle" : "", "family" : "Patel", "given" : "Anushka", "non-dropping-particle" : "", "parse-names" : false, "suffix" : "" } ], "container-title" : "The Medical journal of Australia", "id" : "ITEM-1", "issue" : "6", "issued" : { "date-parts" : [ [ "2010", "9", "20" ] ] }, "page" : "320-4", "title" : "Cost-effectiveness of lowering blood pressure with a fixed combination of perindopril and indapamide in type 2 diabetes mellitus: an ADVANCE trial-based analysis.", "type" : "article-journal", "volume" : "193" }, "uris" : [ "http://www.mendeley.com/documents/?uuid=cf118a14-fadd-45f0-8426-12aa7e9cb73d" ] }, { "id" : "ITEM-2", "itemData" : { "DOI" : "10.1007/s001250051617", "ISSN" : "0012-186X", "PMID" : "11317659", "abstract" : "AIMS/HYPOTHESIS: To estimate the economic efficiency of intensive blood-glucose control with metformin compared with conventional therapy primarily with diet in overweight patients with Type II (non-insulin-dependent) diabetes mellitus.\n\nMETHODS: Cost-effectiveness analysis based on patient level data from a randomised clinical controlled trial involving 753 overweight (&gt; 120% ideal body weight) patients with newly diagnosed Type II diabetes conducted in 15 hospital-based clinics in England, Scotland and Northern Ireland as part of the UK Prospective Diabetes Study. Subjects were allocated at random to an intensive blood-glucose control policy with metformin (n = 342) or a conventional policy primarily with diet (n = 411). The analysis was based on the cost of health care resources associated with metformin and conventional therapy and the estimated effectiveness in terms of life expectancy gained from within-trial effects.\n\nRESULTS: Intensive blood-glucose control with metformin produced a net saving of 258 Pounds per patient (1997 United Kingdom prices) over the trial period (median duration of 10.7 years) due to lower complication costs, and increased life expectancy by 0.4 years (costs and benefits discounted at 6%).\n\nCONCLUSIONS/INTERPRETATION: As metformin is both cost-saving in the United Kingdom and extends life expectancy when used as first line pharmacological therapy in overweight Type II diabetic patients, its use should be attractive to clinicians and health care managers alike.", "author" : [ { "dropping-particle" : "", "family" : "Clarke", "given" : "P", "non-dropping-particle" : "", "parse-names" : false, "suffix" : "" }, { "dropping-particle" : "", "family" : "Gray", "given" : "A", "non-dropping-particle" : "", "parse-names" : false, "suffix" : "" }, { "dropping-particle" : "", "family" : "Adler", "given" : "A", "non-dropping-particle" : "", "parse-names" : false, "suffix" : "" }, { "dropping-particle" : "", "family" : "Stevens", "given" : "R", "non-dropping-particle" : "", "parse-names" : false, "suffix" : "" }, { "dropping-particle" : "", "family" : "Raikou", "given" : "M", "non-dropping-particle" : "", "parse-names" : false, "suffix" : "" }, { "dropping-particle" : "", "family" : "Cull", "given" : "C", "non-dropping-particle" : "", "parse-names" : false, "suffix" : "" }, { "dropping-particle" : "", "family" : "Stratton", "given" : "I", "non-dropping-particle" : "", "parse-names" : false, "suffix" : "" }, { "dropping-particle" : "", "family" : "Holman", "given" : "R", "non-dropping-particle" : "", "parse-names" : false, "suffix" : "" } ], "container-title" : "Diabetologia", "id" : "ITEM-2", "issue" : "3", "issued" : { "date-parts" : [ [ "2001", "3" ] ] }, "page" : "298-304", "title" : "Cost-effectiveness analysis of intensive blood-glucose control with metformin in overweight patients with type II diabetes (UKPDS No. 51).", "type" : "article-journal", "volume" : "44" }, "uris" : [ "http://www.mendeley.com/documents/?uuid=9080e777-11bf-48bc-8ddb-352a0fa160fb" ] } ], "mendeley" : { "previouslyFormattedCitation" : "&lt;sup&gt;46,47&lt;/sup&gt;" }, "properties" : { "noteIndex" : 0 }, "schema" : "https://github.com/citation-style-language/schema/raw/master/csl-citation.json" }</w:instrText>
      </w:r>
      <w:r w:rsidR="0093501F">
        <w:rPr>
          <w:rFonts w:eastAsiaTheme="minorHAnsi"/>
          <w:vertAlign w:val="superscript"/>
        </w:rPr>
        <w:fldChar w:fldCharType="separate"/>
      </w:r>
      <w:r w:rsidR="00113335" w:rsidRPr="00113335">
        <w:rPr>
          <w:rFonts w:eastAsiaTheme="minorHAnsi"/>
          <w:noProof/>
          <w:vertAlign w:val="superscript"/>
        </w:rPr>
        <w:t>46,47</w:t>
      </w:r>
      <w:r w:rsidR="0093501F">
        <w:rPr>
          <w:rFonts w:eastAsiaTheme="minorHAnsi"/>
          <w:vertAlign w:val="superscript"/>
        </w:rPr>
        <w:fldChar w:fldCharType="end"/>
      </w:r>
      <w:r>
        <w:rPr>
          <w:rFonts w:eastAsiaTheme="minorHAnsi"/>
        </w:rPr>
        <w:t xml:space="preserve"> the </w:t>
      </w:r>
      <w:r w:rsidR="00623CF6">
        <w:rPr>
          <w:rFonts w:eastAsiaTheme="minorHAnsi"/>
        </w:rPr>
        <w:t xml:space="preserve">best estimate of </w:t>
      </w:r>
      <w:r>
        <w:rPr>
          <w:rFonts w:eastAsiaTheme="minorHAnsi"/>
        </w:rPr>
        <w:t xml:space="preserve">cost per QALY would be </w:t>
      </w:r>
      <w:r w:rsidR="00623CF6">
        <w:rPr>
          <w:rFonts w:eastAsiaTheme="minorHAnsi"/>
        </w:rPr>
        <w:t xml:space="preserve">around </w:t>
      </w:r>
      <w:r>
        <w:rPr>
          <w:rFonts w:eastAsiaTheme="minorHAnsi"/>
        </w:rPr>
        <w:t>$250,000. This is not considered cost</w:t>
      </w:r>
      <w:r w:rsidR="00433E6D">
        <w:rPr>
          <w:rFonts w:eastAsiaTheme="minorHAnsi"/>
        </w:rPr>
        <w:t>-</w:t>
      </w:r>
      <w:r>
        <w:rPr>
          <w:rFonts w:eastAsiaTheme="minorHAnsi"/>
        </w:rPr>
        <w:t xml:space="preserve">effective. </w:t>
      </w:r>
      <w:r w:rsidR="00E86C18">
        <w:rPr>
          <w:rFonts w:eastAsiaTheme="minorHAnsi"/>
        </w:rPr>
        <w:t>Alternatively</w:t>
      </w:r>
      <w:r>
        <w:rPr>
          <w:rFonts w:eastAsiaTheme="minorHAnsi"/>
        </w:rPr>
        <w:t xml:space="preserve">, the </w:t>
      </w:r>
      <w:r w:rsidR="00623CF6">
        <w:rPr>
          <w:rFonts w:eastAsiaTheme="minorHAnsi"/>
        </w:rPr>
        <w:t xml:space="preserve">best estimate of cost </w:t>
      </w:r>
      <w:r>
        <w:rPr>
          <w:rFonts w:eastAsiaTheme="minorHAnsi"/>
        </w:rPr>
        <w:t xml:space="preserve">per QALY would be </w:t>
      </w:r>
      <w:r w:rsidR="00623CF6">
        <w:rPr>
          <w:rFonts w:eastAsiaTheme="minorHAnsi"/>
        </w:rPr>
        <w:t xml:space="preserve">around </w:t>
      </w:r>
      <w:r>
        <w:rPr>
          <w:rFonts w:eastAsiaTheme="minorHAnsi"/>
        </w:rPr>
        <w:t>$100,000 per QALY if the reductions in hospitalisation seen in the trial were t</w:t>
      </w:r>
      <w:r w:rsidR="008B6205">
        <w:rPr>
          <w:rFonts w:eastAsiaTheme="minorHAnsi"/>
        </w:rPr>
        <w:t>o be included</w:t>
      </w:r>
      <w:r>
        <w:rPr>
          <w:rFonts w:eastAsiaTheme="minorHAnsi"/>
        </w:rPr>
        <w:t xml:space="preserve">. However, these cost savings were not statistically significant and it is </w:t>
      </w:r>
      <w:r w:rsidR="00433E6D">
        <w:rPr>
          <w:rFonts w:eastAsiaTheme="minorHAnsi"/>
        </w:rPr>
        <w:t>unclear whether</w:t>
      </w:r>
      <w:r w:rsidR="00397AFB">
        <w:rPr>
          <w:rFonts w:eastAsiaTheme="minorHAnsi"/>
        </w:rPr>
        <w:t xml:space="preserve"> they would persist.</w:t>
      </w:r>
      <w:r w:rsidR="00D432DD">
        <w:rPr>
          <w:rFonts w:eastAsiaTheme="minorHAnsi"/>
        </w:rPr>
        <w:t xml:space="preserve"> Based on these two scenarios, the </w:t>
      </w:r>
      <w:r w:rsidR="00705B2F">
        <w:rPr>
          <w:rFonts w:eastAsiaTheme="minorHAnsi"/>
        </w:rPr>
        <w:t>probabilities</w:t>
      </w:r>
      <w:r w:rsidR="00D432DD">
        <w:rPr>
          <w:rFonts w:eastAsiaTheme="minorHAnsi"/>
        </w:rPr>
        <w:t xml:space="preserve"> of the intervention being cost-effective at a threshold of $50,000 per QALY are </w:t>
      </w:r>
      <w:r w:rsidR="00433E6D">
        <w:rPr>
          <w:rFonts w:eastAsiaTheme="minorHAnsi"/>
        </w:rPr>
        <w:t>two percent</w:t>
      </w:r>
      <w:r w:rsidR="00D432DD">
        <w:rPr>
          <w:rFonts w:eastAsiaTheme="minorHAnsi"/>
        </w:rPr>
        <w:t xml:space="preserve"> and </w:t>
      </w:r>
      <w:r w:rsidR="002A6B6F">
        <w:rPr>
          <w:rFonts w:eastAsiaTheme="minorHAnsi"/>
        </w:rPr>
        <w:t>45</w:t>
      </w:r>
      <w:r w:rsidR="00433E6D">
        <w:rPr>
          <w:rFonts w:eastAsiaTheme="minorHAnsi"/>
        </w:rPr>
        <w:t xml:space="preserve"> percent </w:t>
      </w:r>
      <w:r w:rsidR="00D432DD">
        <w:rPr>
          <w:rFonts w:eastAsiaTheme="minorHAnsi"/>
        </w:rPr>
        <w:t xml:space="preserve">respectively. </w:t>
      </w:r>
      <w:r>
        <w:rPr>
          <w:rFonts w:eastAsiaTheme="minorHAnsi"/>
        </w:rPr>
        <w:t xml:space="preserve">On balance, therefore, it is unlikely the Group 2 model of care would be </w:t>
      </w:r>
      <w:r w:rsidR="0088602B">
        <w:rPr>
          <w:rFonts w:eastAsiaTheme="minorHAnsi"/>
        </w:rPr>
        <w:t>cost-effective</w:t>
      </w:r>
      <w:r w:rsidR="00AC2705">
        <w:rPr>
          <w:rFonts w:eastAsiaTheme="minorHAnsi"/>
        </w:rPr>
        <w:t xml:space="preserve"> as implemented.</w:t>
      </w:r>
    </w:p>
    <w:p w14:paraId="2DB8A433" w14:textId="77777777" w:rsidR="007800C4" w:rsidRDefault="007800C4">
      <w:pPr>
        <w:rPr>
          <w:rFonts w:eastAsiaTheme="minorHAnsi"/>
        </w:rPr>
        <w:sectPr w:rsidR="007800C4" w:rsidSect="006F43C4">
          <w:headerReference w:type="default" r:id="rId51"/>
          <w:footnotePr>
            <w:numFmt w:val="lowerLetter"/>
          </w:footnotePr>
          <w:pgSz w:w="11906" w:h="16838"/>
          <w:pgMar w:top="1440" w:right="1440" w:bottom="1440" w:left="1440" w:header="708" w:footer="708" w:gutter="0"/>
          <w:pgBorders w:offsetFrom="page">
            <w:top w:val="none" w:sz="0" w:space="0" w:color="000000"/>
            <w:left w:val="none" w:sz="0" w:space="0" w:color="000000"/>
            <w:bottom w:val="none" w:sz="0" w:space="0" w:color="000000"/>
            <w:right w:val="none" w:sz="0" w:space="0" w:color="000000"/>
          </w:pgBorders>
          <w:cols w:space="708"/>
          <w:docGrid w:linePitch="360"/>
        </w:sectPr>
      </w:pPr>
    </w:p>
    <w:p w14:paraId="1F800A34" w14:textId="77777777" w:rsidR="00B41B78" w:rsidRDefault="00B41B78" w:rsidP="008C484F">
      <w:pPr>
        <w:pStyle w:val="32chaptertitle"/>
        <w:rPr>
          <w:rFonts w:eastAsiaTheme="minorHAnsi"/>
        </w:rPr>
      </w:pPr>
      <w:bookmarkStart w:id="14" w:name="_Toc419905888"/>
      <w:r w:rsidRPr="0011645E">
        <w:rPr>
          <w:rFonts w:eastAsiaTheme="minorHAnsi"/>
        </w:rPr>
        <w:lastRenderedPageBreak/>
        <w:t>Chapter 4—</w:t>
      </w:r>
      <w:r w:rsidR="00310B24">
        <w:rPr>
          <w:rFonts w:eastAsiaTheme="minorHAnsi"/>
        </w:rPr>
        <w:t xml:space="preserve">Conclusions and </w:t>
      </w:r>
      <w:r w:rsidRPr="0011645E">
        <w:rPr>
          <w:rFonts w:eastAsiaTheme="minorHAnsi"/>
        </w:rPr>
        <w:t>Recommendations</w:t>
      </w:r>
      <w:bookmarkEnd w:id="14"/>
    </w:p>
    <w:p w14:paraId="0E141FEC" w14:textId="77777777" w:rsidR="00B03000" w:rsidRPr="00F36A0F" w:rsidRDefault="00B03000" w:rsidP="00B03000">
      <w:pPr>
        <w:spacing w:before="80" w:after="40"/>
        <w:rPr>
          <w:rFonts w:eastAsiaTheme="minorHAnsi"/>
        </w:rPr>
      </w:pPr>
      <w:r w:rsidRPr="00F36A0F">
        <w:t xml:space="preserve">This chapter </w:t>
      </w:r>
      <w:r>
        <w:t xml:space="preserve">summarises the conclusions of the trial with respect to the original program </w:t>
      </w:r>
      <w:r w:rsidR="00804AF1">
        <w:t xml:space="preserve">evaluation areas </w:t>
      </w:r>
      <w:r>
        <w:t xml:space="preserve">and outlines the DCP consortium’s </w:t>
      </w:r>
      <w:r w:rsidR="00A30248">
        <w:t xml:space="preserve">recommendations. </w:t>
      </w:r>
      <w:r w:rsidRPr="00F36A0F">
        <w:rPr>
          <w:rFonts w:eastAsiaTheme="minorHAnsi"/>
        </w:rPr>
        <w:t>It is divided into two sections:</w:t>
      </w:r>
    </w:p>
    <w:p w14:paraId="35194899" w14:textId="77777777" w:rsidR="00B03000" w:rsidRPr="00F36A0F" w:rsidRDefault="00A30248" w:rsidP="00B03000">
      <w:pPr>
        <w:pStyle w:val="01squarebullet"/>
        <w:spacing w:before="40" w:after="40"/>
        <w:rPr>
          <w:rFonts w:eastAsiaTheme="minorHAnsi"/>
        </w:rPr>
      </w:pPr>
      <w:r>
        <w:rPr>
          <w:rFonts w:eastAsiaTheme="minorHAnsi"/>
        </w:rPr>
        <w:t>4.1</w:t>
      </w:r>
      <w:r w:rsidR="00B03000">
        <w:rPr>
          <w:rFonts w:eastAsiaTheme="minorHAnsi"/>
        </w:rPr>
        <w:t xml:space="preserve"> </w:t>
      </w:r>
      <w:r>
        <w:rPr>
          <w:rFonts w:eastAsiaTheme="minorHAnsi"/>
        </w:rPr>
        <w:t xml:space="preserve">Conclusions by program </w:t>
      </w:r>
      <w:r w:rsidR="00CA0295">
        <w:rPr>
          <w:rFonts w:eastAsiaTheme="minorHAnsi"/>
        </w:rPr>
        <w:t>evaluation areas</w:t>
      </w:r>
    </w:p>
    <w:p w14:paraId="2602E156" w14:textId="77777777" w:rsidR="00A30248" w:rsidRPr="00F36A0F" w:rsidRDefault="00A30248" w:rsidP="00B03000">
      <w:pPr>
        <w:pStyle w:val="01squarebullet"/>
        <w:spacing w:before="40" w:after="40"/>
        <w:rPr>
          <w:rFonts w:eastAsiaTheme="minorHAnsi"/>
        </w:rPr>
      </w:pPr>
      <w:r>
        <w:rPr>
          <w:rFonts w:eastAsiaTheme="minorHAnsi"/>
        </w:rPr>
        <w:t>4.2</w:t>
      </w:r>
      <w:r w:rsidRPr="00F36A0F">
        <w:rPr>
          <w:rFonts w:eastAsiaTheme="minorHAnsi"/>
        </w:rPr>
        <w:t xml:space="preserve"> </w:t>
      </w:r>
      <w:r>
        <w:rPr>
          <w:rFonts w:eastAsiaTheme="minorHAnsi"/>
        </w:rPr>
        <w:t>Recommendations</w:t>
      </w:r>
    </w:p>
    <w:p w14:paraId="578B6C38" w14:textId="77777777" w:rsidR="0003625D" w:rsidRDefault="00310B24" w:rsidP="0003625D">
      <w:pPr>
        <w:pStyle w:val="20major"/>
        <w:rPr>
          <w:rFonts w:eastAsiaTheme="minorHAnsi"/>
        </w:rPr>
      </w:pPr>
      <w:bookmarkStart w:id="15" w:name="_Toc419905889"/>
      <w:r>
        <w:rPr>
          <w:rFonts w:eastAsiaTheme="minorHAnsi"/>
        </w:rPr>
        <w:t>4.1</w:t>
      </w:r>
      <w:r w:rsidR="0003625D">
        <w:rPr>
          <w:rFonts w:eastAsiaTheme="minorHAnsi"/>
        </w:rPr>
        <w:t xml:space="preserve"> </w:t>
      </w:r>
      <w:r>
        <w:rPr>
          <w:rFonts w:eastAsiaTheme="minorHAnsi"/>
        </w:rPr>
        <w:t xml:space="preserve">Conclusions by </w:t>
      </w:r>
      <w:r w:rsidR="00ED0D02">
        <w:rPr>
          <w:rFonts w:eastAsiaTheme="minorHAnsi"/>
        </w:rPr>
        <w:t>P</w:t>
      </w:r>
      <w:r w:rsidR="006D4C87">
        <w:rPr>
          <w:rFonts w:eastAsiaTheme="minorHAnsi"/>
        </w:rPr>
        <w:t xml:space="preserve">rogram </w:t>
      </w:r>
      <w:r w:rsidR="00ED0D02">
        <w:rPr>
          <w:rFonts w:eastAsiaTheme="minorHAnsi"/>
        </w:rPr>
        <w:t>E</w:t>
      </w:r>
      <w:r w:rsidR="006D4C87">
        <w:rPr>
          <w:rFonts w:eastAsiaTheme="minorHAnsi"/>
        </w:rPr>
        <w:t xml:space="preserve">valuation </w:t>
      </w:r>
      <w:r w:rsidR="00ED0D02">
        <w:rPr>
          <w:rFonts w:eastAsiaTheme="minorHAnsi"/>
        </w:rPr>
        <w:t>A</w:t>
      </w:r>
      <w:r w:rsidR="006D4C87">
        <w:rPr>
          <w:rFonts w:eastAsiaTheme="minorHAnsi"/>
        </w:rPr>
        <w:t>reas</w:t>
      </w:r>
      <w:bookmarkEnd w:id="15"/>
    </w:p>
    <w:p w14:paraId="1AC3813B" w14:textId="77777777" w:rsidR="0003625D" w:rsidRDefault="0003625D" w:rsidP="0003625D">
      <w:pPr>
        <w:rPr>
          <w:rFonts w:eastAsiaTheme="minorHAnsi"/>
        </w:rPr>
      </w:pPr>
      <w:r>
        <w:rPr>
          <w:rFonts w:eastAsiaTheme="minorHAnsi"/>
        </w:rPr>
        <w:t>This section provides an overview of key findings by the eight program evaluation areas</w:t>
      </w:r>
      <w:r w:rsidR="00310B24">
        <w:rPr>
          <w:rFonts w:eastAsiaTheme="minorHAnsi"/>
        </w:rPr>
        <w:t xml:space="preserve"> set by the Department in 2011</w:t>
      </w:r>
      <w:r>
        <w:rPr>
          <w:rFonts w:eastAsiaTheme="minorHAnsi"/>
        </w:rPr>
        <w:t>:</w:t>
      </w:r>
    </w:p>
    <w:p w14:paraId="59416297" w14:textId="77777777" w:rsidR="0003625D" w:rsidRPr="00790A35" w:rsidRDefault="006F2581" w:rsidP="0003625D">
      <w:pPr>
        <w:pStyle w:val="01squarebullet"/>
        <w:rPr>
          <w:rFonts w:eastAsiaTheme="minorHAnsi"/>
        </w:rPr>
      </w:pPr>
      <w:r>
        <w:rPr>
          <w:rFonts w:eastAsiaTheme="minorHAnsi"/>
          <w:b/>
        </w:rPr>
        <w:t>4.1</w:t>
      </w:r>
      <w:r w:rsidR="0003625D" w:rsidRPr="0086677F">
        <w:rPr>
          <w:rFonts w:eastAsiaTheme="minorHAnsi"/>
          <w:b/>
        </w:rPr>
        <w:t>.1</w:t>
      </w:r>
      <w:r w:rsidR="0003625D">
        <w:rPr>
          <w:rFonts w:eastAsiaTheme="minorHAnsi"/>
          <w:b/>
        </w:rPr>
        <w:t>.</w:t>
      </w:r>
      <w:r w:rsidR="0003625D" w:rsidRPr="0086677F">
        <w:rPr>
          <w:rFonts w:eastAsiaTheme="minorHAnsi"/>
          <w:b/>
        </w:rPr>
        <w:t xml:space="preserve"> Quality of diabetes care:</w:t>
      </w:r>
      <w:r w:rsidR="0003625D">
        <w:rPr>
          <w:rFonts w:eastAsiaTheme="minorHAnsi"/>
        </w:rPr>
        <w:t xml:space="preserve"> </w:t>
      </w:r>
      <w:r w:rsidR="0003625D" w:rsidRPr="00347564">
        <w:rPr>
          <w:rFonts w:eastAsiaTheme="minorHAnsi"/>
        </w:rPr>
        <w:t>The quality of diabetes care provided to enrolled patients</w:t>
      </w:r>
      <w:r w:rsidR="0003625D">
        <w:rPr>
          <w:rFonts w:eastAsiaTheme="minorHAnsi"/>
        </w:rPr>
        <w:t>.</w:t>
      </w:r>
    </w:p>
    <w:p w14:paraId="3C701080" w14:textId="77777777" w:rsidR="0003625D" w:rsidRPr="00790A35" w:rsidRDefault="006F2581" w:rsidP="0003625D">
      <w:pPr>
        <w:pStyle w:val="01squarebullet"/>
        <w:rPr>
          <w:rFonts w:eastAsiaTheme="minorHAnsi"/>
        </w:rPr>
      </w:pPr>
      <w:r>
        <w:rPr>
          <w:rFonts w:eastAsiaTheme="minorHAnsi"/>
          <w:b/>
        </w:rPr>
        <w:t>4.1</w:t>
      </w:r>
      <w:r w:rsidRPr="0086677F">
        <w:rPr>
          <w:rFonts w:eastAsiaTheme="minorHAnsi"/>
          <w:b/>
        </w:rPr>
        <w:t>.</w:t>
      </w:r>
      <w:r w:rsidR="0003625D" w:rsidRPr="0086677F">
        <w:rPr>
          <w:rFonts w:eastAsiaTheme="minorHAnsi"/>
          <w:b/>
        </w:rPr>
        <w:t xml:space="preserve">2. Funding flexibility and </w:t>
      </w:r>
      <w:r w:rsidR="0003625D">
        <w:rPr>
          <w:rFonts w:eastAsiaTheme="minorHAnsi"/>
          <w:b/>
        </w:rPr>
        <w:t>innovative patient-centred care</w:t>
      </w:r>
      <w:r w:rsidR="0003625D" w:rsidRPr="0086677F">
        <w:rPr>
          <w:rFonts w:eastAsiaTheme="minorHAnsi"/>
          <w:b/>
        </w:rPr>
        <w:t>:</w:t>
      </w:r>
      <w:r w:rsidR="0003625D">
        <w:rPr>
          <w:rFonts w:eastAsiaTheme="minorHAnsi"/>
        </w:rPr>
        <w:t xml:space="preserve"> </w:t>
      </w:r>
      <w:r w:rsidR="0003625D" w:rsidRPr="00347564">
        <w:rPr>
          <w:rFonts w:eastAsiaTheme="minorHAnsi"/>
        </w:rPr>
        <w:t>The level of flexibility offered by the new funding arrangements in supporting the delivery of diabetes services and development of new ways to provide innovative, patient-centred care that is appropriately tailored to the needs of individual patients</w:t>
      </w:r>
      <w:r w:rsidR="0003625D">
        <w:rPr>
          <w:rFonts w:eastAsiaTheme="minorHAnsi"/>
        </w:rPr>
        <w:t>.</w:t>
      </w:r>
    </w:p>
    <w:p w14:paraId="3235C994" w14:textId="77777777" w:rsidR="0003625D" w:rsidRPr="00790A35" w:rsidRDefault="006F2581" w:rsidP="0003625D">
      <w:pPr>
        <w:pStyle w:val="01squarebullet"/>
        <w:rPr>
          <w:rFonts w:eastAsiaTheme="minorHAnsi"/>
        </w:rPr>
      </w:pPr>
      <w:r>
        <w:rPr>
          <w:rFonts w:eastAsiaTheme="minorHAnsi"/>
          <w:b/>
        </w:rPr>
        <w:t>4.1</w:t>
      </w:r>
      <w:r w:rsidRPr="0086677F">
        <w:rPr>
          <w:rFonts w:eastAsiaTheme="minorHAnsi"/>
          <w:b/>
        </w:rPr>
        <w:t>.</w:t>
      </w:r>
      <w:r w:rsidR="0003625D" w:rsidRPr="0086677F">
        <w:rPr>
          <w:rFonts w:eastAsiaTheme="minorHAnsi"/>
          <w:b/>
        </w:rPr>
        <w:t>3. Patient affordability:</w:t>
      </w:r>
      <w:r w:rsidR="0003625D">
        <w:rPr>
          <w:rFonts w:eastAsiaTheme="minorHAnsi"/>
        </w:rPr>
        <w:t xml:space="preserve"> </w:t>
      </w:r>
      <w:r w:rsidR="0003625D" w:rsidRPr="00347564">
        <w:rPr>
          <w:rFonts w:eastAsiaTheme="minorHAnsi"/>
        </w:rPr>
        <w:t>The impact of flexible funding arrangements on the affordability of</w:t>
      </w:r>
      <w:r w:rsidR="0003625D">
        <w:rPr>
          <w:rFonts w:eastAsiaTheme="minorHAnsi"/>
        </w:rPr>
        <w:t> </w:t>
      </w:r>
      <w:r w:rsidR="0003625D" w:rsidRPr="00347564">
        <w:rPr>
          <w:rFonts w:eastAsiaTheme="minorHAnsi"/>
        </w:rPr>
        <w:t>care for patients (i.e. out of pocket expenses)</w:t>
      </w:r>
      <w:r w:rsidR="0003625D">
        <w:rPr>
          <w:rFonts w:eastAsiaTheme="minorHAnsi"/>
        </w:rPr>
        <w:t>.</w:t>
      </w:r>
    </w:p>
    <w:p w14:paraId="54830CC1" w14:textId="77777777" w:rsidR="0003625D" w:rsidRPr="00790A35" w:rsidRDefault="006F2581" w:rsidP="0003625D">
      <w:pPr>
        <w:pStyle w:val="01squarebullet"/>
        <w:rPr>
          <w:rFonts w:eastAsiaTheme="minorHAnsi"/>
        </w:rPr>
      </w:pPr>
      <w:r>
        <w:rPr>
          <w:rFonts w:eastAsiaTheme="minorHAnsi"/>
          <w:b/>
        </w:rPr>
        <w:t>4.1</w:t>
      </w:r>
      <w:r w:rsidRPr="0086677F">
        <w:rPr>
          <w:rFonts w:eastAsiaTheme="minorHAnsi"/>
          <w:b/>
        </w:rPr>
        <w:t>.</w:t>
      </w:r>
      <w:r w:rsidR="0003625D" w:rsidRPr="0086677F">
        <w:rPr>
          <w:rFonts w:eastAsiaTheme="minorHAnsi"/>
          <w:b/>
        </w:rPr>
        <w:t>4</w:t>
      </w:r>
      <w:r w:rsidR="00845EDC">
        <w:rPr>
          <w:rFonts w:eastAsiaTheme="minorHAnsi"/>
          <w:b/>
        </w:rPr>
        <w:t>.</w:t>
      </w:r>
      <w:r w:rsidR="0003625D" w:rsidRPr="0086677F">
        <w:rPr>
          <w:rFonts w:eastAsiaTheme="minorHAnsi"/>
          <w:b/>
        </w:rPr>
        <w:t xml:space="preserve"> Flexible funding and coordination:</w:t>
      </w:r>
      <w:r w:rsidR="0003625D">
        <w:rPr>
          <w:rFonts w:eastAsiaTheme="minorHAnsi"/>
        </w:rPr>
        <w:t xml:space="preserve"> </w:t>
      </w:r>
      <w:r w:rsidR="0003625D" w:rsidRPr="00347564">
        <w:rPr>
          <w:rFonts w:eastAsiaTheme="minorHAnsi"/>
        </w:rPr>
        <w:t>The impact of flexible funding arrangements on the quality of care coordination, and the level of collaboration and interactions across the multidisciplinary team</w:t>
      </w:r>
      <w:r w:rsidR="0003625D">
        <w:rPr>
          <w:rFonts w:eastAsiaTheme="minorHAnsi"/>
        </w:rPr>
        <w:t>.</w:t>
      </w:r>
    </w:p>
    <w:p w14:paraId="428D27B9" w14:textId="77777777" w:rsidR="0003625D" w:rsidRPr="00790A35" w:rsidRDefault="006F2581" w:rsidP="0003625D">
      <w:pPr>
        <w:pStyle w:val="01squarebullet"/>
        <w:rPr>
          <w:rFonts w:eastAsiaTheme="minorHAnsi"/>
        </w:rPr>
      </w:pPr>
      <w:r>
        <w:rPr>
          <w:rFonts w:eastAsiaTheme="minorHAnsi"/>
          <w:b/>
        </w:rPr>
        <w:t>4.1</w:t>
      </w:r>
      <w:r w:rsidRPr="0086677F">
        <w:rPr>
          <w:rFonts w:eastAsiaTheme="minorHAnsi"/>
          <w:b/>
        </w:rPr>
        <w:t>.</w:t>
      </w:r>
      <w:r w:rsidR="0003625D" w:rsidRPr="0086677F">
        <w:rPr>
          <w:rFonts w:eastAsiaTheme="minorHAnsi"/>
          <w:b/>
        </w:rPr>
        <w:t xml:space="preserve">5. </w:t>
      </w:r>
      <w:r w:rsidR="00CF0EC4">
        <w:rPr>
          <w:rFonts w:eastAsiaTheme="minorHAnsi"/>
          <w:b/>
        </w:rPr>
        <w:t>Pay-for-performance</w:t>
      </w:r>
      <w:r w:rsidR="0003625D" w:rsidRPr="0086677F">
        <w:rPr>
          <w:rFonts w:eastAsiaTheme="minorHAnsi"/>
          <w:b/>
        </w:rPr>
        <w:t xml:space="preserve"> and quality of care:</w:t>
      </w:r>
      <w:r w:rsidR="0003625D">
        <w:rPr>
          <w:rFonts w:eastAsiaTheme="minorHAnsi"/>
        </w:rPr>
        <w:t xml:space="preserve"> </w:t>
      </w:r>
      <w:r w:rsidR="0003625D" w:rsidRPr="006A2994">
        <w:rPr>
          <w:rFonts w:eastAsiaTheme="minorHAnsi"/>
        </w:rPr>
        <w:t xml:space="preserve">The impact of </w:t>
      </w:r>
      <w:r w:rsidR="00CF0EC4">
        <w:rPr>
          <w:rFonts w:eastAsiaTheme="minorHAnsi"/>
        </w:rPr>
        <w:t>pay-for-performance</w:t>
      </w:r>
      <w:r w:rsidR="0003625D" w:rsidRPr="006A2994">
        <w:rPr>
          <w:rFonts w:eastAsiaTheme="minorHAnsi"/>
        </w:rPr>
        <w:t xml:space="preserve"> incentives on the quality of diabetes care, as measured against key process and intermediate clinical indicators</w:t>
      </w:r>
      <w:r w:rsidR="0003625D">
        <w:rPr>
          <w:rFonts w:eastAsiaTheme="minorHAnsi"/>
        </w:rPr>
        <w:t>.</w:t>
      </w:r>
    </w:p>
    <w:p w14:paraId="3C39B55B" w14:textId="77777777" w:rsidR="0003625D" w:rsidRPr="00790A35" w:rsidRDefault="006F2581" w:rsidP="0003625D">
      <w:pPr>
        <w:pStyle w:val="01squarebullet"/>
        <w:rPr>
          <w:rFonts w:eastAsiaTheme="minorHAnsi"/>
        </w:rPr>
      </w:pPr>
      <w:r>
        <w:rPr>
          <w:rFonts w:eastAsiaTheme="minorHAnsi"/>
          <w:b/>
        </w:rPr>
        <w:t>4.1</w:t>
      </w:r>
      <w:r w:rsidRPr="0086677F">
        <w:rPr>
          <w:rFonts w:eastAsiaTheme="minorHAnsi"/>
          <w:b/>
        </w:rPr>
        <w:t>.</w:t>
      </w:r>
      <w:r w:rsidR="0003625D" w:rsidRPr="0086677F">
        <w:rPr>
          <w:rFonts w:eastAsiaTheme="minorHAnsi"/>
          <w:b/>
        </w:rPr>
        <w:t xml:space="preserve">6. </w:t>
      </w:r>
      <w:r w:rsidR="00CF0EC4">
        <w:rPr>
          <w:rFonts w:eastAsiaTheme="minorHAnsi"/>
          <w:b/>
        </w:rPr>
        <w:t>Pay-for-performance</w:t>
      </w:r>
      <w:r w:rsidR="0003625D" w:rsidRPr="0086677F">
        <w:rPr>
          <w:rFonts w:eastAsiaTheme="minorHAnsi"/>
          <w:b/>
        </w:rPr>
        <w:t xml:space="preserve"> and information recording:</w:t>
      </w:r>
      <w:r w:rsidR="0003625D">
        <w:rPr>
          <w:rFonts w:eastAsiaTheme="minorHAnsi"/>
        </w:rPr>
        <w:t xml:space="preserve"> </w:t>
      </w:r>
      <w:r w:rsidR="0003625D" w:rsidRPr="006A2994">
        <w:rPr>
          <w:rFonts w:eastAsiaTheme="minorHAnsi"/>
        </w:rPr>
        <w:t xml:space="preserve">The impact of </w:t>
      </w:r>
      <w:r w:rsidR="00CF0EC4">
        <w:rPr>
          <w:rFonts w:eastAsiaTheme="minorHAnsi"/>
        </w:rPr>
        <w:t>pay-for-performance</w:t>
      </w:r>
      <w:r w:rsidR="0003625D" w:rsidRPr="006A2994">
        <w:rPr>
          <w:rFonts w:eastAsiaTheme="minorHAnsi"/>
        </w:rPr>
        <w:t xml:space="preserve"> incentives on the recording of information on diabetes care provided for enrolled patients</w:t>
      </w:r>
      <w:r w:rsidR="0003625D">
        <w:rPr>
          <w:rFonts w:eastAsiaTheme="minorHAnsi"/>
        </w:rPr>
        <w:t>.</w:t>
      </w:r>
    </w:p>
    <w:p w14:paraId="0CEF3309" w14:textId="77777777" w:rsidR="0003625D" w:rsidRPr="00790A35" w:rsidRDefault="006F2581" w:rsidP="0003625D">
      <w:pPr>
        <w:pStyle w:val="01squarebullet"/>
        <w:rPr>
          <w:rFonts w:eastAsiaTheme="minorHAnsi"/>
        </w:rPr>
      </w:pPr>
      <w:r>
        <w:rPr>
          <w:rFonts w:eastAsiaTheme="minorHAnsi"/>
          <w:b/>
        </w:rPr>
        <w:t>4.1</w:t>
      </w:r>
      <w:r w:rsidRPr="0086677F">
        <w:rPr>
          <w:rFonts w:eastAsiaTheme="minorHAnsi"/>
          <w:b/>
        </w:rPr>
        <w:t>.</w:t>
      </w:r>
      <w:r w:rsidR="0003625D" w:rsidRPr="0086677F">
        <w:rPr>
          <w:rFonts w:eastAsiaTheme="minorHAnsi"/>
          <w:b/>
        </w:rPr>
        <w:t xml:space="preserve">7. Voluntary patient enrolment: </w:t>
      </w:r>
      <w:r w:rsidR="0003625D" w:rsidRPr="006A2994">
        <w:rPr>
          <w:rFonts w:eastAsiaTheme="minorHAnsi"/>
        </w:rPr>
        <w:t>The impact of voluntary patient enrolment on continuity and coordination of care, and client satisfaction with their care</w:t>
      </w:r>
      <w:r w:rsidR="0003625D">
        <w:rPr>
          <w:rFonts w:eastAsiaTheme="minorHAnsi"/>
        </w:rPr>
        <w:t>.</w:t>
      </w:r>
    </w:p>
    <w:p w14:paraId="4F85A4FA" w14:textId="77777777" w:rsidR="0003625D" w:rsidRPr="00790A35" w:rsidRDefault="006F2581" w:rsidP="0003625D">
      <w:pPr>
        <w:pStyle w:val="01squarebullet"/>
        <w:rPr>
          <w:rFonts w:eastAsiaTheme="minorHAnsi"/>
        </w:rPr>
      </w:pPr>
      <w:r>
        <w:rPr>
          <w:rFonts w:eastAsiaTheme="minorHAnsi"/>
          <w:b/>
        </w:rPr>
        <w:t>4.1</w:t>
      </w:r>
      <w:r w:rsidRPr="0086677F">
        <w:rPr>
          <w:rFonts w:eastAsiaTheme="minorHAnsi"/>
          <w:b/>
        </w:rPr>
        <w:t>.</w:t>
      </w:r>
      <w:r w:rsidR="0003625D" w:rsidRPr="0086677F">
        <w:rPr>
          <w:rFonts w:eastAsiaTheme="minorHAnsi"/>
          <w:b/>
        </w:rPr>
        <w:t>8. Economic sustainability:</w:t>
      </w:r>
      <w:r w:rsidR="0003625D">
        <w:rPr>
          <w:rFonts w:eastAsiaTheme="minorHAnsi"/>
        </w:rPr>
        <w:t xml:space="preserve"> </w:t>
      </w:r>
      <w:r w:rsidR="0003625D" w:rsidRPr="006A2994">
        <w:rPr>
          <w:rFonts w:eastAsiaTheme="minorHAnsi"/>
        </w:rPr>
        <w:t>The sustainability of the payment types and levels under any future wider rollout of the Pilot</w:t>
      </w:r>
      <w:r w:rsidR="0003625D">
        <w:rPr>
          <w:rFonts w:eastAsiaTheme="minorHAnsi"/>
        </w:rPr>
        <w:t>.</w:t>
      </w:r>
    </w:p>
    <w:p w14:paraId="5516FA50" w14:textId="77777777" w:rsidR="0003625D" w:rsidRDefault="00310B24" w:rsidP="0003625D">
      <w:pPr>
        <w:pStyle w:val="21minor"/>
        <w:rPr>
          <w:rFonts w:eastAsiaTheme="minorHAnsi"/>
        </w:rPr>
      </w:pPr>
      <w:r>
        <w:rPr>
          <w:rFonts w:eastAsiaTheme="minorHAnsi"/>
        </w:rPr>
        <w:t>4.1</w:t>
      </w:r>
      <w:r w:rsidR="0003625D">
        <w:rPr>
          <w:rFonts w:eastAsiaTheme="minorHAnsi"/>
        </w:rPr>
        <w:t xml:space="preserve">.1 Quality of </w:t>
      </w:r>
      <w:r w:rsidR="006D4C87">
        <w:rPr>
          <w:rFonts w:eastAsiaTheme="minorHAnsi"/>
        </w:rPr>
        <w:t>Diabetes C</w:t>
      </w:r>
      <w:r w:rsidR="0003625D">
        <w:rPr>
          <w:rFonts w:eastAsiaTheme="minorHAnsi"/>
        </w:rPr>
        <w:t>are</w:t>
      </w:r>
    </w:p>
    <w:p w14:paraId="6D8DB3B0" w14:textId="77777777" w:rsidR="0003625D" w:rsidRDefault="006D4C87" w:rsidP="0003625D">
      <w:pPr>
        <w:rPr>
          <w:rFonts w:eastAsiaTheme="minorHAnsi"/>
        </w:rPr>
      </w:pPr>
      <w:r>
        <w:rPr>
          <w:rStyle w:val="Emphasis"/>
          <w:rFonts w:eastAsiaTheme="minorHAnsi"/>
          <w:i w:val="0"/>
        </w:rPr>
        <w:t>The q</w:t>
      </w:r>
      <w:r w:rsidRPr="00A30248">
        <w:rPr>
          <w:rStyle w:val="Emphasis"/>
          <w:rFonts w:eastAsiaTheme="minorHAnsi"/>
          <w:i w:val="0"/>
        </w:rPr>
        <w:t xml:space="preserve">uality </w:t>
      </w:r>
      <w:r w:rsidR="00845EDC" w:rsidRPr="00A30248">
        <w:rPr>
          <w:rStyle w:val="Emphasis"/>
          <w:rFonts w:eastAsiaTheme="minorHAnsi"/>
          <w:i w:val="0"/>
        </w:rPr>
        <w:t xml:space="preserve">of diabetes care improved in Group 2 but not </w:t>
      </w:r>
      <w:r>
        <w:rPr>
          <w:rStyle w:val="Emphasis"/>
          <w:rFonts w:eastAsiaTheme="minorHAnsi"/>
          <w:i w:val="0"/>
        </w:rPr>
        <w:t xml:space="preserve">in </w:t>
      </w:r>
      <w:r w:rsidR="00845EDC" w:rsidRPr="00A30248">
        <w:rPr>
          <w:rStyle w:val="Emphasis"/>
          <w:rFonts w:eastAsiaTheme="minorHAnsi"/>
          <w:i w:val="0"/>
        </w:rPr>
        <w:t>Group 1.</w:t>
      </w:r>
      <w:r w:rsidR="00A30248">
        <w:rPr>
          <w:rStyle w:val="Emphasis"/>
          <w:rFonts w:eastAsiaTheme="minorHAnsi"/>
          <w:i w:val="0"/>
        </w:rPr>
        <w:t xml:space="preserve"> </w:t>
      </w:r>
      <w:r w:rsidR="0003625D">
        <w:rPr>
          <w:rFonts w:eastAsiaTheme="minorHAnsi"/>
        </w:rPr>
        <w:t>The DCP focused on three measures of care quality: intermediate clinical indicators, adherence to recommended clinical processes, and patient satisfaction. In all three domains, there were statistically significant improvements in key metrics for Group 2 (relative to the Control Group):</w:t>
      </w:r>
    </w:p>
    <w:p w14:paraId="703364F7" w14:textId="77777777" w:rsidR="0003625D" w:rsidRDefault="0003625D" w:rsidP="0003625D">
      <w:pPr>
        <w:pStyle w:val="01squarebullet"/>
        <w:rPr>
          <w:rFonts w:eastAsiaTheme="minorHAnsi"/>
        </w:rPr>
      </w:pPr>
      <w:r>
        <w:rPr>
          <w:rFonts w:eastAsiaTheme="minorHAnsi"/>
          <w:b/>
        </w:rPr>
        <w:lastRenderedPageBreak/>
        <w:t xml:space="preserve">Intermediate clinical indicators: </w:t>
      </w:r>
      <w:r>
        <w:rPr>
          <w:rFonts w:eastAsiaTheme="minorHAnsi"/>
        </w:rPr>
        <w:t>Improvements in glycaemic control (HbA1c), blood pressure, blood lipids, waist circumference, and depression.</w:t>
      </w:r>
    </w:p>
    <w:p w14:paraId="7EB545A6" w14:textId="77777777" w:rsidR="0003625D" w:rsidRDefault="0003625D" w:rsidP="0003625D">
      <w:pPr>
        <w:pStyle w:val="01squarebullet"/>
        <w:rPr>
          <w:rFonts w:eastAsiaTheme="minorHAnsi"/>
        </w:rPr>
      </w:pPr>
      <w:r w:rsidRPr="0086677F">
        <w:rPr>
          <w:rFonts w:eastAsiaTheme="minorHAnsi"/>
          <w:b/>
        </w:rPr>
        <w:t>Adherence to recommended clinical processes:</w:t>
      </w:r>
      <w:r>
        <w:rPr>
          <w:rFonts w:eastAsiaTheme="minorHAnsi"/>
        </w:rPr>
        <w:t xml:space="preserve"> Increased care-plan take-up, completion of recommended ‘annual cycles of care</w:t>
      </w:r>
      <w:r w:rsidR="00390BE4">
        <w:rPr>
          <w:rFonts w:eastAsiaTheme="minorHAnsi"/>
        </w:rPr>
        <w:t>,</w:t>
      </w:r>
      <w:r>
        <w:rPr>
          <w:rFonts w:eastAsiaTheme="minorHAnsi"/>
        </w:rPr>
        <w:t>’ and allied health visits.</w:t>
      </w:r>
    </w:p>
    <w:p w14:paraId="0B3DDD21" w14:textId="77777777" w:rsidR="0003625D" w:rsidRDefault="0003625D" w:rsidP="0003625D">
      <w:pPr>
        <w:pStyle w:val="01squarebullet"/>
        <w:rPr>
          <w:rFonts w:eastAsiaTheme="minorHAnsi"/>
        </w:rPr>
      </w:pPr>
      <w:r w:rsidRPr="0086677F">
        <w:rPr>
          <w:rFonts w:eastAsiaTheme="minorHAnsi"/>
          <w:b/>
        </w:rPr>
        <w:t xml:space="preserve">Patient satisfaction: </w:t>
      </w:r>
      <w:r>
        <w:rPr>
          <w:rFonts w:eastAsiaTheme="minorHAnsi"/>
        </w:rPr>
        <w:t>improvement in patient perceptions of diabetes-related stress, self-management and quality of care (based on survey scores).</w:t>
      </w:r>
    </w:p>
    <w:p w14:paraId="5F58FD26" w14:textId="77777777" w:rsidR="0003625D" w:rsidRDefault="0003625D" w:rsidP="0003625D">
      <w:pPr>
        <w:rPr>
          <w:rFonts w:eastAsiaTheme="minorHAnsi"/>
        </w:rPr>
      </w:pPr>
      <w:r w:rsidRPr="00E94F4D">
        <w:rPr>
          <w:rFonts w:eastAsiaTheme="minorHAnsi"/>
        </w:rPr>
        <w:t xml:space="preserve">In contrast, the Group 1 cohort did not improve </w:t>
      </w:r>
      <w:r>
        <w:rPr>
          <w:rFonts w:eastAsiaTheme="minorHAnsi"/>
        </w:rPr>
        <w:t xml:space="preserve">significantly </w:t>
      </w:r>
      <w:r w:rsidRPr="00E94F4D">
        <w:rPr>
          <w:rFonts w:eastAsiaTheme="minorHAnsi"/>
        </w:rPr>
        <w:t xml:space="preserve">on any of </w:t>
      </w:r>
      <w:r>
        <w:rPr>
          <w:rFonts w:eastAsiaTheme="minorHAnsi"/>
        </w:rPr>
        <w:t>the above</w:t>
      </w:r>
      <w:r w:rsidRPr="00E94F4D">
        <w:rPr>
          <w:rFonts w:eastAsiaTheme="minorHAnsi"/>
        </w:rPr>
        <w:t xml:space="preserve"> metrics with the exception of care-plan take-up.</w:t>
      </w:r>
    </w:p>
    <w:p w14:paraId="73F4838D" w14:textId="77777777" w:rsidR="0003625D" w:rsidRDefault="00310B24" w:rsidP="0003625D">
      <w:pPr>
        <w:pStyle w:val="21minor"/>
        <w:rPr>
          <w:rFonts w:eastAsiaTheme="minorHAnsi"/>
        </w:rPr>
      </w:pPr>
      <w:r>
        <w:rPr>
          <w:rFonts w:eastAsiaTheme="minorHAnsi"/>
        </w:rPr>
        <w:t>4.1</w:t>
      </w:r>
      <w:r w:rsidR="0003625D">
        <w:rPr>
          <w:rFonts w:eastAsiaTheme="minorHAnsi"/>
        </w:rPr>
        <w:t xml:space="preserve">.2. Funding </w:t>
      </w:r>
      <w:r w:rsidR="00390BE4">
        <w:rPr>
          <w:rFonts w:eastAsiaTheme="minorHAnsi"/>
        </w:rPr>
        <w:t xml:space="preserve">Flexibility </w:t>
      </w:r>
      <w:r w:rsidR="0003625D">
        <w:rPr>
          <w:rFonts w:eastAsiaTheme="minorHAnsi"/>
        </w:rPr>
        <w:t xml:space="preserve">and </w:t>
      </w:r>
      <w:r w:rsidR="00390BE4">
        <w:rPr>
          <w:rFonts w:eastAsiaTheme="minorHAnsi"/>
        </w:rPr>
        <w:t>Innovative Patient</w:t>
      </w:r>
      <w:r w:rsidR="0003625D">
        <w:rPr>
          <w:rFonts w:eastAsiaTheme="minorHAnsi"/>
        </w:rPr>
        <w:t>-</w:t>
      </w:r>
      <w:r w:rsidR="00390BE4">
        <w:rPr>
          <w:rFonts w:eastAsiaTheme="minorHAnsi"/>
        </w:rPr>
        <w:t>C</w:t>
      </w:r>
      <w:r w:rsidR="0003625D">
        <w:rPr>
          <w:rFonts w:eastAsiaTheme="minorHAnsi"/>
        </w:rPr>
        <w:t xml:space="preserve">entred </w:t>
      </w:r>
      <w:r w:rsidR="00390BE4">
        <w:rPr>
          <w:rFonts w:eastAsiaTheme="minorHAnsi"/>
        </w:rPr>
        <w:t>C</w:t>
      </w:r>
      <w:r w:rsidR="0003625D">
        <w:rPr>
          <w:rFonts w:eastAsiaTheme="minorHAnsi"/>
        </w:rPr>
        <w:t>are</w:t>
      </w:r>
    </w:p>
    <w:p w14:paraId="0667B5E2" w14:textId="77777777" w:rsidR="004978E1" w:rsidRDefault="00C1385C" w:rsidP="0003625D">
      <w:pPr>
        <w:rPr>
          <w:rFonts w:eastAsiaTheme="minorHAnsi"/>
        </w:rPr>
      </w:pPr>
      <w:r w:rsidRPr="00C053EA">
        <w:rPr>
          <w:rStyle w:val="Emphasis"/>
          <w:rFonts w:eastAsiaTheme="minorHAnsi"/>
          <w:i w:val="0"/>
        </w:rPr>
        <w:t>Funding flexibility</w:t>
      </w:r>
      <w:r w:rsidRPr="00A30248">
        <w:rPr>
          <w:rStyle w:val="Emphasis"/>
          <w:rFonts w:eastAsiaTheme="minorHAnsi"/>
          <w:i w:val="0"/>
        </w:rPr>
        <w:t xml:space="preserve"> </w:t>
      </w:r>
      <w:r w:rsidR="004978E1" w:rsidRPr="00A30248">
        <w:rPr>
          <w:rStyle w:val="Emphasis"/>
          <w:rFonts w:eastAsiaTheme="minorHAnsi"/>
          <w:i w:val="0"/>
        </w:rPr>
        <w:t xml:space="preserve">in Group 2 </w:t>
      </w:r>
      <w:r w:rsidRPr="00A30248">
        <w:rPr>
          <w:rStyle w:val="Emphasis"/>
          <w:rFonts w:eastAsiaTheme="minorHAnsi"/>
          <w:i w:val="0"/>
        </w:rPr>
        <w:t>allow</w:t>
      </w:r>
      <w:r w:rsidR="00AA372B">
        <w:rPr>
          <w:rStyle w:val="Emphasis"/>
          <w:rFonts w:eastAsiaTheme="minorHAnsi"/>
          <w:i w:val="0"/>
        </w:rPr>
        <w:t>ed</w:t>
      </w:r>
      <w:r w:rsidRPr="00A30248">
        <w:rPr>
          <w:rStyle w:val="Emphasis"/>
          <w:rFonts w:eastAsiaTheme="minorHAnsi"/>
          <w:i w:val="0"/>
        </w:rPr>
        <w:t xml:space="preserve"> care to be more innovative and patient-centred.</w:t>
      </w:r>
      <w:r w:rsidR="00A30248">
        <w:rPr>
          <w:rStyle w:val="Emphasis"/>
          <w:rFonts w:eastAsiaTheme="minorHAnsi"/>
          <w:i w:val="0"/>
        </w:rPr>
        <w:t xml:space="preserve"> </w:t>
      </w:r>
      <w:r w:rsidR="00390BE4">
        <w:rPr>
          <w:rStyle w:val="Emphasis"/>
          <w:rFonts w:eastAsiaTheme="minorHAnsi"/>
          <w:i w:val="0"/>
        </w:rPr>
        <w:t xml:space="preserve">Participants in </w:t>
      </w:r>
      <w:r w:rsidR="003531F3">
        <w:rPr>
          <w:rFonts w:eastAsiaTheme="minorHAnsi"/>
        </w:rPr>
        <w:t xml:space="preserve">Group 2 saw AHPs from a broader range of specialties than the Control Group (Figure </w:t>
      </w:r>
      <w:r w:rsidR="00AB0AA0">
        <w:rPr>
          <w:rFonts w:eastAsiaTheme="minorHAnsi"/>
        </w:rPr>
        <w:t>22</w:t>
      </w:r>
      <w:r w:rsidR="003531F3">
        <w:rPr>
          <w:rFonts w:eastAsiaTheme="minorHAnsi"/>
        </w:rPr>
        <w:t>), reflecting the tailoring of care packages to their individual needs.</w:t>
      </w:r>
      <w:r w:rsidR="00AB0AA0">
        <w:rPr>
          <w:rFonts w:eastAsiaTheme="minorHAnsi"/>
        </w:rPr>
        <w:t xml:space="preserve"> </w:t>
      </w:r>
      <w:r w:rsidR="00D640A1">
        <w:rPr>
          <w:rFonts w:eastAsiaTheme="minorHAnsi"/>
        </w:rPr>
        <w:t>Furthermore, a broader range of AHP consultation types were introduced</w:t>
      </w:r>
      <w:r w:rsidR="00CA1392">
        <w:rPr>
          <w:rFonts w:eastAsiaTheme="minorHAnsi"/>
        </w:rPr>
        <w:t xml:space="preserve"> and accessed</w:t>
      </w:r>
      <w:r w:rsidR="00D640A1">
        <w:rPr>
          <w:rFonts w:eastAsiaTheme="minorHAnsi"/>
        </w:rPr>
        <w:t xml:space="preserve"> in Group 2. </w:t>
      </w:r>
      <w:r w:rsidR="00CA1392">
        <w:rPr>
          <w:rFonts w:eastAsiaTheme="minorHAnsi"/>
        </w:rPr>
        <w:t>During the trial period</w:t>
      </w:r>
      <w:r w:rsidR="00397AFB">
        <w:rPr>
          <w:rFonts w:eastAsiaTheme="minorHAnsi"/>
        </w:rPr>
        <w:t>, only six</w:t>
      </w:r>
      <w:r w:rsidR="00D640A1">
        <w:rPr>
          <w:rFonts w:eastAsiaTheme="minorHAnsi"/>
        </w:rPr>
        <w:t xml:space="preserve"> percent of AHP consults were of the non-standard length or type</w:t>
      </w:r>
      <w:r w:rsidR="00CA1392">
        <w:rPr>
          <w:rFonts w:eastAsiaTheme="minorHAnsi"/>
        </w:rPr>
        <w:t xml:space="preserve"> in the Control Group</w:t>
      </w:r>
      <w:r w:rsidR="00D640A1">
        <w:rPr>
          <w:rFonts w:eastAsiaTheme="minorHAnsi"/>
        </w:rPr>
        <w:t xml:space="preserve">, while in Group 2 this figure was 44 percent. </w:t>
      </w:r>
      <w:r w:rsidR="00DA6B47">
        <w:rPr>
          <w:rFonts w:eastAsiaTheme="minorHAnsi"/>
        </w:rPr>
        <w:t>GPs from Group 2</w:t>
      </w:r>
      <w:r w:rsidR="009E5264">
        <w:rPr>
          <w:rFonts w:eastAsiaTheme="minorHAnsi"/>
        </w:rPr>
        <w:t xml:space="preserve"> who were interviewed</w:t>
      </w:r>
      <w:r w:rsidR="00DA6B47">
        <w:rPr>
          <w:rFonts w:eastAsiaTheme="minorHAnsi"/>
        </w:rPr>
        <w:t xml:space="preserve"> felt that the flexible AHP funding system was more patient-centred, as captured by this GP comment: “</w:t>
      </w:r>
      <w:r w:rsidR="00DA6B47" w:rsidRPr="00B6040C">
        <w:rPr>
          <w:rFonts w:eastAsiaTheme="minorHAnsi"/>
        </w:rPr>
        <w:t xml:space="preserve">Traditional diabetic care using the care planning </w:t>
      </w:r>
      <w:r w:rsidR="00DA6B47">
        <w:rPr>
          <w:rFonts w:eastAsiaTheme="minorHAnsi"/>
        </w:rPr>
        <w:t xml:space="preserve">… </w:t>
      </w:r>
      <w:r w:rsidR="00DA6B47" w:rsidRPr="00B6040C">
        <w:rPr>
          <w:rFonts w:eastAsiaTheme="minorHAnsi"/>
        </w:rPr>
        <w:t>is so incredibly inflexible</w:t>
      </w:r>
      <w:r w:rsidR="00DA6B47">
        <w:rPr>
          <w:rFonts w:eastAsiaTheme="minorHAnsi"/>
        </w:rPr>
        <w:t xml:space="preserve"> …</w:t>
      </w:r>
      <w:r w:rsidR="00DA6B47" w:rsidRPr="00B6040C">
        <w:rPr>
          <w:rFonts w:eastAsiaTheme="minorHAnsi"/>
        </w:rPr>
        <w:t xml:space="preserve"> The beauty of </w:t>
      </w:r>
      <w:r w:rsidR="00DA6B47">
        <w:rPr>
          <w:rFonts w:eastAsiaTheme="minorHAnsi"/>
        </w:rPr>
        <w:t>[the DCP]</w:t>
      </w:r>
      <w:r w:rsidR="00DA6B47" w:rsidRPr="00B6040C">
        <w:rPr>
          <w:rFonts w:eastAsiaTheme="minorHAnsi"/>
        </w:rPr>
        <w:t xml:space="preserve"> was that you could tailor what you were p</w:t>
      </w:r>
      <w:r w:rsidR="00DA6B47">
        <w:rPr>
          <w:rFonts w:eastAsiaTheme="minorHAnsi"/>
        </w:rPr>
        <w:t>roviding to the patient’s needs”.</w:t>
      </w:r>
    </w:p>
    <w:p w14:paraId="53B943BE" w14:textId="77777777" w:rsidR="00D640A1" w:rsidRDefault="00D640A1" w:rsidP="00D640A1">
      <w:pPr>
        <w:rPr>
          <w:rFonts w:eastAsiaTheme="minorHAnsi"/>
        </w:rPr>
      </w:pPr>
      <w:r>
        <w:rPr>
          <w:rFonts w:eastAsiaTheme="minorHAnsi"/>
        </w:rPr>
        <w:t xml:space="preserve">Funding for </w:t>
      </w:r>
      <w:r w:rsidR="009E5264">
        <w:rPr>
          <w:rFonts w:eastAsiaTheme="minorHAnsi"/>
        </w:rPr>
        <w:t xml:space="preserve">Care Facilitators </w:t>
      </w:r>
      <w:r>
        <w:rPr>
          <w:rFonts w:eastAsiaTheme="minorHAnsi"/>
        </w:rPr>
        <w:t xml:space="preserve">was also </w:t>
      </w:r>
      <w:r w:rsidR="00DA6B47">
        <w:rPr>
          <w:rFonts w:eastAsiaTheme="minorHAnsi"/>
        </w:rPr>
        <w:t>a key enabler of care innovation, including meeting unmet needs</w:t>
      </w:r>
      <w:r>
        <w:rPr>
          <w:rFonts w:eastAsiaTheme="minorHAnsi"/>
        </w:rPr>
        <w:t xml:space="preserve">. As an example, one </w:t>
      </w:r>
      <w:r w:rsidR="009E5264">
        <w:rPr>
          <w:rFonts w:eastAsiaTheme="minorHAnsi"/>
        </w:rPr>
        <w:t xml:space="preserve">Care Facilitator </w:t>
      </w:r>
      <w:r>
        <w:rPr>
          <w:rFonts w:eastAsiaTheme="minorHAnsi"/>
        </w:rPr>
        <w:t xml:space="preserve">in a remote area was able to monitor and pool demand across multiple practices for a particular allied health specialty that was not previously available </w:t>
      </w:r>
      <w:r w:rsidR="009E5264">
        <w:rPr>
          <w:rFonts w:eastAsiaTheme="minorHAnsi"/>
        </w:rPr>
        <w:t xml:space="preserve">in </w:t>
      </w:r>
      <w:r>
        <w:rPr>
          <w:rFonts w:eastAsiaTheme="minorHAnsi"/>
        </w:rPr>
        <w:t>the local area. A visiting AHP was arranged</w:t>
      </w:r>
      <w:r w:rsidR="009E5264">
        <w:rPr>
          <w:rFonts w:eastAsiaTheme="minorHAnsi"/>
        </w:rPr>
        <w:t>—an arrangement made</w:t>
      </w:r>
      <w:r>
        <w:rPr>
          <w:rFonts w:eastAsiaTheme="minorHAnsi"/>
        </w:rPr>
        <w:t xml:space="preserve"> possible by the levels of flexible funding.</w:t>
      </w:r>
    </w:p>
    <w:p w14:paraId="0568A30C" w14:textId="77777777" w:rsidR="0003625D" w:rsidRDefault="00310B24" w:rsidP="0003625D">
      <w:pPr>
        <w:pStyle w:val="21minor"/>
        <w:rPr>
          <w:rFonts w:eastAsiaTheme="minorHAnsi"/>
        </w:rPr>
      </w:pPr>
      <w:r>
        <w:rPr>
          <w:rFonts w:eastAsiaTheme="minorHAnsi"/>
        </w:rPr>
        <w:t>4.1</w:t>
      </w:r>
      <w:r w:rsidR="0003625D">
        <w:rPr>
          <w:rFonts w:eastAsiaTheme="minorHAnsi"/>
        </w:rPr>
        <w:t xml:space="preserve">.3. Patient </w:t>
      </w:r>
      <w:r w:rsidR="009A549C">
        <w:rPr>
          <w:rFonts w:eastAsiaTheme="minorHAnsi"/>
        </w:rPr>
        <w:t>Affordability</w:t>
      </w:r>
    </w:p>
    <w:p w14:paraId="1A43C0BA" w14:textId="77777777" w:rsidR="0003625D" w:rsidRDefault="00F80461" w:rsidP="0003625D">
      <w:pPr>
        <w:rPr>
          <w:rFonts w:eastAsiaTheme="minorHAnsi"/>
        </w:rPr>
      </w:pPr>
      <w:r w:rsidRPr="00AA372B">
        <w:rPr>
          <w:rStyle w:val="Emphasis"/>
          <w:rFonts w:eastAsiaTheme="minorHAnsi"/>
          <w:i w:val="0"/>
        </w:rPr>
        <w:t xml:space="preserve">No </w:t>
      </w:r>
      <w:r w:rsidR="00AA372B">
        <w:rPr>
          <w:rStyle w:val="Emphasis"/>
          <w:rFonts w:eastAsiaTheme="minorHAnsi"/>
          <w:i w:val="0"/>
        </w:rPr>
        <w:t xml:space="preserve">statistically </w:t>
      </w:r>
      <w:r w:rsidRPr="00AA372B">
        <w:rPr>
          <w:rStyle w:val="Emphasis"/>
          <w:rFonts w:eastAsiaTheme="minorHAnsi"/>
          <w:i w:val="0"/>
        </w:rPr>
        <w:t>significant changes in out-of-pocket expenses were observed for Group 2, although affordability would need to be closely monitored in any broader roll-out.</w:t>
      </w:r>
      <w:r w:rsidR="00AA372B">
        <w:rPr>
          <w:rStyle w:val="Emphasis"/>
          <w:rFonts w:eastAsiaTheme="minorHAnsi"/>
          <w:i w:val="0"/>
        </w:rPr>
        <w:t xml:space="preserve"> </w:t>
      </w:r>
      <w:r w:rsidR="0003625D">
        <w:rPr>
          <w:rFonts w:eastAsiaTheme="minorHAnsi"/>
        </w:rPr>
        <w:t xml:space="preserve">The DCP monitored patient affordability in two ways: </w:t>
      </w:r>
      <w:r w:rsidR="009A549C">
        <w:rPr>
          <w:rFonts w:eastAsiaTheme="minorHAnsi"/>
        </w:rPr>
        <w:t xml:space="preserve">through </w:t>
      </w:r>
      <w:r w:rsidR="0003625D">
        <w:rPr>
          <w:rFonts w:eastAsiaTheme="minorHAnsi"/>
        </w:rPr>
        <w:t xml:space="preserve">a patient diary of all healthcare costs given to a </w:t>
      </w:r>
      <w:r>
        <w:rPr>
          <w:rFonts w:eastAsiaTheme="minorHAnsi"/>
        </w:rPr>
        <w:t xml:space="preserve">small </w:t>
      </w:r>
      <w:r w:rsidR="0003625D">
        <w:rPr>
          <w:rFonts w:eastAsiaTheme="minorHAnsi"/>
        </w:rPr>
        <w:t xml:space="preserve">subset of patients; and </w:t>
      </w:r>
      <w:r w:rsidR="009A549C">
        <w:rPr>
          <w:rFonts w:eastAsiaTheme="minorHAnsi"/>
        </w:rPr>
        <w:t xml:space="preserve">through </w:t>
      </w:r>
      <w:r w:rsidR="0003625D">
        <w:rPr>
          <w:rFonts w:eastAsiaTheme="minorHAnsi"/>
        </w:rPr>
        <w:t xml:space="preserve">out-of-pocket components of MBS, PBS and NDSS claims. Neither of these </w:t>
      </w:r>
      <w:r w:rsidR="009A549C">
        <w:rPr>
          <w:rFonts w:eastAsiaTheme="minorHAnsi"/>
        </w:rPr>
        <w:t xml:space="preserve">revealed </w:t>
      </w:r>
      <w:r w:rsidR="00AA372B">
        <w:rPr>
          <w:rFonts w:eastAsiaTheme="minorHAnsi"/>
        </w:rPr>
        <w:t xml:space="preserve">a </w:t>
      </w:r>
      <w:r w:rsidR="0003625D">
        <w:rPr>
          <w:rFonts w:eastAsiaTheme="minorHAnsi"/>
        </w:rPr>
        <w:t xml:space="preserve">statistically significant difference in patient costs between </w:t>
      </w:r>
      <w:r w:rsidR="009A549C">
        <w:rPr>
          <w:rFonts w:eastAsiaTheme="minorHAnsi"/>
        </w:rPr>
        <w:t>Groups 1 and 2</w:t>
      </w:r>
      <w:r w:rsidR="0003625D">
        <w:rPr>
          <w:rFonts w:eastAsiaTheme="minorHAnsi"/>
        </w:rPr>
        <w:t xml:space="preserve"> and the Control Group</w:t>
      </w:r>
      <w:r w:rsidR="00EC17AF">
        <w:rPr>
          <w:rFonts w:eastAsiaTheme="minorHAnsi"/>
        </w:rPr>
        <w:t xml:space="preserve"> (see Appendix 5)</w:t>
      </w:r>
      <w:r w:rsidR="0003625D">
        <w:rPr>
          <w:rFonts w:eastAsiaTheme="minorHAnsi"/>
        </w:rPr>
        <w:t xml:space="preserve">. However, there was a trend towards higher patient costs in </w:t>
      </w:r>
      <w:r w:rsidR="009A549C">
        <w:rPr>
          <w:rFonts w:eastAsiaTheme="minorHAnsi"/>
        </w:rPr>
        <w:t>Groups 1 and 2</w:t>
      </w:r>
      <w:r w:rsidR="00075531">
        <w:rPr>
          <w:rFonts w:eastAsiaTheme="minorHAnsi"/>
        </w:rPr>
        <w:t xml:space="preserve"> (e.g. out-of-pocket MBS/PBS/NDSS costs in Group 2 were $</w:t>
      </w:r>
      <w:r w:rsidR="0040187F">
        <w:rPr>
          <w:rFonts w:eastAsiaTheme="minorHAnsi"/>
        </w:rPr>
        <w:t xml:space="preserve">72 </w:t>
      </w:r>
      <w:r w:rsidR="00075531">
        <w:rPr>
          <w:rFonts w:eastAsiaTheme="minorHAnsi"/>
        </w:rPr>
        <w:t>per patient higher than</w:t>
      </w:r>
      <w:r w:rsidR="009A549C">
        <w:rPr>
          <w:rFonts w:eastAsiaTheme="minorHAnsi"/>
        </w:rPr>
        <w:t xml:space="preserve"> in the</w:t>
      </w:r>
      <w:r w:rsidR="00075531">
        <w:rPr>
          <w:rFonts w:eastAsiaTheme="minorHAnsi"/>
        </w:rPr>
        <w:t xml:space="preserve"> </w:t>
      </w:r>
      <w:r w:rsidR="00075531" w:rsidRPr="002A2620">
        <w:rPr>
          <w:rFonts w:eastAsiaTheme="minorHAnsi"/>
        </w:rPr>
        <w:t>Control</w:t>
      </w:r>
      <w:r w:rsidR="009A549C">
        <w:rPr>
          <w:rFonts w:eastAsiaTheme="minorHAnsi"/>
        </w:rPr>
        <w:t xml:space="preserve"> Group</w:t>
      </w:r>
      <w:r w:rsidR="0040187F" w:rsidRPr="00731926">
        <w:rPr>
          <w:rFonts w:eastAsiaTheme="minorHAnsi"/>
        </w:rPr>
        <w:t xml:space="preserve"> over the 18-month trial period </w:t>
      </w:r>
      <w:r w:rsidR="00D56A53">
        <w:rPr>
          <w:rFonts w:eastAsiaTheme="minorHAnsi"/>
        </w:rPr>
        <w:t>[</w:t>
      </w:r>
      <w:r w:rsidR="0040187F" w:rsidRPr="00731926">
        <w:rPr>
          <w:rFonts w:eastAsiaTheme="minorHAnsi"/>
        </w:rPr>
        <w:t>p=0.142</w:t>
      </w:r>
      <w:r w:rsidR="00D56A53">
        <w:rPr>
          <w:rFonts w:eastAsiaTheme="minorHAnsi"/>
        </w:rPr>
        <w:t>])</w:t>
      </w:r>
      <w:r w:rsidR="00D56A53" w:rsidRPr="00731926">
        <w:rPr>
          <w:rFonts w:eastAsiaTheme="minorHAnsi"/>
        </w:rPr>
        <w:t>.</w:t>
      </w:r>
      <w:r w:rsidR="00D56A53" w:rsidRPr="002A2620">
        <w:rPr>
          <w:rFonts w:eastAsiaTheme="minorHAnsi"/>
        </w:rPr>
        <w:t xml:space="preserve"> </w:t>
      </w:r>
      <w:r w:rsidR="00D56A53">
        <w:rPr>
          <w:rFonts w:eastAsiaTheme="minorHAnsi"/>
        </w:rPr>
        <w:t xml:space="preserve">In </w:t>
      </w:r>
      <w:r w:rsidR="0003625D">
        <w:rPr>
          <w:rFonts w:eastAsiaTheme="minorHAnsi"/>
        </w:rPr>
        <w:t xml:space="preserve">the DCP, </w:t>
      </w:r>
      <w:r w:rsidR="00D56A53">
        <w:rPr>
          <w:rFonts w:eastAsiaTheme="minorHAnsi"/>
        </w:rPr>
        <w:t xml:space="preserve">participants </w:t>
      </w:r>
      <w:r w:rsidR="0003625D">
        <w:rPr>
          <w:rFonts w:eastAsiaTheme="minorHAnsi"/>
        </w:rPr>
        <w:t>remained well</w:t>
      </w:r>
      <w:r w:rsidR="00D56A53">
        <w:rPr>
          <w:rFonts w:eastAsiaTheme="minorHAnsi"/>
        </w:rPr>
        <w:t xml:space="preserve"> </w:t>
      </w:r>
      <w:r w:rsidR="0003625D">
        <w:rPr>
          <w:rFonts w:eastAsiaTheme="minorHAnsi"/>
        </w:rPr>
        <w:t xml:space="preserve">protected by existing </w:t>
      </w:r>
      <w:r w:rsidR="00D56A53">
        <w:rPr>
          <w:rFonts w:eastAsiaTheme="minorHAnsi"/>
        </w:rPr>
        <w:t xml:space="preserve">Commonwealth </w:t>
      </w:r>
      <w:r w:rsidR="0003625D">
        <w:rPr>
          <w:rFonts w:eastAsiaTheme="minorHAnsi"/>
        </w:rPr>
        <w:t>safety</w:t>
      </w:r>
      <w:r w:rsidR="00D56A53">
        <w:rPr>
          <w:rFonts w:eastAsiaTheme="minorHAnsi"/>
        </w:rPr>
        <w:t xml:space="preserve"> </w:t>
      </w:r>
      <w:r w:rsidR="0003625D">
        <w:rPr>
          <w:rFonts w:eastAsiaTheme="minorHAnsi"/>
        </w:rPr>
        <w:t>nets, but affordability would need to be monitored closely in any future rollouts of interventions</w:t>
      </w:r>
      <w:r w:rsidR="00D56A53">
        <w:rPr>
          <w:rFonts w:eastAsiaTheme="minorHAnsi"/>
        </w:rPr>
        <w:t xml:space="preserve"> similar to the DCP</w:t>
      </w:r>
      <w:r w:rsidR="0003625D">
        <w:rPr>
          <w:rFonts w:eastAsiaTheme="minorHAnsi"/>
        </w:rPr>
        <w:t>.</w:t>
      </w:r>
    </w:p>
    <w:p w14:paraId="34457058" w14:textId="77777777" w:rsidR="0003625D" w:rsidRDefault="00310B24" w:rsidP="0003625D">
      <w:pPr>
        <w:pStyle w:val="21minor"/>
        <w:rPr>
          <w:rFonts w:eastAsiaTheme="minorHAnsi"/>
        </w:rPr>
      </w:pPr>
      <w:r>
        <w:rPr>
          <w:rFonts w:eastAsiaTheme="minorHAnsi"/>
        </w:rPr>
        <w:t>4.1</w:t>
      </w:r>
      <w:r w:rsidR="0003625D">
        <w:rPr>
          <w:rFonts w:eastAsiaTheme="minorHAnsi"/>
        </w:rPr>
        <w:t xml:space="preserve">.4 Flexible </w:t>
      </w:r>
      <w:r w:rsidR="009A549C">
        <w:rPr>
          <w:rFonts w:eastAsiaTheme="minorHAnsi"/>
        </w:rPr>
        <w:t xml:space="preserve">Funding </w:t>
      </w:r>
      <w:r w:rsidR="0003625D">
        <w:rPr>
          <w:rFonts w:eastAsiaTheme="minorHAnsi"/>
        </w:rPr>
        <w:t xml:space="preserve">and </w:t>
      </w:r>
      <w:r w:rsidR="009A549C">
        <w:rPr>
          <w:rFonts w:eastAsiaTheme="minorHAnsi"/>
        </w:rPr>
        <w:t>Coordination</w:t>
      </w:r>
    </w:p>
    <w:p w14:paraId="66F3B276" w14:textId="77777777" w:rsidR="0003625D" w:rsidRDefault="008319D7" w:rsidP="0003625D">
      <w:pPr>
        <w:rPr>
          <w:rFonts w:eastAsiaTheme="minorHAnsi"/>
        </w:rPr>
      </w:pPr>
      <w:r w:rsidRPr="007B6550">
        <w:rPr>
          <w:rStyle w:val="Emphasis"/>
          <w:rFonts w:eastAsiaTheme="minorHAnsi"/>
          <w:i w:val="0"/>
        </w:rPr>
        <w:t xml:space="preserve">There is some evidence that flexible funding improved care coordination and collaboration, but this is difficult to </w:t>
      </w:r>
      <w:r w:rsidR="007B6550" w:rsidRPr="00FD1796">
        <w:rPr>
          <w:rStyle w:val="Emphasis"/>
          <w:rFonts w:eastAsiaTheme="minorHAnsi"/>
          <w:i w:val="0"/>
        </w:rPr>
        <w:t>separate</w:t>
      </w:r>
      <w:r w:rsidRPr="00F418A8">
        <w:rPr>
          <w:rStyle w:val="Emphasis"/>
          <w:rFonts w:eastAsiaTheme="minorHAnsi"/>
          <w:i w:val="0"/>
        </w:rPr>
        <w:t xml:space="preserve"> from </w:t>
      </w:r>
      <w:r w:rsidR="007B6550" w:rsidRPr="002A2620">
        <w:rPr>
          <w:rStyle w:val="Emphasis"/>
          <w:rFonts w:eastAsiaTheme="minorHAnsi"/>
          <w:i w:val="0"/>
        </w:rPr>
        <w:t xml:space="preserve">the impact of </w:t>
      </w:r>
      <w:r w:rsidRPr="00731926">
        <w:rPr>
          <w:rStyle w:val="Emphasis"/>
          <w:rFonts w:eastAsiaTheme="minorHAnsi"/>
          <w:i w:val="0"/>
        </w:rPr>
        <w:t xml:space="preserve">other components of the Group 2 intervention, particularly </w:t>
      </w:r>
      <w:r w:rsidR="00CF0EC4">
        <w:rPr>
          <w:rStyle w:val="Emphasis"/>
          <w:rFonts w:eastAsiaTheme="minorHAnsi"/>
          <w:i w:val="0"/>
        </w:rPr>
        <w:t>pay-for-</w:t>
      </w:r>
      <w:r w:rsidR="00CF0EC4">
        <w:rPr>
          <w:rStyle w:val="Emphasis"/>
          <w:rFonts w:eastAsiaTheme="minorHAnsi"/>
          <w:i w:val="0"/>
        </w:rPr>
        <w:lastRenderedPageBreak/>
        <w:t>performance</w:t>
      </w:r>
      <w:r>
        <w:rPr>
          <w:rStyle w:val="Emphasis"/>
          <w:rFonts w:eastAsiaTheme="minorHAnsi"/>
        </w:rPr>
        <w:t>.</w:t>
      </w:r>
      <w:r w:rsidR="007B6550">
        <w:rPr>
          <w:rStyle w:val="Emphasis"/>
          <w:rFonts w:eastAsiaTheme="minorHAnsi"/>
        </w:rPr>
        <w:t xml:space="preserve"> </w:t>
      </w:r>
      <w:r>
        <w:rPr>
          <w:rFonts w:eastAsiaTheme="minorHAnsi"/>
        </w:rPr>
        <w:t>P</w:t>
      </w:r>
      <w:r w:rsidR="0003625D">
        <w:rPr>
          <w:rFonts w:eastAsiaTheme="minorHAnsi"/>
        </w:rPr>
        <w:t>atient perception</w:t>
      </w:r>
      <w:r w:rsidR="00E6258F">
        <w:rPr>
          <w:rFonts w:eastAsiaTheme="minorHAnsi"/>
        </w:rPr>
        <w:t>s</w:t>
      </w:r>
      <w:r w:rsidR="0003625D">
        <w:rPr>
          <w:rFonts w:eastAsiaTheme="minorHAnsi"/>
        </w:rPr>
        <w:t xml:space="preserve"> of continuity of care improved significantly. </w:t>
      </w:r>
      <w:r w:rsidR="00E6258F">
        <w:rPr>
          <w:rFonts w:eastAsiaTheme="minorHAnsi"/>
        </w:rPr>
        <w:t xml:space="preserve">Patient survey scores for continuity of care increased </w:t>
      </w:r>
      <w:r w:rsidR="00397AFB">
        <w:rPr>
          <w:rFonts w:eastAsiaTheme="minorHAnsi"/>
        </w:rPr>
        <w:t>by five</w:t>
      </w:r>
      <w:r w:rsidR="00E6258F">
        <w:rPr>
          <w:rFonts w:eastAsiaTheme="minorHAnsi"/>
        </w:rPr>
        <w:t xml:space="preserve"> percentage-points (based on percentage of maximum score)</w:t>
      </w:r>
      <w:r w:rsidR="008E0784">
        <w:rPr>
          <w:rFonts w:eastAsiaTheme="minorHAnsi"/>
        </w:rPr>
        <w:t xml:space="preserve"> in Group 2, incremental to </w:t>
      </w:r>
      <w:r w:rsidR="00D56A53">
        <w:rPr>
          <w:rFonts w:eastAsiaTheme="minorHAnsi"/>
        </w:rPr>
        <w:t>the Control Group</w:t>
      </w:r>
      <w:r w:rsidR="008E0784">
        <w:rPr>
          <w:rFonts w:eastAsiaTheme="minorHAnsi"/>
        </w:rPr>
        <w:t>.</w:t>
      </w:r>
      <w:r w:rsidR="007B6550">
        <w:rPr>
          <w:rFonts w:eastAsiaTheme="minorHAnsi"/>
        </w:rPr>
        <w:t xml:space="preserve"> </w:t>
      </w:r>
      <w:r w:rsidR="0003625D">
        <w:rPr>
          <w:rFonts w:eastAsiaTheme="minorHAnsi"/>
        </w:rPr>
        <w:t xml:space="preserve">The IT tool was </w:t>
      </w:r>
      <w:r w:rsidR="00D56A53">
        <w:rPr>
          <w:rFonts w:eastAsiaTheme="minorHAnsi"/>
        </w:rPr>
        <w:t xml:space="preserve">a </w:t>
      </w:r>
      <w:r w:rsidR="0003625D">
        <w:rPr>
          <w:rFonts w:eastAsiaTheme="minorHAnsi"/>
        </w:rPr>
        <w:t xml:space="preserve">key enabler of greater collaboration across care teams, and the tool </w:t>
      </w:r>
      <w:r w:rsidR="00D56A53">
        <w:rPr>
          <w:rFonts w:eastAsiaTheme="minorHAnsi"/>
        </w:rPr>
        <w:t>was used much more frequently</w:t>
      </w:r>
      <w:r w:rsidR="0003625D">
        <w:rPr>
          <w:rFonts w:eastAsiaTheme="minorHAnsi"/>
        </w:rPr>
        <w:t xml:space="preserve"> in the presence of new funding arrangements (i.e. in Group 2 versus Group 1). </w:t>
      </w:r>
      <w:r w:rsidR="00AF7167">
        <w:rPr>
          <w:rFonts w:eastAsiaTheme="minorHAnsi"/>
        </w:rPr>
        <w:t xml:space="preserve">In Group 2, GPs used the tool twice as often, Practice Nurses used it three times as often, and AHPs used it six times as often as their respective counterparts in Group 1. </w:t>
      </w:r>
      <w:r w:rsidR="0003625D">
        <w:rPr>
          <w:rFonts w:eastAsiaTheme="minorHAnsi"/>
        </w:rPr>
        <w:t>A large proportion of these encounters with the tool involved entering information that was shared across a patient’s multidisciplinary team.</w:t>
      </w:r>
      <w:r w:rsidR="007B6550">
        <w:rPr>
          <w:rFonts w:eastAsiaTheme="minorHAnsi"/>
        </w:rPr>
        <w:t xml:space="preserve"> </w:t>
      </w:r>
      <w:r w:rsidR="0003625D">
        <w:rPr>
          <w:rFonts w:eastAsiaTheme="minorHAnsi"/>
        </w:rPr>
        <w:t xml:space="preserve">Funding for care facilitation in Group </w:t>
      </w:r>
      <w:r w:rsidR="00AF7167">
        <w:rPr>
          <w:rFonts w:eastAsiaTheme="minorHAnsi"/>
        </w:rPr>
        <w:t xml:space="preserve">2 </w:t>
      </w:r>
      <w:r w:rsidR="0003625D">
        <w:rPr>
          <w:rFonts w:eastAsiaTheme="minorHAnsi"/>
        </w:rPr>
        <w:t>saw the addition of a new member to each patient’s multidisc</w:t>
      </w:r>
      <w:r w:rsidR="008E0784">
        <w:rPr>
          <w:rFonts w:eastAsiaTheme="minorHAnsi"/>
        </w:rPr>
        <w:t>ip</w:t>
      </w:r>
      <w:r w:rsidR="0003625D">
        <w:rPr>
          <w:rFonts w:eastAsiaTheme="minorHAnsi"/>
        </w:rPr>
        <w:t>linary team</w:t>
      </w:r>
      <w:r w:rsidR="00AF7167">
        <w:rPr>
          <w:rFonts w:eastAsiaTheme="minorHAnsi"/>
        </w:rPr>
        <w:t xml:space="preserve"> (MDT)</w:t>
      </w:r>
      <w:r w:rsidR="0003625D">
        <w:rPr>
          <w:rFonts w:eastAsiaTheme="minorHAnsi"/>
        </w:rPr>
        <w:t>.</w:t>
      </w:r>
      <w:r w:rsidR="008F26BE">
        <w:rPr>
          <w:rFonts w:eastAsiaTheme="minorHAnsi"/>
        </w:rPr>
        <w:t xml:space="preserve"> In a </w:t>
      </w:r>
      <w:r w:rsidR="00AF7167">
        <w:rPr>
          <w:rFonts w:eastAsiaTheme="minorHAnsi"/>
        </w:rPr>
        <w:t>survey on C</w:t>
      </w:r>
      <w:r w:rsidR="008F26BE">
        <w:rPr>
          <w:rFonts w:eastAsiaTheme="minorHAnsi"/>
        </w:rPr>
        <w:t xml:space="preserve">are </w:t>
      </w:r>
      <w:r w:rsidR="00AF7167">
        <w:rPr>
          <w:rFonts w:eastAsiaTheme="minorHAnsi"/>
        </w:rPr>
        <w:t>F</w:t>
      </w:r>
      <w:r w:rsidR="008F26BE">
        <w:rPr>
          <w:rFonts w:eastAsiaTheme="minorHAnsi"/>
        </w:rPr>
        <w:t>acilitator effectiveness</w:t>
      </w:r>
      <w:r w:rsidR="00AF7167">
        <w:rPr>
          <w:rFonts w:eastAsiaTheme="minorHAnsi"/>
        </w:rPr>
        <w:t xml:space="preserve"> administered to GPs and Practice Nurses in Group 2</w:t>
      </w:r>
      <w:r w:rsidR="008F26BE">
        <w:rPr>
          <w:rFonts w:eastAsiaTheme="minorHAnsi"/>
        </w:rPr>
        <w:t xml:space="preserve">, </w:t>
      </w:r>
      <w:r w:rsidR="00AD7D09">
        <w:rPr>
          <w:rFonts w:eastAsiaTheme="minorHAnsi"/>
        </w:rPr>
        <w:t>respondents</w:t>
      </w:r>
      <w:r w:rsidR="008F26BE">
        <w:rPr>
          <w:rFonts w:eastAsiaTheme="minorHAnsi"/>
        </w:rPr>
        <w:t xml:space="preserve"> were asked </w:t>
      </w:r>
      <w:r w:rsidR="00AF7167">
        <w:rPr>
          <w:rFonts w:eastAsiaTheme="minorHAnsi"/>
        </w:rPr>
        <w:t>about the</w:t>
      </w:r>
      <w:r w:rsidR="008F26BE">
        <w:rPr>
          <w:rFonts w:eastAsiaTheme="minorHAnsi"/>
        </w:rPr>
        <w:t xml:space="preserve"> extent</w:t>
      </w:r>
      <w:r w:rsidR="00AF7167">
        <w:rPr>
          <w:rFonts w:eastAsiaTheme="minorHAnsi"/>
        </w:rPr>
        <w:t xml:space="preserve"> to which</w:t>
      </w:r>
      <w:r w:rsidR="008F26BE">
        <w:rPr>
          <w:rFonts w:eastAsiaTheme="minorHAnsi"/>
        </w:rPr>
        <w:t xml:space="preserve"> the task of </w:t>
      </w:r>
      <w:r w:rsidR="00AD7D09">
        <w:rPr>
          <w:rFonts w:eastAsiaTheme="minorHAnsi"/>
        </w:rPr>
        <w:t>fostering</w:t>
      </w:r>
      <w:r w:rsidR="008F26BE">
        <w:rPr>
          <w:rFonts w:eastAsiaTheme="minorHAnsi"/>
        </w:rPr>
        <w:t xml:space="preserve"> stronger MDT collaboration</w:t>
      </w:r>
      <w:r w:rsidR="00AD7D09">
        <w:rPr>
          <w:rFonts w:eastAsiaTheme="minorHAnsi"/>
        </w:rPr>
        <w:t xml:space="preserve"> </w:t>
      </w:r>
      <w:r w:rsidR="00AF7167">
        <w:rPr>
          <w:rFonts w:eastAsiaTheme="minorHAnsi"/>
        </w:rPr>
        <w:t xml:space="preserve">had been </w:t>
      </w:r>
      <w:r w:rsidR="00AD7D09">
        <w:rPr>
          <w:rFonts w:eastAsiaTheme="minorHAnsi"/>
        </w:rPr>
        <w:t>implemented (Figure 25)</w:t>
      </w:r>
      <w:r w:rsidR="008E0784">
        <w:rPr>
          <w:rFonts w:eastAsiaTheme="minorHAnsi"/>
        </w:rPr>
        <w:t>.</w:t>
      </w:r>
      <w:r w:rsidR="00AD7D09">
        <w:rPr>
          <w:rFonts w:eastAsiaTheme="minorHAnsi"/>
        </w:rPr>
        <w:t xml:space="preserve"> </w:t>
      </w:r>
      <w:r w:rsidR="00615B5D">
        <w:rPr>
          <w:rFonts w:eastAsiaTheme="minorHAnsi"/>
        </w:rPr>
        <w:t>Fifty-nine</w:t>
      </w:r>
      <w:r w:rsidR="00AD7D09">
        <w:rPr>
          <w:rFonts w:eastAsiaTheme="minorHAnsi"/>
        </w:rPr>
        <w:t xml:space="preserve"> percent of respondents replied </w:t>
      </w:r>
      <w:r w:rsidR="006E2AC1">
        <w:rPr>
          <w:rFonts w:eastAsiaTheme="minorHAnsi"/>
        </w:rPr>
        <w:t>‘</w:t>
      </w:r>
      <w:r w:rsidR="00AD7D09">
        <w:rPr>
          <w:rFonts w:eastAsiaTheme="minorHAnsi"/>
        </w:rPr>
        <w:t>completely</w:t>
      </w:r>
      <w:r w:rsidR="006E2AC1">
        <w:rPr>
          <w:rFonts w:eastAsiaTheme="minorHAnsi"/>
        </w:rPr>
        <w:t xml:space="preserve">’ </w:t>
      </w:r>
      <w:r w:rsidR="00AD7D09">
        <w:rPr>
          <w:rFonts w:eastAsiaTheme="minorHAnsi"/>
        </w:rPr>
        <w:t xml:space="preserve">and a further 24 percent replied </w:t>
      </w:r>
      <w:r w:rsidR="006E2AC1">
        <w:rPr>
          <w:rFonts w:eastAsiaTheme="minorHAnsi"/>
        </w:rPr>
        <w:t>‘</w:t>
      </w:r>
      <w:r w:rsidR="00AD7D09">
        <w:rPr>
          <w:rFonts w:eastAsiaTheme="minorHAnsi"/>
        </w:rPr>
        <w:t>fairly well</w:t>
      </w:r>
      <w:r w:rsidR="00397AFB">
        <w:rPr>
          <w:rFonts w:eastAsiaTheme="minorHAnsi"/>
        </w:rPr>
        <w:t xml:space="preserve">’. </w:t>
      </w:r>
      <w:r w:rsidR="00AD7D09">
        <w:rPr>
          <w:rFonts w:eastAsiaTheme="minorHAnsi"/>
        </w:rPr>
        <w:t>Ca</w:t>
      </w:r>
      <w:r w:rsidR="0003625D">
        <w:rPr>
          <w:rFonts w:eastAsiaTheme="minorHAnsi"/>
        </w:rPr>
        <w:t xml:space="preserve">re </w:t>
      </w:r>
      <w:r w:rsidR="006E2AC1">
        <w:rPr>
          <w:rFonts w:eastAsiaTheme="minorHAnsi"/>
        </w:rPr>
        <w:t xml:space="preserve">Facilitators </w:t>
      </w:r>
      <w:r w:rsidR="0003625D">
        <w:rPr>
          <w:rFonts w:eastAsiaTheme="minorHAnsi"/>
        </w:rPr>
        <w:t xml:space="preserve">worked across practices, allowing them to cross-pollinate </w:t>
      </w:r>
      <w:r w:rsidR="00AD7D09">
        <w:rPr>
          <w:rFonts w:eastAsiaTheme="minorHAnsi"/>
        </w:rPr>
        <w:t>ideas</w:t>
      </w:r>
      <w:r w:rsidR="0003625D">
        <w:rPr>
          <w:rFonts w:eastAsiaTheme="minorHAnsi"/>
        </w:rPr>
        <w:t xml:space="preserve">. The endocrinology access component of the Group 1 and Group 2 interventions </w:t>
      </w:r>
      <w:r w:rsidR="006E2AC1">
        <w:rPr>
          <w:rFonts w:eastAsiaTheme="minorHAnsi"/>
        </w:rPr>
        <w:t xml:space="preserve">also introduced </w:t>
      </w:r>
      <w:r w:rsidR="0003625D">
        <w:rPr>
          <w:rFonts w:eastAsiaTheme="minorHAnsi"/>
        </w:rPr>
        <w:t xml:space="preserve">a new mode of collaboration between </w:t>
      </w:r>
      <w:r w:rsidR="006E2AC1">
        <w:rPr>
          <w:rFonts w:eastAsiaTheme="minorHAnsi"/>
        </w:rPr>
        <w:t>GPs</w:t>
      </w:r>
      <w:r w:rsidR="0003625D">
        <w:rPr>
          <w:rFonts w:eastAsiaTheme="minorHAnsi"/>
        </w:rPr>
        <w:t xml:space="preserve"> and specialists, </w:t>
      </w:r>
      <w:r w:rsidR="006E2AC1">
        <w:rPr>
          <w:rFonts w:eastAsiaTheme="minorHAnsi"/>
        </w:rPr>
        <w:t>enabling them to undertake</w:t>
      </w:r>
      <w:r w:rsidR="0003625D">
        <w:rPr>
          <w:rFonts w:eastAsiaTheme="minorHAnsi"/>
        </w:rPr>
        <w:t xml:space="preserve"> reviews of patient cases together in a common location.</w:t>
      </w:r>
      <w:r w:rsidR="00840A14">
        <w:rPr>
          <w:rFonts w:eastAsiaTheme="minorHAnsi"/>
        </w:rPr>
        <w:t xml:space="preserve"> One GP from Group 2 commented “</w:t>
      </w:r>
      <w:r w:rsidR="00840A14" w:rsidRPr="00840A14">
        <w:rPr>
          <w:rFonts w:eastAsiaTheme="minorHAnsi"/>
        </w:rPr>
        <w:t>having that sor</w:t>
      </w:r>
      <w:r w:rsidR="00840A14">
        <w:rPr>
          <w:rFonts w:eastAsiaTheme="minorHAnsi"/>
        </w:rPr>
        <w:t>t of feedback with specialists …</w:t>
      </w:r>
      <w:r w:rsidR="00840A14" w:rsidRPr="00840A14">
        <w:rPr>
          <w:rFonts w:eastAsiaTheme="minorHAnsi"/>
        </w:rPr>
        <w:t xml:space="preserve"> was fantastic</w:t>
      </w:r>
      <w:r w:rsidR="00615B5D">
        <w:rPr>
          <w:rFonts w:eastAsiaTheme="minorHAnsi"/>
        </w:rPr>
        <w:t>.”</w:t>
      </w:r>
    </w:p>
    <w:p w14:paraId="2E12588C" w14:textId="77777777" w:rsidR="0003625D" w:rsidRDefault="00310B24" w:rsidP="0003625D">
      <w:pPr>
        <w:pStyle w:val="21minor"/>
        <w:rPr>
          <w:rFonts w:eastAsiaTheme="minorHAnsi"/>
        </w:rPr>
      </w:pPr>
      <w:r>
        <w:rPr>
          <w:rFonts w:eastAsiaTheme="minorHAnsi"/>
        </w:rPr>
        <w:t>4.1</w:t>
      </w:r>
      <w:r w:rsidR="0003625D">
        <w:rPr>
          <w:rFonts w:eastAsiaTheme="minorHAnsi"/>
        </w:rPr>
        <w:t xml:space="preserve">.5. </w:t>
      </w:r>
      <w:r w:rsidR="00CF0EC4">
        <w:rPr>
          <w:rFonts w:eastAsiaTheme="minorHAnsi"/>
        </w:rPr>
        <w:t>Pay-for-</w:t>
      </w:r>
      <w:r w:rsidR="006E2AC1">
        <w:rPr>
          <w:rFonts w:eastAsiaTheme="minorHAnsi"/>
        </w:rPr>
        <w:t>P</w:t>
      </w:r>
      <w:r w:rsidR="00CF0EC4">
        <w:rPr>
          <w:rFonts w:eastAsiaTheme="minorHAnsi"/>
        </w:rPr>
        <w:t>erformance</w:t>
      </w:r>
      <w:r w:rsidR="0003625D">
        <w:rPr>
          <w:rFonts w:eastAsiaTheme="minorHAnsi"/>
        </w:rPr>
        <w:t xml:space="preserve"> and </w:t>
      </w:r>
      <w:r w:rsidR="006E2AC1">
        <w:rPr>
          <w:rFonts w:eastAsiaTheme="minorHAnsi"/>
        </w:rPr>
        <w:t xml:space="preserve">Quality </w:t>
      </w:r>
      <w:r w:rsidR="0003625D">
        <w:rPr>
          <w:rFonts w:eastAsiaTheme="minorHAnsi"/>
        </w:rPr>
        <w:t xml:space="preserve">of </w:t>
      </w:r>
      <w:r w:rsidR="006E2AC1">
        <w:rPr>
          <w:rFonts w:eastAsiaTheme="minorHAnsi"/>
        </w:rPr>
        <w:t>Care</w:t>
      </w:r>
    </w:p>
    <w:p w14:paraId="10DBBA1F" w14:textId="77777777" w:rsidR="009F6875" w:rsidRDefault="00FB4480" w:rsidP="009F6875">
      <w:pPr>
        <w:rPr>
          <w:rFonts w:eastAsiaTheme="minorHAnsi"/>
        </w:rPr>
      </w:pPr>
      <w:r w:rsidRPr="007B6550">
        <w:rPr>
          <w:rStyle w:val="Emphasis"/>
          <w:rFonts w:eastAsiaTheme="minorHAnsi"/>
          <w:i w:val="0"/>
        </w:rPr>
        <w:t xml:space="preserve">It is likely that </w:t>
      </w:r>
      <w:r w:rsidR="00CF0EC4">
        <w:rPr>
          <w:rStyle w:val="Emphasis"/>
          <w:rFonts w:eastAsiaTheme="minorHAnsi"/>
          <w:i w:val="0"/>
        </w:rPr>
        <w:t>pay-for-performance</w:t>
      </w:r>
      <w:r w:rsidRPr="007B6550">
        <w:rPr>
          <w:rStyle w:val="Emphasis"/>
          <w:rFonts w:eastAsiaTheme="minorHAnsi"/>
          <w:i w:val="0"/>
        </w:rPr>
        <w:t xml:space="preserve"> improved</w:t>
      </w:r>
      <w:r w:rsidR="006E2AC1">
        <w:rPr>
          <w:rStyle w:val="Emphasis"/>
          <w:rFonts w:eastAsiaTheme="minorHAnsi"/>
          <w:i w:val="0"/>
        </w:rPr>
        <w:t xml:space="preserve"> the</w:t>
      </w:r>
      <w:r w:rsidRPr="007B6550">
        <w:rPr>
          <w:rStyle w:val="Emphasis"/>
          <w:rFonts w:eastAsiaTheme="minorHAnsi"/>
          <w:i w:val="0"/>
        </w:rPr>
        <w:t xml:space="preserve"> quality of diabetes care, </w:t>
      </w:r>
      <w:r w:rsidR="006E2AC1">
        <w:rPr>
          <w:rStyle w:val="Emphasis"/>
          <w:rFonts w:eastAsiaTheme="minorHAnsi"/>
          <w:i w:val="0"/>
        </w:rPr>
        <w:t>although</w:t>
      </w:r>
      <w:r w:rsidRPr="007B6550">
        <w:rPr>
          <w:rStyle w:val="Emphasis"/>
          <w:rFonts w:eastAsiaTheme="minorHAnsi"/>
          <w:i w:val="0"/>
        </w:rPr>
        <w:t xml:space="preserve"> it is difficult to </w:t>
      </w:r>
      <w:r w:rsidR="007B6550" w:rsidRPr="00FD1796">
        <w:rPr>
          <w:rStyle w:val="Emphasis"/>
          <w:rFonts w:eastAsiaTheme="minorHAnsi"/>
          <w:i w:val="0"/>
        </w:rPr>
        <w:t xml:space="preserve">separate </w:t>
      </w:r>
      <w:r w:rsidR="006E2AC1">
        <w:rPr>
          <w:rStyle w:val="Emphasis"/>
          <w:rFonts w:eastAsiaTheme="minorHAnsi"/>
          <w:i w:val="0"/>
        </w:rPr>
        <w:t xml:space="preserve">its impact </w:t>
      </w:r>
      <w:r w:rsidRPr="00FD1796">
        <w:rPr>
          <w:rStyle w:val="Emphasis"/>
          <w:rFonts w:eastAsiaTheme="minorHAnsi"/>
          <w:i w:val="0"/>
        </w:rPr>
        <w:t>from other components of the Group 2 intervention.</w:t>
      </w:r>
      <w:r w:rsidR="007B6550">
        <w:rPr>
          <w:rStyle w:val="Emphasis"/>
          <w:rFonts w:eastAsiaTheme="minorHAnsi"/>
        </w:rPr>
        <w:t xml:space="preserve"> </w:t>
      </w:r>
      <w:r>
        <w:rPr>
          <w:rFonts w:eastAsiaTheme="minorHAnsi"/>
        </w:rPr>
        <w:t>A</w:t>
      </w:r>
      <w:r w:rsidR="0003625D">
        <w:rPr>
          <w:rFonts w:eastAsiaTheme="minorHAnsi"/>
        </w:rPr>
        <w:t xml:space="preserve"> range of key clinical and process indicators improved in Group 2</w:t>
      </w:r>
      <w:r w:rsidR="001965BE">
        <w:rPr>
          <w:rFonts w:eastAsiaTheme="minorHAnsi"/>
        </w:rPr>
        <w:t>,</w:t>
      </w:r>
      <w:r w:rsidR="006E2AC1">
        <w:rPr>
          <w:rFonts w:eastAsiaTheme="minorHAnsi"/>
        </w:rPr>
        <w:t xml:space="preserve"> </w:t>
      </w:r>
      <w:r w:rsidR="00615B5D">
        <w:rPr>
          <w:rFonts w:eastAsiaTheme="minorHAnsi"/>
        </w:rPr>
        <w:t>while</w:t>
      </w:r>
      <w:r w:rsidR="006E2AC1">
        <w:rPr>
          <w:rFonts w:eastAsiaTheme="minorHAnsi"/>
        </w:rPr>
        <w:t xml:space="preserve"> these indicators did not improve in</w:t>
      </w:r>
      <w:r w:rsidR="0003625D">
        <w:rPr>
          <w:rFonts w:eastAsiaTheme="minorHAnsi"/>
        </w:rPr>
        <w:t xml:space="preserve"> Group 1</w:t>
      </w:r>
      <w:r w:rsidR="001965BE">
        <w:rPr>
          <w:rFonts w:eastAsiaTheme="minorHAnsi"/>
        </w:rPr>
        <w:t xml:space="preserve"> (</w:t>
      </w:r>
      <w:r>
        <w:rPr>
          <w:rFonts w:eastAsiaTheme="minorHAnsi"/>
        </w:rPr>
        <w:t>which</w:t>
      </w:r>
      <w:r w:rsidR="001965BE">
        <w:rPr>
          <w:rFonts w:eastAsiaTheme="minorHAnsi"/>
        </w:rPr>
        <w:t xml:space="preserve"> did not</w:t>
      </w:r>
      <w:r>
        <w:rPr>
          <w:rFonts w:eastAsiaTheme="minorHAnsi"/>
        </w:rPr>
        <w:t xml:space="preserve"> </w:t>
      </w:r>
      <w:r w:rsidR="009F6875">
        <w:rPr>
          <w:rFonts w:eastAsiaTheme="minorHAnsi"/>
        </w:rPr>
        <w:t>experience any</w:t>
      </w:r>
      <w:r>
        <w:rPr>
          <w:rFonts w:eastAsiaTheme="minorHAnsi"/>
        </w:rPr>
        <w:t xml:space="preserve"> changes to funding arrangements</w:t>
      </w:r>
      <w:r w:rsidR="001965BE">
        <w:rPr>
          <w:rFonts w:eastAsiaTheme="minorHAnsi"/>
        </w:rPr>
        <w:t>)</w:t>
      </w:r>
      <w:r w:rsidR="0003625D">
        <w:rPr>
          <w:rFonts w:eastAsiaTheme="minorHAnsi"/>
        </w:rPr>
        <w:t xml:space="preserve">. </w:t>
      </w:r>
      <w:r w:rsidR="00171C79">
        <w:rPr>
          <w:rFonts w:eastAsiaTheme="minorHAnsi"/>
        </w:rPr>
        <w:t>T</w:t>
      </w:r>
      <w:r w:rsidR="0003625D">
        <w:rPr>
          <w:rFonts w:eastAsiaTheme="minorHAnsi"/>
        </w:rPr>
        <w:t>he clinical measure that saw the most substantial improvement was HbA1c, which was also the only clinical measure to be included in the pay</w:t>
      </w:r>
      <w:r w:rsidR="00F87223">
        <w:rPr>
          <w:rFonts w:eastAsiaTheme="minorHAnsi"/>
        </w:rPr>
        <w:t>-</w:t>
      </w:r>
      <w:r w:rsidR="0003625D">
        <w:rPr>
          <w:rFonts w:eastAsiaTheme="minorHAnsi"/>
        </w:rPr>
        <w:t>for</w:t>
      </w:r>
      <w:r w:rsidR="00F87223">
        <w:rPr>
          <w:rFonts w:eastAsiaTheme="minorHAnsi"/>
        </w:rPr>
        <w:t>-</w:t>
      </w:r>
      <w:r w:rsidR="0003625D">
        <w:rPr>
          <w:rFonts w:eastAsiaTheme="minorHAnsi"/>
        </w:rPr>
        <w:t>performance incentive scheme</w:t>
      </w:r>
      <w:r w:rsidR="001965BE">
        <w:rPr>
          <w:rFonts w:eastAsiaTheme="minorHAnsi"/>
        </w:rPr>
        <w:t xml:space="preserve"> (QISP)</w:t>
      </w:r>
      <w:r w:rsidR="0003625D">
        <w:rPr>
          <w:rFonts w:eastAsiaTheme="minorHAnsi"/>
        </w:rPr>
        <w:t xml:space="preserve">. </w:t>
      </w:r>
      <w:r w:rsidR="009F6875">
        <w:rPr>
          <w:rFonts w:eastAsiaTheme="minorHAnsi"/>
        </w:rPr>
        <w:t>While quality improvement processes and feedback focused on systolic blood pressure and cholesterol, they were not incentivised in the QISP, which may have been a factor in the smaller improvements seen in these metrics (relative to HbA1c).</w:t>
      </w:r>
    </w:p>
    <w:p w14:paraId="587FE0C5" w14:textId="77777777" w:rsidR="0003625D" w:rsidRDefault="00310B24" w:rsidP="00972AC8">
      <w:pPr>
        <w:pStyle w:val="21minor"/>
        <w:rPr>
          <w:rFonts w:eastAsiaTheme="minorHAnsi"/>
        </w:rPr>
      </w:pPr>
      <w:r>
        <w:rPr>
          <w:rFonts w:eastAsiaTheme="minorHAnsi"/>
        </w:rPr>
        <w:t>4.1</w:t>
      </w:r>
      <w:r w:rsidR="0003625D">
        <w:rPr>
          <w:rFonts w:eastAsiaTheme="minorHAnsi"/>
        </w:rPr>
        <w:t xml:space="preserve">.6. </w:t>
      </w:r>
      <w:r w:rsidR="00CF0EC4">
        <w:rPr>
          <w:rFonts w:eastAsiaTheme="minorHAnsi"/>
        </w:rPr>
        <w:t>Pay-for-</w:t>
      </w:r>
      <w:r w:rsidR="009F6875">
        <w:rPr>
          <w:rFonts w:eastAsiaTheme="minorHAnsi"/>
        </w:rPr>
        <w:t>P</w:t>
      </w:r>
      <w:r w:rsidR="00CF0EC4">
        <w:rPr>
          <w:rFonts w:eastAsiaTheme="minorHAnsi"/>
        </w:rPr>
        <w:t>erformance</w:t>
      </w:r>
      <w:r w:rsidR="0003625D">
        <w:rPr>
          <w:rFonts w:eastAsiaTheme="minorHAnsi"/>
        </w:rPr>
        <w:t xml:space="preserve"> and </w:t>
      </w:r>
      <w:r w:rsidR="009F6875">
        <w:rPr>
          <w:rFonts w:eastAsiaTheme="minorHAnsi"/>
        </w:rPr>
        <w:t>Information Recording</w:t>
      </w:r>
    </w:p>
    <w:p w14:paraId="3CDED788" w14:textId="77777777" w:rsidR="0003625D" w:rsidRDefault="007113F3" w:rsidP="0003625D">
      <w:pPr>
        <w:rPr>
          <w:rFonts w:eastAsiaTheme="minorHAnsi"/>
        </w:rPr>
      </w:pPr>
      <w:r w:rsidRPr="00F87223">
        <w:rPr>
          <w:rFonts w:eastAsiaTheme="minorHAnsi"/>
        </w:rPr>
        <w:t xml:space="preserve">Information recording improved in Group 2, and </w:t>
      </w:r>
      <w:r w:rsidR="00CF0EC4">
        <w:rPr>
          <w:rFonts w:eastAsiaTheme="minorHAnsi"/>
        </w:rPr>
        <w:t>pay-for-performance</w:t>
      </w:r>
      <w:r w:rsidRPr="00F87223">
        <w:rPr>
          <w:rFonts w:eastAsiaTheme="minorHAnsi"/>
        </w:rPr>
        <w:t xml:space="preserve"> likely played a role in this.</w:t>
      </w:r>
      <w:r w:rsidR="00F87223">
        <w:rPr>
          <w:rFonts w:eastAsiaTheme="minorHAnsi"/>
        </w:rPr>
        <w:t xml:space="preserve"> </w:t>
      </w:r>
      <w:r w:rsidR="0003625D">
        <w:rPr>
          <w:rFonts w:eastAsiaTheme="minorHAnsi"/>
        </w:rPr>
        <w:t xml:space="preserve">In calculating QISP payments in Group 2, </w:t>
      </w:r>
      <w:r>
        <w:rPr>
          <w:rFonts w:eastAsiaTheme="minorHAnsi"/>
        </w:rPr>
        <w:t xml:space="preserve">a </w:t>
      </w:r>
      <w:r w:rsidR="0003625D">
        <w:rPr>
          <w:rFonts w:eastAsiaTheme="minorHAnsi"/>
        </w:rPr>
        <w:t xml:space="preserve">20 </w:t>
      </w:r>
      <w:r w:rsidR="00793A8F">
        <w:rPr>
          <w:rFonts w:eastAsiaTheme="minorHAnsi"/>
        </w:rPr>
        <w:t xml:space="preserve">percent </w:t>
      </w:r>
      <w:r>
        <w:rPr>
          <w:rFonts w:eastAsiaTheme="minorHAnsi"/>
        </w:rPr>
        <w:t>weighting was given to</w:t>
      </w:r>
      <w:r w:rsidR="00793A8F">
        <w:rPr>
          <w:rFonts w:eastAsiaTheme="minorHAnsi"/>
        </w:rPr>
        <w:t xml:space="preserve"> ‘</w:t>
      </w:r>
      <w:r w:rsidR="0003625D">
        <w:rPr>
          <w:rFonts w:eastAsiaTheme="minorHAnsi"/>
        </w:rPr>
        <w:t>accurate and timely data entry</w:t>
      </w:r>
      <w:r w:rsidR="009F6875">
        <w:rPr>
          <w:rFonts w:eastAsiaTheme="minorHAnsi"/>
        </w:rPr>
        <w:t>.</w:t>
      </w:r>
      <w:r w:rsidR="00793A8F">
        <w:rPr>
          <w:rFonts w:eastAsiaTheme="minorHAnsi"/>
        </w:rPr>
        <w:t>’</w:t>
      </w:r>
      <w:r w:rsidR="0003625D">
        <w:rPr>
          <w:rFonts w:eastAsiaTheme="minorHAnsi"/>
        </w:rPr>
        <w:t xml:space="preserve"> This involved assessing </w:t>
      </w:r>
      <w:r w:rsidR="0003625D" w:rsidRPr="00972AC8">
        <w:rPr>
          <w:rFonts w:eastAsiaTheme="minorHAnsi"/>
        </w:rPr>
        <w:t xml:space="preserve">whether key clinical metrics (e.g. HbA1c, weight, blood pressure, blood lipids) were entered correctly into </w:t>
      </w:r>
      <w:r w:rsidR="00FB6332">
        <w:rPr>
          <w:rFonts w:eastAsiaTheme="minorHAnsi"/>
        </w:rPr>
        <w:t>GP IT systems</w:t>
      </w:r>
      <w:r w:rsidR="0003625D" w:rsidRPr="00972AC8">
        <w:rPr>
          <w:rFonts w:eastAsiaTheme="minorHAnsi"/>
        </w:rPr>
        <w:t xml:space="preserve">. </w:t>
      </w:r>
      <w:r w:rsidR="00FB61FA" w:rsidRPr="00972AC8">
        <w:rPr>
          <w:rFonts w:eastAsiaTheme="minorHAnsi"/>
        </w:rPr>
        <w:t>In the trial period, 49</w:t>
      </w:r>
      <w:r w:rsidR="00F90C00" w:rsidRPr="00972AC8">
        <w:rPr>
          <w:rFonts w:eastAsiaTheme="minorHAnsi"/>
        </w:rPr>
        <w:t xml:space="preserve"> percent</w:t>
      </w:r>
      <w:r w:rsidR="00FB61FA" w:rsidRPr="00972AC8">
        <w:rPr>
          <w:rFonts w:eastAsiaTheme="minorHAnsi"/>
        </w:rPr>
        <w:t xml:space="preserve"> of Group 2 patients met the criteria for accurate and timely data entry, compared to 24</w:t>
      </w:r>
      <w:r w:rsidR="00F90C00" w:rsidRPr="00972AC8">
        <w:rPr>
          <w:rFonts w:eastAsiaTheme="minorHAnsi"/>
        </w:rPr>
        <w:t xml:space="preserve"> percent </w:t>
      </w:r>
      <w:r w:rsidR="00FB61FA" w:rsidRPr="00972AC8">
        <w:rPr>
          <w:rFonts w:eastAsiaTheme="minorHAnsi"/>
        </w:rPr>
        <w:t xml:space="preserve">in </w:t>
      </w:r>
      <w:r w:rsidR="00F90C00" w:rsidRPr="00972AC8">
        <w:rPr>
          <w:rFonts w:eastAsiaTheme="minorHAnsi"/>
        </w:rPr>
        <w:t xml:space="preserve">the </w:t>
      </w:r>
      <w:r w:rsidR="00FB61FA" w:rsidRPr="00972AC8">
        <w:rPr>
          <w:rFonts w:eastAsiaTheme="minorHAnsi"/>
        </w:rPr>
        <w:t>Control</w:t>
      </w:r>
      <w:r w:rsidR="00F90C00" w:rsidRPr="00972AC8">
        <w:rPr>
          <w:rFonts w:eastAsiaTheme="minorHAnsi"/>
        </w:rPr>
        <w:t xml:space="preserve"> Group (p&lt;0.001)</w:t>
      </w:r>
      <w:r w:rsidR="00FB61FA" w:rsidRPr="00972AC8">
        <w:rPr>
          <w:rFonts w:eastAsiaTheme="minorHAnsi"/>
        </w:rPr>
        <w:t xml:space="preserve"> and 23</w:t>
      </w:r>
      <w:r w:rsidR="00F90C00" w:rsidRPr="00972AC8">
        <w:rPr>
          <w:rFonts w:eastAsiaTheme="minorHAnsi"/>
        </w:rPr>
        <w:t xml:space="preserve"> percent </w:t>
      </w:r>
      <w:r w:rsidR="00FB61FA" w:rsidRPr="00972AC8">
        <w:rPr>
          <w:rFonts w:eastAsiaTheme="minorHAnsi"/>
        </w:rPr>
        <w:t xml:space="preserve">for </w:t>
      </w:r>
      <w:r w:rsidR="00FB61FA" w:rsidRPr="001F02DB">
        <w:rPr>
          <w:rFonts w:eastAsiaTheme="minorHAnsi"/>
        </w:rPr>
        <w:t>Group 1</w:t>
      </w:r>
      <w:r w:rsidR="00687190" w:rsidRPr="001F02DB">
        <w:rPr>
          <w:rFonts w:eastAsiaTheme="minorHAnsi"/>
        </w:rPr>
        <w:t xml:space="preserve">. </w:t>
      </w:r>
      <w:r w:rsidR="001F02DB" w:rsidRPr="001F02DB">
        <w:rPr>
          <w:rFonts w:eastAsiaTheme="minorHAnsi"/>
        </w:rPr>
        <w:t>In Group 2, between the baseline period and the trial period, the average number of HbA1c measurements recorded per person per annum increased by 0.26, incremental to the Control Group (p&lt;0.001). In Group 1, the average number of measurements decreased by 0.08 (p=0.006).</w:t>
      </w:r>
      <w:r w:rsidR="00687190" w:rsidRPr="001F02DB">
        <w:rPr>
          <w:rFonts w:eastAsiaTheme="minorHAnsi"/>
        </w:rPr>
        <w:t>These</w:t>
      </w:r>
      <w:r w:rsidR="00687190" w:rsidRPr="00972AC8">
        <w:rPr>
          <w:rFonts w:eastAsiaTheme="minorHAnsi"/>
        </w:rPr>
        <w:t xml:space="preserve"> improvements in</w:t>
      </w:r>
      <w:r w:rsidR="00687190">
        <w:rPr>
          <w:rFonts w:eastAsiaTheme="minorHAnsi"/>
        </w:rPr>
        <w:t xml:space="preserve"> information recording reflect a combination of (a) increased activity and (b) better recording of existing activity; determining the split between the two was beyond the scope of the DCP design.</w:t>
      </w:r>
      <w:r w:rsidR="00F87223">
        <w:rPr>
          <w:rFonts w:eastAsiaTheme="minorHAnsi"/>
        </w:rPr>
        <w:t xml:space="preserve"> </w:t>
      </w:r>
      <w:r w:rsidR="0003625D">
        <w:rPr>
          <w:rFonts w:eastAsiaTheme="minorHAnsi"/>
        </w:rPr>
        <w:t xml:space="preserve">Interviews with GPs, </w:t>
      </w:r>
      <w:r w:rsidR="00FB6332">
        <w:rPr>
          <w:rFonts w:eastAsiaTheme="minorHAnsi"/>
        </w:rPr>
        <w:t xml:space="preserve">Practice Nurses </w:t>
      </w:r>
      <w:r w:rsidR="0003625D">
        <w:rPr>
          <w:rFonts w:eastAsiaTheme="minorHAnsi"/>
        </w:rPr>
        <w:t xml:space="preserve">and practice managers from Group 2 suggested that a large proportion of information recording for the DCP was left to </w:t>
      </w:r>
      <w:r w:rsidR="003665FB">
        <w:rPr>
          <w:rFonts w:eastAsiaTheme="minorHAnsi"/>
        </w:rPr>
        <w:t>P</w:t>
      </w:r>
      <w:r w:rsidR="00682DC0">
        <w:rPr>
          <w:rFonts w:eastAsiaTheme="minorHAnsi"/>
        </w:rPr>
        <w:t xml:space="preserve">ractice Nurses </w:t>
      </w:r>
      <w:r w:rsidR="0003625D">
        <w:rPr>
          <w:rFonts w:eastAsiaTheme="minorHAnsi"/>
        </w:rPr>
        <w:t xml:space="preserve">and/or practice managers. Payment of the QISP at the practice level may have assisted in </w:t>
      </w:r>
      <w:r w:rsidR="00682DC0">
        <w:rPr>
          <w:rFonts w:eastAsiaTheme="minorHAnsi"/>
        </w:rPr>
        <w:t xml:space="preserve">facilitating </w:t>
      </w:r>
      <w:r w:rsidR="0003625D">
        <w:rPr>
          <w:rFonts w:eastAsiaTheme="minorHAnsi"/>
        </w:rPr>
        <w:t>this allocation of activity.</w:t>
      </w:r>
    </w:p>
    <w:p w14:paraId="4BFF60CF" w14:textId="77777777" w:rsidR="0003625D" w:rsidRDefault="00310B24" w:rsidP="0003625D">
      <w:pPr>
        <w:pStyle w:val="21minor"/>
        <w:rPr>
          <w:rFonts w:eastAsiaTheme="minorHAnsi"/>
        </w:rPr>
      </w:pPr>
      <w:r>
        <w:rPr>
          <w:rFonts w:eastAsiaTheme="minorHAnsi"/>
        </w:rPr>
        <w:lastRenderedPageBreak/>
        <w:t>4.1</w:t>
      </w:r>
      <w:r w:rsidR="0003625D">
        <w:rPr>
          <w:rFonts w:eastAsiaTheme="minorHAnsi"/>
        </w:rPr>
        <w:t xml:space="preserve">.7. Voluntary </w:t>
      </w:r>
      <w:r w:rsidR="00682DC0">
        <w:rPr>
          <w:rFonts w:eastAsiaTheme="minorHAnsi"/>
        </w:rPr>
        <w:t>Patient Enrolment</w:t>
      </w:r>
    </w:p>
    <w:p w14:paraId="1F31CE53" w14:textId="77777777" w:rsidR="006B379C" w:rsidRDefault="00A43514" w:rsidP="0003625D">
      <w:pPr>
        <w:rPr>
          <w:rFonts w:eastAsiaTheme="minorHAnsi"/>
        </w:rPr>
      </w:pPr>
      <w:r w:rsidRPr="00A43514">
        <w:rPr>
          <w:rStyle w:val="Emphasis"/>
          <w:rFonts w:eastAsiaTheme="minorHAnsi"/>
          <w:i w:val="0"/>
        </w:rPr>
        <w:t>The enrolment process for all groups in the DCP was voluntary, and as such, there was no non-voluntary group with which to conduct a quantitative comparison.</w:t>
      </w:r>
      <w:r>
        <w:rPr>
          <w:rStyle w:val="Emphasis"/>
          <w:rFonts w:eastAsiaTheme="minorHAnsi"/>
          <w:i w:val="0"/>
        </w:rPr>
        <w:t xml:space="preserve"> Group 2 involved a </w:t>
      </w:r>
      <w:r w:rsidR="006B379C">
        <w:rPr>
          <w:rStyle w:val="Emphasis"/>
          <w:rFonts w:eastAsiaTheme="minorHAnsi"/>
          <w:i w:val="0"/>
        </w:rPr>
        <w:t>more restrictive</w:t>
      </w:r>
      <w:r>
        <w:rPr>
          <w:rStyle w:val="Emphasis"/>
          <w:rFonts w:eastAsiaTheme="minorHAnsi"/>
          <w:i w:val="0"/>
        </w:rPr>
        <w:t xml:space="preserve"> form of registration, in so far as funding and care facilitation were tied to a particular practice. </w:t>
      </w:r>
      <w:r w:rsidR="00D216CF">
        <w:rPr>
          <w:rFonts w:eastAsiaTheme="minorHAnsi"/>
        </w:rPr>
        <w:t xml:space="preserve">In Group 2, patient survey scores for continuity of care improved significantly relative to </w:t>
      </w:r>
      <w:r w:rsidR="00682DC0">
        <w:rPr>
          <w:rFonts w:eastAsiaTheme="minorHAnsi"/>
        </w:rPr>
        <w:t>the Control Group</w:t>
      </w:r>
      <w:r w:rsidR="00D216CF">
        <w:rPr>
          <w:rFonts w:eastAsiaTheme="minorHAnsi"/>
        </w:rPr>
        <w:t>, although there was no significant difference for patient satisfaction</w:t>
      </w:r>
      <w:r w:rsidR="00F87223">
        <w:rPr>
          <w:rFonts w:eastAsiaTheme="minorHAnsi"/>
        </w:rPr>
        <w:t xml:space="preserve"> </w:t>
      </w:r>
      <w:r w:rsidR="00F87223" w:rsidRPr="00731926">
        <w:rPr>
          <w:rFonts w:eastAsiaTheme="minorHAnsi"/>
        </w:rPr>
        <w:t>with GP care</w:t>
      </w:r>
      <w:r w:rsidR="00D216CF" w:rsidRPr="00731926">
        <w:rPr>
          <w:rFonts w:eastAsiaTheme="minorHAnsi"/>
        </w:rPr>
        <w:t>.</w:t>
      </w:r>
      <w:r w:rsidR="00D216CF">
        <w:rPr>
          <w:rFonts w:eastAsiaTheme="minorHAnsi"/>
        </w:rPr>
        <w:t xml:space="preserve"> </w:t>
      </w:r>
    </w:p>
    <w:p w14:paraId="54C519EC" w14:textId="77777777" w:rsidR="0003625D" w:rsidRDefault="000355A1" w:rsidP="0003625D">
      <w:r>
        <w:rPr>
          <w:rFonts w:eastAsiaTheme="minorHAnsi"/>
        </w:rPr>
        <w:t xml:space="preserve">Evidence from </w:t>
      </w:r>
      <w:r w:rsidR="00511B7D" w:rsidRPr="00731926">
        <w:rPr>
          <w:rFonts w:eastAsiaTheme="minorHAnsi"/>
        </w:rPr>
        <w:t>interviews</w:t>
      </w:r>
      <w:r w:rsidR="00AD283E">
        <w:rPr>
          <w:rFonts w:eastAsiaTheme="minorHAnsi"/>
        </w:rPr>
        <w:t xml:space="preserve"> </w:t>
      </w:r>
      <w:r>
        <w:rPr>
          <w:rFonts w:eastAsiaTheme="minorHAnsi"/>
        </w:rPr>
        <w:t>suggested that,</w:t>
      </w:r>
      <w:r w:rsidR="0003625D">
        <w:rPr>
          <w:rFonts w:eastAsiaTheme="minorHAnsi"/>
        </w:rPr>
        <w:t xml:space="preserve"> </w:t>
      </w:r>
      <w:r>
        <w:rPr>
          <w:rFonts w:eastAsiaTheme="minorHAnsi"/>
        </w:rPr>
        <w:t>f</w:t>
      </w:r>
      <w:r w:rsidR="0003625D">
        <w:rPr>
          <w:rFonts w:eastAsiaTheme="minorHAnsi"/>
        </w:rPr>
        <w:t xml:space="preserve">or some </w:t>
      </w:r>
      <w:r w:rsidR="00682DC0">
        <w:rPr>
          <w:rFonts w:eastAsiaTheme="minorHAnsi"/>
        </w:rPr>
        <w:t>participants</w:t>
      </w:r>
      <w:r w:rsidR="0003625D">
        <w:rPr>
          <w:rFonts w:eastAsiaTheme="minorHAnsi"/>
        </w:rPr>
        <w:t xml:space="preserve">, the act of formally signing up to a program fostered a sense of empowerment, structure and/or commitment to their management plans. Some health practitioners </w:t>
      </w:r>
      <w:r w:rsidR="0003625D" w:rsidRPr="00D247E7">
        <w:rPr>
          <w:rFonts w:eastAsiaTheme="minorHAnsi"/>
        </w:rPr>
        <w:t xml:space="preserve">considered that many </w:t>
      </w:r>
      <w:r w:rsidR="00682DC0">
        <w:rPr>
          <w:rFonts w:eastAsiaTheme="minorHAnsi"/>
        </w:rPr>
        <w:t>participants</w:t>
      </w:r>
      <w:r w:rsidR="00682DC0" w:rsidRPr="00D247E7">
        <w:rPr>
          <w:rFonts w:eastAsiaTheme="minorHAnsi"/>
        </w:rPr>
        <w:t xml:space="preserve"> </w:t>
      </w:r>
      <w:r w:rsidR="0003625D" w:rsidRPr="00D247E7">
        <w:rPr>
          <w:rFonts w:eastAsiaTheme="minorHAnsi"/>
        </w:rPr>
        <w:t>enrolled precisely because of the</w:t>
      </w:r>
      <w:r w:rsidR="0003625D">
        <w:rPr>
          <w:rFonts w:eastAsiaTheme="minorHAnsi"/>
        </w:rPr>
        <w:t xml:space="preserve"> potential</w:t>
      </w:r>
      <w:r w:rsidR="0003625D" w:rsidRPr="00D247E7">
        <w:rPr>
          <w:rFonts w:eastAsiaTheme="minorHAnsi"/>
        </w:rPr>
        <w:t xml:space="preserve"> extra allied health options</w:t>
      </w:r>
      <w:r w:rsidR="0003625D">
        <w:rPr>
          <w:rFonts w:eastAsiaTheme="minorHAnsi"/>
        </w:rPr>
        <w:t xml:space="preserve"> available, while one </w:t>
      </w:r>
      <w:r w:rsidR="00682DC0">
        <w:rPr>
          <w:rFonts w:eastAsiaTheme="minorHAnsi"/>
        </w:rPr>
        <w:t xml:space="preserve">Practice Nurse </w:t>
      </w:r>
      <w:r w:rsidR="0003625D">
        <w:rPr>
          <w:rFonts w:eastAsiaTheme="minorHAnsi"/>
        </w:rPr>
        <w:t>commented: “</w:t>
      </w:r>
      <w:r w:rsidR="0003625D">
        <w:t>Some people…didn’t really fully comprehend what they were signing up for</w:t>
      </w:r>
      <w:r w:rsidR="00682DC0">
        <w:t>.</w:t>
      </w:r>
      <w:r w:rsidR="0003625D">
        <w:t xml:space="preserve">” </w:t>
      </w:r>
      <w:r w:rsidR="0003625D" w:rsidRPr="00C103AF">
        <w:t xml:space="preserve">Several GPs </w:t>
      </w:r>
      <w:r w:rsidR="0032645E">
        <w:t>felt</w:t>
      </w:r>
      <w:r w:rsidR="0003625D" w:rsidRPr="00C103AF">
        <w:t xml:space="preserve"> </w:t>
      </w:r>
      <w:r w:rsidR="0003625D">
        <w:t xml:space="preserve">that the process of voluntary enrolment made it difficult to target certain high-risk groups. For example, the logistics of enrolment were difficult for people from non-English-speaking backgrounds and those with poor literacy, and very complex </w:t>
      </w:r>
      <w:r w:rsidR="00682DC0">
        <w:t xml:space="preserve">participants </w:t>
      </w:r>
      <w:r w:rsidR="0003625D">
        <w:t>reportedly required much more encouragement to enrol.</w:t>
      </w:r>
    </w:p>
    <w:p w14:paraId="28804F6C" w14:textId="77777777" w:rsidR="0003625D" w:rsidRDefault="00310B24" w:rsidP="0003625D">
      <w:pPr>
        <w:pStyle w:val="21minor"/>
        <w:rPr>
          <w:rFonts w:eastAsiaTheme="minorHAnsi"/>
        </w:rPr>
      </w:pPr>
      <w:r>
        <w:rPr>
          <w:rFonts w:eastAsiaTheme="minorHAnsi"/>
        </w:rPr>
        <w:t>4.1</w:t>
      </w:r>
      <w:r w:rsidR="0003625D">
        <w:rPr>
          <w:rFonts w:eastAsiaTheme="minorHAnsi"/>
        </w:rPr>
        <w:t xml:space="preserve">.8. Economic </w:t>
      </w:r>
      <w:r w:rsidR="00682DC0">
        <w:rPr>
          <w:rFonts w:eastAsiaTheme="minorHAnsi"/>
        </w:rPr>
        <w:t>Sustainability</w:t>
      </w:r>
    </w:p>
    <w:p w14:paraId="5D73B029" w14:textId="77777777" w:rsidR="0003625D" w:rsidRDefault="005620C4" w:rsidP="0003625D">
      <w:pPr>
        <w:rPr>
          <w:rFonts w:eastAsiaTheme="minorHAnsi"/>
        </w:rPr>
      </w:pPr>
      <w:r w:rsidRPr="00AD283E">
        <w:rPr>
          <w:rStyle w:val="Emphasis"/>
          <w:rFonts w:eastAsiaTheme="minorHAnsi"/>
          <w:i w:val="0"/>
        </w:rPr>
        <w:t xml:space="preserve">It is unlikely that the particular funding </w:t>
      </w:r>
      <w:r w:rsidR="00275880" w:rsidRPr="00AD283E">
        <w:rPr>
          <w:rStyle w:val="Emphasis"/>
          <w:rFonts w:eastAsiaTheme="minorHAnsi"/>
          <w:i w:val="0"/>
        </w:rPr>
        <w:t>levels</w:t>
      </w:r>
      <w:r w:rsidRPr="00AD283E">
        <w:rPr>
          <w:rStyle w:val="Emphasis"/>
          <w:rFonts w:eastAsiaTheme="minorHAnsi"/>
          <w:i w:val="0"/>
        </w:rPr>
        <w:t xml:space="preserve"> implemented in the DCP would be cost-effective in a broader rollout</w:t>
      </w:r>
      <w:r w:rsidR="00275880" w:rsidRPr="00FD1796">
        <w:rPr>
          <w:rStyle w:val="Emphasis"/>
          <w:rFonts w:eastAsiaTheme="minorHAnsi"/>
          <w:i w:val="0"/>
        </w:rPr>
        <w:t xml:space="preserve"> and they would need to be recalibrated to maximise the chances of cost-effectiveness.</w:t>
      </w:r>
      <w:r w:rsidR="00AD283E">
        <w:rPr>
          <w:rStyle w:val="Emphasis"/>
          <w:rFonts w:eastAsiaTheme="minorHAnsi"/>
          <w:i w:val="0"/>
        </w:rPr>
        <w:t xml:space="preserve"> </w:t>
      </w:r>
      <w:r w:rsidR="0003625D">
        <w:rPr>
          <w:rFonts w:eastAsiaTheme="minorHAnsi"/>
        </w:rPr>
        <w:t xml:space="preserve">The total annual cost per patient of GP chronic disease funding (including flexible funding and </w:t>
      </w:r>
      <w:r w:rsidR="00CF0EC4">
        <w:rPr>
          <w:rFonts w:eastAsiaTheme="minorHAnsi"/>
        </w:rPr>
        <w:t>pay-for-performance</w:t>
      </w:r>
      <w:r w:rsidR="0003625D">
        <w:rPr>
          <w:rFonts w:eastAsiaTheme="minorHAnsi"/>
        </w:rPr>
        <w:t xml:space="preserve">) in Group 2 was $107 more than </w:t>
      </w:r>
      <w:r w:rsidR="00682DC0">
        <w:rPr>
          <w:rFonts w:eastAsiaTheme="minorHAnsi"/>
        </w:rPr>
        <w:t>the Control Group</w:t>
      </w:r>
      <w:r w:rsidR="0003625D">
        <w:rPr>
          <w:rFonts w:eastAsiaTheme="minorHAnsi"/>
        </w:rPr>
        <w:t xml:space="preserve">, while AHP funding was $135 more (after adjusting for differences at baseline). These differences were statistically significant. When taken together with all other costs, </w:t>
      </w:r>
      <w:r w:rsidR="00682DC0">
        <w:rPr>
          <w:rFonts w:eastAsiaTheme="minorHAnsi"/>
        </w:rPr>
        <w:t xml:space="preserve">participants in </w:t>
      </w:r>
      <w:r w:rsidR="0003625D">
        <w:rPr>
          <w:rFonts w:eastAsiaTheme="minorHAnsi"/>
        </w:rPr>
        <w:t xml:space="preserve">Group 2 cost $203 more per patient than the Control Group, although this overall difference was not statistically significant. Taking into account the HbA1c benefits seen in the </w:t>
      </w:r>
      <w:r w:rsidR="00AB5F45">
        <w:rPr>
          <w:rFonts w:eastAsiaTheme="minorHAnsi"/>
        </w:rPr>
        <w:t>DCP</w:t>
      </w:r>
      <w:r w:rsidR="0003625D">
        <w:rPr>
          <w:rFonts w:eastAsiaTheme="minorHAnsi"/>
        </w:rPr>
        <w:t xml:space="preserve">, estimates of cost-effectiveness under two different future scenarios are approximately $100,000 or $250,000 per </w:t>
      </w:r>
      <w:r w:rsidR="0029030D">
        <w:rPr>
          <w:rFonts w:eastAsiaTheme="minorHAnsi"/>
        </w:rPr>
        <w:t>QALY</w:t>
      </w:r>
      <w:r w:rsidR="0003625D">
        <w:rPr>
          <w:rFonts w:eastAsiaTheme="minorHAnsi"/>
        </w:rPr>
        <w:t xml:space="preserve">. The typical upper threshold for cost-effectiveness is closer to $50,000 per QALY, meaning that it is unlikely that the particular funding model implemented in the DCP would be cost-effective </w:t>
      </w:r>
      <w:r w:rsidR="00AB5F45">
        <w:rPr>
          <w:rFonts w:eastAsiaTheme="minorHAnsi"/>
        </w:rPr>
        <w:t xml:space="preserve">in </w:t>
      </w:r>
      <w:r w:rsidR="0003625D">
        <w:rPr>
          <w:rFonts w:eastAsiaTheme="minorHAnsi"/>
        </w:rPr>
        <w:t xml:space="preserve">any future wider rollout. </w:t>
      </w:r>
      <w:r w:rsidR="00AB5F45">
        <w:rPr>
          <w:rFonts w:eastAsiaTheme="minorHAnsi"/>
        </w:rPr>
        <w:t xml:space="preserve">Were a scheme similar to the DCP to be rolled </w:t>
      </w:r>
      <w:r w:rsidR="0003625D">
        <w:rPr>
          <w:rFonts w:eastAsiaTheme="minorHAnsi"/>
        </w:rPr>
        <w:t>out more broadly, the funding model would need to be recalibrated to produce a greater likelihood of cost-effectiveness.</w:t>
      </w:r>
    </w:p>
    <w:p w14:paraId="3A39EB23" w14:textId="77777777" w:rsidR="006C46DE" w:rsidRDefault="006C46DE">
      <w:pPr>
        <w:spacing w:before="0" w:after="200" w:line="276" w:lineRule="auto"/>
        <w:rPr>
          <w:rFonts w:eastAsiaTheme="minorHAnsi"/>
        </w:rPr>
      </w:pPr>
      <w:r>
        <w:rPr>
          <w:rFonts w:eastAsiaTheme="minorHAnsi"/>
          <w:b/>
          <w:caps/>
        </w:rPr>
        <w:br w:type="page"/>
      </w:r>
    </w:p>
    <w:p w14:paraId="5AFE7A2D" w14:textId="77777777" w:rsidR="0003625D" w:rsidRDefault="0003625D" w:rsidP="00DA6CB0">
      <w:pPr>
        <w:pStyle w:val="20major"/>
        <w:rPr>
          <w:rFonts w:eastAsiaTheme="minorHAnsi"/>
        </w:rPr>
      </w:pPr>
      <w:bookmarkStart w:id="16" w:name="_Toc419905890"/>
      <w:r>
        <w:rPr>
          <w:rFonts w:eastAsiaTheme="minorHAnsi"/>
        </w:rPr>
        <w:lastRenderedPageBreak/>
        <w:t>4.2 Recommendations</w:t>
      </w:r>
      <w:bookmarkEnd w:id="16"/>
    </w:p>
    <w:p w14:paraId="6FA1EFBB" w14:textId="77777777" w:rsidR="00AB5F45" w:rsidRDefault="008E0F76" w:rsidP="00AB5F45">
      <w:pPr>
        <w:rPr>
          <w:rFonts w:eastAsiaTheme="minorHAnsi"/>
        </w:rPr>
      </w:pPr>
      <w:r w:rsidRPr="0011645E">
        <w:rPr>
          <w:rFonts w:eastAsiaTheme="minorHAnsi"/>
        </w:rPr>
        <w:t>The DCP demonstrated a significant im</w:t>
      </w:r>
      <w:r>
        <w:rPr>
          <w:rFonts w:eastAsiaTheme="minorHAnsi"/>
        </w:rPr>
        <w:t>provement in glycaemic control—</w:t>
      </w:r>
      <w:r w:rsidRPr="0011645E">
        <w:rPr>
          <w:rFonts w:eastAsiaTheme="minorHAnsi"/>
        </w:rPr>
        <w:t>th</w:t>
      </w:r>
      <w:r>
        <w:rPr>
          <w:rFonts w:eastAsiaTheme="minorHAnsi"/>
        </w:rPr>
        <w:t xml:space="preserve">e primary </w:t>
      </w:r>
      <w:r w:rsidR="0042722F">
        <w:rPr>
          <w:rFonts w:eastAsiaTheme="minorHAnsi"/>
        </w:rPr>
        <w:t xml:space="preserve">clinical </w:t>
      </w:r>
      <w:r>
        <w:rPr>
          <w:rFonts w:eastAsiaTheme="minorHAnsi"/>
        </w:rPr>
        <w:t>endpoint of</w:t>
      </w:r>
      <w:r w:rsidR="005F2431">
        <w:rPr>
          <w:rFonts w:eastAsiaTheme="minorHAnsi"/>
        </w:rPr>
        <w:t> </w:t>
      </w:r>
      <w:r>
        <w:rPr>
          <w:rFonts w:eastAsiaTheme="minorHAnsi"/>
        </w:rPr>
        <w:t>the trial—</w:t>
      </w:r>
      <w:r w:rsidRPr="0011645E">
        <w:rPr>
          <w:rFonts w:eastAsiaTheme="minorHAnsi"/>
        </w:rPr>
        <w:t xml:space="preserve">as well as secondary outcomes </w:t>
      </w:r>
      <w:r>
        <w:rPr>
          <w:rFonts w:eastAsiaTheme="minorHAnsi"/>
        </w:rPr>
        <w:t>including</w:t>
      </w:r>
      <w:r w:rsidRPr="0011645E">
        <w:rPr>
          <w:rFonts w:eastAsiaTheme="minorHAnsi"/>
        </w:rPr>
        <w:t xml:space="preserve"> adherence to recommended clinical guidelines, </w:t>
      </w:r>
      <w:r>
        <w:rPr>
          <w:rFonts w:eastAsiaTheme="minorHAnsi"/>
        </w:rPr>
        <w:t xml:space="preserve">incidence of </w:t>
      </w:r>
      <w:r w:rsidRPr="0011645E">
        <w:rPr>
          <w:rFonts w:eastAsiaTheme="minorHAnsi"/>
        </w:rPr>
        <w:t>depression, and patient experience in Group 2 compared to the Control Group</w:t>
      </w:r>
      <w:r w:rsidR="00AB5F45">
        <w:rPr>
          <w:rFonts w:eastAsiaTheme="minorHAnsi"/>
        </w:rPr>
        <w:t>.</w:t>
      </w:r>
      <w:r>
        <w:rPr>
          <w:rFonts w:eastAsiaTheme="minorHAnsi"/>
        </w:rPr>
        <w:t xml:space="preserve"> </w:t>
      </w:r>
      <w:r w:rsidR="00AB5F45">
        <w:rPr>
          <w:rFonts w:eastAsiaTheme="minorHAnsi"/>
        </w:rPr>
        <w:t>S</w:t>
      </w:r>
      <w:r>
        <w:rPr>
          <w:rFonts w:eastAsiaTheme="minorHAnsi"/>
        </w:rPr>
        <w:t>imilar improvement</w:t>
      </w:r>
      <w:r w:rsidR="00AB5F45">
        <w:rPr>
          <w:rFonts w:eastAsiaTheme="minorHAnsi"/>
        </w:rPr>
        <w:t>s</w:t>
      </w:r>
      <w:r>
        <w:rPr>
          <w:rFonts w:eastAsiaTheme="minorHAnsi"/>
        </w:rPr>
        <w:t xml:space="preserve"> did not occur in Group 1. Accordingly, the</w:t>
      </w:r>
      <w:r w:rsidRPr="0011645E">
        <w:rPr>
          <w:rFonts w:eastAsiaTheme="minorHAnsi"/>
        </w:rPr>
        <w:t xml:space="preserve"> introduction of improved information technology and continuo</w:t>
      </w:r>
      <w:r w:rsidRPr="00F36A0F">
        <w:rPr>
          <w:rFonts w:eastAsiaTheme="minorHAnsi"/>
        </w:rPr>
        <w:t xml:space="preserve">us quality improvement processes were not, on their own, sufficient to improve </w:t>
      </w:r>
      <w:r w:rsidR="00D35B7C">
        <w:rPr>
          <w:rFonts w:eastAsiaTheme="minorHAnsi"/>
        </w:rPr>
        <w:t>outcomes</w:t>
      </w:r>
      <w:r w:rsidRPr="00F36A0F">
        <w:rPr>
          <w:rFonts w:eastAsiaTheme="minorHAnsi"/>
        </w:rPr>
        <w:t xml:space="preserve">. </w:t>
      </w:r>
      <w:r>
        <w:rPr>
          <w:rFonts w:eastAsiaTheme="minorHAnsi"/>
        </w:rPr>
        <w:t>However</w:t>
      </w:r>
      <w:r w:rsidRPr="00F36A0F">
        <w:rPr>
          <w:rFonts w:eastAsiaTheme="minorHAnsi"/>
        </w:rPr>
        <w:t>, combining these changes with a new funding model did make a significant difference. While the long-term extrapolation of the benefits and cost</w:t>
      </w:r>
      <w:r>
        <w:rPr>
          <w:rFonts w:eastAsiaTheme="minorHAnsi"/>
        </w:rPr>
        <w:t>s</w:t>
      </w:r>
      <w:r w:rsidRPr="00F36A0F">
        <w:rPr>
          <w:rFonts w:eastAsiaTheme="minorHAnsi"/>
        </w:rPr>
        <w:t xml:space="preserve"> of the Group 2 funding model </w:t>
      </w:r>
      <w:r>
        <w:rPr>
          <w:rFonts w:eastAsiaTheme="minorHAnsi"/>
        </w:rPr>
        <w:t>suggest</w:t>
      </w:r>
      <w:r w:rsidRPr="00F36A0F">
        <w:rPr>
          <w:rFonts w:eastAsiaTheme="minorHAnsi"/>
        </w:rPr>
        <w:t xml:space="preserve"> </w:t>
      </w:r>
      <w:r>
        <w:rPr>
          <w:rFonts w:eastAsiaTheme="minorHAnsi"/>
        </w:rPr>
        <w:t xml:space="preserve">that, on balance, </w:t>
      </w:r>
      <w:r w:rsidRPr="00F36A0F">
        <w:rPr>
          <w:rFonts w:eastAsiaTheme="minorHAnsi"/>
        </w:rPr>
        <w:t xml:space="preserve">it is unlikely </w:t>
      </w:r>
      <w:r w:rsidR="00AB5F45">
        <w:rPr>
          <w:rFonts w:eastAsiaTheme="minorHAnsi"/>
        </w:rPr>
        <w:t xml:space="preserve">that </w:t>
      </w:r>
      <w:r w:rsidR="002B37EC">
        <w:rPr>
          <w:rFonts w:eastAsiaTheme="minorHAnsi"/>
        </w:rPr>
        <w:t>the model implemented would be cost-effective at a national level</w:t>
      </w:r>
      <w:r w:rsidRPr="00F36A0F">
        <w:rPr>
          <w:rFonts w:eastAsiaTheme="minorHAnsi"/>
        </w:rPr>
        <w:t xml:space="preserve">, these findings can be used to inform future programs. </w:t>
      </w:r>
      <w:r w:rsidR="00AB5F45">
        <w:rPr>
          <w:rFonts w:eastAsiaTheme="minorHAnsi"/>
        </w:rPr>
        <w:t>There are therefore three recommendations arising from the DCP:</w:t>
      </w:r>
    </w:p>
    <w:p w14:paraId="3276BB8A" w14:textId="77777777" w:rsidR="00C0731F" w:rsidRPr="00F36A0F" w:rsidRDefault="00F40259" w:rsidP="00972AC8">
      <w:pPr>
        <w:pStyle w:val="01squarebullet"/>
        <w:rPr>
          <w:rFonts w:eastAsiaTheme="minorHAnsi"/>
        </w:rPr>
      </w:pPr>
      <w:r w:rsidRPr="00F36A0F">
        <w:rPr>
          <w:rFonts w:eastAsiaTheme="minorHAnsi"/>
          <w:b/>
        </w:rPr>
        <w:t>4.</w:t>
      </w:r>
      <w:r w:rsidR="00424DAF">
        <w:rPr>
          <w:rFonts w:eastAsiaTheme="minorHAnsi"/>
          <w:b/>
        </w:rPr>
        <w:t>2.</w:t>
      </w:r>
      <w:r w:rsidRPr="00F36A0F">
        <w:rPr>
          <w:rFonts w:eastAsiaTheme="minorHAnsi"/>
          <w:b/>
        </w:rPr>
        <w:t>1.</w:t>
      </w:r>
      <w:r w:rsidRPr="00F36A0F">
        <w:rPr>
          <w:rFonts w:eastAsiaTheme="minorHAnsi"/>
        </w:rPr>
        <w:t xml:space="preserve"> </w:t>
      </w:r>
      <w:r w:rsidRPr="00F36A0F">
        <w:rPr>
          <w:rFonts w:eastAsiaTheme="minorHAnsi"/>
          <w:b/>
        </w:rPr>
        <w:t>Recommendation 1</w:t>
      </w:r>
      <w:r w:rsidR="0073312C" w:rsidRPr="00F36A0F">
        <w:rPr>
          <w:rFonts w:eastAsiaTheme="minorHAnsi"/>
          <w:b/>
        </w:rPr>
        <w:t>.</w:t>
      </w:r>
      <w:r w:rsidRPr="00F36A0F">
        <w:rPr>
          <w:rFonts w:eastAsiaTheme="minorHAnsi"/>
        </w:rPr>
        <w:t xml:space="preserve"> </w:t>
      </w:r>
      <w:r w:rsidR="00C0731F" w:rsidRPr="00F36A0F">
        <w:rPr>
          <w:rFonts w:eastAsiaTheme="minorHAnsi"/>
        </w:rPr>
        <w:t xml:space="preserve">Change the current chronic disease care funding model to </w:t>
      </w:r>
      <w:r w:rsidR="008134AB" w:rsidRPr="00F36A0F">
        <w:rPr>
          <w:rFonts w:eastAsiaTheme="minorHAnsi"/>
        </w:rPr>
        <w:t xml:space="preserve">incorporate </w:t>
      </w:r>
      <w:r w:rsidR="00C0731F" w:rsidRPr="00F36A0F">
        <w:rPr>
          <w:rFonts w:eastAsiaTheme="minorHAnsi"/>
        </w:rPr>
        <w:t xml:space="preserve">flexible funding for registration with a health care home, payment for quality and funding for care facilitation, targeting resources where they can </w:t>
      </w:r>
      <w:r w:rsidR="00402EE1">
        <w:rPr>
          <w:rFonts w:eastAsiaTheme="minorHAnsi"/>
        </w:rPr>
        <w:t>realise</w:t>
      </w:r>
      <w:r w:rsidR="00612C61" w:rsidRPr="00F36A0F">
        <w:rPr>
          <w:rFonts w:eastAsiaTheme="minorHAnsi"/>
        </w:rPr>
        <w:t xml:space="preserve"> </w:t>
      </w:r>
      <w:r w:rsidR="00C0731F" w:rsidRPr="00F36A0F">
        <w:rPr>
          <w:rFonts w:eastAsiaTheme="minorHAnsi"/>
        </w:rPr>
        <w:t>the greatest benefit</w:t>
      </w:r>
      <w:r w:rsidR="006A0FE1">
        <w:rPr>
          <w:rFonts w:eastAsiaTheme="minorHAnsi"/>
        </w:rPr>
        <w:t>.</w:t>
      </w:r>
    </w:p>
    <w:p w14:paraId="10057879" w14:textId="77777777" w:rsidR="00F40259" w:rsidRPr="00F36A0F" w:rsidRDefault="00F40259" w:rsidP="00972AC8">
      <w:pPr>
        <w:pStyle w:val="01squarebullet"/>
        <w:rPr>
          <w:rFonts w:eastAsiaTheme="minorHAnsi"/>
        </w:rPr>
      </w:pPr>
      <w:r w:rsidRPr="00F36A0F">
        <w:rPr>
          <w:rFonts w:eastAsiaTheme="minorHAnsi"/>
          <w:b/>
        </w:rPr>
        <w:t>4.</w:t>
      </w:r>
      <w:r w:rsidR="00424DAF">
        <w:rPr>
          <w:rFonts w:eastAsiaTheme="minorHAnsi"/>
          <w:b/>
        </w:rPr>
        <w:t>2.</w:t>
      </w:r>
      <w:r w:rsidRPr="00F36A0F">
        <w:rPr>
          <w:rFonts w:eastAsiaTheme="minorHAnsi"/>
          <w:b/>
        </w:rPr>
        <w:t>2.</w:t>
      </w:r>
      <w:r w:rsidRPr="00F36A0F">
        <w:rPr>
          <w:rFonts w:eastAsiaTheme="minorHAnsi"/>
        </w:rPr>
        <w:t xml:space="preserve"> </w:t>
      </w:r>
      <w:r w:rsidRPr="00F36A0F">
        <w:rPr>
          <w:rFonts w:eastAsiaTheme="minorHAnsi"/>
          <w:b/>
        </w:rPr>
        <w:t>Recommendation 2</w:t>
      </w:r>
      <w:r w:rsidR="0073312C" w:rsidRPr="00F36A0F">
        <w:rPr>
          <w:rFonts w:eastAsiaTheme="minorHAnsi"/>
        </w:rPr>
        <w:t>.</w:t>
      </w:r>
      <w:r w:rsidRPr="00F36A0F">
        <w:rPr>
          <w:rFonts w:eastAsiaTheme="minorHAnsi"/>
        </w:rPr>
        <w:t xml:space="preserve"> Continue to develop </w:t>
      </w:r>
      <w:r w:rsidR="003F72F2" w:rsidRPr="00F36A0F">
        <w:rPr>
          <w:rFonts w:eastAsiaTheme="minorHAnsi"/>
        </w:rPr>
        <w:t xml:space="preserve">both </w:t>
      </w:r>
      <w:r w:rsidR="00D84AA8" w:rsidRPr="00F36A0F">
        <w:rPr>
          <w:rFonts w:eastAsiaTheme="minorHAnsi"/>
        </w:rPr>
        <w:t xml:space="preserve">eHealth and </w:t>
      </w:r>
      <w:r w:rsidR="00FD391E" w:rsidRPr="00F36A0F">
        <w:rPr>
          <w:rFonts w:eastAsiaTheme="minorHAnsi"/>
        </w:rPr>
        <w:t>continuous quality improvement processes</w:t>
      </w:r>
      <w:r w:rsidR="006A0FE1">
        <w:rPr>
          <w:rFonts w:eastAsiaTheme="minorHAnsi"/>
        </w:rPr>
        <w:t>.</w:t>
      </w:r>
    </w:p>
    <w:p w14:paraId="3CEB7D8B" w14:textId="77777777" w:rsidR="00F40259" w:rsidRPr="00F36A0F" w:rsidRDefault="00F40259" w:rsidP="00972AC8">
      <w:pPr>
        <w:pStyle w:val="01squarebullet"/>
        <w:rPr>
          <w:rFonts w:eastAsiaTheme="minorHAnsi"/>
        </w:rPr>
      </w:pPr>
      <w:r w:rsidRPr="00F36A0F">
        <w:rPr>
          <w:rFonts w:eastAsiaTheme="minorHAnsi"/>
          <w:b/>
        </w:rPr>
        <w:t>4.</w:t>
      </w:r>
      <w:r w:rsidR="00424DAF">
        <w:rPr>
          <w:rFonts w:eastAsiaTheme="minorHAnsi"/>
          <w:b/>
        </w:rPr>
        <w:t>2.</w:t>
      </w:r>
      <w:r w:rsidRPr="00F36A0F">
        <w:rPr>
          <w:rFonts w:eastAsiaTheme="minorHAnsi"/>
          <w:b/>
        </w:rPr>
        <w:t>3.</w:t>
      </w:r>
      <w:r w:rsidRPr="00F36A0F">
        <w:rPr>
          <w:rFonts w:eastAsiaTheme="minorHAnsi"/>
        </w:rPr>
        <w:t xml:space="preserve"> </w:t>
      </w:r>
      <w:r w:rsidRPr="00F36A0F">
        <w:rPr>
          <w:rFonts w:eastAsiaTheme="minorHAnsi"/>
          <w:b/>
        </w:rPr>
        <w:t>Recommendation 3</w:t>
      </w:r>
      <w:r w:rsidR="0073312C" w:rsidRPr="00F36A0F">
        <w:rPr>
          <w:rFonts w:eastAsiaTheme="minorHAnsi"/>
        </w:rPr>
        <w:t>.</w:t>
      </w:r>
      <w:r w:rsidRPr="00F36A0F">
        <w:rPr>
          <w:rFonts w:eastAsiaTheme="minorHAnsi"/>
        </w:rPr>
        <w:t xml:space="preserve"> </w:t>
      </w:r>
      <w:r w:rsidR="004335BB">
        <w:rPr>
          <w:rFonts w:eastAsiaTheme="minorHAnsi"/>
        </w:rPr>
        <w:t>Better integrate</w:t>
      </w:r>
      <w:r w:rsidRPr="00F36A0F">
        <w:rPr>
          <w:rFonts w:eastAsiaTheme="minorHAnsi"/>
        </w:rPr>
        <w:t xml:space="preserve"> primary and secondary care </w:t>
      </w:r>
      <w:r w:rsidR="004335BB">
        <w:rPr>
          <w:rFonts w:eastAsiaTheme="minorHAnsi"/>
        </w:rPr>
        <w:t>and</w:t>
      </w:r>
      <w:r w:rsidR="00705F3B" w:rsidRPr="00F36A0F">
        <w:rPr>
          <w:rFonts w:eastAsiaTheme="minorHAnsi"/>
        </w:rPr>
        <w:t xml:space="preserve"> </w:t>
      </w:r>
      <w:r w:rsidRPr="00F36A0F">
        <w:rPr>
          <w:rFonts w:eastAsiaTheme="minorHAnsi"/>
        </w:rPr>
        <w:t>r</w:t>
      </w:r>
      <w:r w:rsidR="004B7C4F" w:rsidRPr="00F36A0F">
        <w:rPr>
          <w:rFonts w:eastAsiaTheme="minorHAnsi"/>
        </w:rPr>
        <w:t>educe avoidable hospital costs</w:t>
      </w:r>
      <w:r w:rsidRPr="00F36A0F">
        <w:rPr>
          <w:rFonts w:eastAsiaTheme="minorHAnsi"/>
        </w:rPr>
        <w:t>.</w:t>
      </w:r>
    </w:p>
    <w:p w14:paraId="313C1131" w14:textId="77777777" w:rsidR="00402EE1" w:rsidRPr="00DA6CB0" w:rsidRDefault="00DF1781">
      <w:pPr>
        <w:pStyle w:val="21minor"/>
        <w:rPr>
          <w:rFonts w:eastAsiaTheme="minorHAnsi"/>
          <w:b w:val="0"/>
        </w:rPr>
      </w:pPr>
      <w:r w:rsidRPr="00972AC8">
        <w:rPr>
          <w:rFonts w:eastAsiaTheme="minorHAnsi"/>
        </w:rPr>
        <w:t>4.</w:t>
      </w:r>
      <w:r w:rsidR="00A51720" w:rsidRPr="00972AC8">
        <w:rPr>
          <w:rFonts w:eastAsiaTheme="minorHAnsi"/>
        </w:rPr>
        <w:t>2.1.</w:t>
      </w:r>
      <w:r w:rsidR="00BC0B60" w:rsidRPr="00972AC8">
        <w:rPr>
          <w:rFonts w:eastAsiaTheme="minorHAnsi"/>
        </w:rPr>
        <w:t xml:space="preserve"> </w:t>
      </w:r>
      <w:r w:rsidR="007A2652" w:rsidRPr="00972AC8">
        <w:rPr>
          <w:rFonts w:eastAsiaTheme="minorHAnsi"/>
        </w:rPr>
        <w:t>R</w:t>
      </w:r>
      <w:r w:rsidR="00FA6E00" w:rsidRPr="00972AC8">
        <w:rPr>
          <w:rFonts w:eastAsiaTheme="minorHAnsi"/>
        </w:rPr>
        <w:t>ecommendation</w:t>
      </w:r>
      <w:r w:rsidR="007A2652" w:rsidRPr="00972AC8">
        <w:rPr>
          <w:rFonts w:eastAsiaTheme="minorHAnsi"/>
        </w:rPr>
        <w:t xml:space="preserve"> 1</w:t>
      </w:r>
      <w:r w:rsidR="007B4B8F" w:rsidRPr="00972AC8">
        <w:rPr>
          <w:rFonts w:eastAsiaTheme="minorHAnsi"/>
        </w:rPr>
        <w:t xml:space="preserve"> </w:t>
      </w:r>
      <w:r w:rsidR="00A51720" w:rsidRPr="00972AC8">
        <w:rPr>
          <w:rFonts w:eastAsiaTheme="minorHAnsi"/>
        </w:rPr>
        <w:t xml:space="preserve">: </w:t>
      </w:r>
      <w:r w:rsidR="00402EE1" w:rsidRPr="00DA6CB0">
        <w:rPr>
          <w:rFonts w:eastAsiaTheme="minorHAnsi"/>
          <w:b w:val="0"/>
        </w:rPr>
        <w:t>Change the current chronic disease care funding model to incorporate flexible funding for registration with a health care home, payment for quality and funding for care facilitation, targeting resources where they can realise the greatest benefit</w:t>
      </w:r>
    </w:p>
    <w:p w14:paraId="686C5A84" w14:textId="77777777" w:rsidR="000D6F34" w:rsidRDefault="000D6F34" w:rsidP="000D6F34">
      <w:pPr>
        <w:rPr>
          <w:rFonts w:eastAsiaTheme="minorHAnsi"/>
        </w:rPr>
      </w:pPr>
      <w:r w:rsidRPr="000D6F34">
        <w:rPr>
          <w:rFonts w:eastAsiaTheme="minorHAnsi"/>
        </w:rPr>
        <w:t xml:space="preserve">The Commonwealth currently spends approximately $850 million on chronic disease management activity, and these costs </w:t>
      </w:r>
      <w:r w:rsidR="0088602B">
        <w:rPr>
          <w:rFonts w:eastAsiaTheme="minorHAnsi"/>
        </w:rPr>
        <w:t>grew at a rate of</w:t>
      </w:r>
      <w:r w:rsidRPr="000D6F34">
        <w:rPr>
          <w:rFonts w:eastAsiaTheme="minorHAnsi"/>
        </w:rPr>
        <w:t xml:space="preserve"> 25 percent per annum </w:t>
      </w:r>
      <w:r w:rsidR="0088602B">
        <w:rPr>
          <w:rFonts w:eastAsiaTheme="minorHAnsi"/>
        </w:rPr>
        <w:t xml:space="preserve">between </w:t>
      </w:r>
      <w:r w:rsidR="006123E1">
        <w:rPr>
          <w:rFonts w:eastAsiaTheme="minorHAnsi"/>
        </w:rPr>
        <w:t xml:space="preserve">FY06 </w:t>
      </w:r>
      <w:r w:rsidR="0088602B">
        <w:rPr>
          <w:rFonts w:eastAsiaTheme="minorHAnsi"/>
        </w:rPr>
        <w:t xml:space="preserve">and </w:t>
      </w:r>
      <w:r w:rsidR="006123E1">
        <w:rPr>
          <w:rFonts w:eastAsiaTheme="minorHAnsi"/>
        </w:rPr>
        <w:t>FY14</w:t>
      </w:r>
      <w:r w:rsidRPr="000D6F34">
        <w:rPr>
          <w:rFonts w:eastAsiaTheme="minorHAnsi"/>
        </w:rPr>
        <w:t xml:space="preserve"> (Figure </w:t>
      </w:r>
      <w:r>
        <w:rPr>
          <w:rFonts w:eastAsiaTheme="minorHAnsi"/>
        </w:rPr>
        <w:t>4</w:t>
      </w:r>
      <w:r w:rsidRPr="000D6F34">
        <w:rPr>
          <w:rFonts w:eastAsiaTheme="minorHAnsi"/>
        </w:rPr>
        <w:t xml:space="preserve">). Results from the DCP </w:t>
      </w:r>
      <w:r w:rsidR="002B37EC">
        <w:rPr>
          <w:rFonts w:eastAsiaTheme="minorHAnsi"/>
        </w:rPr>
        <w:t>indicate</w:t>
      </w:r>
      <w:r w:rsidR="002B37EC" w:rsidRPr="000D6F34">
        <w:rPr>
          <w:rFonts w:eastAsiaTheme="minorHAnsi"/>
        </w:rPr>
        <w:t xml:space="preserve"> </w:t>
      </w:r>
      <w:r w:rsidRPr="000D6F34">
        <w:rPr>
          <w:rFonts w:eastAsiaTheme="minorHAnsi"/>
        </w:rPr>
        <w:t xml:space="preserve">that </w:t>
      </w:r>
      <w:r w:rsidR="0088602B">
        <w:rPr>
          <w:rFonts w:eastAsiaTheme="minorHAnsi"/>
        </w:rPr>
        <w:t>this</w:t>
      </w:r>
      <w:r w:rsidR="0088602B" w:rsidRPr="000D6F34">
        <w:rPr>
          <w:rFonts w:eastAsiaTheme="minorHAnsi"/>
        </w:rPr>
        <w:t xml:space="preserve"> </w:t>
      </w:r>
      <w:r w:rsidRPr="000D6F34">
        <w:rPr>
          <w:rFonts w:eastAsiaTheme="minorHAnsi"/>
        </w:rPr>
        <w:t xml:space="preserve">money is not being targeted to benefit the most high-risk </w:t>
      </w:r>
      <w:r w:rsidR="006A0FE1">
        <w:rPr>
          <w:rFonts w:eastAsiaTheme="minorHAnsi"/>
        </w:rPr>
        <w:t>individuals</w:t>
      </w:r>
      <w:r w:rsidRPr="000D6F34">
        <w:rPr>
          <w:rFonts w:eastAsiaTheme="minorHAnsi"/>
        </w:rPr>
        <w:t xml:space="preserve">, and it was difficult to demonstrate clinical benefits in the population receiving this money within the timeframes of the project and the metrics assessed. An important question for policymakers, therefore, is how to get the best value from </w:t>
      </w:r>
      <w:r w:rsidR="002B37EC">
        <w:rPr>
          <w:rFonts w:eastAsiaTheme="minorHAnsi"/>
        </w:rPr>
        <w:t>funding for chronic disease</w:t>
      </w:r>
      <w:r w:rsidR="0088602B">
        <w:rPr>
          <w:rFonts w:eastAsiaTheme="minorHAnsi"/>
        </w:rPr>
        <w:t xml:space="preserve"> management</w:t>
      </w:r>
      <w:r w:rsidRPr="000D6F34">
        <w:rPr>
          <w:rFonts w:eastAsiaTheme="minorHAnsi"/>
        </w:rPr>
        <w:t>.</w:t>
      </w:r>
    </w:p>
    <w:p w14:paraId="1FD9725D" w14:textId="77777777" w:rsidR="00272ADF" w:rsidRPr="00F36A0F" w:rsidRDefault="00A47FBB" w:rsidP="00A47FBB">
      <w:pPr>
        <w:rPr>
          <w:rFonts w:eastAsiaTheme="minorHAnsi"/>
        </w:rPr>
      </w:pPr>
      <w:r w:rsidRPr="00F36A0F">
        <w:rPr>
          <w:rFonts w:eastAsiaTheme="minorHAnsi"/>
        </w:rPr>
        <w:t xml:space="preserve">The main result </w:t>
      </w:r>
      <w:r w:rsidR="000D6F34">
        <w:rPr>
          <w:rFonts w:eastAsiaTheme="minorHAnsi"/>
        </w:rPr>
        <w:t>from</w:t>
      </w:r>
      <w:r w:rsidRPr="00F36A0F">
        <w:rPr>
          <w:rFonts w:eastAsiaTheme="minorHAnsi"/>
        </w:rPr>
        <w:t xml:space="preserve"> the DCP was that Group 2 practices showed superior outcomes</w:t>
      </w:r>
      <w:r w:rsidR="000D6F34">
        <w:rPr>
          <w:rFonts w:eastAsiaTheme="minorHAnsi"/>
        </w:rPr>
        <w:t xml:space="preserve"> compared</w:t>
      </w:r>
      <w:r w:rsidRPr="00F36A0F">
        <w:rPr>
          <w:rFonts w:eastAsiaTheme="minorHAnsi"/>
        </w:rPr>
        <w:t xml:space="preserve"> to </w:t>
      </w:r>
      <w:r w:rsidR="008D60C8">
        <w:rPr>
          <w:rFonts w:eastAsiaTheme="minorHAnsi"/>
        </w:rPr>
        <w:t xml:space="preserve">the </w:t>
      </w:r>
      <w:r w:rsidRPr="00F36A0F">
        <w:rPr>
          <w:rFonts w:eastAsiaTheme="minorHAnsi"/>
        </w:rPr>
        <w:t>Cont</w:t>
      </w:r>
      <w:r w:rsidR="000D6F34">
        <w:rPr>
          <w:rFonts w:eastAsiaTheme="minorHAnsi"/>
        </w:rPr>
        <w:t xml:space="preserve">rol Group, although </w:t>
      </w:r>
      <w:r w:rsidRPr="00F36A0F">
        <w:rPr>
          <w:rFonts w:eastAsiaTheme="minorHAnsi"/>
        </w:rPr>
        <w:t>the funding model</w:t>
      </w:r>
      <w:r w:rsidR="00946163" w:rsidRPr="00F36A0F">
        <w:rPr>
          <w:rFonts w:eastAsiaTheme="minorHAnsi"/>
        </w:rPr>
        <w:t xml:space="preserve"> </w:t>
      </w:r>
      <w:r w:rsidR="002B37EC">
        <w:rPr>
          <w:rFonts w:eastAsiaTheme="minorHAnsi"/>
        </w:rPr>
        <w:t>implemented is not likely to be cost-effective at a national scale</w:t>
      </w:r>
      <w:r w:rsidRPr="00F36A0F">
        <w:rPr>
          <w:rFonts w:eastAsiaTheme="minorHAnsi"/>
        </w:rPr>
        <w:t xml:space="preserve">. In the future, </w:t>
      </w:r>
      <w:r w:rsidR="00180B68" w:rsidRPr="00F36A0F">
        <w:rPr>
          <w:rFonts w:eastAsiaTheme="minorHAnsi"/>
        </w:rPr>
        <w:t xml:space="preserve">there may be three ways to incorporate some of the ideas tested in Group 2 </w:t>
      </w:r>
      <w:r w:rsidR="001359CB">
        <w:rPr>
          <w:rFonts w:eastAsiaTheme="minorHAnsi"/>
        </w:rPr>
        <w:t>in a more cost</w:t>
      </w:r>
      <w:r w:rsidR="0088602B">
        <w:rPr>
          <w:rFonts w:eastAsiaTheme="minorHAnsi"/>
        </w:rPr>
        <w:t>-</w:t>
      </w:r>
      <w:r w:rsidR="001359CB">
        <w:rPr>
          <w:rFonts w:eastAsiaTheme="minorHAnsi"/>
        </w:rPr>
        <w:t>effective manner</w:t>
      </w:r>
      <w:r w:rsidR="00180B68" w:rsidRPr="00F36A0F">
        <w:rPr>
          <w:rFonts w:eastAsiaTheme="minorHAnsi"/>
        </w:rPr>
        <w:t>:</w:t>
      </w:r>
      <w:r w:rsidRPr="00F36A0F">
        <w:rPr>
          <w:rFonts w:eastAsiaTheme="minorHAnsi"/>
        </w:rPr>
        <w:t xml:space="preserve"> </w:t>
      </w:r>
    </w:p>
    <w:p w14:paraId="74052FA6" w14:textId="77777777" w:rsidR="00272ADF" w:rsidRPr="00F36A0F" w:rsidRDefault="007A2D03">
      <w:pPr>
        <w:pStyle w:val="01squarebullet"/>
        <w:rPr>
          <w:rFonts w:eastAsiaTheme="minorHAnsi"/>
        </w:rPr>
      </w:pPr>
      <w:r w:rsidRPr="00F36A0F">
        <w:rPr>
          <w:rFonts w:eastAsiaTheme="minorHAnsi"/>
          <w:b/>
        </w:rPr>
        <w:t>Target funding more precisely</w:t>
      </w:r>
      <w:r w:rsidR="00272ADF" w:rsidRPr="00F36A0F">
        <w:rPr>
          <w:rFonts w:eastAsiaTheme="minorHAnsi"/>
        </w:rPr>
        <w:t>. F</w:t>
      </w:r>
      <w:r w:rsidR="00A47FBB" w:rsidRPr="00F36A0F">
        <w:rPr>
          <w:rFonts w:eastAsiaTheme="minorHAnsi"/>
        </w:rPr>
        <w:t xml:space="preserve">unding could be tiered </w:t>
      </w:r>
      <w:r w:rsidR="00BB1210" w:rsidRPr="00F36A0F">
        <w:rPr>
          <w:rFonts w:eastAsiaTheme="minorHAnsi"/>
        </w:rPr>
        <w:t xml:space="preserve">to focus </w:t>
      </w:r>
      <w:r w:rsidR="001359CB" w:rsidRPr="00F36A0F">
        <w:rPr>
          <w:rFonts w:eastAsiaTheme="minorHAnsi"/>
        </w:rPr>
        <w:t xml:space="preserve">more </w:t>
      </w:r>
      <w:r w:rsidR="00496430" w:rsidRPr="00F36A0F">
        <w:rPr>
          <w:rFonts w:eastAsiaTheme="minorHAnsi"/>
        </w:rPr>
        <w:t xml:space="preserve">resources </w:t>
      </w:r>
      <w:r w:rsidR="00A47FBB" w:rsidRPr="00F36A0F">
        <w:rPr>
          <w:rFonts w:eastAsiaTheme="minorHAnsi"/>
        </w:rPr>
        <w:t>on those most likely to benefit</w:t>
      </w:r>
      <w:r w:rsidR="001359CB">
        <w:rPr>
          <w:rFonts w:eastAsiaTheme="minorHAnsi"/>
        </w:rPr>
        <w:t xml:space="preserve"> from them</w:t>
      </w:r>
      <w:r w:rsidR="00A47FBB" w:rsidRPr="00F36A0F">
        <w:rPr>
          <w:rFonts w:eastAsiaTheme="minorHAnsi"/>
        </w:rPr>
        <w:t>.</w:t>
      </w:r>
      <w:r w:rsidR="006C72A7" w:rsidRPr="00F36A0F">
        <w:rPr>
          <w:rFonts w:eastAsiaTheme="minorHAnsi"/>
        </w:rPr>
        <w:t xml:space="preserve"> In the DCP, </w:t>
      </w:r>
      <w:r w:rsidRPr="00F36A0F">
        <w:rPr>
          <w:rFonts w:eastAsiaTheme="minorHAnsi"/>
        </w:rPr>
        <w:t xml:space="preserve">the people </w:t>
      </w:r>
      <w:r w:rsidR="0088602B">
        <w:rPr>
          <w:rFonts w:eastAsiaTheme="minorHAnsi"/>
        </w:rPr>
        <w:t>who</w:t>
      </w:r>
      <w:r w:rsidR="0088602B" w:rsidRPr="00F36A0F">
        <w:rPr>
          <w:rFonts w:eastAsiaTheme="minorHAnsi"/>
        </w:rPr>
        <w:t xml:space="preserve"> </w:t>
      </w:r>
      <w:r w:rsidRPr="00F36A0F">
        <w:rPr>
          <w:rFonts w:eastAsiaTheme="minorHAnsi"/>
        </w:rPr>
        <w:t>benefited most</w:t>
      </w:r>
      <w:r w:rsidR="0088602B">
        <w:rPr>
          <w:rFonts w:eastAsiaTheme="minorHAnsi"/>
        </w:rPr>
        <w:t xml:space="preserve"> from the interventions</w:t>
      </w:r>
      <w:r w:rsidRPr="00F36A0F">
        <w:rPr>
          <w:rFonts w:eastAsiaTheme="minorHAnsi"/>
        </w:rPr>
        <w:t xml:space="preserve"> were those </w:t>
      </w:r>
      <w:r w:rsidR="001359CB">
        <w:rPr>
          <w:rFonts w:eastAsiaTheme="minorHAnsi"/>
        </w:rPr>
        <w:t>who</w:t>
      </w:r>
      <w:r w:rsidRPr="00F36A0F">
        <w:rPr>
          <w:rFonts w:eastAsiaTheme="minorHAnsi"/>
        </w:rPr>
        <w:t xml:space="preserve"> started </w:t>
      </w:r>
      <w:r w:rsidR="0088602B">
        <w:rPr>
          <w:rFonts w:eastAsiaTheme="minorHAnsi"/>
        </w:rPr>
        <w:t xml:space="preserve">the project </w:t>
      </w:r>
      <w:r w:rsidRPr="00F36A0F">
        <w:rPr>
          <w:rFonts w:eastAsiaTheme="minorHAnsi"/>
        </w:rPr>
        <w:t>out of range on metabolic indicators such as HbA1c</w:t>
      </w:r>
      <w:r w:rsidR="00980CDD">
        <w:rPr>
          <w:rFonts w:eastAsiaTheme="minorHAnsi"/>
        </w:rPr>
        <w:t>,</w:t>
      </w:r>
      <w:r w:rsidRPr="00F36A0F">
        <w:rPr>
          <w:rFonts w:eastAsiaTheme="minorHAnsi"/>
        </w:rPr>
        <w:t xml:space="preserve"> but all </w:t>
      </w:r>
      <w:r w:rsidR="00980CDD">
        <w:rPr>
          <w:rFonts w:eastAsiaTheme="minorHAnsi"/>
        </w:rPr>
        <w:t xml:space="preserve">participants </w:t>
      </w:r>
      <w:r w:rsidR="00A83B18">
        <w:rPr>
          <w:rFonts w:eastAsiaTheme="minorHAnsi"/>
        </w:rPr>
        <w:t>in Group 2</w:t>
      </w:r>
      <w:r w:rsidRPr="00F36A0F">
        <w:rPr>
          <w:rFonts w:eastAsiaTheme="minorHAnsi"/>
        </w:rPr>
        <w:t xml:space="preserve"> received care facilitation and more generous general practice and </w:t>
      </w:r>
      <w:r w:rsidR="00C25ABD">
        <w:rPr>
          <w:rFonts w:eastAsiaTheme="minorHAnsi"/>
        </w:rPr>
        <w:t>AHP funding than people in the Control G</w:t>
      </w:r>
      <w:r w:rsidRPr="00F36A0F">
        <w:rPr>
          <w:rFonts w:eastAsiaTheme="minorHAnsi"/>
        </w:rPr>
        <w:t>roup.</w:t>
      </w:r>
      <w:r w:rsidR="00C25ABD">
        <w:rPr>
          <w:rFonts w:eastAsiaTheme="minorHAnsi"/>
        </w:rPr>
        <w:t xml:space="preserve"> </w:t>
      </w:r>
      <w:r w:rsidR="00980CDD">
        <w:rPr>
          <w:rFonts w:eastAsiaTheme="minorHAnsi"/>
        </w:rPr>
        <w:t>(</w:t>
      </w:r>
      <w:r w:rsidR="00C25ABD">
        <w:rPr>
          <w:rFonts w:eastAsiaTheme="minorHAnsi"/>
        </w:rPr>
        <w:t xml:space="preserve">See Appendix </w:t>
      </w:r>
      <w:r w:rsidR="001359CB">
        <w:rPr>
          <w:rFonts w:eastAsiaTheme="minorHAnsi"/>
        </w:rPr>
        <w:t>2</w:t>
      </w:r>
      <w:r w:rsidR="00C25ABD">
        <w:rPr>
          <w:rFonts w:eastAsiaTheme="minorHAnsi"/>
        </w:rPr>
        <w:t xml:space="preserve"> for analysis of predictors of improved clinical outcomes in the DCP.</w:t>
      </w:r>
      <w:r w:rsidR="00980CDD">
        <w:rPr>
          <w:rFonts w:eastAsiaTheme="minorHAnsi"/>
        </w:rPr>
        <w:t>)</w:t>
      </w:r>
    </w:p>
    <w:p w14:paraId="0601F9A8" w14:textId="77777777" w:rsidR="007A2D03" w:rsidRPr="0011645E" w:rsidRDefault="00753C1A" w:rsidP="00060090">
      <w:pPr>
        <w:pStyle w:val="01squarebullet"/>
        <w:rPr>
          <w:rFonts w:eastAsiaTheme="minorHAnsi"/>
        </w:rPr>
      </w:pPr>
      <w:r w:rsidRPr="00F36A0F">
        <w:rPr>
          <w:rFonts w:eastAsiaTheme="minorHAnsi"/>
          <w:b/>
        </w:rPr>
        <w:t>Optimise provider payments.</w:t>
      </w:r>
      <w:r w:rsidR="00272ADF" w:rsidRPr="00F36A0F">
        <w:rPr>
          <w:rFonts w:eastAsiaTheme="minorHAnsi"/>
          <w:b/>
        </w:rPr>
        <w:t xml:space="preserve"> </w:t>
      </w:r>
      <w:r w:rsidR="00060090" w:rsidRPr="00060090">
        <w:rPr>
          <w:rFonts w:eastAsiaTheme="minorHAnsi"/>
        </w:rPr>
        <w:t xml:space="preserve">The funding levels </w:t>
      </w:r>
      <w:r w:rsidR="00C15AF9">
        <w:rPr>
          <w:rFonts w:eastAsiaTheme="minorHAnsi"/>
        </w:rPr>
        <w:t>under</w:t>
      </w:r>
      <w:r w:rsidR="00C15AF9" w:rsidRPr="00060090">
        <w:rPr>
          <w:rFonts w:eastAsiaTheme="minorHAnsi"/>
        </w:rPr>
        <w:t xml:space="preserve"> </w:t>
      </w:r>
      <w:r w:rsidR="00060090" w:rsidRPr="00060090">
        <w:rPr>
          <w:rFonts w:eastAsiaTheme="minorHAnsi"/>
        </w:rPr>
        <w:t xml:space="preserve">Group 2 were considerably higher for general practices and AHPs than in the Control Group. This was because of uncertainty at the start of </w:t>
      </w:r>
      <w:r w:rsidR="00060090" w:rsidRPr="00060090">
        <w:rPr>
          <w:rFonts w:eastAsiaTheme="minorHAnsi"/>
        </w:rPr>
        <w:lastRenderedPageBreak/>
        <w:t xml:space="preserve">the </w:t>
      </w:r>
      <w:r w:rsidR="00980CDD">
        <w:rPr>
          <w:rFonts w:eastAsiaTheme="minorHAnsi"/>
        </w:rPr>
        <w:t>project</w:t>
      </w:r>
      <w:r w:rsidR="00980CDD" w:rsidRPr="00060090">
        <w:rPr>
          <w:rFonts w:eastAsiaTheme="minorHAnsi"/>
        </w:rPr>
        <w:t xml:space="preserve"> </w:t>
      </w:r>
      <w:r w:rsidR="00060090" w:rsidRPr="00060090">
        <w:rPr>
          <w:rFonts w:eastAsiaTheme="minorHAnsi"/>
        </w:rPr>
        <w:t xml:space="preserve">about how much activity was already underway for people who would enrol in the </w:t>
      </w:r>
      <w:r w:rsidR="00980CDD">
        <w:rPr>
          <w:rFonts w:eastAsiaTheme="minorHAnsi"/>
        </w:rPr>
        <w:t>DCP</w:t>
      </w:r>
      <w:r w:rsidR="00060090" w:rsidRPr="00060090">
        <w:rPr>
          <w:rFonts w:eastAsiaTheme="minorHAnsi"/>
        </w:rPr>
        <w:t xml:space="preserve">, and because of the need to keep funding levels sufficiently high to attract practices away from the current Medicare model. It would be possible to </w:t>
      </w:r>
      <w:r w:rsidR="00980CDD">
        <w:rPr>
          <w:rFonts w:eastAsiaTheme="minorHAnsi"/>
        </w:rPr>
        <w:t>implement</w:t>
      </w:r>
      <w:r w:rsidR="00980CDD" w:rsidRPr="00060090">
        <w:rPr>
          <w:rFonts w:eastAsiaTheme="minorHAnsi"/>
        </w:rPr>
        <w:t xml:space="preserve"> </w:t>
      </w:r>
      <w:r w:rsidR="00060090" w:rsidRPr="00060090">
        <w:rPr>
          <w:rFonts w:eastAsiaTheme="minorHAnsi"/>
        </w:rPr>
        <w:t>lower funding levels and still leave healthcare providers better off than they are today or in the same position as they are today.</w:t>
      </w:r>
    </w:p>
    <w:p w14:paraId="14D3495F" w14:textId="77777777" w:rsidR="00A47FBB" w:rsidRPr="00F36A0F" w:rsidRDefault="00642DE0" w:rsidP="00060090">
      <w:pPr>
        <w:pStyle w:val="01squarebullet"/>
        <w:rPr>
          <w:rFonts w:eastAsiaTheme="minorHAnsi"/>
        </w:rPr>
      </w:pPr>
      <w:r w:rsidRPr="0011645E">
        <w:rPr>
          <w:rFonts w:eastAsiaTheme="minorHAnsi"/>
          <w:b/>
        </w:rPr>
        <w:t xml:space="preserve">Expand </w:t>
      </w:r>
      <w:r w:rsidR="007C3191" w:rsidRPr="00F36A0F">
        <w:rPr>
          <w:rFonts w:eastAsiaTheme="minorHAnsi"/>
          <w:b/>
        </w:rPr>
        <w:t xml:space="preserve">outcomes included in </w:t>
      </w:r>
      <w:r w:rsidRPr="00F36A0F">
        <w:rPr>
          <w:rFonts w:eastAsiaTheme="minorHAnsi"/>
          <w:b/>
        </w:rPr>
        <w:t>payments for quality.</w:t>
      </w:r>
      <w:r w:rsidR="00A47FBB" w:rsidRPr="00F36A0F">
        <w:rPr>
          <w:rFonts w:eastAsiaTheme="minorHAnsi"/>
        </w:rPr>
        <w:t xml:space="preserve"> </w:t>
      </w:r>
      <w:r w:rsidR="00060090" w:rsidRPr="00060090">
        <w:rPr>
          <w:rFonts w:eastAsiaTheme="minorHAnsi"/>
        </w:rPr>
        <w:t>The QISP system could be expande</w:t>
      </w:r>
      <w:r w:rsidR="0075724F">
        <w:rPr>
          <w:rFonts w:eastAsiaTheme="minorHAnsi"/>
        </w:rPr>
        <w:t xml:space="preserve">d to include other indicators </w:t>
      </w:r>
      <w:r w:rsidR="00980CDD">
        <w:rPr>
          <w:rFonts w:eastAsiaTheme="minorHAnsi"/>
        </w:rPr>
        <w:t>(</w:t>
      </w:r>
      <w:r w:rsidR="00060090" w:rsidRPr="00060090">
        <w:rPr>
          <w:rFonts w:eastAsiaTheme="minorHAnsi"/>
        </w:rPr>
        <w:t>such as c</w:t>
      </w:r>
      <w:r w:rsidR="0075724F">
        <w:rPr>
          <w:rFonts w:eastAsiaTheme="minorHAnsi"/>
        </w:rPr>
        <w:t>holesterol and blood pressure</w:t>
      </w:r>
      <w:r w:rsidR="00980CDD">
        <w:rPr>
          <w:rFonts w:eastAsiaTheme="minorHAnsi"/>
        </w:rPr>
        <w:t>),</w:t>
      </w:r>
      <w:r w:rsidR="00060090" w:rsidRPr="00060090">
        <w:rPr>
          <w:rFonts w:eastAsiaTheme="minorHAnsi"/>
        </w:rPr>
        <w:t xml:space="preserve"> which could potentially increase the clinical benefits of the program. In the </w:t>
      </w:r>
      <w:r w:rsidR="00980CDD">
        <w:rPr>
          <w:rFonts w:eastAsiaTheme="minorHAnsi"/>
        </w:rPr>
        <w:t>DCP</w:t>
      </w:r>
      <w:r w:rsidR="00060090" w:rsidRPr="00060090">
        <w:rPr>
          <w:rFonts w:eastAsiaTheme="minorHAnsi"/>
        </w:rPr>
        <w:t xml:space="preserve">, the most </w:t>
      </w:r>
      <w:r w:rsidR="004E57BF">
        <w:rPr>
          <w:rFonts w:eastAsiaTheme="minorHAnsi"/>
        </w:rPr>
        <w:t>significant</w:t>
      </w:r>
      <w:r w:rsidR="004E57BF" w:rsidRPr="00060090">
        <w:rPr>
          <w:rFonts w:eastAsiaTheme="minorHAnsi"/>
        </w:rPr>
        <w:t xml:space="preserve"> </w:t>
      </w:r>
      <w:r w:rsidR="00060090" w:rsidRPr="00060090">
        <w:rPr>
          <w:rFonts w:eastAsiaTheme="minorHAnsi"/>
        </w:rPr>
        <w:t xml:space="preserve">clinical improvement </w:t>
      </w:r>
      <w:r w:rsidR="0075724F">
        <w:rPr>
          <w:rFonts w:eastAsiaTheme="minorHAnsi"/>
        </w:rPr>
        <w:t>was in glycaemic control—</w:t>
      </w:r>
      <w:r w:rsidR="00060090" w:rsidRPr="00060090">
        <w:rPr>
          <w:rFonts w:eastAsiaTheme="minorHAnsi"/>
        </w:rPr>
        <w:t xml:space="preserve">the only clinical outcome that was incentivised as part of the QISP. While other clinical outcomes (such as cholesterol and blood pressure) were emphasised in the quality improvement reporting and risk stratification models, they showed only small improvements compared to the Control </w:t>
      </w:r>
      <w:r w:rsidR="001C0C2D">
        <w:rPr>
          <w:rFonts w:eastAsiaTheme="minorHAnsi"/>
        </w:rPr>
        <w:t>Group</w:t>
      </w:r>
      <w:r w:rsidR="00060090" w:rsidRPr="00060090">
        <w:rPr>
          <w:rFonts w:eastAsiaTheme="minorHAnsi"/>
        </w:rPr>
        <w:t>.</w:t>
      </w:r>
    </w:p>
    <w:p w14:paraId="08B282DA" w14:textId="77777777" w:rsidR="00A10C45" w:rsidRDefault="00A47FBB">
      <w:r w:rsidRPr="00F36A0F">
        <w:rPr>
          <w:rFonts w:eastAsiaTheme="minorHAnsi"/>
        </w:rPr>
        <w:t xml:space="preserve">An alternative model could be developed reflecting these </w:t>
      </w:r>
      <w:r w:rsidR="00BB6B37" w:rsidRPr="00F36A0F">
        <w:rPr>
          <w:rFonts w:eastAsiaTheme="minorHAnsi"/>
        </w:rPr>
        <w:t xml:space="preserve">changes </w:t>
      </w:r>
      <w:r w:rsidRPr="00F36A0F">
        <w:rPr>
          <w:rFonts w:eastAsiaTheme="minorHAnsi"/>
        </w:rPr>
        <w:t>(</w:t>
      </w:r>
      <w:r w:rsidR="001F3CE2">
        <w:rPr>
          <w:rFonts w:eastAsiaTheme="minorHAnsi"/>
        </w:rPr>
        <w:t>Exhibit</w:t>
      </w:r>
      <w:r w:rsidR="001F3CE2" w:rsidRPr="00F36A0F">
        <w:rPr>
          <w:rFonts w:eastAsiaTheme="minorHAnsi"/>
        </w:rPr>
        <w:t xml:space="preserve"> </w:t>
      </w:r>
      <w:r w:rsidR="001C0C2D">
        <w:rPr>
          <w:rFonts w:eastAsiaTheme="minorHAnsi"/>
        </w:rPr>
        <w:t>3</w:t>
      </w:r>
      <w:r w:rsidR="00DD566C">
        <w:rPr>
          <w:rFonts w:eastAsiaTheme="minorHAnsi"/>
        </w:rPr>
        <w:t>6</w:t>
      </w:r>
      <w:r w:rsidRPr="00F36A0F">
        <w:rPr>
          <w:rFonts w:eastAsiaTheme="minorHAnsi"/>
        </w:rPr>
        <w:t xml:space="preserve">). </w:t>
      </w:r>
      <w:r w:rsidR="00C4114D">
        <w:rPr>
          <w:rFonts w:eastAsiaTheme="minorHAnsi"/>
        </w:rPr>
        <w:t xml:space="preserve">For example, </w:t>
      </w:r>
      <w:r w:rsidR="006D2A05">
        <w:rPr>
          <w:rFonts w:eastAsiaTheme="minorHAnsi"/>
        </w:rPr>
        <w:t>i</w:t>
      </w:r>
      <w:r w:rsidRPr="00F36A0F">
        <w:rPr>
          <w:rFonts w:eastAsiaTheme="minorHAnsi"/>
        </w:rPr>
        <w:t>f the funding were to fit within existing chronic disease management budgets</w:t>
      </w:r>
      <w:r w:rsidR="00980CDD">
        <w:rPr>
          <w:rFonts w:eastAsiaTheme="minorHAnsi"/>
        </w:rPr>
        <w:t>,</w:t>
      </w:r>
      <w:r w:rsidRPr="00F36A0F">
        <w:rPr>
          <w:rFonts w:eastAsiaTheme="minorHAnsi"/>
        </w:rPr>
        <w:t xml:space="preserve"> it would need to cost approximately $400 per person per annum (the</w:t>
      </w:r>
      <w:r w:rsidR="008D60C8">
        <w:rPr>
          <w:rFonts w:eastAsiaTheme="minorHAnsi"/>
        </w:rPr>
        <w:t xml:space="preserve"> approximate</w:t>
      </w:r>
      <w:r w:rsidRPr="00F36A0F">
        <w:rPr>
          <w:rFonts w:eastAsiaTheme="minorHAnsi"/>
        </w:rPr>
        <w:t xml:space="preserve"> average amount of chronic disease funding received by a person with a </w:t>
      </w:r>
      <w:r w:rsidR="00A82DC3">
        <w:rPr>
          <w:rFonts w:eastAsiaTheme="minorHAnsi"/>
        </w:rPr>
        <w:t>care plan</w:t>
      </w:r>
      <w:r w:rsidRPr="00F36A0F">
        <w:rPr>
          <w:rFonts w:eastAsiaTheme="minorHAnsi"/>
        </w:rPr>
        <w:t xml:space="preserve"> in the ba</w:t>
      </w:r>
      <w:r w:rsidR="00F174F4">
        <w:rPr>
          <w:rFonts w:eastAsiaTheme="minorHAnsi"/>
        </w:rPr>
        <w:t>seline period</w:t>
      </w:r>
      <w:r w:rsidRPr="00F36A0F">
        <w:rPr>
          <w:rFonts w:eastAsiaTheme="minorHAnsi"/>
        </w:rPr>
        <w:t>)</w:t>
      </w:r>
      <w:r w:rsidR="00F174F4">
        <w:rPr>
          <w:rFonts w:eastAsiaTheme="minorHAnsi"/>
        </w:rPr>
        <w:t>.</w:t>
      </w:r>
      <w:r w:rsidRPr="00F36A0F">
        <w:rPr>
          <w:rFonts w:eastAsiaTheme="minorHAnsi"/>
        </w:rPr>
        <w:t xml:space="preserve"> </w:t>
      </w:r>
      <w:r w:rsidR="00A10C45">
        <w:rPr>
          <w:rFonts w:eastAsiaTheme="minorHAnsi"/>
        </w:rPr>
        <w:t>As an illustration, t</w:t>
      </w:r>
      <w:r w:rsidRPr="00F36A0F">
        <w:rPr>
          <w:rFonts w:eastAsiaTheme="minorHAnsi"/>
        </w:rPr>
        <w:t xml:space="preserve">his money could be reallocated based on risk level so </w:t>
      </w:r>
      <w:r w:rsidR="001C0C2D">
        <w:rPr>
          <w:rFonts w:eastAsiaTheme="minorHAnsi"/>
        </w:rPr>
        <w:t xml:space="preserve">that </w:t>
      </w:r>
      <w:r w:rsidRPr="00F36A0F">
        <w:rPr>
          <w:rFonts w:eastAsiaTheme="minorHAnsi"/>
        </w:rPr>
        <w:t xml:space="preserve">the highest risk people (who </w:t>
      </w:r>
      <w:r w:rsidR="007C3191" w:rsidRPr="00F36A0F">
        <w:rPr>
          <w:rFonts w:eastAsiaTheme="minorHAnsi"/>
        </w:rPr>
        <w:t xml:space="preserve">are </w:t>
      </w:r>
      <w:r w:rsidRPr="00F36A0F">
        <w:rPr>
          <w:rFonts w:eastAsiaTheme="minorHAnsi"/>
        </w:rPr>
        <w:t>most likely to benefit</w:t>
      </w:r>
      <w:r w:rsidR="001C0C2D">
        <w:rPr>
          <w:rFonts w:eastAsiaTheme="minorHAnsi"/>
        </w:rPr>
        <w:t xml:space="preserve"> from resources) receive</w:t>
      </w:r>
      <w:r w:rsidRPr="00F36A0F">
        <w:rPr>
          <w:rFonts w:eastAsiaTheme="minorHAnsi"/>
        </w:rPr>
        <w:t xml:space="preserve"> an average of around $700 per year</w:t>
      </w:r>
      <w:r w:rsidR="00980CDD">
        <w:rPr>
          <w:rFonts w:eastAsiaTheme="minorHAnsi"/>
        </w:rPr>
        <w:t>,</w:t>
      </w:r>
      <w:r w:rsidRPr="00F36A0F">
        <w:rPr>
          <w:rFonts w:eastAsiaTheme="minorHAnsi"/>
        </w:rPr>
        <w:t xml:space="preserve"> </w:t>
      </w:r>
      <w:r w:rsidR="001C0C2D">
        <w:rPr>
          <w:rFonts w:eastAsiaTheme="minorHAnsi"/>
        </w:rPr>
        <w:t>while</w:t>
      </w:r>
      <w:r w:rsidRPr="00F36A0F">
        <w:rPr>
          <w:rFonts w:eastAsiaTheme="minorHAnsi"/>
        </w:rPr>
        <w:t xml:space="preserve"> the lowest risk people (who </w:t>
      </w:r>
      <w:r w:rsidR="001C0C2D">
        <w:rPr>
          <w:rFonts w:eastAsiaTheme="minorHAnsi"/>
        </w:rPr>
        <w:t>are</w:t>
      </w:r>
      <w:r w:rsidRPr="00F36A0F">
        <w:rPr>
          <w:rFonts w:eastAsiaTheme="minorHAnsi"/>
        </w:rPr>
        <w:t xml:space="preserve"> least likely to benefit</w:t>
      </w:r>
      <w:r w:rsidR="001C0C2D">
        <w:rPr>
          <w:rFonts w:eastAsiaTheme="minorHAnsi"/>
        </w:rPr>
        <w:t xml:space="preserve"> from resources</w:t>
      </w:r>
      <w:r w:rsidRPr="00F36A0F">
        <w:rPr>
          <w:rFonts w:eastAsiaTheme="minorHAnsi"/>
        </w:rPr>
        <w:t xml:space="preserve">) </w:t>
      </w:r>
      <w:r w:rsidR="001E7BA6">
        <w:rPr>
          <w:rFonts w:eastAsiaTheme="minorHAnsi"/>
        </w:rPr>
        <w:t xml:space="preserve">receive an average of around </w:t>
      </w:r>
      <w:r w:rsidRPr="00F36A0F">
        <w:rPr>
          <w:rFonts w:eastAsiaTheme="minorHAnsi"/>
        </w:rPr>
        <w:t>$100 per year</w:t>
      </w:r>
      <w:r w:rsidR="004F3841">
        <w:rPr>
          <w:rFonts w:eastAsiaTheme="minorHAnsi"/>
        </w:rPr>
        <w:t xml:space="preserve"> to assist in preventing their risk status from deteriorating</w:t>
      </w:r>
      <w:r w:rsidRPr="00F36A0F">
        <w:rPr>
          <w:rFonts w:eastAsiaTheme="minorHAnsi"/>
        </w:rPr>
        <w:t xml:space="preserve"> (in addition to the Medicare funding available for standard vi</w:t>
      </w:r>
      <w:r w:rsidR="008D60C8">
        <w:rPr>
          <w:rFonts w:eastAsiaTheme="minorHAnsi"/>
        </w:rPr>
        <w:t>sits on a fee-for-service basis</w:t>
      </w:r>
      <w:r w:rsidRPr="00F36A0F">
        <w:rPr>
          <w:rFonts w:eastAsiaTheme="minorHAnsi"/>
        </w:rPr>
        <w:t>)</w:t>
      </w:r>
      <w:r w:rsidR="008D60C8">
        <w:rPr>
          <w:rFonts w:eastAsiaTheme="minorHAnsi"/>
        </w:rPr>
        <w:t>.</w:t>
      </w:r>
      <w:r w:rsidRPr="00F36A0F">
        <w:rPr>
          <w:rFonts w:eastAsiaTheme="minorHAnsi"/>
        </w:rPr>
        <w:t xml:space="preserve"> The funding could be broken into up-front flexible funding for enrolling patients, </w:t>
      </w:r>
      <w:r w:rsidR="00011B39" w:rsidRPr="00F36A0F">
        <w:rPr>
          <w:rFonts w:eastAsiaTheme="minorHAnsi"/>
        </w:rPr>
        <w:t>payment for quality</w:t>
      </w:r>
      <w:r w:rsidRPr="00F36A0F">
        <w:rPr>
          <w:rFonts w:eastAsiaTheme="minorHAnsi"/>
        </w:rPr>
        <w:t xml:space="preserve">, AHP funding (which would be paid to AHPs in a similar way as </w:t>
      </w:r>
      <w:r w:rsidR="001E7BA6">
        <w:rPr>
          <w:rFonts w:eastAsiaTheme="minorHAnsi"/>
        </w:rPr>
        <w:t xml:space="preserve">it is </w:t>
      </w:r>
      <w:r w:rsidRPr="00F36A0F">
        <w:rPr>
          <w:rFonts w:eastAsiaTheme="minorHAnsi"/>
        </w:rPr>
        <w:t xml:space="preserve">today) and, for the highest risk groups, funding to support care facilitation. By making some of the funds available </w:t>
      </w:r>
      <w:r w:rsidR="008778A4" w:rsidRPr="00F36A0F">
        <w:rPr>
          <w:rFonts w:eastAsiaTheme="minorHAnsi"/>
        </w:rPr>
        <w:t xml:space="preserve">contingent </w:t>
      </w:r>
      <w:r w:rsidRPr="00F36A0F">
        <w:rPr>
          <w:rFonts w:eastAsiaTheme="minorHAnsi"/>
        </w:rPr>
        <w:t>on quality</w:t>
      </w:r>
      <w:r w:rsidR="008778A4" w:rsidRPr="00F36A0F">
        <w:rPr>
          <w:rFonts w:eastAsiaTheme="minorHAnsi"/>
        </w:rPr>
        <w:t xml:space="preserve"> outcomes</w:t>
      </w:r>
      <w:r w:rsidRPr="00F36A0F">
        <w:rPr>
          <w:rFonts w:eastAsiaTheme="minorHAnsi"/>
        </w:rPr>
        <w:t>, and assuming not all people use their maximum allocation of AHP funding, the maximum amounts available per group could be considerably higher</w:t>
      </w:r>
      <w:r w:rsidR="008778A4" w:rsidRPr="00F36A0F">
        <w:rPr>
          <w:rFonts w:eastAsiaTheme="minorHAnsi"/>
        </w:rPr>
        <w:t>.</w:t>
      </w:r>
      <w:r w:rsidR="008778A4" w:rsidRPr="00F36A0F">
        <w:t xml:space="preserve"> </w:t>
      </w:r>
      <w:r w:rsidR="00A10C45">
        <w:rPr>
          <w:rFonts w:eastAsiaTheme="minorHAnsi"/>
        </w:rPr>
        <w:t xml:space="preserve">This model would require clinicians to be thoughtful in how they allocate their time. For example, it may not be necessary to </w:t>
      </w:r>
      <w:r w:rsidR="00C27E64">
        <w:rPr>
          <w:rFonts w:eastAsiaTheme="minorHAnsi"/>
        </w:rPr>
        <w:t xml:space="preserve">complete </w:t>
      </w:r>
      <w:r w:rsidR="00A10C45">
        <w:rPr>
          <w:rFonts w:eastAsiaTheme="minorHAnsi"/>
        </w:rPr>
        <w:t xml:space="preserve">a care plan for all </w:t>
      </w:r>
      <w:r w:rsidR="001E7BA6">
        <w:rPr>
          <w:rFonts w:eastAsiaTheme="minorHAnsi"/>
        </w:rPr>
        <w:t>people</w:t>
      </w:r>
      <w:r w:rsidR="008B44AE">
        <w:rPr>
          <w:rFonts w:eastAsiaTheme="minorHAnsi"/>
        </w:rPr>
        <w:t xml:space="preserve">; </w:t>
      </w:r>
      <w:r w:rsidR="00A10C45">
        <w:rPr>
          <w:rFonts w:eastAsiaTheme="minorHAnsi"/>
        </w:rPr>
        <w:t xml:space="preserve">it would be up to clinicians to optimise how they allocate their time to </w:t>
      </w:r>
      <w:r w:rsidR="00DB08E4">
        <w:rPr>
          <w:rFonts w:eastAsiaTheme="minorHAnsi"/>
        </w:rPr>
        <w:t>realise</w:t>
      </w:r>
      <w:r w:rsidR="00A10C45">
        <w:rPr>
          <w:rFonts w:eastAsiaTheme="minorHAnsi"/>
        </w:rPr>
        <w:t xml:space="preserve"> the greatest impact on outcomes.</w:t>
      </w:r>
      <w:r w:rsidR="00697280">
        <w:rPr>
          <w:rFonts w:eastAsiaTheme="minorHAnsi"/>
        </w:rPr>
        <w:t xml:space="preserve"> Patients could move between risk and funding tiers over time, allowing the system to </w:t>
      </w:r>
      <w:r w:rsidR="008B44AE">
        <w:rPr>
          <w:rFonts w:eastAsiaTheme="minorHAnsi"/>
        </w:rPr>
        <w:t>respond to</w:t>
      </w:r>
      <w:r w:rsidR="00697280">
        <w:rPr>
          <w:rFonts w:eastAsiaTheme="minorHAnsi"/>
        </w:rPr>
        <w:t xml:space="preserve"> their changing needs.</w:t>
      </w:r>
    </w:p>
    <w:p w14:paraId="4352A7A8" w14:textId="77777777" w:rsidR="000B118C" w:rsidRPr="00286FC1" w:rsidRDefault="0075724F">
      <w:pPr>
        <w:rPr>
          <w:rFonts w:eastAsiaTheme="minorHAnsi"/>
          <w:vertAlign w:val="superscript"/>
        </w:rPr>
      </w:pPr>
      <w:r>
        <w:rPr>
          <w:rFonts w:eastAsiaTheme="minorHAnsi"/>
        </w:rPr>
        <w:t xml:space="preserve">The DCP demonstrated that </w:t>
      </w:r>
      <w:r w:rsidRPr="00402232">
        <w:rPr>
          <w:rFonts w:eastAsiaTheme="minorHAnsi"/>
        </w:rPr>
        <w:t xml:space="preserve">improving diabetes care </w:t>
      </w:r>
      <w:r>
        <w:rPr>
          <w:rFonts w:eastAsiaTheme="minorHAnsi"/>
        </w:rPr>
        <w:t>has</w:t>
      </w:r>
      <w:r w:rsidRPr="00402232">
        <w:rPr>
          <w:rFonts w:eastAsiaTheme="minorHAnsi"/>
        </w:rPr>
        <w:t xml:space="preserve"> the potential </w:t>
      </w:r>
      <w:r>
        <w:rPr>
          <w:rFonts w:eastAsiaTheme="minorHAnsi"/>
        </w:rPr>
        <w:t>to increase</w:t>
      </w:r>
      <w:r w:rsidRPr="00402232">
        <w:rPr>
          <w:rFonts w:eastAsiaTheme="minorHAnsi"/>
        </w:rPr>
        <w:t xml:space="preserve"> pharmaceutical </w:t>
      </w:r>
      <w:r w:rsidR="00D35B7C">
        <w:rPr>
          <w:rFonts w:eastAsiaTheme="minorHAnsi"/>
        </w:rPr>
        <w:t xml:space="preserve">use and </w:t>
      </w:r>
      <w:r w:rsidRPr="00402232">
        <w:rPr>
          <w:rFonts w:eastAsiaTheme="minorHAnsi"/>
        </w:rPr>
        <w:t>costs</w:t>
      </w:r>
      <w:r w:rsidR="00A47FBB" w:rsidRPr="00F36A0F">
        <w:rPr>
          <w:rFonts w:eastAsiaTheme="minorHAnsi"/>
        </w:rPr>
        <w:t xml:space="preserve">. In Group 2, </w:t>
      </w:r>
      <w:r w:rsidR="00AB17AF" w:rsidRPr="00F36A0F">
        <w:rPr>
          <w:rFonts w:eastAsiaTheme="minorHAnsi"/>
        </w:rPr>
        <w:t>there was a trend to</w:t>
      </w:r>
      <w:r w:rsidR="00971CAA">
        <w:rPr>
          <w:rFonts w:eastAsiaTheme="minorHAnsi"/>
        </w:rPr>
        <w:t>ward</w:t>
      </w:r>
      <w:r w:rsidR="00AB17AF" w:rsidRPr="00F36A0F">
        <w:rPr>
          <w:rFonts w:eastAsiaTheme="minorHAnsi"/>
        </w:rPr>
        <w:t xml:space="preserve"> higher pharmaceutical costs</w:t>
      </w:r>
      <w:r w:rsidR="00971CAA">
        <w:rPr>
          <w:rFonts w:eastAsiaTheme="minorHAnsi"/>
        </w:rPr>
        <w:t xml:space="preserve"> (</w:t>
      </w:r>
      <w:r w:rsidR="00AB17AF" w:rsidRPr="00F36A0F">
        <w:rPr>
          <w:rFonts w:eastAsiaTheme="minorHAnsi"/>
        </w:rPr>
        <w:t>although it wa</w:t>
      </w:r>
      <w:r w:rsidR="00971CAA">
        <w:rPr>
          <w:rFonts w:eastAsiaTheme="minorHAnsi"/>
        </w:rPr>
        <w:t>s not statistically significant)</w:t>
      </w:r>
      <w:r w:rsidR="00AB17AF" w:rsidRPr="00F36A0F">
        <w:rPr>
          <w:rFonts w:eastAsiaTheme="minorHAnsi"/>
        </w:rPr>
        <w:t xml:space="preserve"> due to increased prescribing of long-acting insulin</w:t>
      </w:r>
      <w:r w:rsidR="00A47FBB" w:rsidRPr="00F36A0F">
        <w:rPr>
          <w:rFonts w:eastAsiaTheme="minorHAnsi"/>
        </w:rPr>
        <w:t xml:space="preserve"> and newer-generation anti-diabetic</w:t>
      </w:r>
      <w:r w:rsidR="00155B81">
        <w:rPr>
          <w:rFonts w:eastAsiaTheme="minorHAnsi"/>
        </w:rPr>
        <w:t xml:space="preserve"> drugs</w:t>
      </w:r>
      <w:r w:rsidR="00A47FBB" w:rsidRPr="00F36A0F">
        <w:rPr>
          <w:rFonts w:eastAsiaTheme="minorHAnsi"/>
        </w:rPr>
        <w:t xml:space="preserve"> </w:t>
      </w:r>
      <w:r w:rsidR="0024109C" w:rsidRPr="00F36A0F">
        <w:rPr>
          <w:rFonts w:eastAsiaTheme="minorHAnsi"/>
        </w:rPr>
        <w:t xml:space="preserve">(Figure </w:t>
      </w:r>
      <w:r w:rsidR="00372D26">
        <w:rPr>
          <w:rFonts w:eastAsiaTheme="minorHAnsi"/>
        </w:rPr>
        <w:t>3</w:t>
      </w:r>
      <w:r w:rsidR="00F45AA3">
        <w:rPr>
          <w:rFonts w:eastAsiaTheme="minorHAnsi"/>
        </w:rPr>
        <w:t>2</w:t>
      </w:r>
      <w:r w:rsidR="0024109C" w:rsidRPr="00F36A0F">
        <w:rPr>
          <w:rFonts w:eastAsiaTheme="minorHAnsi"/>
        </w:rPr>
        <w:t>)</w:t>
      </w:r>
      <w:r w:rsidR="00A47FBB" w:rsidRPr="00F36A0F">
        <w:rPr>
          <w:rFonts w:eastAsiaTheme="minorHAnsi"/>
        </w:rPr>
        <w:t xml:space="preserve">. However, </w:t>
      </w:r>
      <w:r w:rsidR="0024109C" w:rsidRPr="00F36A0F">
        <w:rPr>
          <w:rFonts w:eastAsiaTheme="minorHAnsi"/>
        </w:rPr>
        <w:t xml:space="preserve">there is </w:t>
      </w:r>
      <w:r w:rsidR="00971CAA">
        <w:rPr>
          <w:rFonts w:eastAsiaTheme="minorHAnsi"/>
        </w:rPr>
        <w:t xml:space="preserve">a </w:t>
      </w:r>
      <w:r w:rsidR="0024109C" w:rsidRPr="00F36A0F">
        <w:rPr>
          <w:rFonts w:eastAsiaTheme="minorHAnsi"/>
        </w:rPr>
        <w:t>potential for</w:t>
      </w:r>
      <w:r w:rsidR="00A47FBB" w:rsidRPr="00F36A0F">
        <w:rPr>
          <w:rFonts w:eastAsiaTheme="minorHAnsi"/>
        </w:rPr>
        <w:t xml:space="preserve"> cost-savings in this area</w:t>
      </w:r>
      <w:r w:rsidR="003F1DEF" w:rsidRPr="00F36A0F">
        <w:rPr>
          <w:rFonts w:eastAsiaTheme="minorHAnsi"/>
        </w:rPr>
        <w:t xml:space="preserve"> </w:t>
      </w:r>
      <w:r w:rsidR="008B44AE">
        <w:rPr>
          <w:rFonts w:eastAsiaTheme="minorHAnsi"/>
        </w:rPr>
        <w:t>that</w:t>
      </w:r>
      <w:r w:rsidR="008B44AE" w:rsidRPr="00F36A0F">
        <w:rPr>
          <w:rFonts w:eastAsiaTheme="minorHAnsi"/>
        </w:rPr>
        <w:t xml:space="preserve"> </w:t>
      </w:r>
      <w:r w:rsidR="003F1DEF" w:rsidRPr="00F36A0F">
        <w:rPr>
          <w:rFonts w:eastAsiaTheme="minorHAnsi"/>
        </w:rPr>
        <w:t>may mitigate this</w:t>
      </w:r>
      <w:r w:rsidR="00971CAA">
        <w:rPr>
          <w:rFonts w:eastAsiaTheme="minorHAnsi"/>
        </w:rPr>
        <w:t xml:space="preserve"> risk</w:t>
      </w:r>
      <w:r w:rsidR="00A47FBB" w:rsidRPr="00F36A0F">
        <w:rPr>
          <w:rFonts w:eastAsiaTheme="minorHAnsi"/>
        </w:rPr>
        <w:t>. The Drug Utilisation Sub Committee (DUSC) of the Pharmaceutical Ben</w:t>
      </w:r>
      <w:r w:rsidR="00AA5A7D" w:rsidRPr="00F36A0F">
        <w:rPr>
          <w:rFonts w:eastAsiaTheme="minorHAnsi"/>
        </w:rPr>
        <w:t>efits Advisory Committee (PBAC)</w:t>
      </w:r>
      <w:r w:rsidR="00971CAA">
        <w:rPr>
          <w:rFonts w:eastAsiaTheme="minorHAnsi"/>
        </w:rPr>
        <w:t xml:space="preserve"> recently highlighted</w:t>
      </w:r>
      <w:r w:rsidR="00AA5A7D" w:rsidRPr="00F36A0F">
        <w:rPr>
          <w:rFonts w:eastAsiaTheme="minorHAnsi"/>
        </w:rPr>
        <w:t xml:space="preserve"> </w:t>
      </w:r>
      <w:r w:rsidR="008B44AE">
        <w:rPr>
          <w:rFonts w:eastAsiaTheme="minorHAnsi"/>
        </w:rPr>
        <w:t>(</w:t>
      </w:r>
      <w:r w:rsidR="00A47FBB" w:rsidRPr="00F36A0F">
        <w:rPr>
          <w:rFonts w:eastAsiaTheme="minorHAnsi"/>
        </w:rPr>
        <w:t xml:space="preserve">in its </w:t>
      </w:r>
      <w:r w:rsidR="000E437B" w:rsidRPr="000E437B">
        <w:rPr>
          <w:rFonts w:eastAsiaTheme="minorHAnsi"/>
        </w:rPr>
        <w:t>Analysis of Medicines for Type II Diabetes</w:t>
      </w:r>
      <w:r w:rsidR="008B44AE">
        <w:rPr>
          <w:rFonts w:eastAsiaTheme="minorHAnsi"/>
        </w:rPr>
        <w:t>)</w:t>
      </w:r>
      <w:r w:rsidR="00A47FBB" w:rsidRPr="00F36A0F">
        <w:rPr>
          <w:rFonts w:eastAsiaTheme="minorHAnsi"/>
        </w:rPr>
        <w:t xml:space="preserve"> a number of opportunities for </w:t>
      </w:r>
      <w:r w:rsidR="008F43A6">
        <w:rPr>
          <w:rFonts w:eastAsiaTheme="minorHAnsi"/>
        </w:rPr>
        <w:t>reducing the</w:t>
      </w:r>
      <w:r w:rsidR="00A47FBB" w:rsidRPr="00F36A0F">
        <w:rPr>
          <w:rFonts w:eastAsiaTheme="minorHAnsi"/>
        </w:rPr>
        <w:t xml:space="preserve"> cost of diabetes drugs, including reducing insulin wastage and preventing over-prescription (outside of PBS criteria) of newer-generation antidiabetics.</w:t>
      </w:r>
      <w:r w:rsidR="00541EF8">
        <w:rPr>
          <w:rFonts w:eastAsiaTheme="minorHAnsi"/>
          <w:vertAlign w:val="superscript"/>
        </w:rPr>
        <w:fldChar w:fldCharType="begin" w:fldLock="1"/>
      </w:r>
      <w:r w:rsidR="00113335">
        <w:rPr>
          <w:rFonts w:eastAsiaTheme="minorHAnsi"/>
          <w:vertAlign w:val="superscript"/>
        </w:rPr>
        <w:instrText>ADDIN CSL_CITATION { "citationItems" : [ { "id" : "ITEM-1", "itemData" : { "author" : [ { "dropping-particle" : "", "family" : "Drug Utilisation Sub-Committee of the Pharmaceutical Benefits Advisory Committee", "given" : "", "non-dropping-particle" : "", "parse-names" : false, "suffix" : "" } ], "id" : "ITEM-1", "issue" : "February", "issued" : { "date-parts" : [ [ "2013" ] ] }, "publisher" : "Department of Health", "title" : "Drug Utilisation Sub-Committee Outcome Statement 7-8 February 2013", "type" : "book" }, "uris" : [ "http://www.mendeley.com/documents/?uuid=3f19834f-5164-4a26-8de7-62d565601f51" ] } ], "mendeley" : { "previouslyFormattedCitation" : "&lt;sup&gt;48&lt;/sup&gt;" }, "properties" : { "noteIndex" : 0 }, "schema" : "https://github.com/citation-style-language/schema/raw/master/csl-citation.json" }</w:instrText>
      </w:r>
      <w:r w:rsidR="00541EF8">
        <w:rPr>
          <w:rFonts w:eastAsiaTheme="minorHAnsi"/>
          <w:vertAlign w:val="superscript"/>
        </w:rPr>
        <w:fldChar w:fldCharType="separate"/>
      </w:r>
      <w:r w:rsidR="00113335" w:rsidRPr="00113335">
        <w:rPr>
          <w:rFonts w:eastAsiaTheme="minorHAnsi"/>
          <w:noProof/>
          <w:vertAlign w:val="superscript"/>
        </w:rPr>
        <w:t>48</w:t>
      </w:r>
      <w:r w:rsidR="00541EF8">
        <w:rPr>
          <w:rFonts w:eastAsiaTheme="minorHAnsi"/>
          <w:vertAlign w:val="superscript"/>
        </w:rPr>
        <w:fldChar w:fldCharType="end"/>
      </w:r>
      <w:r w:rsidR="00A47FBB" w:rsidRPr="0011645E">
        <w:rPr>
          <w:rFonts w:eastAsiaTheme="minorHAnsi"/>
        </w:rPr>
        <w:t xml:space="preserve"> Furthermore, given the high cost </w:t>
      </w:r>
      <w:r w:rsidR="004660C3" w:rsidRPr="0011645E">
        <w:rPr>
          <w:rFonts w:eastAsiaTheme="minorHAnsi"/>
        </w:rPr>
        <w:t xml:space="preserve">and increasing use </w:t>
      </w:r>
      <w:r w:rsidR="00A47FBB" w:rsidRPr="00F36A0F">
        <w:rPr>
          <w:rFonts w:eastAsiaTheme="minorHAnsi"/>
        </w:rPr>
        <w:t xml:space="preserve">of long-acting </w:t>
      </w:r>
      <w:r w:rsidR="00BB6B37" w:rsidRPr="00F36A0F">
        <w:rPr>
          <w:rFonts w:eastAsiaTheme="minorHAnsi"/>
        </w:rPr>
        <w:t>insulin</w:t>
      </w:r>
      <w:r w:rsidR="008D60C8">
        <w:rPr>
          <w:rFonts w:eastAsiaTheme="minorHAnsi"/>
        </w:rPr>
        <w:t>s</w:t>
      </w:r>
      <w:r w:rsidR="008B44AE">
        <w:rPr>
          <w:rFonts w:eastAsiaTheme="minorHAnsi"/>
        </w:rPr>
        <w:t>,</w:t>
      </w:r>
      <w:r w:rsidR="00BB6B37" w:rsidRPr="00F36A0F">
        <w:rPr>
          <w:rFonts w:eastAsiaTheme="minorHAnsi"/>
        </w:rPr>
        <w:t xml:space="preserve"> there may be opportunities to optimise their use.</w:t>
      </w:r>
      <w:r w:rsidR="00541EF8">
        <w:rPr>
          <w:rFonts w:eastAsiaTheme="minorHAnsi"/>
          <w:vertAlign w:val="superscript"/>
        </w:rPr>
        <w:fldChar w:fldCharType="begin" w:fldLock="1"/>
      </w:r>
      <w:r w:rsidR="00113335">
        <w:rPr>
          <w:rFonts w:eastAsiaTheme="minorHAnsi"/>
          <w:vertAlign w:val="superscript"/>
        </w:rPr>
        <w:instrText>ADDIN CSL_CITATION { "citationItems" : [ { "id" : "ITEM-1", "itemData" : { "author" : [ { "dropping-particle" : "", "family" : "18th Expert Committee on the Selection and Use of Essential Medicines", "given" : "", "non-dropping-particle" : "", "parse-names" : false, "suffix" : "" } ], "id" : "ITEM-1", "issued" : { "date-parts" : [ [ "2011" ] ] }, "page" : "1-51", "publisher" : "World Health Organisation", "publisher-place" : "Accra, Ghana", "title" : "Review of the evidence comparing insulin (human or animal) with analogue insulins", "type" : "book" }, "uris" : [ "http://www.mendeley.com/documents/?uuid=615ef535-f0fc-4aa4-879d-f24d13bf23e0" ] } ], "mendeley" : { "previouslyFormattedCitation" : "&lt;sup&gt;49&lt;/sup&gt;" }, "properties" : { "noteIndex" : 0 }, "schema" : "https://github.com/citation-style-language/schema/raw/master/csl-citation.json" }</w:instrText>
      </w:r>
      <w:r w:rsidR="00541EF8">
        <w:rPr>
          <w:rFonts w:eastAsiaTheme="minorHAnsi"/>
          <w:vertAlign w:val="superscript"/>
        </w:rPr>
        <w:fldChar w:fldCharType="separate"/>
      </w:r>
      <w:r w:rsidR="00113335" w:rsidRPr="00113335">
        <w:rPr>
          <w:rFonts w:eastAsiaTheme="minorHAnsi"/>
          <w:noProof/>
          <w:vertAlign w:val="superscript"/>
        </w:rPr>
        <w:t>49</w:t>
      </w:r>
      <w:r w:rsidR="00541EF8">
        <w:rPr>
          <w:rFonts w:eastAsiaTheme="minorHAnsi"/>
          <w:vertAlign w:val="superscript"/>
        </w:rPr>
        <w:fldChar w:fldCharType="end"/>
      </w:r>
    </w:p>
    <w:p w14:paraId="54F6B64A" w14:textId="77777777" w:rsidR="00667ACA" w:rsidRDefault="00A47FBB" w:rsidP="00D03EA8">
      <w:pPr>
        <w:rPr>
          <w:rFonts w:eastAsiaTheme="minorHAnsi"/>
          <w:bCs/>
        </w:rPr>
      </w:pPr>
      <w:r w:rsidRPr="00F36A0F">
        <w:rPr>
          <w:rFonts w:eastAsiaTheme="minorHAnsi"/>
        </w:rPr>
        <w:t xml:space="preserve">In the future, </w:t>
      </w:r>
      <w:r w:rsidR="000B118C" w:rsidRPr="00F36A0F">
        <w:rPr>
          <w:rFonts w:eastAsiaTheme="minorHAnsi"/>
        </w:rPr>
        <w:t xml:space="preserve">innovative models of care such as those tested in the DCP </w:t>
      </w:r>
      <w:r w:rsidR="003F1DEF" w:rsidRPr="00F36A0F">
        <w:rPr>
          <w:rFonts w:eastAsiaTheme="minorHAnsi"/>
        </w:rPr>
        <w:t xml:space="preserve">could be used across multiple chronic diseases. Approximately two-thirds of </w:t>
      </w:r>
      <w:r w:rsidR="00D654C1" w:rsidRPr="00F36A0F">
        <w:rPr>
          <w:rFonts w:eastAsiaTheme="minorHAnsi"/>
        </w:rPr>
        <w:t xml:space="preserve">people </w:t>
      </w:r>
      <w:r w:rsidRPr="00F36A0F">
        <w:rPr>
          <w:rFonts w:eastAsiaTheme="minorHAnsi"/>
        </w:rPr>
        <w:t xml:space="preserve">with diabetes in the DCP had at least one other chronic disease. As one </w:t>
      </w:r>
      <w:r w:rsidR="005D49EA" w:rsidRPr="00F36A0F">
        <w:rPr>
          <w:rFonts w:eastAsiaTheme="minorHAnsi"/>
        </w:rPr>
        <w:t xml:space="preserve">GP </w:t>
      </w:r>
      <w:r w:rsidR="00155B81">
        <w:rPr>
          <w:rFonts w:eastAsiaTheme="minorHAnsi"/>
        </w:rPr>
        <w:t>participating in</w:t>
      </w:r>
      <w:r w:rsidR="00155B81" w:rsidRPr="00F36A0F">
        <w:rPr>
          <w:rFonts w:eastAsiaTheme="minorHAnsi"/>
        </w:rPr>
        <w:t xml:space="preserve"> </w:t>
      </w:r>
      <w:r w:rsidR="005D49EA" w:rsidRPr="00F36A0F">
        <w:rPr>
          <w:rFonts w:eastAsiaTheme="minorHAnsi"/>
        </w:rPr>
        <w:t>the DCP</w:t>
      </w:r>
      <w:r w:rsidRPr="00F36A0F">
        <w:rPr>
          <w:rFonts w:eastAsiaTheme="minorHAnsi"/>
        </w:rPr>
        <w:t xml:space="preserve"> explained: “The speciality of </w:t>
      </w:r>
      <w:r w:rsidR="00155B81">
        <w:rPr>
          <w:rFonts w:eastAsiaTheme="minorHAnsi"/>
        </w:rPr>
        <w:t>g</w:t>
      </w:r>
      <w:r w:rsidRPr="00F36A0F">
        <w:rPr>
          <w:rFonts w:eastAsiaTheme="minorHAnsi"/>
        </w:rPr>
        <w:t xml:space="preserve">eneral </w:t>
      </w:r>
      <w:r w:rsidR="00155B81">
        <w:rPr>
          <w:rFonts w:eastAsiaTheme="minorHAnsi"/>
        </w:rPr>
        <w:t>p</w:t>
      </w:r>
      <w:r w:rsidRPr="00F36A0F">
        <w:rPr>
          <w:rFonts w:eastAsiaTheme="minorHAnsi"/>
        </w:rPr>
        <w:t>ractice is all about the management of poly-pathology, or patients with complex and interlocking needs.”</w:t>
      </w:r>
      <w:r w:rsidR="00D654C1" w:rsidRPr="00F36A0F">
        <w:rPr>
          <w:rFonts w:eastAsiaTheme="minorHAnsi"/>
        </w:rPr>
        <w:t xml:space="preserve"> P</w:t>
      </w:r>
      <w:r w:rsidRPr="00F36A0F">
        <w:rPr>
          <w:rFonts w:eastAsiaTheme="minorHAnsi"/>
          <w:bCs/>
        </w:rPr>
        <w:t>ractice</w:t>
      </w:r>
      <w:r w:rsidRPr="00F36A0F">
        <w:rPr>
          <w:rFonts w:eastAsiaTheme="minorHAnsi"/>
        </w:rPr>
        <w:t xml:space="preserve"> feedback from the DCP </w:t>
      </w:r>
      <w:r w:rsidR="00254034" w:rsidRPr="00F36A0F">
        <w:rPr>
          <w:rFonts w:eastAsiaTheme="minorHAnsi"/>
        </w:rPr>
        <w:t xml:space="preserve">also </w:t>
      </w:r>
      <w:r w:rsidRPr="00F36A0F">
        <w:rPr>
          <w:rFonts w:eastAsiaTheme="minorHAnsi"/>
        </w:rPr>
        <w:t xml:space="preserve">highlighted the operational complexity of having to learn and manage multiple </w:t>
      </w:r>
      <w:r w:rsidRPr="00F36A0F">
        <w:rPr>
          <w:rFonts w:eastAsiaTheme="minorHAnsi"/>
        </w:rPr>
        <w:lastRenderedPageBreak/>
        <w:t xml:space="preserve">programs </w:t>
      </w:r>
      <w:r w:rsidR="00611CA1">
        <w:rPr>
          <w:rFonts w:eastAsiaTheme="minorHAnsi"/>
        </w:rPr>
        <w:t>in order to manage</w:t>
      </w:r>
      <w:r w:rsidRPr="00F36A0F">
        <w:rPr>
          <w:rFonts w:eastAsiaTheme="minorHAnsi"/>
        </w:rPr>
        <w:t xml:space="preserve"> different chronic diseases.</w:t>
      </w:r>
      <w:r w:rsidR="00254034" w:rsidRPr="00F36A0F">
        <w:rPr>
          <w:rFonts w:eastAsiaTheme="minorHAnsi"/>
        </w:rPr>
        <w:t xml:space="preserve"> </w:t>
      </w:r>
      <w:r w:rsidR="00C15AF9">
        <w:rPr>
          <w:rFonts w:eastAsiaTheme="minorHAnsi"/>
        </w:rPr>
        <w:t>U</w:t>
      </w:r>
      <w:r w:rsidR="002E1611">
        <w:rPr>
          <w:rFonts w:eastAsiaTheme="minorHAnsi"/>
        </w:rPr>
        <w:t xml:space="preserve">nified </w:t>
      </w:r>
      <w:r w:rsidR="003A7D15">
        <w:rPr>
          <w:rFonts w:eastAsiaTheme="minorHAnsi"/>
        </w:rPr>
        <w:t>models of care</w:t>
      </w:r>
      <w:r w:rsidR="00254034" w:rsidRPr="00F36A0F">
        <w:rPr>
          <w:rFonts w:eastAsiaTheme="minorHAnsi"/>
        </w:rPr>
        <w:t xml:space="preserve"> would </w:t>
      </w:r>
      <w:r w:rsidR="003A7D15">
        <w:rPr>
          <w:rFonts w:eastAsiaTheme="minorHAnsi"/>
        </w:rPr>
        <w:t>reduce this operational complexity and enable economies of scale, primarily because m</w:t>
      </w:r>
      <w:r w:rsidRPr="00F36A0F">
        <w:rPr>
          <w:rFonts w:eastAsiaTheme="minorHAnsi"/>
          <w:bCs/>
        </w:rPr>
        <w:t>any of the components of better integrated models of care</w:t>
      </w:r>
      <w:r w:rsidRPr="00F36A0F">
        <w:rPr>
          <w:rFonts w:eastAsiaTheme="minorHAnsi"/>
        </w:rPr>
        <w:t>—such as patient registration, information technology, care facilitation, continuous quality improvement processes, and the funding model principles—</w:t>
      </w:r>
      <w:r w:rsidR="00D654C1" w:rsidRPr="00F36A0F">
        <w:rPr>
          <w:rFonts w:eastAsiaTheme="minorHAnsi"/>
          <w:bCs/>
        </w:rPr>
        <w:t>could</w:t>
      </w:r>
      <w:r w:rsidRPr="00F36A0F">
        <w:rPr>
          <w:rFonts w:eastAsiaTheme="minorHAnsi"/>
          <w:bCs/>
        </w:rPr>
        <w:t xml:space="preserve"> be shared across diseases. </w:t>
      </w:r>
      <w:r w:rsidR="00C27E64">
        <w:rPr>
          <w:rFonts w:eastAsiaTheme="minorHAnsi"/>
          <w:bCs/>
        </w:rPr>
        <w:t>One key challenge would be developing integrated</w:t>
      </w:r>
      <w:r w:rsidR="000E7523">
        <w:rPr>
          <w:rFonts w:eastAsiaTheme="minorHAnsi"/>
          <w:bCs/>
        </w:rPr>
        <w:t xml:space="preserve"> risk stratification </w:t>
      </w:r>
      <w:r w:rsidR="008555F0">
        <w:rPr>
          <w:rFonts w:eastAsiaTheme="minorHAnsi"/>
          <w:bCs/>
        </w:rPr>
        <w:t xml:space="preserve">and incentives </w:t>
      </w:r>
      <w:r w:rsidR="000E7523">
        <w:rPr>
          <w:rFonts w:eastAsiaTheme="minorHAnsi"/>
          <w:bCs/>
        </w:rPr>
        <w:t>system</w:t>
      </w:r>
      <w:r w:rsidR="008555F0">
        <w:rPr>
          <w:rFonts w:eastAsiaTheme="minorHAnsi"/>
          <w:bCs/>
        </w:rPr>
        <w:t>s</w:t>
      </w:r>
      <w:r w:rsidR="000E7523">
        <w:rPr>
          <w:rFonts w:eastAsiaTheme="minorHAnsi"/>
          <w:bCs/>
        </w:rPr>
        <w:t xml:space="preserve"> that could be applied across patients with different chronic diseases, taking into account a much broader range of factors than those included in the DCP</w:t>
      </w:r>
      <w:r w:rsidR="00341968">
        <w:rPr>
          <w:rFonts w:eastAsiaTheme="minorHAnsi"/>
          <w:bCs/>
        </w:rPr>
        <w:t>’s</w:t>
      </w:r>
      <w:r w:rsidR="000E7523">
        <w:rPr>
          <w:rFonts w:eastAsiaTheme="minorHAnsi"/>
          <w:bCs/>
        </w:rPr>
        <w:t xml:space="preserve"> risk stratification.</w:t>
      </w:r>
      <w:r w:rsidR="00C27E64">
        <w:rPr>
          <w:rFonts w:eastAsiaTheme="minorHAnsi"/>
          <w:bCs/>
        </w:rPr>
        <w:t xml:space="preserve"> </w:t>
      </w:r>
    </w:p>
    <w:p w14:paraId="17BC220E" w14:textId="77777777" w:rsidR="007176BE" w:rsidRDefault="007176BE">
      <w:pPr>
        <w:pStyle w:val="60exhnormal"/>
        <w:keepNext/>
      </w:pPr>
      <w:r>
        <w:t>Exhibit 36</w:t>
      </w:r>
    </w:p>
    <w:p w14:paraId="27733F84" w14:textId="77777777" w:rsidR="005C72C6" w:rsidRDefault="005C72C6" w:rsidP="005C72C6">
      <w:pPr>
        <w:pStyle w:val="60exhnormal"/>
        <w:keepNext/>
        <w:jc w:val="center"/>
      </w:pPr>
      <w:r>
        <w:rPr>
          <w:noProof/>
          <w:lang w:eastAsia="en-AU"/>
        </w:rPr>
        <w:drawing>
          <wp:inline distT="0" distB="0" distL="0" distR="0" wp14:anchorId="15507D57" wp14:editId="4BE5313F">
            <wp:extent cx="4906645" cy="3679825"/>
            <wp:effectExtent l="0" t="0" r="8255" b="0"/>
            <wp:docPr id="13" name="Picture 13" descr="At baseline, the approximate average amount of chronic disease funding received by a person with a care plan was $400. This money could be reallocated based on risk level so that the highest risk people receive an average of around $700 per year, which would fund high-intensity interventions, including an average of four Allied Health Professional visits and care facilitation. People at moderate risk would receive $500 per year for moderate to high intensity interventions and an average of four Allied Health Professional visits (but no care facilitation). Those at a lower risk would receive $300 per year for low to moderate intensity interventions and an average of two Allied Health Professional visits. The lowest risk people, meanwhile, would receive an average of around $100 per year (in addition to the Medicare funding available for standard visits), which would fund minimal-cost interventions, basic GP monitoring, and an average of one preventative Allied Health Professional visit. In this funding model, each risk category is defined so that it includes approximately 25 percent of patients." title="Illustrative potential alternative funding 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906645" cy="3679825"/>
                    </a:xfrm>
                    <a:prstGeom prst="rect">
                      <a:avLst/>
                    </a:prstGeom>
                    <a:solidFill>
                      <a:srgbClr val="FFFFFF"/>
                    </a:solidFill>
                    <a:ln w="9525" cap="flat" cmpd="sng" algn="ctr">
                      <a:noFill/>
                      <a:prstDash val="solid"/>
                      <a:round/>
                      <a:headEnd type="none" w="med" len="med"/>
                      <a:tailEnd type="none" w="med" len="med"/>
                    </a:ln>
                  </pic:spPr>
                </pic:pic>
              </a:graphicData>
            </a:graphic>
          </wp:inline>
        </w:drawing>
      </w:r>
    </w:p>
    <w:p w14:paraId="0B5868EC" w14:textId="77777777" w:rsidR="00D84AA8" w:rsidRPr="00DA6CB0" w:rsidRDefault="00BC0B60" w:rsidP="000F685C">
      <w:pPr>
        <w:pStyle w:val="21minor"/>
        <w:rPr>
          <w:rFonts w:eastAsiaTheme="minorHAnsi"/>
          <w:b w:val="0"/>
        </w:rPr>
      </w:pPr>
      <w:r w:rsidRPr="00F36A0F">
        <w:rPr>
          <w:rFonts w:eastAsiaTheme="minorHAnsi"/>
        </w:rPr>
        <w:t>4.</w:t>
      </w:r>
      <w:r w:rsidR="006007A3" w:rsidRPr="00F36A0F">
        <w:rPr>
          <w:rFonts w:eastAsiaTheme="minorHAnsi"/>
        </w:rPr>
        <w:t>2</w:t>
      </w:r>
      <w:r w:rsidR="00A51720">
        <w:rPr>
          <w:rFonts w:eastAsiaTheme="minorHAnsi"/>
        </w:rPr>
        <w:t>.2.</w:t>
      </w:r>
      <w:r w:rsidRPr="00F36A0F">
        <w:rPr>
          <w:rFonts w:eastAsiaTheme="minorHAnsi"/>
        </w:rPr>
        <w:t xml:space="preserve"> </w:t>
      </w:r>
      <w:r w:rsidR="00D84AA8" w:rsidRPr="00F36A0F">
        <w:rPr>
          <w:rFonts w:eastAsiaTheme="minorHAnsi"/>
        </w:rPr>
        <w:t>Recommendation 2</w:t>
      </w:r>
      <w:r w:rsidR="00A51720">
        <w:rPr>
          <w:rFonts w:eastAsiaTheme="minorHAnsi"/>
        </w:rPr>
        <w:t xml:space="preserve">: </w:t>
      </w:r>
      <w:r w:rsidR="00D84AA8" w:rsidRPr="00DA6CB0">
        <w:rPr>
          <w:rFonts w:eastAsiaTheme="minorHAnsi"/>
          <w:b w:val="0"/>
        </w:rPr>
        <w:t xml:space="preserve">Continue to develop </w:t>
      </w:r>
      <w:r w:rsidR="003F72F2" w:rsidRPr="00DA6CB0">
        <w:rPr>
          <w:rFonts w:eastAsiaTheme="minorHAnsi"/>
          <w:b w:val="0"/>
        </w:rPr>
        <w:t xml:space="preserve">both </w:t>
      </w:r>
      <w:r w:rsidR="00D84AA8" w:rsidRPr="00DA6CB0">
        <w:rPr>
          <w:rFonts w:eastAsiaTheme="minorHAnsi"/>
          <w:b w:val="0"/>
        </w:rPr>
        <w:t xml:space="preserve">eHealth and </w:t>
      </w:r>
      <w:r w:rsidR="0044683D" w:rsidRPr="00DA6CB0">
        <w:rPr>
          <w:rFonts w:eastAsiaTheme="minorHAnsi"/>
          <w:b w:val="0"/>
        </w:rPr>
        <w:t>continuous quality improvement processes</w:t>
      </w:r>
      <w:r w:rsidR="00D84AA8" w:rsidRPr="00DA6CB0">
        <w:rPr>
          <w:rFonts w:eastAsiaTheme="minorHAnsi"/>
          <w:b w:val="0"/>
        </w:rPr>
        <w:t xml:space="preserve"> </w:t>
      </w:r>
    </w:p>
    <w:p w14:paraId="59BDE187" w14:textId="77777777" w:rsidR="005D09C8" w:rsidRPr="00F36A0F" w:rsidRDefault="005D09C8" w:rsidP="005D09C8">
      <w:pPr>
        <w:rPr>
          <w:rFonts w:eastAsiaTheme="minorHAnsi"/>
        </w:rPr>
      </w:pPr>
      <w:r w:rsidRPr="00F36A0F">
        <w:rPr>
          <w:rFonts w:eastAsiaTheme="minorHAnsi"/>
        </w:rPr>
        <w:t xml:space="preserve">While the trial showed that better eHealth infrastructure and continuous quality improvement processes were not, on their own, sufficient to </w:t>
      </w:r>
      <w:r w:rsidR="00341968" w:rsidRPr="00F36A0F">
        <w:rPr>
          <w:rFonts w:eastAsiaTheme="minorHAnsi"/>
        </w:rPr>
        <w:t>improve</w:t>
      </w:r>
      <w:r w:rsidR="00341968">
        <w:rPr>
          <w:rFonts w:eastAsiaTheme="minorHAnsi"/>
        </w:rPr>
        <w:t xml:space="preserve"> the </w:t>
      </w:r>
      <w:r w:rsidRPr="00F36A0F">
        <w:rPr>
          <w:rFonts w:eastAsiaTheme="minorHAnsi"/>
        </w:rPr>
        <w:t xml:space="preserve">quality of care or outcomes, </w:t>
      </w:r>
      <w:r w:rsidR="009D7796" w:rsidRPr="00FC688D">
        <w:rPr>
          <w:rFonts w:eastAsiaTheme="minorHAnsi"/>
        </w:rPr>
        <w:t xml:space="preserve">they were </w:t>
      </w:r>
      <w:r w:rsidR="009D7796">
        <w:rPr>
          <w:rFonts w:eastAsiaTheme="minorHAnsi"/>
        </w:rPr>
        <w:t>nonetheless</w:t>
      </w:r>
      <w:r w:rsidR="009D7796" w:rsidRPr="00FC688D">
        <w:rPr>
          <w:rFonts w:eastAsiaTheme="minorHAnsi"/>
        </w:rPr>
        <w:t xml:space="preserve"> </w:t>
      </w:r>
      <w:r w:rsidR="009D7796">
        <w:rPr>
          <w:rFonts w:eastAsiaTheme="minorHAnsi"/>
        </w:rPr>
        <w:t>integral to</w:t>
      </w:r>
      <w:r w:rsidR="009D7796" w:rsidRPr="00FC688D">
        <w:rPr>
          <w:rFonts w:eastAsiaTheme="minorHAnsi"/>
        </w:rPr>
        <w:t xml:space="preserve"> the Group 2 </w:t>
      </w:r>
      <w:r w:rsidR="006F313F">
        <w:rPr>
          <w:rFonts w:eastAsiaTheme="minorHAnsi"/>
        </w:rPr>
        <w:t>model of care</w:t>
      </w:r>
      <w:r w:rsidR="009D7796" w:rsidRPr="00FC688D">
        <w:rPr>
          <w:rFonts w:eastAsiaTheme="minorHAnsi"/>
        </w:rPr>
        <w:t>.</w:t>
      </w:r>
    </w:p>
    <w:p w14:paraId="6481CFEF" w14:textId="77777777" w:rsidR="005D09C8" w:rsidRPr="00F36A0F" w:rsidRDefault="006F313F" w:rsidP="005D09C8">
      <w:pPr>
        <w:rPr>
          <w:rFonts w:eastAsiaTheme="minorHAnsi"/>
        </w:rPr>
      </w:pPr>
      <w:r w:rsidRPr="00FC688D">
        <w:rPr>
          <w:rFonts w:eastAsiaTheme="minorHAnsi"/>
        </w:rPr>
        <w:t xml:space="preserve">The IT system enabled most of the other </w:t>
      </w:r>
      <w:r w:rsidR="00C15AF9">
        <w:rPr>
          <w:rFonts w:eastAsiaTheme="minorHAnsi"/>
        </w:rPr>
        <w:t xml:space="preserve">elements </w:t>
      </w:r>
      <w:r w:rsidR="00341968">
        <w:rPr>
          <w:rFonts w:eastAsiaTheme="minorHAnsi"/>
        </w:rPr>
        <w:t>in</w:t>
      </w:r>
      <w:r w:rsidR="00341968" w:rsidRPr="00FC688D">
        <w:rPr>
          <w:rFonts w:eastAsiaTheme="minorHAnsi"/>
        </w:rPr>
        <w:t xml:space="preserve"> </w:t>
      </w:r>
      <w:r>
        <w:rPr>
          <w:rFonts w:eastAsiaTheme="minorHAnsi"/>
        </w:rPr>
        <w:t xml:space="preserve">the </w:t>
      </w:r>
      <w:r w:rsidRPr="00FC688D">
        <w:rPr>
          <w:rFonts w:eastAsiaTheme="minorHAnsi"/>
        </w:rPr>
        <w:t>model</w:t>
      </w:r>
      <w:r w:rsidR="00341968">
        <w:rPr>
          <w:rFonts w:eastAsiaTheme="minorHAnsi"/>
        </w:rPr>
        <w:t xml:space="preserve">, including </w:t>
      </w:r>
      <w:r w:rsidRPr="00FC688D">
        <w:rPr>
          <w:rFonts w:eastAsiaTheme="minorHAnsi"/>
        </w:rPr>
        <w:t>conducting risk stratification, automating fund</w:t>
      </w:r>
      <w:r>
        <w:rPr>
          <w:rFonts w:eastAsiaTheme="minorHAnsi"/>
        </w:rPr>
        <w:t>ing</w:t>
      </w:r>
      <w:r w:rsidRPr="00FC688D">
        <w:rPr>
          <w:rFonts w:eastAsiaTheme="minorHAnsi"/>
        </w:rPr>
        <w:t xml:space="preserve"> </w:t>
      </w:r>
      <w:r>
        <w:rPr>
          <w:rFonts w:eastAsiaTheme="minorHAnsi"/>
        </w:rPr>
        <w:t>flows</w:t>
      </w:r>
      <w:r w:rsidRPr="00FC688D">
        <w:rPr>
          <w:rFonts w:eastAsiaTheme="minorHAnsi"/>
        </w:rPr>
        <w:t xml:space="preserve">, helping </w:t>
      </w:r>
      <w:r w:rsidR="00341968">
        <w:rPr>
          <w:rFonts w:eastAsiaTheme="minorHAnsi"/>
        </w:rPr>
        <w:t>C</w:t>
      </w:r>
      <w:r w:rsidR="00341968" w:rsidRPr="00FC688D">
        <w:rPr>
          <w:rFonts w:eastAsiaTheme="minorHAnsi"/>
        </w:rPr>
        <w:t xml:space="preserve">are </w:t>
      </w:r>
      <w:r w:rsidR="00341968">
        <w:rPr>
          <w:rFonts w:eastAsiaTheme="minorHAnsi"/>
        </w:rPr>
        <w:t>F</w:t>
      </w:r>
      <w:r w:rsidR="00341968" w:rsidRPr="00FC688D">
        <w:rPr>
          <w:rFonts w:eastAsiaTheme="minorHAnsi"/>
        </w:rPr>
        <w:t xml:space="preserve">acilitators </w:t>
      </w:r>
      <w:r w:rsidRPr="00FC688D">
        <w:rPr>
          <w:rFonts w:eastAsiaTheme="minorHAnsi"/>
        </w:rPr>
        <w:t>prioritise where they spent time</w:t>
      </w:r>
      <w:r>
        <w:rPr>
          <w:rFonts w:eastAsiaTheme="minorHAnsi"/>
        </w:rPr>
        <w:t>,</w:t>
      </w:r>
      <w:r w:rsidRPr="00FC688D">
        <w:rPr>
          <w:rFonts w:eastAsiaTheme="minorHAnsi"/>
        </w:rPr>
        <w:t xml:space="preserve"> and providing the data that underpinned the QISP system. </w:t>
      </w:r>
      <w:r w:rsidR="005D09C8" w:rsidRPr="00F36A0F">
        <w:rPr>
          <w:rFonts w:eastAsiaTheme="minorHAnsi"/>
        </w:rPr>
        <w:t xml:space="preserve">While manual methods could have been used to replace some of these functions, they would have been </w:t>
      </w:r>
      <w:r w:rsidR="003E2C64">
        <w:rPr>
          <w:rFonts w:eastAsiaTheme="minorHAnsi"/>
        </w:rPr>
        <w:t xml:space="preserve">slow and </w:t>
      </w:r>
      <w:r w:rsidR="00341968" w:rsidRPr="00F36A0F">
        <w:rPr>
          <w:rFonts w:eastAsiaTheme="minorHAnsi"/>
        </w:rPr>
        <w:t>labour</w:t>
      </w:r>
      <w:r w:rsidR="00341968">
        <w:rPr>
          <w:rFonts w:eastAsiaTheme="minorHAnsi"/>
        </w:rPr>
        <w:t>-</w:t>
      </w:r>
      <w:r w:rsidR="00171EB2" w:rsidRPr="00F36A0F">
        <w:rPr>
          <w:rFonts w:eastAsiaTheme="minorHAnsi"/>
        </w:rPr>
        <w:t>intensive</w:t>
      </w:r>
      <w:r w:rsidR="005D09C8" w:rsidRPr="00F36A0F">
        <w:rPr>
          <w:rFonts w:eastAsiaTheme="minorHAnsi"/>
        </w:rPr>
        <w:t xml:space="preserve">. </w:t>
      </w:r>
      <w:r w:rsidR="003E2C64">
        <w:rPr>
          <w:rFonts w:eastAsiaTheme="minorHAnsi"/>
        </w:rPr>
        <w:t>These methods</w:t>
      </w:r>
      <w:r w:rsidR="005D09C8" w:rsidRPr="00F36A0F">
        <w:rPr>
          <w:rFonts w:eastAsiaTheme="minorHAnsi"/>
        </w:rPr>
        <w:t xml:space="preserve"> would</w:t>
      </w:r>
      <w:r w:rsidR="003E2C64">
        <w:rPr>
          <w:rFonts w:eastAsiaTheme="minorHAnsi"/>
        </w:rPr>
        <w:t xml:space="preserve"> also</w:t>
      </w:r>
      <w:r w:rsidR="005D09C8" w:rsidRPr="00F36A0F">
        <w:rPr>
          <w:rFonts w:eastAsiaTheme="minorHAnsi"/>
        </w:rPr>
        <w:t xml:space="preserve"> have required additional personnel (and </w:t>
      </w:r>
      <w:r w:rsidR="003E2C64">
        <w:rPr>
          <w:rFonts w:eastAsiaTheme="minorHAnsi"/>
        </w:rPr>
        <w:t>the related expenditure associated with this</w:t>
      </w:r>
      <w:r w:rsidR="005D09C8" w:rsidRPr="00F36A0F">
        <w:rPr>
          <w:rFonts w:eastAsiaTheme="minorHAnsi"/>
        </w:rPr>
        <w:t>) and</w:t>
      </w:r>
      <w:r w:rsidR="003E2C64">
        <w:rPr>
          <w:rFonts w:eastAsiaTheme="minorHAnsi"/>
        </w:rPr>
        <w:t xml:space="preserve"> they would have </w:t>
      </w:r>
      <w:r w:rsidR="005D09C8" w:rsidRPr="00F36A0F">
        <w:rPr>
          <w:rFonts w:eastAsiaTheme="minorHAnsi"/>
        </w:rPr>
        <w:t xml:space="preserve">reduced the ability of practices and </w:t>
      </w:r>
      <w:r w:rsidR="00341968">
        <w:rPr>
          <w:rFonts w:eastAsiaTheme="minorHAnsi"/>
        </w:rPr>
        <w:t>C</w:t>
      </w:r>
      <w:r w:rsidR="00341968" w:rsidRPr="00F36A0F">
        <w:rPr>
          <w:rFonts w:eastAsiaTheme="minorHAnsi"/>
        </w:rPr>
        <w:t xml:space="preserve">are </w:t>
      </w:r>
      <w:r w:rsidR="00341968">
        <w:rPr>
          <w:rFonts w:eastAsiaTheme="minorHAnsi"/>
        </w:rPr>
        <w:t>F</w:t>
      </w:r>
      <w:r w:rsidR="00341968" w:rsidRPr="00F36A0F">
        <w:rPr>
          <w:rFonts w:eastAsiaTheme="minorHAnsi"/>
        </w:rPr>
        <w:t xml:space="preserve">acilitators </w:t>
      </w:r>
      <w:r w:rsidR="005D09C8" w:rsidRPr="00F36A0F">
        <w:rPr>
          <w:rFonts w:eastAsiaTheme="minorHAnsi"/>
        </w:rPr>
        <w:t>to rapidly identify and fix problems.</w:t>
      </w:r>
    </w:p>
    <w:p w14:paraId="6312E022" w14:textId="77777777" w:rsidR="00DC69C1" w:rsidRDefault="00DC69C1" w:rsidP="00DC69C1">
      <w:pPr>
        <w:rPr>
          <w:rFonts w:eastAsiaTheme="minorHAnsi"/>
        </w:rPr>
      </w:pPr>
      <w:r w:rsidRPr="00DC69C1">
        <w:rPr>
          <w:rFonts w:eastAsiaTheme="minorHAnsi"/>
        </w:rPr>
        <w:t xml:space="preserve">One of the important differences between Group 1 and Group 2 was the rate at which clinicians adopted the IT tool. </w:t>
      </w:r>
      <w:r w:rsidR="000537A3">
        <w:rPr>
          <w:rFonts w:eastAsiaTheme="minorHAnsi"/>
        </w:rPr>
        <w:t xml:space="preserve">In Group 2, </w:t>
      </w:r>
      <w:r w:rsidRPr="00DC69C1">
        <w:rPr>
          <w:rFonts w:eastAsiaTheme="minorHAnsi"/>
        </w:rPr>
        <w:t xml:space="preserve">GPs used it twice as often, Practices Nurses used it three times as often, and AHPs used </w:t>
      </w:r>
      <w:r w:rsidRPr="00DC69C1">
        <w:rPr>
          <w:rFonts w:eastAsiaTheme="minorHAnsi"/>
        </w:rPr>
        <w:lastRenderedPageBreak/>
        <w:t>it six times as often as their counterparts in Group 1. While both groups received the same training and technical support, use of the system in Group 2 was most likely reinforced by the tool’s automated payment functionality, and by the presence of Care Facilitators who supported its adoption. This highlights the interconnected nature of the changes introduced to Group 2—they tended to reinforce each other, and it is likely</w:t>
      </w:r>
      <w:r w:rsidR="00341968">
        <w:rPr>
          <w:rFonts w:eastAsiaTheme="minorHAnsi"/>
        </w:rPr>
        <w:t xml:space="preserve"> that</w:t>
      </w:r>
      <w:r w:rsidRPr="00DC69C1">
        <w:rPr>
          <w:rFonts w:eastAsiaTheme="minorHAnsi"/>
        </w:rPr>
        <w:t xml:space="preserve"> the intervention would have been less effective</w:t>
      </w:r>
      <w:r w:rsidR="00341968">
        <w:rPr>
          <w:rFonts w:eastAsiaTheme="minorHAnsi"/>
        </w:rPr>
        <w:t xml:space="preserve"> had some of the elements been removed</w:t>
      </w:r>
      <w:r w:rsidRPr="00DC69C1">
        <w:rPr>
          <w:rFonts w:eastAsiaTheme="minorHAnsi"/>
        </w:rPr>
        <w:t xml:space="preserve">. </w:t>
      </w:r>
    </w:p>
    <w:p w14:paraId="662D7029" w14:textId="77777777" w:rsidR="006F73C8" w:rsidRPr="00F36A0F" w:rsidRDefault="005D09C8" w:rsidP="005D09C8">
      <w:pPr>
        <w:rPr>
          <w:rFonts w:eastAsiaTheme="minorHAnsi"/>
        </w:rPr>
      </w:pPr>
      <w:r w:rsidRPr="00F36A0F">
        <w:rPr>
          <w:rFonts w:eastAsiaTheme="minorHAnsi"/>
        </w:rPr>
        <w:t xml:space="preserve">As described in Chapter 2, there were nine key functionalities of the IT tool: patient </w:t>
      </w:r>
      <w:r w:rsidR="006F73C8" w:rsidRPr="00F36A0F">
        <w:rPr>
          <w:rFonts w:eastAsiaTheme="minorHAnsi"/>
        </w:rPr>
        <w:t>registration, risk scoring, care</w:t>
      </w:r>
      <w:r w:rsidRPr="00F36A0F">
        <w:rPr>
          <w:rFonts w:eastAsiaTheme="minorHAnsi"/>
        </w:rPr>
        <w:t xml:space="preserve"> planning and clinical protocols, </w:t>
      </w:r>
      <w:r w:rsidR="00776F88" w:rsidRPr="00F36A0F">
        <w:rPr>
          <w:rFonts w:eastAsiaTheme="minorHAnsi"/>
        </w:rPr>
        <w:t>provider</w:t>
      </w:r>
      <w:r w:rsidRPr="00F36A0F">
        <w:rPr>
          <w:rFonts w:eastAsiaTheme="minorHAnsi"/>
        </w:rPr>
        <w:t xml:space="preserve"> bookings, care tracking, </w:t>
      </w:r>
      <w:r w:rsidR="00DC69C1">
        <w:rPr>
          <w:rFonts w:eastAsiaTheme="minorHAnsi"/>
        </w:rPr>
        <w:t xml:space="preserve">a </w:t>
      </w:r>
      <w:r w:rsidRPr="00F36A0F">
        <w:rPr>
          <w:rFonts w:eastAsiaTheme="minorHAnsi"/>
        </w:rPr>
        <w:t xml:space="preserve">common patient record, </w:t>
      </w:r>
      <w:r w:rsidR="00DC69C1">
        <w:rPr>
          <w:rFonts w:eastAsiaTheme="minorHAnsi"/>
        </w:rPr>
        <w:t>a</w:t>
      </w:r>
      <w:r w:rsidR="00FB4769">
        <w:rPr>
          <w:rFonts w:eastAsiaTheme="minorHAnsi"/>
        </w:rPr>
        <w:t> </w:t>
      </w:r>
      <w:r w:rsidRPr="00F36A0F">
        <w:rPr>
          <w:rFonts w:eastAsiaTheme="minorHAnsi"/>
        </w:rPr>
        <w:t xml:space="preserve">patient portal, performance management and analytics, and billing management. While all of these elements may be individually available in the marketplace today in some form, none of </w:t>
      </w:r>
      <w:r w:rsidR="00402232" w:rsidRPr="00F36A0F">
        <w:rPr>
          <w:rFonts w:eastAsiaTheme="minorHAnsi"/>
        </w:rPr>
        <w:t>them are</w:t>
      </w:r>
      <w:r w:rsidRPr="00F36A0F">
        <w:rPr>
          <w:rFonts w:eastAsiaTheme="minorHAnsi"/>
        </w:rPr>
        <w:t xml:space="preserve"> yet at scale nationally. Current </w:t>
      </w:r>
      <w:r w:rsidR="00DC69C1">
        <w:rPr>
          <w:rFonts w:eastAsiaTheme="minorHAnsi"/>
        </w:rPr>
        <w:t>Commonwealth</w:t>
      </w:r>
      <w:r w:rsidRPr="00F36A0F">
        <w:rPr>
          <w:rFonts w:eastAsiaTheme="minorHAnsi"/>
        </w:rPr>
        <w:t xml:space="preserve"> initiatives have so far focused primarily on infrastructure such as a standard patient identifier</w:t>
      </w:r>
      <w:r w:rsidR="006F73C8" w:rsidRPr="00F36A0F">
        <w:rPr>
          <w:rFonts w:eastAsiaTheme="minorHAnsi"/>
        </w:rPr>
        <w:t>s,</w:t>
      </w:r>
      <w:r w:rsidRPr="00F36A0F">
        <w:rPr>
          <w:rFonts w:eastAsiaTheme="minorHAnsi"/>
        </w:rPr>
        <w:t xml:space="preserve"> secure messaging and </w:t>
      </w:r>
      <w:r w:rsidR="00DC69C1">
        <w:rPr>
          <w:rFonts w:eastAsiaTheme="minorHAnsi"/>
        </w:rPr>
        <w:t xml:space="preserve">record </w:t>
      </w:r>
      <w:r w:rsidRPr="00F36A0F">
        <w:rPr>
          <w:rFonts w:eastAsiaTheme="minorHAnsi"/>
        </w:rPr>
        <w:t>sharing (</w:t>
      </w:r>
      <w:r w:rsidR="006F73C8" w:rsidRPr="00F36A0F">
        <w:rPr>
          <w:rFonts w:eastAsiaTheme="minorHAnsi"/>
        </w:rPr>
        <w:t>e.g</w:t>
      </w:r>
      <w:r w:rsidRPr="00F36A0F">
        <w:rPr>
          <w:rFonts w:eastAsiaTheme="minorHAnsi"/>
        </w:rPr>
        <w:t>. the P</w:t>
      </w:r>
      <w:r w:rsidR="006F73C8" w:rsidRPr="00F36A0F">
        <w:rPr>
          <w:rFonts w:eastAsiaTheme="minorHAnsi"/>
        </w:rPr>
        <w:t xml:space="preserve">ersonally </w:t>
      </w:r>
      <w:r w:rsidRPr="00F36A0F">
        <w:rPr>
          <w:rFonts w:eastAsiaTheme="minorHAnsi"/>
        </w:rPr>
        <w:t>C</w:t>
      </w:r>
      <w:r w:rsidR="006F73C8" w:rsidRPr="00F36A0F">
        <w:rPr>
          <w:rFonts w:eastAsiaTheme="minorHAnsi"/>
        </w:rPr>
        <w:t>ontrolled Electronic Health Record)</w:t>
      </w:r>
      <w:r w:rsidRPr="00F36A0F">
        <w:rPr>
          <w:rFonts w:eastAsiaTheme="minorHAnsi"/>
        </w:rPr>
        <w:t xml:space="preserve">. Once </w:t>
      </w:r>
      <w:r w:rsidR="00235B23">
        <w:rPr>
          <w:rFonts w:eastAsiaTheme="minorHAnsi"/>
        </w:rPr>
        <w:t>this</w:t>
      </w:r>
      <w:r w:rsidR="00235B23" w:rsidRPr="00F36A0F">
        <w:rPr>
          <w:rFonts w:eastAsiaTheme="minorHAnsi"/>
        </w:rPr>
        <w:t xml:space="preserve"> </w:t>
      </w:r>
      <w:r w:rsidR="006F73C8" w:rsidRPr="00F36A0F">
        <w:rPr>
          <w:rFonts w:eastAsiaTheme="minorHAnsi"/>
        </w:rPr>
        <w:t>infrastructure</w:t>
      </w:r>
      <w:r w:rsidRPr="00F36A0F">
        <w:rPr>
          <w:rFonts w:eastAsiaTheme="minorHAnsi"/>
        </w:rPr>
        <w:t xml:space="preserve"> </w:t>
      </w:r>
      <w:r w:rsidR="00DC69C1">
        <w:rPr>
          <w:rFonts w:eastAsiaTheme="minorHAnsi"/>
        </w:rPr>
        <w:t>has been</w:t>
      </w:r>
      <w:r w:rsidRPr="00F36A0F">
        <w:rPr>
          <w:rFonts w:eastAsiaTheme="minorHAnsi"/>
        </w:rPr>
        <w:t xml:space="preserve"> established</w:t>
      </w:r>
      <w:r w:rsidR="00235B23">
        <w:rPr>
          <w:rFonts w:eastAsiaTheme="minorHAnsi"/>
        </w:rPr>
        <w:t xml:space="preserve"> in the general practice setting</w:t>
      </w:r>
      <w:r w:rsidR="00DC69C1">
        <w:rPr>
          <w:rFonts w:eastAsiaTheme="minorHAnsi"/>
        </w:rPr>
        <w:t>,</w:t>
      </w:r>
      <w:r w:rsidRPr="00F36A0F">
        <w:rPr>
          <w:rFonts w:eastAsiaTheme="minorHAnsi"/>
        </w:rPr>
        <w:t xml:space="preserve"> the next step </w:t>
      </w:r>
      <w:r w:rsidR="00235B23">
        <w:rPr>
          <w:rFonts w:eastAsiaTheme="minorHAnsi"/>
        </w:rPr>
        <w:t>may</w:t>
      </w:r>
      <w:r w:rsidR="00235B23" w:rsidRPr="00F36A0F">
        <w:rPr>
          <w:rFonts w:eastAsiaTheme="minorHAnsi"/>
        </w:rPr>
        <w:t xml:space="preserve"> </w:t>
      </w:r>
      <w:r w:rsidRPr="00F36A0F">
        <w:rPr>
          <w:rFonts w:eastAsiaTheme="minorHAnsi"/>
        </w:rPr>
        <w:t>be to add the type of</w:t>
      </w:r>
      <w:r w:rsidR="00B72609" w:rsidRPr="00F36A0F">
        <w:rPr>
          <w:rFonts w:eastAsiaTheme="minorHAnsi"/>
        </w:rPr>
        <w:t xml:space="preserve"> functionality </w:t>
      </w:r>
      <w:r w:rsidR="00235B23">
        <w:rPr>
          <w:rFonts w:eastAsiaTheme="minorHAnsi"/>
        </w:rPr>
        <w:t>demonstrated</w:t>
      </w:r>
      <w:r w:rsidR="00235B23" w:rsidRPr="00F36A0F">
        <w:rPr>
          <w:rFonts w:eastAsiaTheme="minorHAnsi"/>
        </w:rPr>
        <w:t xml:space="preserve"> </w:t>
      </w:r>
      <w:r w:rsidR="00B72609" w:rsidRPr="00F36A0F">
        <w:rPr>
          <w:rFonts w:eastAsiaTheme="minorHAnsi"/>
        </w:rPr>
        <w:t>in the DCP</w:t>
      </w:r>
      <w:r w:rsidR="006F73C8" w:rsidRPr="00F36A0F">
        <w:rPr>
          <w:rFonts w:eastAsiaTheme="minorHAnsi"/>
        </w:rPr>
        <w:t>.</w:t>
      </w:r>
    </w:p>
    <w:p w14:paraId="7834BFBD" w14:textId="77777777" w:rsidR="005D09C8" w:rsidRPr="00D05983" w:rsidRDefault="00550048" w:rsidP="005D09C8">
      <w:pPr>
        <w:rPr>
          <w:rFonts w:eastAsiaTheme="minorHAnsi"/>
          <w:vertAlign w:val="superscript"/>
        </w:rPr>
      </w:pPr>
      <w:r w:rsidRPr="00550048">
        <w:t xml:space="preserve">The continuous quality improvement processes were also an important part of the improvements seen in Group 2. These discussions provided an opportunity to communicate progress towards QISP outcomes and, when needed, alter course. Anecdotal feedback from </w:t>
      </w:r>
      <w:r w:rsidR="002E5DF6" w:rsidRPr="002E5DF6">
        <w:t xml:space="preserve">primary care organisations </w:t>
      </w:r>
      <w:r w:rsidRPr="00550048">
        <w:t>suggests that without these discussions, the QISP payments and performance reports would not have been well communicated to many clinicians.</w:t>
      </w:r>
      <w:r w:rsidRPr="00550048">
        <w:rPr>
          <w:rFonts w:eastAsiaTheme="minorHAnsi"/>
        </w:rPr>
        <w:t xml:space="preserve"> </w:t>
      </w:r>
      <w:r w:rsidR="005D09C8" w:rsidRPr="00F36A0F">
        <w:rPr>
          <w:rFonts w:eastAsiaTheme="minorHAnsi"/>
        </w:rPr>
        <w:t>This is consistent with observations from other studies of clinical incentive programs</w:t>
      </w:r>
      <w:r w:rsidR="005D5ED7">
        <w:rPr>
          <w:rFonts w:eastAsiaTheme="minorHAnsi"/>
        </w:rPr>
        <w:t>,</w:t>
      </w:r>
      <w:r w:rsidR="005D09C8" w:rsidRPr="00F36A0F">
        <w:rPr>
          <w:rFonts w:eastAsiaTheme="minorHAnsi"/>
        </w:rPr>
        <w:t xml:space="preserve"> which have found that fostering ‘extensive and direct communication with involved providers’ results in positive effects on outcomes.</w:t>
      </w:r>
      <w:r w:rsidR="00541EF8">
        <w:rPr>
          <w:rFonts w:eastAsiaTheme="minorHAnsi"/>
          <w:vertAlign w:val="superscript"/>
        </w:rPr>
        <w:fldChar w:fldCharType="begin" w:fldLock="1"/>
      </w:r>
      <w:r w:rsidR="00113335">
        <w:rPr>
          <w:rFonts w:eastAsiaTheme="minorHAnsi"/>
          <w:vertAlign w:val="superscript"/>
        </w:rPr>
        <w:instrText>ADDIN CSL_CITATION { "citationItems" : [ { "id" : "ITEM-1", "itemData" : { "DOI" : "10.1186/1472-6963-10-247", "ISSN" : "1472-6963", "PMID" : "20731816", "abstract" : "BACKGROUND: Pay-for-performance (P4P) is one of the primary tools used to support healthcare delivery reform. Substantial heterogeneity exists in the development and implementation of P4P in health care and its effects. This paper summarizes evidence, obtained from studies published between January 1990 and July 2009, concerning P4P effects, as well as evidence on the impact of design choices and contextual mediators on these effects. Effect domains include clinical effectiveness, access and equity, coordination and continuity, patient-centeredness, and cost-effectiveness.\n\nMETHODS: The systematic review made use of electronic database searching, reference screening, forward citation tracking and expert consultation. The following databases were searched: Cochrane Library, EconLit, Embase, Medline, PsychINFO, and Web of Science. Studies that evaluate P4P effects in primary care or acute hospital care medicine were included. Papers concerning other target groups or settings, having no empirical evaluation design or not complying with the P4P definition were excluded. According to study design nine validated quality appraisal tools and reporting statements were applied. Data were extracted and summarized into evidence tables independently by two reviewers.\n\nRESULTS: One hundred twenty-eight evaluation studies provide a large body of evidence -to be interpreted with caution- concerning the effects of P4P on clinical effectiveness and equity of care. However, less evidence on the impact on coordination, continuity, patient-centeredness and cost-effectiveness was found. P4P effects can be judged to be encouraging or disappointing, depending on the primary mission of the P4P program: supporting minimal quality standards and/or boosting quality improvement. Moreover, the effects of P4P interventions varied according to design choices and characteristics of the context in which it was introduced.Future P4P programs should (1) select and define P4P targets on the basis of baseline room for improvement, (2) make use of process and (intermediary) outcome indicators as target measures, (3) involve stakeholders and communicate information about the programs thoroughly and directly, (4) implement a uniform P4P design across payers, (5) focus on both quality improvement and achievement, and (6) distribute incentives to the individual and/or team level.\n\nCONCLUSIONS: P4P programs result in the full spectrum of possible effects for specific targets, from absent or negli\u2026", "author" : [ { "dropping-particle" : "", "family" : "Herck", "given" : "Pieter", "non-dropping-particle" : "Van", "parse-names" : false, "suffix" : "" }, { "dropping-particle" : "", "family" : "Smedt", "given" : "Delphine", "non-dropping-particle" : "De", "parse-names" : false, "suffix" : "" }, { "dropping-particle" : "", "family" : "Annemans", "given" : "Lieven", "non-dropping-particle" : "", "parse-names" : false, "suffix" : "" }, { "dropping-particle" : "", "family" : "Remmen", "given" : "Roy", "non-dropping-particle" : "", "parse-names" : false, "suffix" : "" }, { "dropping-particle" : "", "family" : "Rosenthal", "given" : "Meredith B", "non-dropping-particle" : "", "parse-names" : false, "suffix" : "" }, { "dropping-particle" : "", "family" : "Sermeus", "given" : "Walter", "non-dropping-particle" : "", "parse-names" : false, "suffix" : "" } ], "container-title" : "BMC health services research", "id" : "ITEM-1", "issued" : { "date-parts" : [ [ "2010", "1" ] ] }, "page" : "247", "title" : "Systematic review: Effects, design choices, and context of pay-for-performance in health care.", "type" : "article-journal", "volume" : "10" }, "uris" : [ "http://www.mendeley.com/documents/?uuid=37d10299-976f-479b-9776-13ad47250855" ] } ], "mendeley" : { "previouslyFormattedCitation" : "&lt;sup&gt;29&lt;/sup&gt;" }, "properties" : { "noteIndex" : 0 }, "schema" : "https://github.com/citation-style-language/schema/raw/master/csl-citation.json" }</w:instrText>
      </w:r>
      <w:r w:rsidR="00541EF8">
        <w:rPr>
          <w:rFonts w:eastAsiaTheme="minorHAnsi"/>
          <w:vertAlign w:val="superscript"/>
        </w:rPr>
        <w:fldChar w:fldCharType="separate"/>
      </w:r>
      <w:r w:rsidR="00113335" w:rsidRPr="00113335">
        <w:rPr>
          <w:rFonts w:eastAsiaTheme="minorHAnsi"/>
          <w:noProof/>
          <w:vertAlign w:val="superscript"/>
        </w:rPr>
        <w:t>29</w:t>
      </w:r>
      <w:r w:rsidR="00541EF8">
        <w:rPr>
          <w:rFonts w:eastAsiaTheme="minorHAnsi"/>
          <w:vertAlign w:val="superscript"/>
        </w:rPr>
        <w:fldChar w:fldCharType="end"/>
      </w:r>
      <w:r w:rsidR="005D09C8" w:rsidRPr="0011645E">
        <w:rPr>
          <w:rFonts w:eastAsiaTheme="minorHAnsi"/>
        </w:rPr>
        <w:t xml:space="preserve"> Practices generally appreciated seeing their performance data in an easy-to-understand format</w:t>
      </w:r>
      <w:r>
        <w:rPr>
          <w:rFonts w:eastAsiaTheme="minorHAnsi"/>
        </w:rPr>
        <w:t>,</w:t>
      </w:r>
      <w:r w:rsidR="005D09C8" w:rsidRPr="0011645E">
        <w:rPr>
          <w:rFonts w:eastAsiaTheme="minorHAnsi"/>
        </w:rPr>
        <w:t xml:space="preserve"> and</w:t>
      </w:r>
      <w:r>
        <w:rPr>
          <w:rFonts w:eastAsiaTheme="minorHAnsi"/>
        </w:rPr>
        <w:t xml:space="preserve"> they</w:t>
      </w:r>
      <w:r w:rsidR="005D09C8" w:rsidRPr="0011645E">
        <w:rPr>
          <w:rFonts w:eastAsiaTheme="minorHAnsi"/>
        </w:rPr>
        <w:t xml:space="preserve"> responded positively to seeing t</w:t>
      </w:r>
      <w:r w:rsidR="00476D9B" w:rsidRPr="0011645E">
        <w:rPr>
          <w:rFonts w:eastAsiaTheme="minorHAnsi"/>
        </w:rPr>
        <w:t>heir outcomes rela</w:t>
      </w:r>
      <w:r w:rsidR="00246BC3">
        <w:rPr>
          <w:rFonts w:eastAsiaTheme="minorHAnsi"/>
        </w:rPr>
        <w:t xml:space="preserve">tive to peers. </w:t>
      </w:r>
      <w:r w:rsidR="00476D9B" w:rsidRPr="0011645E">
        <w:rPr>
          <w:rFonts w:eastAsiaTheme="minorHAnsi"/>
        </w:rPr>
        <w:t xml:space="preserve">In a comment </w:t>
      </w:r>
      <w:r w:rsidR="00476D9B" w:rsidRPr="00F36A0F">
        <w:rPr>
          <w:rFonts w:eastAsiaTheme="minorHAnsi"/>
        </w:rPr>
        <w:t xml:space="preserve">that was indicative of </w:t>
      </w:r>
      <w:r w:rsidR="005D5ED7">
        <w:rPr>
          <w:rFonts w:eastAsiaTheme="minorHAnsi"/>
        </w:rPr>
        <w:t xml:space="preserve">feedback from </w:t>
      </w:r>
      <w:r w:rsidR="00476D9B" w:rsidRPr="00F36A0F">
        <w:rPr>
          <w:rFonts w:eastAsiaTheme="minorHAnsi"/>
        </w:rPr>
        <w:t>several practice staff involved in the DCP, a GP stated “The statistics were great, because you could have a look at them per</w:t>
      </w:r>
      <w:r w:rsidR="00246BC3">
        <w:rPr>
          <w:rFonts w:eastAsiaTheme="minorHAnsi"/>
        </w:rPr>
        <w:t xml:space="preserve">sonally and question yourself. </w:t>
      </w:r>
      <w:r w:rsidR="00476D9B" w:rsidRPr="00F36A0F">
        <w:rPr>
          <w:rFonts w:eastAsiaTheme="minorHAnsi"/>
        </w:rPr>
        <w:t>And that was nice… it gave you an</w:t>
      </w:r>
      <w:r w:rsidR="0019224D">
        <w:rPr>
          <w:rFonts w:eastAsiaTheme="minorHAnsi"/>
        </w:rPr>
        <w:t xml:space="preserve"> idea of how you were going.”</w:t>
      </w:r>
      <w:r w:rsidR="005D09C8" w:rsidRPr="00F36A0F">
        <w:rPr>
          <w:rFonts w:eastAsiaTheme="minorHAnsi"/>
        </w:rPr>
        <w:t xml:space="preserve"> This is consistent with experiences from the </w:t>
      </w:r>
      <w:r w:rsidR="002253EA" w:rsidRPr="00F36A0F">
        <w:rPr>
          <w:rFonts w:eastAsiaTheme="minorHAnsi"/>
        </w:rPr>
        <w:t>Australian Primary Care Collaboratives Program</w:t>
      </w:r>
      <w:r w:rsidR="005D5ED7">
        <w:rPr>
          <w:rFonts w:eastAsiaTheme="minorHAnsi"/>
        </w:rPr>
        <w:t>,</w:t>
      </w:r>
      <w:r w:rsidR="00C96AB0" w:rsidRPr="00F36A0F">
        <w:rPr>
          <w:rFonts w:eastAsiaTheme="minorHAnsi"/>
        </w:rPr>
        <w:t xml:space="preserve"> which</w:t>
      </w:r>
      <w:r w:rsidR="00A23600">
        <w:rPr>
          <w:rFonts w:eastAsiaTheme="minorHAnsi"/>
        </w:rPr>
        <w:t xml:space="preserve"> encourages</w:t>
      </w:r>
      <w:r w:rsidR="00246BC3">
        <w:rPr>
          <w:rFonts w:eastAsiaTheme="minorHAnsi"/>
        </w:rPr>
        <w:t xml:space="preserve"> </w:t>
      </w:r>
      <w:r w:rsidR="00C96AB0" w:rsidRPr="00F36A0F">
        <w:rPr>
          <w:rFonts w:eastAsiaTheme="minorHAnsi"/>
        </w:rPr>
        <w:t xml:space="preserve">practices to communicate </w:t>
      </w:r>
      <w:r w:rsidR="005D5ED7">
        <w:rPr>
          <w:rFonts w:eastAsiaTheme="minorHAnsi"/>
        </w:rPr>
        <w:t>with</w:t>
      </w:r>
      <w:r w:rsidR="005D5ED7" w:rsidRPr="00F36A0F">
        <w:rPr>
          <w:rFonts w:eastAsiaTheme="minorHAnsi"/>
        </w:rPr>
        <w:t xml:space="preserve"> </w:t>
      </w:r>
      <w:r w:rsidR="00C96AB0" w:rsidRPr="00F36A0F">
        <w:rPr>
          <w:rFonts w:eastAsiaTheme="minorHAnsi"/>
        </w:rPr>
        <w:t xml:space="preserve">each other, share data and </w:t>
      </w:r>
      <w:r w:rsidR="00A23600">
        <w:rPr>
          <w:rFonts w:eastAsiaTheme="minorHAnsi"/>
        </w:rPr>
        <w:t>participate in continuous improvement programs</w:t>
      </w:r>
      <w:r w:rsidR="00C96AB0" w:rsidRPr="00F36A0F">
        <w:rPr>
          <w:rFonts w:eastAsiaTheme="minorHAnsi"/>
        </w:rPr>
        <w:t>.</w:t>
      </w:r>
      <w:r w:rsidR="00541EF8">
        <w:rPr>
          <w:rFonts w:eastAsiaTheme="minorHAnsi"/>
          <w:vertAlign w:val="superscript"/>
        </w:rPr>
        <w:fldChar w:fldCharType="begin" w:fldLock="1"/>
      </w:r>
      <w:r w:rsidR="00113335">
        <w:rPr>
          <w:rFonts w:eastAsiaTheme="minorHAnsi"/>
          <w:vertAlign w:val="superscript"/>
        </w:rPr>
        <w:instrText>ADDIN CSL_CITATION { "citationItems" : [ { "id" : "ITEM-1", "itemData" : { "DOI" : "10.1136/bmjqs-2011-000460", "ISSN" : "2044-5423", "PMID" : "22706929", "abstract" : "PROBLEM: Diabetes is a major, growing health problem often managed in primary care but with suboptimal control of risk factors.\n\nDESIGN: A large-scale quality improvement collaborative implemented in seven waves.\n\nSETTING: General practices and Aboriginal medical services across Australia.\n\nKEY MEASURES FOR IMPROVEMENT: Percentage of patients in each health service with haemoglobin A1C (HbA1C), total cholesterol and blood pressure at target.\n\nSTRATEGY FOR CHANGE: Health services attended three 2-day workshops, separated by 3-month activity periods and followed by 12 months of further improvement work. Local collaborative program managers supported teams to report measures and plan/do/study/act (PDSA) cycles monthly. Health services received feedback about changes in their measures in comparison with their wave.\n\nEFFECTS OF CHANGE: 743 health services participated in seven waves between 2004 and 2009 serving approximately 150,000 people with diabetes. Mean numbers of patients at target HbA1c levels improved by 50% from 25% at baseline to 38% at month 18. Lipid and blood pressure measures showed similar improvement.\n\nLESSONS LEARNT: Engagement in the Program and results demonstrated that the collaborative methodology is transferable to Australian primary care. The results may reflect improved data recording and disease coding, and changes in clinical care. Internal evaluation should be built into improvement projects from the start to facilitate improvements and reporting. Enthusing, training and resourcing practice teams appeared to be the key to rapid change. Local support of practice teams was instrumental in improvement. Early investment to facilitate automatic measure collection ensured good data reporting.", "author" : [ { "dropping-particle" : "", "family" : "Knight", "given" : "Andrew W", "non-dropping-particle" : "", "parse-names" : false, "suffix" : "" }, { "dropping-particle" : "", "family" : "Ford", "given" : "Dale", "non-dropping-particle" : "", "parse-names" : false, "suffix" : "" }, { "dropping-particle" : "", "family" : "Audehm", "given" : "Ralph", "non-dropping-particle" : "", "parse-names" : false, "suffix" : "" }, { "dropping-particle" : "", "family" : "Colagiuri", "given" : "Stephen", "non-dropping-particle" : "", "parse-names" : false, "suffix" : "" }, { "dropping-particle" : "", "family" : "Best", "given" : "James", "non-dropping-particle" : "", "parse-names" : false, "suffix" : "" } ], "container-title" : "BMJ quality &amp; safety", "id" : "ITEM-1", "issue" : "11", "issued" : { "date-parts" : [ [ "2012", "11" ] ] }, "page" : "956-63", "title" : "The Australian Primary Care Collaboratives Program: improving diabetes care.", "type" : "article-journal", "volume" : "21" }, "uris" : [ "http://www.mendeley.com/documents/?uuid=3f682337-dfc4-4d5b-b483-3a0e8cc574f3" ] } ], "mendeley" : { "previouslyFormattedCitation" : "&lt;sup&gt;50&lt;/sup&gt;" }, "properties" : { "noteIndex" : 0 }, "schema" : "https://github.com/citation-style-language/schema/raw/master/csl-citation.json" }</w:instrText>
      </w:r>
      <w:r w:rsidR="00541EF8">
        <w:rPr>
          <w:rFonts w:eastAsiaTheme="minorHAnsi"/>
          <w:vertAlign w:val="superscript"/>
        </w:rPr>
        <w:fldChar w:fldCharType="separate"/>
      </w:r>
      <w:r w:rsidR="00113335" w:rsidRPr="00113335">
        <w:rPr>
          <w:rFonts w:eastAsiaTheme="minorHAnsi"/>
          <w:noProof/>
          <w:vertAlign w:val="superscript"/>
        </w:rPr>
        <w:t>50</w:t>
      </w:r>
      <w:r w:rsidR="00541EF8">
        <w:rPr>
          <w:rFonts w:eastAsiaTheme="minorHAnsi"/>
          <w:vertAlign w:val="superscript"/>
        </w:rPr>
        <w:fldChar w:fldCharType="end"/>
      </w:r>
    </w:p>
    <w:p w14:paraId="1AACB69D" w14:textId="77777777" w:rsidR="00337D09" w:rsidRPr="00DA6CB0" w:rsidRDefault="00B44718" w:rsidP="00337D09">
      <w:pPr>
        <w:pStyle w:val="21minor"/>
        <w:rPr>
          <w:rFonts w:eastAsiaTheme="minorHAnsi"/>
          <w:b w:val="0"/>
        </w:rPr>
      </w:pPr>
      <w:r w:rsidRPr="00F36A0F">
        <w:rPr>
          <w:rFonts w:eastAsiaTheme="minorHAnsi"/>
        </w:rPr>
        <w:t>4.</w:t>
      </w:r>
      <w:r w:rsidR="00A51720">
        <w:rPr>
          <w:rFonts w:eastAsiaTheme="minorHAnsi"/>
        </w:rPr>
        <w:t>2.3.</w:t>
      </w:r>
      <w:r w:rsidRPr="00F36A0F">
        <w:rPr>
          <w:rFonts w:eastAsiaTheme="minorHAnsi"/>
        </w:rPr>
        <w:t xml:space="preserve"> </w:t>
      </w:r>
      <w:r w:rsidR="001B63C5" w:rsidRPr="00F36A0F">
        <w:rPr>
          <w:rFonts w:eastAsiaTheme="minorHAnsi"/>
        </w:rPr>
        <w:t>Recommendation 3</w:t>
      </w:r>
      <w:r w:rsidR="00A51720">
        <w:rPr>
          <w:rFonts w:eastAsiaTheme="minorHAnsi"/>
        </w:rPr>
        <w:t xml:space="preserve">: </w:t>
      </w:r>
      <w:r w:rsidR="00337D09" w:rsidRPr="00DA6CB0">
        <w:rPr>
          <w:rFonts w:eastAsiaTheme="minorHAnsi"/>
          <w:b w:val="0"/>
        </w:rPr>
        <w:t>Better integrate primary and secondary care and r</w:t>
      </w:r>
      <w:r w:rsidR="004B7C4F" w:rsidRPr="00DA6CB0">
        <w:rPr>
          <w:rFonts w:eastAsiaTheme="minorHAnsi"/>
          <w:b w:val="0"/>
        </w:rPr>
        <w:t>educe avoidable hospital costs</w:t>
      </w:r>
    </w:p>
    <w:p w14:paraId="6EE66FBC" w14:textId="77777777" w:rsidR="00AD49C1" w:rsidRDefault="00AD49C1" w:rsidP="002F6315">
      <w:pPr>
        <w:rPr>
          <w:rFonts w:eastAsiaTheme="minorHAnsi"/>
        </w:rPr>
      </w:pPr>
      <w:r w:rsidRPr="00F36A0F">
        <w:rPr>
          <w:rFonts w:eastAsiaTheme="minorHAnsi"/>
        </w:rPr>
        <w:t xml:space="preserve">The baseline data from the DCP highlighted </w:t>
      </w:r>
      <w:r w:rsidR="005D5ED7">
        <w:rPr>
          <w:rFonts w:eastAsiaTheme="minorHAnsi"/>
        </w:rPr>
        <w:t xml:space="preserve">that </w:t>
      </w:r>
      <w:r w:rsidRPr="00F36A0F">
        <w:rPr>
          <w:rFonts w:eastAsiaTheme="minorHAnsi"/>
        </w:rPr>
        <w:t xml:space="preserve">hospital costs </w:t>
      </w:r>
      <w:r w:rsidR="00C603BE">
        <w:rPr>
          <w:rFonts w:eastAsiaTheme="minorHAnsi"/>
        </w:rPr>
        <w:t xml:space="preserve">were highly concentrated </w:t>
      </w:r>
      <w:r w:rsidRPr="00F36A0F">
        <w:rPr>
          <w:rFonts w:eastAsiaTheme="minorHAnsi"/>
        </w:rPr>
        <w:t xml:space="preserve">in a relatively small </w:t>
      </w:r>
      <w:r w:rsidR="00C603BE">
        <w:rPr>
          <w:rFonts w:eastAsiaTheme="minorHAnsi"/>
        </w:rPr>
        <w:t>portion</w:t>
      </w:r>
      <w:r w:rsidRPr="00F36A0F">
        <w:rPr>
          <w:rFonts w:eastAsiaTheme="minorHAnsi"/>
        </w:rPr>
        <w:t xml:space="preserve"> of the population. The</w:t>
      </w:r>
      <w:r w:rsidRPr="00F36A0F">
        <w:t xml:space="preserve"> most costly </w:t>
      </w:r>
      <w:r w:rsidR="00C603BE">
        <w:t>five</w:t>
      </w:r>
      <w:r w:rsidRPr="00F36A0F">
        <w:t xml:space="preserve"> percent </w:t>
      </w:r>
      <w:r w:rsidR="000537A3">
        <w:t>of participants accounted for 62</w:t>
      </w:r>
      <w:r w:rsidRPr="00F36A0F">
        <w:t xml:space="preserve"> percent of potentially-preventable hospit</w:t>
      </w:r>
      <w:r w:rsidR="000537A3">
        <w:t>al costs and 47</w:t>
      </w:r>
      <w:r w:rsidRPr="00F36A0F">
        <w:t xml:space="preserve"> percent of other hospital costs</w:t>
      </w:r>
      <w:r w:rsidRPr="00F36A0F">
        <w:rPr>
          <w:rFonts w:eastAsiaTheme="minorHAnsi"/>
        </w:rPr>
        <w:t xml:space="preserve">. Their average healthcare cost per year was $48,623, </w:t>
      </w:r>
      <w:r w:rsidR="005D5ED7">
        <w:rPr>
          <w:rFonts w:eastAsiaTheme="minorHAnsi"/>
        </w:rPr>
        <w:t>with</w:t>
      </w:r>
      <w:r w:rsidRPr="00F36A0F">
        <w:rPr>
          <w:rFonts w:eastAsiaTheme="minorHAnsi"/>
        </w:rPr>
        <w:t xml:space="preserve"> hospitalisation </w:t>
      </w:r>
      <w:r w:rsidR="005D5ED7">
        <w:rPr>
          <w:rFonts w:eastAsiaTheme="minorHAnsi"/>
        </w:rPr>
        <w:t>accounting for</w:t>
      </w:r>
      <w:r w:rsidR="005D5ED7" w:rsidRPr="00F36A0F">
        <w:rPr>
          <w:rFonts w:eastAsiaTheme="minorHAnsi"/>
        </w:rPr>
        <w:t xml:space="preserve"> </w:t>
      </w:r>
      <w:r w:rsidRPr="00F36A0F">
        <w:rPr>
          <w:rFonts w:eastAsiaTheme="minorHAnsi"/>
        </w:rPr>
        <w:t>$38,099</w:t>
      </w:r>
      <w:r w:rsidR="00763A1F">
        <w:rPr>
          <w:rFonts w:eastAsiaTheme="minorHAnsi"/>
        </w:rPr>
        <w:t xml:space="preserve"> of this cost</w:t>
      </w:r>
      <w:r w:rsidRPr="00F36A0F">
        <w:rPr>
          <w:rFonts w:eastAsiaTheme="minorHAnsi"/>
        </w:rPr>
        <w:t xml:space="preserve"> (78 percent)</w:t>
      </w:r>
      <w:r w:rsidR="007B64AA">
        <w:rPr>
          <w:rFonts w:eastAsiaTheme="minorHAnsi"/>
        </w:rPr>
        <w:t>. Finding</w:t>
      </w:r>
      <w:r>
        <w:rPr>
          <w:rFonts w:eastAsiaTheme="minorHAnsi"/>
        </w:rPr>
        <w:t xml:space="preserve"> ways to reduce hospitalisations </w:t>
      </w:r>
      <w:r w:rsidR="00C603BE">
        <w:rPr>
          <w:rFonts w:eastAsiaTheme="minorHAnsi"/>
        </w:rPr>
        <w:t>across</w:t>
      </w:r>
      <w:r>
        <w:rPr>
          <w:rFonts w:eastAsiaTheme="minorHAnsi"/>
        </w:rPr>
        <w:t xml:space="preserve"> this cohort of people will be </w:t>
      </w:r>
      <w:r w:rsidR="00763A1F">
        <w:rPr>
          <w:rFonts w:eastAsiaTheme="minorHAnsi"/>
        </w:rPr>
        <w:t xml:space="preserve">an </w:t>
      </w:r>
      <w:r>
        <w:rPr>
          <w:rFonts w:eastAsiaTheme="minorHAnsi"/>
        </w:rPr>
        <w:t xml:space="preserve">important </w:t>
      </w:r>
      <w:r w:rsidR="00763A1F">
        <w:rPr>
          <w:rFonts w:eastAsiaTheme="minorHAnsi"/>
        </w:rPr>
        <w:t xml:space="preserve">aspect of </w:t>
      </w:r>
      <w:r>
        <w:rPr>
          <w:rFonts w:eastAsiaTheme="minorHAnsi"/>
        </w:rPr>
        <w:t>improving the financial sustainability of the system.</w:t>
      </w:r>
    </w:p>
    <w:p w14:paraId="1959832C" w14:textId="77777777" w:rsidR="00C62EB3" w:rsidRDefault="008D18F1" w:rsidP="00C62EB3">
      <w:pPr>
        <w:jc w:val="both"/>
        <w:rPr>
          <w:lang w:val="en-US"/>
        </w:rPr>
      </w:pPr>
      <w:r w:rsidRPr="00F36A0F">
        <w:rPr>
          <w:rFonts w:eastAsiaTheme="minorHAnsi"/>
        </w:rPr>
        <w:t xml:space="preserve">It is possible to predict who is at risk of potentially preventable hospitalisations using data from the DCP. </w:t>
      </w:r>
      <w:r w:rsidR="00763A1F">
        <w:t>Admission</w:t>
      </w:r>
      <w:r w:rsidR="002F6315" w:rsidRPr="00F36A0F">
        <w:t xml:space="preserve"> for a </w:t>
      </w:r>
      <w:r w:rsidR="00C42888" w:rsidRPr="00F36A0F">
        <w:t>potentially-preventable hospitalisation</w:t>
      </w:r>
      <w:r w:rsidR="002F6315" w:rsidRPr="00F36A0F">
        <w:t xml:space="preserve"> </w:t>
      </w:r>
      <w:r w:rsidR="00AD49C1">
        <w:t xml:space="preserve">in the last 18 months is </w:t>
      </w:r>
      <w:r w:rsidR="002F6315" w:rsidRPr="00F36A0F">
        <w:t xml:space="preserve">the strongest predictor of </w:t>
      </w:r>
      <w:r w:rsidR="00763A1F">
        <w:t>readmission</w:t>
      </w:r>
      <w:r w:rsidR="00AD49C1">
        <w:t xml:space="preserve"> within the next 18 months</w:t>
      </w:r>
      <w:r w:rsidR="0071294E">
        <w:t xml:space="preserve"> </w:t>
      </w:r>
      <w:r w:rsidR="0071294E">
        <w:rPr>
          <w:lang w:val="en-US"/>
        </w:rPr>
        <w:t>(OR=2.89, 95% CI 1.59 – 5.26)</w:t>
      </w:r>
      <w:r w:rsidR="00AD49C1">
        <w:t xml:space="preserve">. </w:t>
      </w:r>
      <w:r w:rsidR="00A42D25">
        <w:t>The other significant</w:t>
      </w:r>
      <w:r w:rsidR="002F6315" w:rsidRPr="00F36A0F">
        <w:t xml:space="preserve"> predictor</w:t>
      </w:r>
      <w:r w:rsidR="00A42D25">
        <w:t>s</w:t>
      </w:r>
      <w:r w:rsidR="002F6315" w:rsidRPr="00F36A0F">
        <w:t xml:space="preserve"> </w:t>
      </w:r>
      <w:r w:rsidR="00C62EB3">
        <w:t xml:space="preserve">of potentially-preventable hospitalisations are </w:t>
      </w:r>
      <w:r w:rsidR="00C62EB3">
        <w:rPr>
          <w:lang w:val="en-US"/>
        </w:rPr>
        <w:t>being treated with insulin (OR=2.01, 95% CI 1.39 – 2.90</w:t>
      </w:r>
      <w:r w:rsidR="008F2F19">
        <w:rPr>
          <w:lang w:val="en-US"/>
        </w:rPr>
        <w:t>) and</w:t>
      </w:r>
      <w:r w:rsidR="000537A3" w:rsidRPr="000537A3">
        <w:rPr>
          <w:lang w:val="en-US"/>
        </w:rPr>
        <w:t xml:space="preserve"> </w:t>
      </w:r>
      <w:r w:rsidR="000537A3">
        <w:rPr>
          <w:lang w:val="en-US"/>
        </w:rPr>
        <w:t>age (</w:t>
      </w:r>
      <w:r w:rsidR="008F2F19">
        <w:rPr>
          <w:lang w:val="en-US"/>
        </w:rPr>
        <w:t>OR=1.04, 95% CI 1.02 – 1.05)</w:t>
      </w:r>
      <w:r w:rsidR="00C62EB3">
        <w:rPr>
          <w:lang w:val="en-US"/>
        </w:rPr>
        <w:t xml:space="preserve">. In terms of all hospitalisations (avoidable and not avoidable), there is a broader range of significant predictors including </w:t>
      </w:r>
      <w:r w:rsidR="00B40B25">
        <w:rPr>
          <w:lang w:val="en-US"/>
        </w:rPr>
        <w:t xml:space="preserve">previous admission within 18 months, coronary heart </w:t>
      </w:r>
      <w:r w:rsidR="00B40B25">
        <w:rPr>
          <w:lang w:val="en-US"/>
        </w:rPr>
        <w:lastRenderedPageBreak/>
        <w:t xml:space="preserve">disease, social disadvantage, depression, age, years since diabetes diagnosis, and urban/rural compared to metro locations (Appendix </w:t>
      </w:r>
      <w:r w:rsidR="002F23A2">
        <w:rPr>
          <w:lang w:val="en-US"/>
        </w:rPr>
        <w:t>3</w:t>
      </w:r>
      <w:r w:rsidR="00B40B25">
        <w:rPr>
          <w:lang w:val="en-US"/>
        </w:rPr>
        <w:t>).</w:t>
      </w:r>
    </w:p>
    <w:p w14:paraId="1A09FCD6" w14:textId="77777777" w:rsidR="000A2F00" w:rsidRDefault="000A2F00" w:rsidP="00EE318B">
      <w:pPr>
        <w:rPr>
          <w:rFonts w:eastAsiaTheme="minorHAnsi"/>
        </w:rPr>
      </w:pPr>
      <w:r w:rsidRPr="00EE318B">
        <w:rPr>
          <w:rFonts w:eastAsiaTheme="minorHAnsi"/>
        </w:rPr>
        <w:t>The DCP was not designed to specifically reduce avoidable hosp</w:t>
      </w:r>
      <w:r w:rsidR="005825CB">
        <w:rPr>
          <w:rFonts w:eastAsiaTheme="minorHAnsi"/>
        </w:rPr>
        <w:t>italisations in the short term</w:t>
      </w:r>
      <w:r w:rsidR="00F71968">
        <w:rPr>
          <w:rFonts w:eastAsiaTheme="minorHAnsi"/>
        </w:rPr>
        <w:t xml:space="preserve"> through, for example, close integration with hospital networks</w:t>
      </w:r>
      <w:r w:rsidR="005825CB">
        <w:rPr>
          <w:rFonts w:eastAsiaTheme="minorHAnsi"/>
        </w:rPr>
        <w:t>. Rather, it focused on coordinating</w:t>
      </w:r>
      <w:r w:rsidRPr="00EE318B">
        <w:rPr>
          <w:rFonts w:eastAsiaTheme="minorHAnsi"/>
        </w:rPr>
        <w:t xml:space="preserve"> primary care to improve long-term health indicators such as glycaemic control</w:t>
      </w:r>
      <w:r w:rsidR="00F71968">
        <w:rPr>
          <w:rFonts w:eastAsiaTheme="minorHAnsi"/>
        </w:rPr>
        <w:t>, among other outcomes</w:t>
      </w:r>
      <w:r w:rsidRPr="00EE318B">
        <w:rPr>
          <w:rFonts w:eastAsiaTheme="minorHAnsi"/>
        </w:rPr>
        <w:t xml:space="preserve">. While glycaemic control has been shown to reduce the long-term occurrence of diabetes-related complications and hospital costs, it </w:t>
      </w:r>
      <w:r w:rsidR="00F976FB">
        <w:rPr>
          <w:rFonts w:eastAsiaTheme="minorHAnsi"/>
        </w:rPr>
        <w:t>usually</w:t>
      </w:r>
      <w:r w:rsidRPr="00EE318B">
        <w:rPr>
          <w:rFonts w:eastAsiaTheme="minorHAnsi"/>
        </w:rPr>
        <w:t xml:space="preserve"> takes several years to </w:t>
      </w:r>
      <w:r w:rsidR="005825CB">
        <w:rPr>
          <w:rFonts w:eastAsiaTheme="minorHAnsi"/>
        </w:rPr>
        <w:t>see</w:t>
      </w:r>
      <w:r w:rsidRPr="00EE318B">
        <w:rPr>
          <w:rFonts w:eastAsiaTheme="minorHAnsi"/>
        </w:rPr>
        <w:t xml:space="preserve"> </w:t>
      </w:r>
      <w:r w:rsidR="00763A1F">
        <w:rPr>
          <w:rFonts w:eastAsiaTheme="minorHAnsi"/>
        </w:rPr>
        <w:t>an effect</w:t>
      </w:r>
      <w:r w:rsidRPr="00EE318B">
        <w:rPr>
          <w:rFonts w:eastAsiaTheme="minorHAnsi"/>
        </w:rPr>
        <w:t xml:space="preserve">. </w:t>
      </w:r>
      <w:r w:rsidR="00F50F97" w:rsidRPr="00EE318B">
        <w:rPr>
          <w:rFonts w:eastAsiaTheme="minorHAnsi"/>
        </w:rPr>
        <w:t>For example, research on the UKPDS over a ten year follow-up period has demonstrated that</w:t>
      </w:r>
      <w:r w:rsidR="00EE318B" w:rsidRPr="00EE318B">
        <w:rPr>
          <w:rFonts w:eastAsiaTheme="minorHAnsi"/>
        </w:rPr>
        <w:t xml:space="preserve"> for each one percent</w:t>
      </w:r>
      <w:r w:rsidR="00F50F97" w:rsidRPr="00EE318B">
        <w:rPr>
          <w:rFonts w:eastAsiaTheme="minorHAnsi"/>
        </w:rPr>
        <w:t xml:space="preserve"> reduction in mean HbA1c</w:t>
      </w:r>
      <w:r w:rsidR="00763A1F">
        <w:rPr>
          <w:rFonts w:eastAsiaTheme="minorHAnsi"/>
        </w:rPr>
        <w:t>,</w:t>
      </w:r>
      <w:r w:rsidR="00F50F97" w:rsidRPr="00EE318B">
        <w:rPr>
          <w:rFonts w:eastAsiaTheme="minorHAnsi"/>
        </w:rPr>
        <w:t xml:space="preserve"> there are significant reductions in risk</w:t>
      </w:r>
      <w:r w:rsidR="00763A1F">
        <w:rPr>
          <w:rFonts w:eastAsiaTheme="minorHAnsi"/>
        </w:rPr>
        <w:t>s</w:t>
      </w:r>
      <w:r w:rsidR="00F50F97" w:rsidRPr="00EE318B">
        <w:rPr>
          <w:rFonts w:eastAsiaTheme="minorHAnsi"/>
        </w:rPr>
        <w:t xml:space="preserve"> of </w:t>
      </w:r>
      <w:r w:rsidR="00EE318B" w:rsidRPr="00EE318B">
        <w:rPr>
          <w:rFonts w:eastAsiaTheme="minorHAnsi"/>
        </w:rPr>
        <w:t>death related to diabetes, myocardial infarction and microvascular complications</w:t>
      </w:r>
      <w:r w:rsidR="005A6600">
        <w:rPr>
          <w:rFonts w:eastAsiaTheme="minorHAnsi"/>
        </w:rPr>
        <w:t>.</w:t>
      </w:r>
      <w:r w:rsidR="00C95608">
        <w:rPr>
          <w:rFonts w:eastAsiaTheme="minorHAnsi"/>
          <w:vertAlign w:val="superscript"/>
        </w:rPr>
        <w:fldChar w:fldCharType="begin" w:fldLock="1"/>
      </w:r>
      <w:r w:rsidR="00113335">
        <w:rPr>
          <w:rFonts w:eastAsiaTheme="minorHAnsi"/>
          <w:vertAlign w:val="superscript"/>
        </w:rPr>
        <w:instrText>ADDIN CSL_CITATION { "citationItems" : [ { "id" : "ITEM-1", "itemData" : { "ISSN" : "0959-8138", "PMID" : "10938048", "abstract" : "OBJECTIVE: To determine the relation between exposure to glycaemia over time and the risk of macrovascular or microvascular complications in patients with type 2 diabetes. DESIGN: Prospective observational study. SETTING: 23 hospital based clinics in England, Scotland, and Northern Ireland. PARTICIPANTS: 4585 white, Asian Indian, and Afro-Caribbean UKPDS patients, whether randomised or not to treatment, were included in analyses of incidence; of these, 3642 were included in analyses of relative risk. OUTCOME MEASURES: Primary predefined aggregate clinical outcomes: any end point or deaths related to diabetes and all cause mortality. Secondary aggregate outcomes: myocardial infarction, stroke, amputation (including death from peripheral vascular disease), and microvascular disease (predominantly retinal photo-coagulation). Single end points: non-fatal heart failure and cataract extraction. Risk reduction associated with a 1% reduction in updated mean HbA(1c) adjusted for possible confounders at diagnosis of diabetes. RESULTS: The incidence of clinical complications was significantly associated with glycaemia. Each 1% reduction in updated mean HbA(1c) was associated with reductions in risk of 21% for any end point related to diabetes (95% confidence interval 17% to 24%, P&lt;0.0001), 21% for deaths related to diabetes (15% to 27%, P&lt;0.0001), 14% for myocardial infarction (8% to 21%, P&lt;0.0001), and 37% for microvascular complications (33% to 41%, P&lt;0.0001). No threshold of risk was observed for any end point. CONCLUSIONS: In patients with type 2 diabetes the risk of diabetic complications was strongly associated with previous hyperglycaemia. Any reduction in HbA(1c) is likely to reduce the risk of complications, with the lowest risk being in those with HbA(1c) values in the normal range (&lt;6.0%).", "author" : [ { "dropping-particle" : "", "family" : "Stratton", "given" : "I M", "non-dropping-particle" : "", "parse-names" : false, "suffix" : "" }, { "dropping-particle" : "", "family" : "Adler", "given" : "A I", "non-dropping-particle" : "", "parse-names" : false, "suffix" : "" }, { "dropping-particle" : "", "family" : "Neil", "given" : "H A", "non-dropping-particle" : "", "parse-names" : false, "suffix" : "" }, { "dropping-particle" : "", "family" : "Matthews", "given" : "D R", "non-dropping-particle" : "", "parse-names" : false, "suffix" : "" }, { "dropping-particle" : "", "family" : "Manley", "given" : "S E", "non-dropping-particle" : "", "parse-names" : false, "suffix" : "" }, { "dropping-particle" : "", "family" : "Cull", "given" : "C A", "non-dropping-particle" : "", "parse-names" : false, "suffix" : "" }, { "dropping-particle" : "", "family" : "Hadden", "given" : "D", "non-dropping-particle" : "", "parse-names" : false, "suffix" : "" }, { "dropping-particle" : "", "family" : "Turner", "given" : "R C", "non-dropping-particle" : "", "parse-names" : false, "suffix" : "" }, { "dropping-particle" : "", "family" : "Holman", "given" : "R R", "non-dropping-particle" : "", "parse-names" : false, "suffix" : "" } ], "container-title" : "BMJ (Clinical research ed.)", "id" : "ITEM-1", "issue" : "7258", "issued" : { "date-parts" : [ [ "2000", "8", "12" ] ] }, "page" : "405-12", "title" : "Association of glycaemia with macrovascular and microvascular complications of type 2 diabetes (UKPDS 35): prospective observational study.", "type" : "article-journal", "volume" : "321" }, "uris" : [ "http://www.mendeley.com/documents/?uuid=31a8d302-3f3a-46ad-b8c3-9929bdc1a426" ] } ], "mendeley" : { "previouslyFormattedCitation" : "&lt;sup&gt;45&lt;/sup&gt;" }, "properties" : { "noteIndex" : 0 }, "schema" : "https://github.com/citation-style-language/schema/raw/master/csl-citation.json" }</w:instrText>
      </w:r>
      <w:r w:rsidR="00C95608">
        <w:rPr>
          <w:rFonts w:eastAsiaTheme="minorHAnsi"/>
          <w:vertAlign w:val="superscript"/>
        </w:rPr>
        <w:fldChar w:fldCharType="separate"/>
      </w:r>
      <w:r w:rsidR="00113335" w:rsidRPr="00113335">
        <w:rPr>
          <w:rFonts w:eastAsiaTheme="minorHAnsi"/>
          <w:noProof/>
          <w:vertAlign w:val="superscript"/>
        </w:rPr>
        <w:t>45</w:t>
      </w:r>
      <w:r w:rsidR="00C95608">
        <w:rPr>
          <w:rFonts w:eastAsiaTheme="minorHAnsi"/>
          <w:vertAlign w:val="superscript"/>
        </w:rPr>
        <w:fldChar w:fldCharType="end"/>
      </w:r>
      <w:r w:rsidR="00F50F97" w:rsidRPr="00EE318B">
        <w:rPr>
          <w:rFonts w:eastAsiaTheme="minorHAnsi"/>
        </w:rPr>
        <w:t xml:space="preserve"> </w:t>
      </w:r>
      <w:r w:rsidR="00710477">
        <w:rPr>
          <w:rFonts w:eastAsiaTheme="minorHAnsi"/>
        </w:rPr>
        <w:t>In</w:t>
      </w:r>
      <w:r w:rsidRPr="00EE318B">
        <w:rPr>
          <w:rFonts w:eastAsiaTheme="minorHAnsi"/>
        </w:rPr>
        <w:t xml:space="preserve"> the DCP, Group 2 did show a trend to</w:t>
      </w:r>
      <w:r w:rsidR="005825CB">
        <w:rPr>
          <w:rFonts w:eastAsiaTheme="minorHAnsi"/>
        </w:rPr>
        <w:t>ward</w:t>
      </w:r>
      <w:r w:rsidRPr="00EE318B">
        <w:rPr>
          <w:rFonts w:eastAsiaTheme="minorHAnsi"/>
        </w:rPr>
        <w:t xml:space="preserve"> </w:t>
      </w:r>
      <w:r w:rsidR="005825CB">
        <w:rPr>
          <w:rFonts w:eastAsiaTheme="minorHAnsi"/>
        </w:rPr>
        <w:t>a reduction in</w:t>
      </w:r>
      <w:r w:rsidRPr="00EE318B">
        <w:rPr>
          <w:rFonts w:eastAsiaTheme="minorHAnsi"/>
        </w:rPr>
        <w:t xml:space="preserve"> </w:t>
      </w:r>
      <w:r w:rsidR="00457EC9">
        <w:rPr>
          <w:rFonts w:eastAsiaTheme="minorHAnsi"/>
        </w:rPr>
        <w:t xml:space="preserve">potentially-preventable </w:t>
      </w:r>
      <w:r w:rsidRPr="00EE318B">
        <w:rPr>
          <w:rFonts w:eastAsiaTheme="minorHAnsi"/>
        </w:rPr>
        <w:t xml:space="preserve">hospital costs within the 18 months of the trial (although </w:t>
      </w:r>
      <w:r w:rsidR="00763A1F">
        <w:rPr>
          <w:rFonts w:eastAsiaTheme="minorHAnsi"/>
        </w:rPr>
        <w:t>the reduction</w:t>
      </w:r>
      <w:r w:rsidR="00763A1F" w:rsidRPr="00EE318B">
        <w:rPr>
          <w:rFonts w:eastAsiaTheme="minorHAnsi"/>
        </w:rPr>
        <w:t xml:space="preserve"> </w:t>
      </w:r>
      <w:r w:rsidRPr="00EE318B">
        <w:rPr>
          <w:rFonts w:eastAsiaTheme="minorHAnsi"/>
        </w:rPr>
        <w:t>was</w:t>
      </w:r>
      <w:r>
        <w:rPr>
          <w:rFonts w:eastAsiaTheme="minorHAnsi"/>
        </w:rPr>
        <w:t xml:space="preserve"> not statistically significant) </w:t>
      </w:r>
      <w:r w:rsidR="00AC249A">
        <w:rPr>
          <w:rFonts w:eastAsiaTheme="minorHAnsi"/>
        </w:rPr>
        <w:t>as well as</w:t>
      </w:r>
      <w:r w:rsidR="00AC249A" w:rsidRPr="00F36A0F">
        <w:rPr>
          <w:rFonts w:eastAsiaTheme="minorHAnsi"/>
        </w:rPr>
        <w:t xml:space="preserve"> </w:t>
      </w:r>
      <w:r w:rsidRPr="00F36A0F">
        <w:rPr>
          <w:rFonts w:eastAsiaTheme="minorHAnsi"/>
        </w:rPr>
        <w:t xml:space="preserve">a reduction in </w:t>
      </w:r>
      <w:r w:rsidR="00AC249A">
        <w:rPr>
          <w:rFonts w:eastAsiaTheme="minorHAnsi"/>
        </w:rPr>
        <w:t xml:space="preserve">the </w:t>
      </w:r>
      <w:r w:rsidRPr="00F36A0F">
        <w:rPr>
          <w:rFonts w:eastAsiaTheme="minorHAnsi"/>
        </w:rPr>
        <w:t xml:space="preserve">length of stay for avoidable hospitalisations. </w:t>
      </w:r>
    </w:p>
    <w:p w14:paraId="0C356D05" w14:textId="77777777" w:rsidR="00C64739" w:rsidRPr="0011645E" w:rsidRDefault="00C62D84" w:rsidP="008D18F1">
      <w:pPr>
        <w:rPr>
          <w:rFonts w:eastAsiaTheme="minorHAnsi"/>
        </w:rPr>
      </w:pPr>
      <w:r w:rsidRPr="00F36A0F">
        <w:rPr>
          <w:rFonts w:eastAsiaTheme="minorHAnsi"/>
        </w:rPr>
        <w:t xml:space="preserve">Experience from other programs </w:t>
      </w:r>
      <w:r w:rsidR="008D4B21">
        <w:rPr>
          <w:rFonts w:eastAsiaTheme="minorHAnsi"/>
        </w:rPr>
        <w:t>has shown that</w:t>
      </w:r>
      <w:r w:rsidRPr="00F36A0F">
        <w:rPr>
          <w:rFonts w:eastAsiaTheme="minorHAnsi"/>
        </w:rPr>
        <w:t xml:space="preserve"> interventions can be designed to specifically target reductions in avoidable hospitalisations within one to two years. </w:t>
      </w:r>
      <w:r w:rsidR="008D18F1" w:rsidRPr="00F36A0F">
        <w:rPr>
          <w:rFonts w:eastAsiaTheme="minorHAnsi"/>
        </w:rPr>
        <w:t>A recent systematic review and meta-analysis</w:t>
      </w:r>
      <w:r w:rsidR="00AC249A">
        <w:rPr>
          <w:rFonts w:eastAsiaTheme="minorHAnsi"/>
        </w:rPr>
        <w:t>—which looked</w:t>
      </w:r>
      <w:r w:rsidR="008D18F1" w:rsidRPr="00F36A0F">
        <w:rPr>
          <w:rFonts w:eastAsiaTheme="minorHAnsi"/>
        </w:rPr>
        <w:t xml:space="preserve"> at the evidence from six </w:t>
      </w:r>
      <w:r w:rsidR="00532698">
        <w:rPr>
          <w:rFonts w:eastAsiaTheme="minorHAnsi"/>
        </w:rPr>
        <w:t xml:space="preserve">COPD </w:t>
      </w:r>
      <w:r w:rsidR="008D18F1" w:rsidRPr="00F36A0F">
        <w:rPr>
          <w:rFonts w:eastAsiaTheme="minorHAnsi"/>
        </w:rPr>
        <w:t>controlled trials from different countries with an average study duration of 14 months</w:t>
      </w:r>
      <w:r w:rsidR="00AC249A">
        <w:rPr>
          <w:rFonts w:eastAsiaTheme="minorHAnsi"/>
        </w:rPr>
        <w:t>—</w:t>
      </w:r>
      <w:r w:rsidR="008D18F1" w:rsidRPr="00F36A0F">
        <w:rPr>
          <w:rFonts w:eastAsiaTheme="minorHAnsi"/>
        </w:rPr>
        <w:t xml:space="preserve">found a significant reduction in hospital costs </w:t>
      </w:r>
      <w:r w:rsidR="008D4B21">
        <w:rPr>
          <w:rFonts w:eastAsiaTheme="minorHAnsi"/>
        </w:rPr>
        <w:t>as a result of</w:t>
      </w:r>
      <w:r w:rsidR="008D18F1" w:rsidRPr="00F36A0F">
        <w:rPr>
          <w:rFonts w:eastAsiaTheme="minorHAnsi"/>
        </w:rPr>
        <w:t xml:space="preserve"> integrated care-type interventions of €1,060 (A$1,527)</w:t>
      </w:r>
      <w:r w:rsidR="008F2F19">
        <w:rPr>
          <w:rFonts w:eastAsiaTheme="minorHAnsi"/>
        </w:rPr>
        <w:t xml:space="preserve"> per patient</w:t>
      </w:r>
      <w:r w:rsidR="008D18F1" w:rsidRPr="00F36A0F">
        <w:rPr>
          <w:rFonts w:eastAsiaTheme="minorHAnsi"/>
        </w:rPr>
        <w:t xml:space="preserve"> (95</w:t>
      </w:r>
      <w:r w:rsidR="00AC249A">
        <w:rPr>
          <w:rFonts w:eastAsiaTheme="minorHAnsi"/>
        </w:rPr>
        <w:t xml:space="preserve">% </w:t>
      </w:r>
      <w:r w:rsidR="008D18F1" w:rsidRPr="00F36A0F">
        <w:rPr>
          <w:rFonts w:eastAsiaTheme="minorHAnsi"/>
        </w:rPr>
        <w:t>CI €2040-€80; p=0.006).</w:t>
      </w:r>
      <w:r w:rsidR="00C95608">
        <w:rPr>
          <w:rFonts w:eastAsiaTheme="minorHAnsi"/>
          <w:vertAlign w:val="superscript"/>
        </w:rPr>
        <w:fldChar w:fldCharType="begin" w:fldLock="1"/>
      </w:r>
      <w:r w:rsidR="00113335">
        <w:rPr>
          <w:rFonts w:eastAsiaTheme="minorHAnsi"/>
          <w:vertAlign w:val="superscript"/>
        </w:rPr>
        <w:instrText>ADDIN CSL_CITATION { "citationItems" : [ { "id" : "ITEM-1", "itemData" : { "DOI" : "10.1186/1471-2466-13-40", "ISSN" : "1471-2466", "PMID" : "23819836", "abstract" : "BACKGROUND: There is insufficient evidence of the cost-effectiveness of Chronic Obstructive Pulmonary Disease (COPD) Disease Management (COPD-DM) programs. The aim of this review is to evaluate the economic impact of COPD-DM programs and investigate the relation between the impact on healthcare costs and health outcomes. We also investigated the impact of patient-, intervention, and study-characteristics.\n\nMETHODS: We conducted a systematic literature review to identify cost-effectiveness studies of COPD-DM. Where feasible, results were pooled using random-effects meta-analysis and explorative subgroup analyses were performed.\n\nRESULTS: Sixteen papers describing 11 studies were included (7 randomized control trials (RCT), 2 pre-post, 2 case-control). Meta-analysis showed that COPD-DM led to hospitalization savings of \u20ac1060 (95% CI: \u20ac2040 to \u20ac80) per patient per year and savings in total healthcare utilization of \u20ac898 (95% CI: \u20ac1566 to \u20ac231) (excl. operating costs). In these health economic studies small but positive results on health outcomes were found, such as the St Georges Respiratory Questionnaire (SGRQ) score, which decreased with 1.7 points (95% CI: 0.5-2.9). There was great variability in DM interventions-, study- and patient-characteristics. There were indications that DM showed greater savings in studies with: severe COPD patients, patients with a history of exacerbations, RCT study design, high methodological quality, few different professions involved in the program, and study setting outside Europe.\n\nCONCLUSIONS: COPD-DM programs were found to have favourable effects on both health outcomes and costs, but there is considerable heterogeneity depending on patient-, intervention-, and study-characteristics.", "author" : [ { "dropping-particle" : "", "family" : "Boland", "given" : "Melinde R S", "non-dropping-particle" : "", "parse-names" : false, "suffix" : "" }, { "dropping-particle" : "", "family" : "Tsiachristas", "given" : "Apostolos", "non-dropping-particle" : "", "parse-names" : false, "suffix" : "" }, { "dropping-particle" : "", "family" : "Kruis", "given" : "Annemarije L", "non-dropping-particle" : "", "parse-names" : false, "suffix" : "" }, { "dropping-particle" : "", "family" : "Chavannes", "given" : "Niels H", "non-dropping-particle" : "", "parse-names" : false, "suffix" : "" }, { "dropping-particle" : "", "family" : "Rutten-van M\u00f6lken", "given" : "Maureen P M H", "non-dropping-particle" : "", "parse-names" : false, "suffix" : "" } ], "container-title" : "BMC pulmonary medicine", "id" : "ITEM-1", "issued" : { "date-parts" : [ [ "2013", "1" ] ] }, "page" : "40", "title" : "The health economic impact of disease management programs for COPD: a systematic literature review and meta-analysis.", "type" : "article-journal", "volume" : "13" }, "uris" : [ "http://www.mendeley.com/documents/?uuid=4a60aacf-26d3-4c94-b053-f78f22c9ed1c" ] } ], "mendeley" : { "previouslyFormattedCitation" : "&lt;sup&gt;51&lt;/sup&gt;" }, "properties" : { "noteIndex" : 0 }, "schema" : "https://github.com/citation-style-language/schema/raw/master/csl-citation.json" }</w:instrText>
      </w:r>
      <w:r w:rsidR="00C95608">
        <w:rPr>
          <w:rFonts w:eastAsiaTheme="minorHAnsi"/>
          <w:vertAlign w:val="superscript"/>
        </w:rPr>
        <w:fldChar w:fldCharType="separate"/>
      </w:r>
      <w:r w:rsidR="00113335" w:rsidRPr="00113335">
        <w:rPr>
          <w:rFonts w:eastAsiaTheme="minorHAnsi"/>
          <w:noProof/>
          <w:vertAlign w:val="superscript"/>
        </w:rPr>
        <w:t>51</w:t>
      </w:r>
      <w:r w:rsidR="00C95608">
        <w:rPr>
          <w:rFonts w:eastAsiaTheme="minorHAnsi"/>
          <w:vertAlign w:val="superscript"/>
        </w:rPr>
        <w:fldChar w:fldCharType="end"/>
      </w:r>
      <w:r w:rsidR="008D18F1" w:rsidRPr="0011645E">
        <w:rPr>
          <w:rFonts w:eastAsiaTheme="minorHAnsi"/>
        </w:rPr>
        <w:t xml:space="preserve"> Another review </w:t>
      </w:r>
      <w:r w:rsidR="00AC249A">
        <w:rPr>
          <w:rFonts w:eastAsiaTheme="minorHAnsi"/>
        </w:rPr>
        <w:t>that looked</w:t>
      </w:r>
      <w:r w:rsidR="00AC249A" w:rsidRPr="0011645E">
        <w:rPr>
          <w:rFonts w:eastAsiaTheme="minorHAnsi"/>
        </w:rPr>
        <w:t xml:space="preserve"> </w:t>
      </w:r>
      <w:r w:rsidR="008D18F1" w:rsidRPr="0011645E">
        <w:rPr>
          <w:rFonts w:eastAsiaTheme="minorHAnsi"/>
        </w:rPr>
        <w:t>at the economic impact of coordinated care programmes for diabetes, heart disease and asthma provides an analysis of findings from 67 st</w:t>
      </w:r>
      <w:r w:rsidR="00C64739" w:rsidRPr="00F36A0F">
        <w:rPr>
          <w:rFonts w:eastAsiaTheme="minorHAnsi"/>
        </w:rPr>
        <w:t>udies (79 percent</w:t>
      </w:r>
      <w:r w:rsidR="008D18F1" w:rsidRPr="00F36A0F">
        <w:rPr>
          <w:rFonts w:eastAsiaTheme="minorHAnsi"/>
        </w:rPr>
        <w:t xml:space="preserve"> of whi</w:t>
      </w:r>
      <w:r w:rsidR="00C64739" w:rsidRPr="00F36A0F">
        <w:rPr>
          <w:rFonts w:eastAsiaTheme="minorHAnsi"/>
        </w:rPr>
        <w:t xml:space="preserve">ch had a follow-up duration of less than </w:t>
      </w:r>
      <w:r w:rsidR="008D18F1" w:rsidRPr="00F36A0F">
        <w:rPr>
          <w:rFonts w:eastAsiaTheme="minorHAnsi"/>
        </w:rPr>
        <w:t xml:space="preserve">15 months) </w:t>
      </w:r>
      <w:r w:rsidR="00C64739" w:rsidRPr="00F36A0F">
        <w:rPr>
          <w:rFonts w:eastAsiaTheme="minorHAnsi"/>
        </w:rPr>
        <w:t>that included</w:t>
      </w:r>
      <w:r w:rsidR="00246BC3">
        <w:rPr>
          <w:rFonts w:eastAsiaTheme="minorHAnsi"/>
        </w:rPr>
        <w:t xml:space="preserve"> </w:t>
      </w:r>
      <w:r w:rsidR="008D18F1" w:rsidRPr="00F36A0F">
        <w:rPr>
          <w:rFonts w:eastAsiaTheme="minorHAnsi"/>
        </w:rPr>
        <w:t>more than 32,000 participants</w:t>
      </w:r>
      <w:r w:rsidR="00511B7D">
        <w:rPr>
          <w:rFonts w:eastAsiaTheme="minorHAnsi"/>
        </w:rPr>
        <w:t xml:space="preserve">. </w:t>
      </w:r>
      <w:r w:rsidR="008D18F1" w:rsidRPr="00F36A0F">
        <w:rPr>
          <w:rFonts w:eastAsiaTheme="minorHAnsi"/>
        </w:rPr>
        <w:t xml:space="preserve">This research found a combined economic effect size of 0.311 (95% CI = 0.272-0.350), meaning that the average mean difference in costs between intervention groups in all these studies and care as usual </w:t>
      </w:r>
      <w:r w:rsidR="00AC249A">
        <w:rPr>
          <w:rFonts w:eastAsiaTheme="minorHAnsi"/>
        </w:rPr>
        <w:t>equated to</w:t>
      </w:r>
      <w:r w:rsidR="00AC249A" w:rsidRPr="00F36A0F">
        <w:rPr>
          <w:rFonts w:eastAsiaTheme="minorHAnsi"/>
        </w:rPr>
        <w:t xml:space="preserve"> </w:t>
      </w:r>
      <w:r w:rsidR="008D18F1" w:rsidRPr="00F36A0F">
        <w:rPr>
          <w:rFonts w:eastAsiaTheme="minorHAnsi"/>
        </w:rPr>
        <w:t>around 31 percent in intervention savings.</w:t>
      </w:r>
      <w:r w:rsidR="008005D2" w:rsidRPr="008005D2">
        <w:rPr>
          <w:rFonts w:eastAsiaTheme="minorHAnsi"/>
          <w:vertAlign w:val="superscript"/>
        </w:rPr>
        <w:t xml:space="preserve"> </w:t>
      </w:r>
      <w:r w:rsidR="008005D2">
        <w:rPr>
          <w:rFonts w:eastAsiaTheme="minorHAnsi"/>
          <w:vertAlign w:val="superscript"/>
        </w:rPr>
        <w:fldChar w:fldCharType="begin" w:fldLock="1"/>
      </w:r>
      <w:r w:rsidR="00113335">
        <w:rPr>
          <w:rFonts w:eastAsiaTheme="minorHAnsi"/>
          <w:vertAlign w:val="superscript"/>
        </w:rPr>
        <w:instrText>ADDIN CSL_CITATION { "citationItems" : [ { "id" : "ITEM-1", "itemData" : { "DOI" : "10.1089/dis.2005.8.114", "ISSN" : "1093-507X", "PMID" : "15815160", "abstract" : "The economic effectiveness of disease management programs, which are designed to improve the clinical and economic outcomes for chronically ill individuals, has been evaluated extensively. A literature search was performed with MEDLINE and other published sources for the period covering January 1995 to September 2003. The search was limited to empirical articles that measured the direct economic outcomes for asthma, diabetes, and heart disease management programs. Of the 360 articles and presentations evaluated, only 67 met the selection criteria for meta-analysis, which included 32,041 subjects. Although some studies contained multiple measurements of direct economic outcomes, only one average effect size per study was included in the meta-analysis. Based on the studies included in the research, a meta-analysis provided a statistically significant answer to the question of whether disease management programs are economically effective. The magnitude of the observed average effect size for equally weighted studies was 0.311 (95% CI = 0.272-0.350). Statistically significant differences of effect sizes by study design, disease type and intensity of disease management program interventions were not found after a moderating variable, disease severity, was taken into consideration. The results suggest that disease management programs are more effective economically with severely ill enrollees and that chronic disease program interventions are most effective when coordinated with the overall level of disease severity. The findings can be generalized, which may assist health care policy makers and practitioners in addressing the issue of providing economically effective care for the growing number of individuals with chronic illness.", "author" : [ { "dropping-particle" : "", "family" : "Krause", "given" : "David S", "non-dropping-particle" : "", "parse-names" : false, "suffix" : "" } ], "container-title" : "Disease management : DM", "id" : "ITEM-1", "issue" : "2", "issued" : { "date-parts" : [ [ "2005", "4" ] ] }, "page" : "114-34", "title" : "Economic effectiveness of disease management programs: a meta-analysis.", "type" : "article-journal", "volume" : "8" }, "uris" : [ "http://www.mendeley.com/documents/?uuid=0482710b-edf7-4b31-9952-4590205a44d2" ] } ], "mendeley" : { "previouslyFormattedCitation" : "&lt;sup&gt;52&lt;/sup&gt;" }, "properties" : { "noteIndex" : 0 }, "schema" : "https://github.com/citation-style-language/schema/raw/master/csl-citation.json" }</w:instrText>
      </w:r>
      <w:r w:rsidR="008005D2">
        <w:rPr>
          <w:rFonts w:eastAsiaTheme="minorHAnsi"/>
          <w:vertAlign w:val="superscript"/>
        </w:rPr>
        <w:fldChar w:fldCharType="separate"/>
      </w:r>
      <w:r w:rsidR="00113335" w:rsidRPr="00113335">
        <w:rPr>
          <w:rFonts w:eastAsiaTheme="minorHAnsi"/>
          <w:noProof/>
          <w:vertAlign w:val="superscript"/>
        </w:rPr>
        <w:t>52</w:t>
      </w:r>
      <w:r w:rsidR="008005D2">
        <w:rPr>
          <w:rFonts w:eastAsiaTheme="minorHAnsi"/>
          <w:vertAlign w:val="superscript"/>
        </w:rPr>
        <w:fldChar w:fldCharType="end"/>
      </w:r>
      <w:r w:rsidR="008D18F1" w:rsidRPr="00F36A0F">
        <w:rPr>
          <w:rFonts w:eastAsiaTheme="minorHAnsi"/>
        </w:rPr>
        <w:t xml:space="preserve"> Furthermore, the research suggests that interventions are most effective when program intensity is aligned with disease severity.</w:t>
      </w:r>
      <w:r w:rsidR="008D18F1" w:rsidRPr="0011645E">
        <w:rPr>
          <w:rFonts w:eastAsiaTheme="minorHAnsi"/>
        </w:rPr>
        <w:t xml:space="preserve"> </w:t>
      </w:r>
      <w:r>
        <w:rPr>
          <w:rFonts w:eastAsiaTheme="minorHAnsi"/>
        </w:rPr>
        <w:t>Future programs may be able to build on these findings by better integrating primary and secondary care to create more significant reductions in avoidable hospitalisations</w:t>
      </w:r>
      <w:r w:rsidRPr="00F36A0F">
        <w:rPr>
          <w:rFonts w:eastAsiaTheme="minorHAnsi"/>
        </w:rPr>
        <w:t>.</w:t>
      </w:r>
    </w:p>
    <w:p w14:paraId="78A41308" w14:textId="77777777" w:rsidR="002C160A" w:rsidRDefault="008D18F1" w:rsidP="00C64739">
      <w:pPr>
        <w:rPr>
          <w:rFonts w:eastAsiaTheme="minorHAnsi"/>
        </w:rPr>
      </w:pPr>
      <w:r w:rsidRPr="00F36A0F">
        <w:rPr>
          <w:rFonts w:eastAsiaTheme="minorHAnsi"/>
        </w:rPr>
        <w:t>There are several international examples of primary care interventions</w:t>
      </w:r>
      <w:r w:rsidR="00C64739" w:rsidRPr="00F36A0F">
        <w:rPr>
          <w:rFonts w:eastAsiaTheme="minorHAnsi"/>
        </w:rPr>
        <w:t xml:space="preserve"> designed</w:t>
      </w:r>
      <w:r w:rsidRPr="00F36A0F">
        <w:rPr>
          <w:rFonts w:eastAsiaTheme="minorHAnsi"/>
        </w:rPr>
        <w:t xml:space="preserve"> to target downstream hospital savings. </w:t>
      </w:r>
      <w:r w:rsidR="00C64739" w:rsidRPr="00F36A0F">
        <w:rPr>
          <w:rFonts w:eastAsiaTheme="minorHAnsi"/>
        </w:rPr>
        <w:t>In New Zealand, the Canterbury health system has developed deep interfaces between primary and secondary care</w:t>
      </w:r>
      <w:r w:rsidR="00D97581">
        <w:rPr>
          <w:rFonts w:eastAsiaTheme="minorHAnsi"/>
        </w:rPr>
        <w:t xml:space="preserve">, including </w:t>
      </w:r>
      <w:r w:rsidR="00C64739" w:rsidRPr="00F36A0F">
        <w:rPr>
          <w:rFonts w:eastAsiaTheme="minorHAnsi"/>
        </w:rPr>
        <w:t>an acute demand management system (to shift people from hospitals to general practice), community rehabilitation support (to reduce hospital length of stay), and 24-hour general practices (to provide out-of-hours care).</w:t>
      </w:r>
      <w:r w:rsidR="00C95608">
        <w:rPr>
          <w:rFonts w:eastAsiaTheme="minorHAnsi"/>
          <w:vertAlign w:val="superscript"/>
        </w:rPr>
        <w:fldChar w:fldCharType="begin" w:fldLock="1"/>
      </w:r>
      <w:r w:rsidR="00113335">
        <w:rPr>
          <w:rFonts w:eastAsiaTheme="minorHAnsi"/>
          <w:vertAlign w:val="superscript"/>
        </w:rPr>
        <w:instrText>ADDIN CSL_CITATION { "citationItems" : [ { "id" : "ITEM-1", "itemData" : { "author" : [ { "dropping-particle" : "", "family" : "Timmins", "given" : "Nicholas", "non-dropping-particle" : "", "parse-names" : false, "suffix" : "" }, { "dropping-particle" : "", "family" : "Ham", "given" : "Chris", "non-dropping-particle" : "", "parse-names" : false, "suffix" : "" } ], "id" : "ITEM-1", "issued" : { "date-parts" : [ [ "2013" ] ] }, "publisher" : "The King's Fund", "publisher-place" : "London", "title" : "The quest for integrated health and social care: A case study in Canterbury, New Zealand", "type" : "book" }, "uris" : [ "http://www.mendeley.com/documents/?uuid=721e2d4d-75a8-4926-8dd6-4121ff290f1e" ] } ], "mendeley" : { "previouslyFormattedCitation" : "&lt;sup&gt;53&lt;/sup&gt;" }, "properties" : { "noteIndex" : 0 }, "schema" : "https://github.com/citation-style-language/schema/raw/master/csl-citation.json" }</w:instrText>
      </w:r>
      <w:r w:rsidR="00C95608">
        <w:rPr>
          <w:rFonts w:eastAsiaTheme="minorHAnsi"/>
          <w:vertAlign w:val="superscript"/>
        </w:rPr>
        <w:fldChar w:fldCharType="separate"/>
      </w:r>
      <w:r w:rsidR="00113335" w:rsidRPr="00113335">
        <w:rPr>
          <w:rFonts w:eastAsiaTheme="minorHAnsi"/>
          <w:noProof/>
          <w:vertAlign w:val="superscript"/>
        </w:rPr>
        <w:t>53</w:t>
      </w:r>
      <w:r w:rsidR="00C95608">
        <w:rPr>
          <w:rFonts w:eastAsiaTheme="minorHAnsi"/>
          <w:vertAlign w:val="superscript"/>
        </w:rPr>
        <w:fldChar w:fldCharType="end"/>
      </w:r>
      <w:r w:rsidR="00C64739" w:rsidRPr="00F36A0F">
        <w:rPr>
          <w:rFonts w:eastAsiaTheme="minorHAnsi"/>
        </w:rPr>
        <w:t xml:space="preserve"> In the UK, the North West London Integrated Care Pilot utilises many of the changes to care </w:t>
      </w:r>
      <w:r w:rsidR="00D97581">
        <w:rPr>
          <w:rFonts w:eastAsiaTheme="minorHAnsi"/>
        </w:rPr>
        <w:t xml:space="preserve">that were </w:t>
      </w:r>
      <w:r w:rsidR="00C64739" w:rsidRPr="00F36A0F">
        <w:rPr>
          <w:rFonts w:eastAsiaTheme="minorHAnsi"/>
        </w:rPr>
        <w:t>tested in the DCP (such as risk stratification, continuous quality improvem</w:t>
      </w:r>
      <w:r w:rsidR="00AD1EDB">
        <w:rPr>
          <w:rFonts w:eastAsiaTheme="minorHAnsi"/>
        </w:rPr>
        <w:t>ent, innovations to funding</w:t>
      </w:r>
      <w:r w:rsidR="00C64739" w:rsidRPr="00F36A0F">
        <w:rPr>
          <w:rFonts w:eastAsiaTheme="minorHAnsi"/>
        </w:rPr>
        <w:t xml:space="preserve">) but with </w:t>
      </w:r>
      <w:r w:rsidR="00D97581">
        <w:rPr>
          <w:rFonts w:eastAsiaTheme="minorHAnsi"/>
        </w:rPr>
        <w:t>the</w:t>
      </w:r>
      <w:r w:rsidR="00D97581" w:rsidRPr="00F36A0F">
        <w:rPr>
          <w:rFonts w:eastAsiaTheme="minorHAnsi"/>
        </w:rPr>
        <w:t xml:space="preserve"> </w:t>
      </w:r>
      <w:r w:rsidR="00C64739" w:rsidRPr="00F36A0F">
        <w:rPr>
          <w:rFonts w:eastAsiaTheme="minorHAnsi"/>
        </w:rPr>
        <w:t xml:space="preserve">express objective </w:t>
      </w:r>
      <w:r w:rsidR="00D97581">
        <w:rPr>
          <w:rFonts w:eastAsiaTheme="minorHAnsi"/>
        </w:rPr>
        <w:t>of reducing</w:t>
      </w:r>
      <w:r w:rsidR="00C64739" w:rsidRPr="00F36A0F">
        <w:rPr>
          <w:rFonts w:eastAsiaTheme="minorHAnsi"/>
        </w:rPr>
        <w:t xml:space="preserve"> hospital admissions for people with diabetes and the elderly.</w:t>
      </w:r>
      <w:r w:rsidR="00C95608">
        <w:rPr>
          <w:rFonts w:eastAsiaTheme="minorHAnsi"/>
          <w:vertAlign w:val="superscript"/>
        </w:rPr>
        <w:fldChar w:fldCharType="begin" w:fldLock="1"/>
      </w:r>
      <w:r w:rsidR="00113335">
        <w:rPr>
          <w:rFonts w:eastAsiaTheme="minorHAnsi"/>
          <w:vertAlign w:val="superscript"/>
        </w:rPr>
        <w:instrText>ADDIN CSL_CITATION { "citationItems" : [ { "id" : "ITEM-1", "itemData" : { "ISSN" : "1568-4156", "PMID" : "24167455", "abstract" : "INTRODUCTION: This paper provides the results of a year-long evaluation of a large-scale integrated care pilot in north-west London. The pilot aimed to integrate care across primary, acute, community, mental health and social care for people with diabetes and/or those aged 75+ through care planning, multidisciplinary case reviews, information sharing and project management support. METHODS: The evaluation team conducted qualitative studies of change at organisational, clinician and patient levels (using interviews, focus groups and a survey); and quantitative analysis of change in service use and patient-level clinical outcomes (using patient-level datasets and a matched control study). RESULTS: The pilot had successfully engaged provider organisations, created a shared strategic vision and established governance structures. However, the engagement of clinicians was variable and there was no evidence to date of significant reductions in emergency admissions. There was some evidence of changes in care processes. CONCLUSION: Although the pilot has demonstrated the beginnings of large-scale change, it remains in the early stages and faces significant challenges as it seeks to become sustainable for the longer term. It is critical that National Health Service managers and clinicians have realistic expectations of what can be achieved in a relatively short period of time.", "author" : [ { "dropping-particle" : "", "family" : "Curry", "given" : "Natasha", "non-dropping-particle" : "", "parse-names" : false, "suffix" : "" }, { "dropping-particle" : "", "family" : "Harris", "given" : "Matthew", "non-dropping-particle" : "", "parse-names" : false, "suffix" : "" }, { "dropping-particle" : "", "family" : "Gunn", "given" : "Laura H", "non-dropping-particle" : "", "parse-names" : false, "suffix" : "" }, { "dropping-particle" : "", "family" : "Pappas", "given" : "Yannis", "non-dropping-particle" : "", "parse-names" : false, "suffix" : "" }, { "dropping-particle" : "", "family" : "Blunt", "given" : "Ian", "non-dropping-particle" : "", "parse-names" : false, "suffix" : "" }, { "dropping-particle" : "", "family" : "Soljak", "given" : "Michael", "non-dropping-particle" : "", "parse-names" : false, "suffix" : "" }, { "dropping-particle" : "", "family" : "Mastellos", "given" : "Nikolaos", "non-dropping-particle" : "", "parse-names" : false, "suffix" : "" }, { "dropping-particle" : "", "family" : "Holder", "given" : "Holly", "non-dropping-particle" : "", "parse-names" : false, "suffix" : "" }, { "dropping-particle" : "", "family" : "Smith", "given" : "Judith", "non-dropping-particle" : "", "parse-names" : false, "suffix" : "" }, { "dropping-particle" : "", "family" : "Majeed", "given" : "Azeem", "non-dropping-particle" : "", "parse-names" : false, "suffix" : "" }, { "dropping-particle" : "", "family" : "Ignatowicz", "given" : "Agnieszka", "non-dropping-particle" : "", "parse-names" : false, "suffix" : "" }, { "dropping-particle" : "", "family" : "Greaves", "given" : "Felix", "non-dropping-particle" : "", "parse-names" : false, "suffix" : "" }, { "dropping-particle" : "", "family" : "Belsi", "given" : "Athina", "non-dropping-particle" : "", "parse-names" : false, "suffix" : "" }, { "dropping-particle" : "", "family" : "Costin-Davis", "given" : "Nicola", "non-dropping-particle" : "", "parse-names" : false, "suffix" : "" }, { "dropping-particle" : "", "family" : "Jones Nielsen", "given" : "Jessica D", "non-dropping-particle" : "", "parse-names" : false, "suffix" : "" }, { "dropping-particle" : "", "family" : "Greenfield", "given" : "Geva", "non-dropping-particle" : "", "parse-names" : false, "suffix" : "" }, { "dropping-particle" : "", "family" : "Cecil", "given" : "Elizabeth", "non-dropping-particle" : "", "parse-names" : false, "suffix" : "" }, { "dropping-particle" : "", "family" : "Patterson", "given" : "Susan", "non-dropping-particle" : "", "parse-names" : false, "suffix" : "" }, { "dropping-particle" : "", "family" : "Car", "given" : "Josip", "non-dropping-particle" : "", "parse-names" : false, "suffix" : "" }, { "dropping-particle" : "", "family" : "Bardsley", "given" : "Martin", "non-dropping-particle" : "", "parse-names" : false, "suffix" : "" } ], "container-title" : "International journal of integrated care", "id" : "ITEM-1", "issued" : { "date-parts" : [ [ "2013", "1" ] ] }, "page" : "e027", "title" : "Integrated care pilot in north-west London: a mixed methods evaluation.", "type" : "article-journal", "volume" : "13" }, "uris" : [ "http://www.mendeley.com/documents/?uuid=055925e8-6293-4f33-9d24-53474d6b0042" ] } ], "mendeley" : { "previouslyFormattedCitation" : "&lt;sup&gt;54&lt;/sup&gt;" }, "properties" : { "noteIndex" : 0 }, "schema" : "https://github.com/citation-style-language/schema/raw/master/csl-citation.json" }</w:instrText>
      </w:r>
      <w:r w:rsidR="00C95608">
        <w:rPr>
          <w:rFonts w:eastAsiaTheme="minorHAnsi"/>
          <w:vertAlign w:val="superscript"/>
        </w:rPr>
        <w:fldChar w:fldCharType="separate"/>
      </w:r>
      <w:r w:rsidR="00113335" w:rsidRPr="00113335">
        <w:rPr>
          <w:rFonts w:eastAsiaTheme="minorHAnsi"/>
          <w:noProof/>
          <w:vertAlign w:val="superscript"/>
        </w:rPr>
        <w:t>54</w:t>
      </w:r>
      <w:r w:rsidR="00C95608">
        <w:rPr>
          <w:rFonts w:eastAsiaTheme="minorHAnsi"/>
          <w:vertAlign w:val="superscript"/>
        </w:rPr>
        <w:fldChar w:fldCharType="end"/>
      </w:r>
      <w:r w:rsidR="00C64739" w:rsidRPr="00F36A0F">
        <w:rPr>
          <w:rFonts w:eastAsiaTheme="minorHAnsi"/>
        </w:rPr>
        <w:t xml:space="preserve"> Health providers such as Kaiser Permanente and </w:t>
      </w:r>
      <w:r w:rsidR="00D373E5">
        <w:rPr>
          <w:rFonts w:eastAsiaTheme="minorHAnsi"/>
        </w:rPr>
        <w:t xml:space="preserve">other </w:t>
      </w:r>
      <w:r w:rsidR="00C64739" w:rsidRPr="00F36A0F">
        <w:rPr>
          <w:rFonts w:eastAsiaTheme="minorHAnsi"/>
        </w:rPr>
        <w:t>integrated medical groups in the United States have also demonstrated ‘downstream’ reductions in hospital costs and admissions with interventions such as triage and rapid response teams for high-risk patients, post discharge community care programs to reduce readmission rates (and decrease the burden on hospital outpatient services), mental and social health liaisons</w:t>
      </w:r>
      <w:r w:rsidR="00575B46">
        <w:rPr>
          <w:rFonts w:eastAsiaTheme="minorHAnsi"/>
        </w:rPr>
        <w:t>,</w:t>
      </w:r>
      <w:r w:rsidR="00C64739" w:rsidRPr="00F36A0F">
        <w:rPr>
          <w:rFonts w:eastAsiaTheme="minorHAnsi"/>
        </w:rPr>
        <w:t xml:space="preserve"> and hospital</w:t>
      </w:r>
      <w:r w:rsidR="008D4B21">
        <w:rPr>
          <w:rFonts w:eastAsiaTheme="minorHAnsi"/>
        </w:rPr>
        <w:t>-</w:t>
      </w:r>
      <w:r w:rsidR="00C64739" w:rsidRPr="00F36A0F">
        <w:rPr>
          <w:rFonts w:eastAsiaTheme="minorHAnsi"/>
        </w:rPr>
        <w:t>in</w:t>
      </w:r>
      <w:r w:rsidR="008D4B21">
        <w:rPr>
          <w:rFonts w:eastAsiaTheme="minorHAnsi"/>
        </w:rPr>
        <w:t>-</w:t>
      </w:r>
      <w:r w:rsidR="00C64739" w:rsidRPr="00F36A0F">
        <w:rPr>
          <w:rFonts w:eastAsiaTheme="minorHAnsi"/>
        </w:rPr>
        <w:t>the</w:t>
      </w:r>
      <w:r w:rsidR="008D4B21">
        <w:rPr>
          <w:rFonts w:eastAsiaTheme="minorHAnsi"/>
        </w:rPr>
        <w:t>-</w:t>
      </w:r>
      <w:r w:rsidR="00C64739" w:rsidRPr="00F36A0F">
        <w:rPr>
          <w:rFonts w:eastAsiaTheme="minorHAnsi"/>
        </w:rPr>
        <w:t>home programs.</w:t>
      </w:r>
      <w:r w:rsidR="00C95608">
        <w:rPr>
          <w:rFonts w:eastAsiaTheme="minorHAnsi"/>
          <w:vertAlign w:val="superscript"/>
        </w:rPr>
        <w:fldChar w:fldCharType="begin" w:fldLock="1"/>
      </w:r>
      <w:r w:rsidR="00113335">
        <w:rPr>
          <w:rFonts w:eastAsiaTheme="minorHAnsi"/>
          <w:vertAlign w:val="superscript"/>
        </w:rPr>
        <w:instrText>ADDIN CSL_CITATION { "citationItems" : [ { "id" : "ITEM-1", "itemData" : { "author" : [ { "dropping-particle" : "", "family" : "Curry", "given" : "Natasha", "non-dropping-particle" : "", "parse-names" : false, "suffix" : "" }, { "dropping-particle" : "", "family" : "Ham", "given" : "Chris", "non-dropping-particle" : "", "parse-names" : false, "suffix" : "" } ], "id" : "ITEM-1", "issued" : { "date-parts" : [ [ "2010" ] ] }, "publisher" : "The King's Fund", "publisher-place" : "London", "title" : "Clinical and service integration: The route to improved outcomes", "type" : "book" }, "uris" : [ "http://www.mendeley.com/documents/?uuid=90aebf43-8a6c-4f9f-a734-18af336fcca6" ] } ], "mendeley" : { "previouslyFormattedCitation" : "&lt;sup&gt;55&lt;/sup&gt;" }, "properties" : { "noteIndex" : 0 }, "schema" : "https://github.com/citation-style-language/schema/raw/master/csl-citation.json" }</w:instrText>
      </w:r>
      <w:r w:rsidR="00C95608">
        <w:rPr>
          <w:rFonts w:eastAsiaTheme="minorHAnsi"/>
          <w:vertAlign w:val="superscript"/>
        </w:rPr>
        <w:fldChar w:fldCharType="separate"/>
      </w:r>
      <w:r w:rsidR="00113335" w:rsidRPr="00113335">
        <w:rPr>
          <w:rFonts w:eastAsiaTheme="minorHAnsi"/>
          <w:noProof/>
          <w:vertAlign w:val="superscript"/>
        </w:rPr>
        <w:t>55</w:t>
      </w:r>
      <w:r w:rsidR="00C95608">
        <w:rPr>
          <w:rFonts w:eastAsiaTheme="minorHAnsi"/>
          <w:vertAlign w:val="superscript"/>
        </w:rPr>
        <w:fldChar w:fldCharType="end"/>
      </w:r>
      <w:r w:rsidR="00C64739" w:rsidRPr="00F36A0F">
        <w:rPr>
          <w:rFonts w:eastAsiaTheme="minorHAnsi"/>
        </w:rPr>
        <w:t xml:space="preserve"> Implementing any of these models in Australia will require cooperation from the Commonwealth and State Governments to align incentives and ensure hospitals and primary care are better integrated.</w:t>
      </w:r>
    </w:p>
    <w:p w14:paraId="497B1F47" w14:textId="77777777" w:rsidR="002C160A" w:rsidRDefault="002C160A" w:rsidP="008C484F">
      <w:pPr>
        <w:pStyle w:val="32chaptertitle"/>
      </w:pPr>
      <w:bookmarkStart w:id="17" w:name="_Toc419905891"/>
      <w:r w:rsidRPr="00F36A0F">
        <w:lastRenderedPageBreak/>
        <w:t>References</w:t>
      </w:r>
      <w:bookmarkEnd w:id="17"/>
    </w:p>
    <w:p w14:paraId="136BCCEC" w14:textId="77777777" w:rsidR="00113335" w:rsidRPr="002A2620" w:rsidRDefault="00113335" w:rsidP="00731926">
      <w:pPr>
        <w:pStyle w:val="05number1"/>
        <w:numPr>
          <w:ilvl w:val="0"/>
          <w:numId w:val="47"/>
        </w:numPr>
        <w:divId w:val="720710570"/>
        <w:rPr>
          <w:rFonts w:eastAsiaTheme="minorEastAsia"/>
        </w:rPr>
      </w:pPr>
      <w:r>
        <w:t xml:space="preserve">Australian Bureau of Statistics. </w:t>
      </w:r>
      <w:r w:rsidRPr="002A2620">
        <w:rPr>
          <w:i/>
          <w:iCs/>
        </w:rPr>
        <w:t>Australian Health Survey: Updated Results, 2011–12. ABS Cat. No. 4364.0.55.003.</w:t>
      </w:r>
      <w:r>
        <w:t xml:space="preserve"> Canberra: Australian Bureau of Statistics; 2012. Available at: http://www.abs.gov.au/ausstats/abs@.nsf/Lookup/4364.0.55.003Chapter12011-2012. Accessed September 24, 2014.</w:t>
      </w:r>
    </w:p>
    <w:p w14:paraId="29A14351" w14:textId="77777777" w:rsidR="00113335" w:rsidRDefault="00113335" w:rsidP="00731926">
      <w:pPr>
        <w:pStyle w:val="05number1"/>
        <w:divId w:val="720710570"/>
      </w:pPr>
      <w:r>
        <w:t xml:space="preserve">Australian Institute of Health and Welfare. </w:t>
      </w:r>
      <w:r>
        <w:rPr>
          <w:i/>
          <w:iCs/>
        </w:rPr>
        <w:t>Australia’s Health 2014. Australia’s Health Series No. 14. Cat. No. AUS 178</w:t>
      </w:r>
      <w:r>
        <w:t>. Canberra: AIHW; 2014. Available at: http://www.aihw.gov.au/publication-detail/?id=60129547205. Accessed September 24, 2014.</w:t>
      </w:r>
    </w:p>
    <w:p w14:paraId="2AA03C24" w14:textId="77777777" w:rsidR="00113335" w:rsidRDefault="00113335" w:rsidP="00731926">
      <w:pPr>
        <w:pStyle w:val="05number1"/>
        <w:divId w:val="720710570"/>
      </w:pPr>
      <w:r>
        <w:t xml:space="preserve">Australian Institute of Health and Welfare. </w:t>
      </w:r>
      <w:r>
        <w:rPr>
          <w:i/>
          <w:iCs/>
        </w:rPr>
        <w:t>Diabetes Expenditure in Australia 2008-09</w:t>
      </w:r>
      <w:r>
        <w:t>. Canberra: Australian Institute of Health and Welfare; 2013. Available at: http://www.aihw.gov.au/publication-detail/?id=60129543925. Accessed September 24, 2014.</w:t>
      </w:r>
    </w:p>
    <w:p w14:paraId="602FF004" w14:textId="77777777" w:rsidR="00113335" w:rsidRDefault="00113335" w:rsidP="00731926">
      <w:pPr>
        <w:pStyle w:val="05number1"/>
        <w:divId w:val="720710570"/>
      </w:pPr>
      <w:r>
        <w:t xml:space="preserve">Shaw JE, Sicree RA, Zimmet PZ. Global estimates of the prevalence of diabetes for 2010 and 2030. </w:t>
      </w:r>
      <w:r>
        <w:rPr>
          <w:i/>
          <w:iCs/>
        </w:rPr>
        <w:t>Diabetes Res. Clin. Pract.</w:t>
      </w:r>
      <w:r>
        <w:t xml:space="preserve"> 2010;87(1):4-14. doi:10.1016/j.diabres.2009.10.007.</w:t>
      </w:r>
    </w:p>
    <w:p w14:paraId="2A17B979" w14:textId="77777777" w:rsidR="00113335" w:rsidRDefault="00113335" w:rsidP="00731926">
      <w:pPr>
        <w:pStyle w:val="05number1"/>
        <w:divId w:val="720710570"/>
      </w:pPr>
      <w:r>
        <w:t xml:space="preserve">Australian Institute of Health and Welfare, Begg S, Vos T, et al. </w:t>
      </w:r>
      <w:r>
        <w:rPr>
          <w:i/>
          <w:iCs/>
        </w:rPr>
        <w:t>The Burden of Disease and Injury in Australia 2003. PHE 82</w:t>
      </w:r>
      <w:r>
        <w:t>. Canberra: Australian Institute of Health and Welfare; 2007. Available at: http://www.aihw.gov.au/publication-detail/?id=6442467990. Accessed September 24, 2014.</w:t>
      </w:r>
    </w:p>
    <w:p w14:paraId="6B331FA3" w14:textId="77777777" w:rsidR="00113335" w:rsidRDefault="00113335" w:rsidP="00731926">
      <w:pPr>
        <w:pStyle w:val="05number1"/>
        <w:divId w:val="720710570"/>
      </w:pPr>
      <w:r>
        <w:t xml:space="preserve">Australian Institute of Health and Welfare. </w:t>
      </w:r>
      <w:r>
        <w:rPr>
          <w:i/>
          <w:iCs/>
        </w:rPr>
        <w:t>Diabetes and Disability: Impairments, Activity Limitations, Participation Restrictions and Comorbidities. Diabetes Series No. 20. Cat. No. CVD 63</w:t>
      </w:r>
      <w:r>
        <w:t>. Canberra: Australian Institute of Health and Welfare; 2013. Available at: http://www.aihw.gov.au/WorkArea/DownloadAsset.aspx?id=60129544708.</w:t>
      </w:r>
    </w:p>
    <w:p w14:paraId="23519166" w14:textId="77777777" w:rsidR="00113335" w:rsidRDefault="00113335" w:rsidP="00731926">
      <w:pPr>
        <w:pStyle w:val="05number1"/>
        <w:divId w:val="720710570"/>
      </w:pPr>
      <w:r>
        <w:t xml:space="preserve">Colagiuri S, Colagiuri R, Conway B, Grainage D, Davey P. </w:t>
      </w:r>
      <w:r>
        <w:rPr>
          <w:i/>
          <w:iCs/>
        </w:rPr>
        <w:t>DiabCo$t Australia: Assessing the Burden of Type 2 Diabetes in Australia</w:t>
      </w:r>
      <w:r>
        <w:t>. Canberra; 2003. doi:10.1023/A:1017247208927.</w:t>
      </w:r>
    </w:p>
    <w:p w14:paraId="0B43C02A" w14:textId="77777777" w:rsidR="00113335" w:rsidRDefault="00113335" w:rsidP="00731926">
      <w:pPr>
        <w:pStyle w:val="05number1"/>
        <w:divId w:val="720710570"/>
      </w:pPr>
      <w:r>
        <w:t xml:space="preserve">Barr E, Magliano D, Zimmet P, et al. </w:t>
      </w:r>
      <w:r>
        <w:rPr>
          <w:i/>
          <w:iCs/>
        </w:rPr>
        <w:t>AusDiab 2005: The Australian Diabetes, Obesity and Lifestyle Study. Tracking the Accelerating Epidemic: Its Causes and Outcomes</w:t>
      </w:r>
      <w:r>
        <w:t>. Melbourne: International Diabetes Institute; 2006. Available at: https://www.bakeridi.edu.au/Assets/Files/AUSDIAB_Report_2005.pdf.</w:t>
      </w:r>
    </w:p>
    <w:p w14:paraId="412FB106" w14:textId="77777777" w:rsidR="00113335" w:rsidRDefault="00113335" w:rsidP="00731926">
      <w:pPr>
        <w:pStyle w:val="05number1"/>
        <w:divId w:val="720710570"/>
      </w:pPr>
      <w:r>
        <w:t xml:space="preserve">Lee CMY, Colagiuri R, Magliano DJ, et al. The cost of diabetes in adults in Australia. </w:t>
      </w:r>
      <w:r>
        <w:rPr>
          <w:i/>
          <w:iCs/>
        </w:rPr>
        <w:t>Diabetes Res. Clin. Pract.</w:t>
      </w:r>
      <w:r>
        <w:t xml:space="preserve"> 2013;99(3):385-90. doi:10.1016/j.diabres.2012.12.002.</w:t>
      </w:r>
    </w:p>
    <w:p w14:paraId="5DA6FBA2" w14:textId="77777777" w:rsidR="00113335" w:rsidRDefault="00113335" w:rsidP="00731926">
      <w:pPr>
        <w:pStyle w:val="05number1"/>
        <w:divId w:val="720710570"/>
      </w:pPr>
      <w:r>
        <w:t xml:space="preserve">Australian Institute of Health and Welfare. </w:t>
      </w:r>
      <w:r>
        <w:rPr>
          <w:i/>
          <w:iCs/>
        </w:rPr>
        <w:t>Australian Hospital Statistics 2012–13. Health Services Series No. 54. Cat. No. HSE 145</w:t>
      </w:r>
      <w:r>
        <w:t>. Canberra: Australian Institute of Health and Welfare; 2014.</w:t>
      </w:r>
    </w:p>
    <w:p w14:paraId="6A10687D" w14:textId="77777777" w:rsidR="00113335" w:rsidRDefault="00113335" w:rsidP="00731926">
      <w:pPr>
        <w:pStyle w:val="05number1"/>
        <w:divId w:val="720710570"/>
      </w:pPr>
      <w:r>
        <w:t>Australian Institute of Health and Welfare. Annual cycle of care. 2013. Available at: http://www.aihw.gov.au/diabetes-indicators/annual-cycle-of-care/. Accessed September 24, 2014.</w:t>
      </w:r>
    </w:p>
    <w:p w14:paraId="1285802B" w14:textId="77777777" w:rsidR="00113335" w:rsidRDefault="00113335" w:rsidP="00731926">
      <w:pPr>
        <w:pStyle w:val="05number1"/>
        <w:divId w:val="720710570"/>
      </w:pPr>
      <w:r>
        <w:t xml:space="preserve">Runciman WB, Hunt TD, Hannaford NA, et al. CareTrack: assessing the appropriateness of health care delivery in Australia. </w:t>
      </w:r>
      <w:r>
        <w:rPr>
          <w:i/>
          <w:iCs/>
        </w:rPr>
        <w:t>Med. J. Aust.</w:t>
      </w:r>
      <w:r>
        <w:t xml:space="preserve"> 2012;197(2):100-5.</w:t>
      </w:r>
    </w:p>
    <w:p w14:paraId="2692B5A8" w14:textId="77777777" w:rsidR="00113335" w:rsidRDefault="00113335" w:rsidP="00731926">
      <w:pPr>
        <w:pStyle w:val="05number1"/>
        <w:divId w:val="720710570"/>
      </w:pPr>
      <w:r>
        <w:t xml:space="preserve">National Health and Hospitals Reform Commission. </w:t>
      </w:r>
      <w:r>
        <w:rPr>
          <w:i/>
          <w:iCs/>
        </w:rPr>
        <w:t>A Healthier Future For All Australians – Final Report of the National Health and Hospitals Reform Commission</w:t>
      </w:r>
      <w:r>
        <w:t xml:space="preserve">. Canberra: Commonwealth of </w:t>
      </w:r>
      <w:r>
        <w:lastRenderedPageBreak/>
        <w:t>Australia; 2009. Available at: http://www.health.gov.au/internet/nhhrc/publishing.nsf/Content/1AFDEAF1FB76A1D8CA257600000B5BE2/$File/Final_Report_of_the nhhrc_June_2009.pdf.</w:t>
      </w:r>
    </w:p>
    <w:p w14:paraId="654FC52C" w14:textId="77777777" w:rsidR="00113335" w:rsidRDefault="00113335" w:rsidP="00731926">
      <w:pPr>
        <w:pStyle w:val="05number1"/>
        <w:divId w:val="720710570"/>
      </w:pPr>
      <w:r>
        <w:t xml:space="preserve">Shaw J, Tanamas S. </w:t>
      </w:r>
      <w:r>
        <w:rPr>
          <w:i/>
          <w:iCs/>
        </w:rPr>
        <w:t>Diabetes</w:t>
      </w:r>
      <w:r>
        <w:rPr>
          <w:rFonts w:ascii="Times New Roman" w:hAnsi="Times New Roman"/>
          <w:i/>
          <w:iCs/>
        </w:rPr>
        <w:t> </w:t>
      </w:r>
      <w:r>
        <w:rPr>
          <w:i/>
          <w:iCs/>
        </w:rPr>
        <w:t>: The Silent Pandemic and Its Impact on Australia</w:t>
      </w:r>
      <w:r>
        <w:t>. Diabetes Australia; 2012. Available at: https://www.diabetesaustralia.com.au/Documents/DA/What’s New/12.03.14 Diabetes management booklet FINAL.pdf.</w:t>
      </w:r>
    </w:p>
    <w:p w14:paraId="404C0C57" w14:textId="77777777" w:rsidR="00113335" w:rsidRDefault="00113335" w:rsidP="00731926">
      <w:pPr>
        <w:pStyle w:val="05number1"/>
        <w:divId w:val="720710570"/>
      </w:pPr>
      <w:r>
        <w:t xml:space="preserve">Arah OA, Roset B, Delnoij DMJ, Klazinga NS, Stronks K. Associations between technical quality of diabetes care and patient experience. </w:t>
      </w:r>
      <w:r>
        <w:rPr>
          <w:i/>
          <w:iCs/>
        </w:rPr>
        <w:t>Health Expect.</w:t>
      </w:r>
      <w:r>
        <w:t xml:space="preserve"> 2013;16(4):e136-45. doi:10.1111/j.1369-7625.2011.00729.x.</w:t>
      </w:r>
    </w:p>
    <w:p w14:paraId="408239E6" w14:textId="77777777" w:rsidR="00113335" w:rsidRDefault="00113335" w:rsidP="00731926">
      <w:pPr>
        <w:pStyle w:val="05number1"/>
        <w:divId w:val="720710570"/>
      </w:pPr>
      <w:r>
        <w:rPr>
          <w:i/>
          <w:iCs/>
        </w:rPr>
        <w:t>Medicare Australia - Statistics - Pharmaceutical Benefits Schedule Item Statistics</w:t>
      </w:r>
      <w:r>
        <w:t>. Canberra: Department of Human Services; 2014. Available at: https://www.medicareaustralia.gov.au/statistics/pbs_item.shtml. Accessed September 29, 2014.</w:t>
      </w:r>
    </w:p>
    <w:p w14:paraId="5EF413A8" w14:textId="77777777" w:rsidR="00113335" w:rsidRDefault="00113335" w:rsidP="00731926">
      <w:pPr>
        <w:pStyle w:val="05number1"/>
        <w:divId w:val="720710570"/>
      </w:pPr>
      <w:r>
        <w:t>Australian Medical Association. AMA red tape survey 2011. 2011. Available at: https://ama.com.au/ausmed/node/2843. Accessed September 29, 2014.</w:t>
      </w:r>
    </w:p>
    <w:p w14:paraId="54A2EB79" w14:textId="77777777" w:rsidR="00113335" w:rsidRDefault="00113335" w:rsidP="00731926">
      <w:pPr>
        <w:pStyle w:val="05number1"/>
        <w:divId w:val="720710570"/>
      </w:pPr>
      <w:r>
        <w:rPr>
          <w:i/>
          <w:iCs/>
        </w:rPr>
        <w:t>Medicare Australia - Statistics - Item Reports</w:t>
      </w:r>
      <w:r>
        <w:t>. Canberra: Department of Human Services; 2014. Available at: https://www.medicareaustralia.gov.au/statistics/mbs_item.shtml. Accessed September 25, 2014.</w:t>
      </w:r>
    </w:p>
    <w:p w14:paraId="093059D3" w14:textId="77777777" w:rsidR="00113335" w:rsidRDefault="00113335" w:rsidP="00731926">
      <w:pPr>
        <w:pStyle w:val="05number1"/>
        <w:divId w:val="720710570"/>
      </w:pPr>
      <w:r>
        <w:t>Australian Medical Association. AMA Member Survey, Patient-Centred Medical Home: Report of Findings. 2013. Available at: https://ama.com.au/system/files/microsoft_word_-_medical_home_member_survey_report_final.pdf. Accessed September 29, 2014.</w:t>
      </w:r>
    </w:p>
    <w:p w14:paraId="1EF2B777" w14:textId="77777777" w:rsidR="00113335" w:rsidRDefault="00113335" w:rsidP="00731926">
      <w:pPr>
        <w:pStyle w:val="05number1"/>
        <w:divId w:val="720710570"/>
      </w:pPr>
      <w:r>
        <w:t xml:space="preserve">Nielsen M, Olayiwola JN, Grundy P, Grumbach K. </w:t>
      </w:r>
      <w:r>
        <w:rPr>
          <w:i/>
          <w:iCs/>
        </w:rPr>
        <w:t>The Patient-Centered Medical Home’s Impact on Cost &amp; Quality: An Annual Update of the Evidence, 2012-2013</w:t>
      </w:r>
      <w:r>
        <w:t>. Patient-Centred Primary Care Collaborative; 2014. Available at: http://www.milbank.org/uploads/documents/reports/Patient-Centered_Medical_Homes_Impact_on_Cost_and_Quality.pdf. Accessed September 29, 2014.</w:t>
      </w:r>
    </w:p>
    <w:p w14:paraId="60751277" w14:textId="77777777" w:rsidR="00113335" w:rsidRDefault="00113335" w:rsidP="00731926">
      <w:pPr>
        <w:pStyle w:val="05number1"/>
        <w:divId w:val="720710570"/>
      </w:pPr>
      <w:r>
        <w:t xml:space="preserve">Scott A, Schurer S, Jensen PH, Sivey P. The effects of an incentive program on quality of care in diabetes management. </w:t>
      </w:r>
      <w:r>
        <w:rPr>
          <w:i/>
          <w:iCs/>
        </w:rPr>
        <w:t>Health Econ.</w:t>
      </w:r>
      <w:r>
        <w:t xml:space="preserve"> 2009;18(9):1091-108. doi:10.1002/hec.1536.</w:t>
      </w:r>
    </w:p>
    <w:p w14:paraId="06524EF4" w14:textId="77777777" w:rsidR="00113335" w:rsidRDefault="00113335" w:rsidP="00731926">
      <w:pPr>
        <w:pStyle w:val="05number1"/>
        <w:divId w:val="720710570"/>
      </w:pPr>
      <w:r>
        <w:t xml:space="preserve">Harris M. </w:t>
      </w:r>
      <w:r>
        <w:rPr>
          <w:i/>
          <w:iCs/>
        </w:rPr>
        <w:t>The Role of Primary Health Care in Preventing the Onset of Chronic Disease , with a Particular Focus on the Lifestyle Risk Factors of Obesity , Tobacco and Alcohol .</w:t>
      </w:r>
      <w:r>
        <w:t>; 2008. Available at: http://www.health.gov.au/internet/preventativehealth/publishing.nsf/Content/0FBE203C1C547A82CA257529000231BF/$File/commpaper-primary-hlth-care-harris.pdf.</w:t>
      </w:r>
    </w:p>
    <w:p w14:paraId="1EAB9373" w14:textId="77777777" w:rsidR="00113335" w:rsidRDefault="00113335" w:rsidP="00731926">
      <w:pPr>
        <w:pStyle w:val="05number1"/>
        <w:divId w:val="720710570"/>
      </w:pPr>
      <w:r>
        <w:t xml:space="preserve">Merrell K, Berenson RA. Structuring payment for medical homes. </w:t>
      </w:r>
      <w:r>
        <w:rPr>
          <w:i/>
          <w:iCs/>
        </w:rPr>
        <w:t>Health Aff. (Millwood).</w:t>
      </w:r>
      <w:r>
        <w:t xml:space="preserve"> 2010;29(5):852-8. doi:10.1377/hlthaff.2009.0995.</w:t>
      </w:r>
    </w:p>
    <w:p w14:paraId="37446E15" w14:textId="77777777" w:rsidR="00113335" w:rsidRDefault="00113335" w:rsidP="00731926">
      <w:pPr>
        <w:pStyle w:val="05number1"/>
        <w:divId w:val="720710570"/>
      </w:pPr>
      <w:r>
        <w:t xml:space="preserve">Scott A, Sivey P, Ait Ouakrim D, et al. The effect of financial incentives on the quality of health care provided by primary care physicians. </w:t>
      </w:r>
      <w:r>
        <w:rPr>
          <w:i/>
          <w:iCs/>
        </w:rPr>
        <w:t>Cochrane database Syst. Rev.</w:t>
      </w:r>
      <w:r>
        <w:t xml:space="preserve"> 2011;(9):CD008451. doi:10.1002/14651858.CD008451.pub2.</w:t>
      </w:r>
    </w:p>
    <w:p w14:paraId="573FE429" w14:textId="77777777" w:rsidR="00113335" w:rsidRDefault="00113335" w:rsidP="00731926">
      <w:pPr>
        <w:pStyle w:val="05number1"/>
        <w:divId w:val="720710570"/>
      </w:pPr>
      <w:r>
        <w:t xml:space="preserve">Royal Australian College of General Practitioners. </w:t>
      </w:r>
      <w:r>
        <w:rPr>
          <w:i/>
          <w:iCs/>
        </w:rPr>
        <w:t>General Practice Management of Type 2 Diabetes 2014–15</w:t>
      </w:r>
      <w:r>
        <w:t>. Melbourne: Royal Australian College of General Practitioners; 2014. Available at: http://www.racgp.org.au/download/Documents/Guidelines/Diabetes/2014diabetesmanagement.pdf.</w:t>
      </w:r>
    </w:p>
    <w:p w14:paraId="4920CC24" w14:textId="77777777" w:rsidR="00113335" w:rsidRDefault="00113335" w:rsidP="00731926">
      <w:pPr>
        <w:pStyle w:val="05number1"/>
        <w:divId w:val="720710570"/>
      </w:pPr>
      <w:r>
        <w:lastRenderedPageBreak/>
        <w:t xml:space="preserve">Scott A, Harris MF. Designing payments for GPs to improve the quality of diabetes care. </w:t>
      </w:r>
      <w:r>
        <w:rPr>
          <w:i/>
          <w:iCs/>
        </w:rPr>
        <w:t>Med. J. Aust.</w:t>
      </w:r>
      <w:r>
        <w:t xml:space="preserve"> 2012;196(1):24-6.</w:t>
      </w:r>
    </w:p>
    <w:p w14:paraId="0A44535A" w14:textId="77777777" w:rsidR="00113335" w:rsidRDefault="00113335" w:rsidP="00731926">
      <w:pPr>
        <w:pStyle w:val="05number1"/>
        <w:divId w:val="720710570"/>
      </w:pPr>
      <w:r>
        <w:t xml:space="preserve">NHS Employers, General Practitioners Committee of the British Medical Association, NHS England. </w:t>
      </w:r>
      <w:r>
        <w:rPr>
          <w:i/>
          <w:iCs/>
        </w:rPr>
        <w:t>2014/15 General Medical Services (GMS) Contract Quality and Outcomes Framework (QOF): Guidance for GMS Contract 2014/15</w:t>
      </w:r>
      <w:r>
        <w:t>. The NHS Confederation (Employers) Company Ltd.; 2014. Available at: http://bma.org.uk/-/media/files/pdfs/practical advice at work/contracts/gpqofguidance2014-15.pdf.</w:t>
      </w:r>
    </w:p>
    <w:p w14:paraId="7A3E681A" w14:textId="77777777" w:rsidR="00113335" w:rsidRDefault="00113335" w:rsidP="00731926">
      <w:pPr>
        <w:pStyle w:val="05number1"/>
        <w:divId w:val="720710570"/>
      </w:pPr>
      <w:r>
        <w:t xml:space="preserve">De Brantes FS, D’Andrea BG. Physicians respond to pay-for-performance incentives: larger incentives yield greater participation. </w:t>
      </w:r>
      <w:r>
        <w:rPr>
          <w:i/>
          <w:iCs/>
        </w:rPr>
        <w:t>Am. J. Manag. Care</w:t>
      </w:r>
      <w:r>
        <w:t xml:space="preserve"> 2009;15(5):305-10.</w:t>
      </w:r>
    </w:p>
    <w:p w14:paraId="472CA76E" w14:textId="77777777" w:rsidR="00113335" w:rsidRDefault="00113335" w:rsidP="00731926">
      <w:pPr>
        <w:pStyle w:val="05number1"/>
        <w:divId w:val="720710570"/>
      </w:pPr>
      <w:r>
        <w:t xml:space="preserve">Van Herck P, De Smedt D, Annemans L, Remmen R, Rosenthal MB, Sermeus W. Systematic review: Effects, design choices, and context of pay-for-performance in health care. </w:t>
      </w:r>
      <w:r>
        <w:rPr>
          <w:i/>
          <w:iCs/>
        </w:rPr>
        <w:t>BMC Health Serv. Res.</w:t>
      </w:r>
      <w:r>
        <w:t xml:space="preserve"> 2010;10:247. doi:10.1186/1472-6963-10-247.</w:t>
      </w:r>
    </w:p>
    <w:p w14:paraId="171FF5B7" w14:textId="77777777" w:rsidR="00113335" w:rsidRDefault="000A65A0" w:rsidP="00731926">
      <w:pPr>
        <w:pStyle w:val="05number1"/>
        <w:divId w:val="720710570"/>
      </w:pPr>
      <w:r>
        <w:t>C</w:t>
      </w:r>
      <w:r w:rsidR="00113335">
        <w:t xml:space="preserve">ampbell SM, Scott A, Parker RM, et al. Implementing pay-for-performance in Australian primary care: lessons from the United Kingdom and the United States. </w:t>
      </w:r>
      <w:r w:rsidR="00113335">
        <w:rPr>
          <w:i/>
          <w:iCs/>
        </w:rPr>
        <w:t>Med. J. Aust.</w:t>
      </w:r>
      <w:r w:rsidR="00113335">
        <w:t xml:space="preserve"> 2010;193(7):408-11.</w:t>
      </w:r>
    </w:p>
    <w:p w14:paraId="40221D49" w14:textId="77777777" w:rsidR="00113335" w:rsidRDefault="00113335" w:rsidP="00731926">
      <w:pPr>
        <w:pStyle w:val="05number1"/>
        <w:divId w:val="720710570"/>
      </w:pPr>
      <w:r>
        <w:t xml:space="preserve">Lind S. Smaller QOF being considered under radical rethink of GP contract by NHS England. </w:t>
      </w:r>
      <w:r>
        <w:rPr>
          <w:i/>
          <w:iCs/>
        </w:rPr>
        <w:t>Pulse</w:t>
      </w:r>
      <w:r>
        <w:t xml:space="preserve"> 2013. Available at: http://www.pulsetoday.co.uk/your-practice/practice-topics/qof/smaller-qof-being-considered-under-radical-rethink-of-gp-contract-by-nhs-england/20002965.article#.VCjKp2eSzHU. Accessed September 29, 2014.</w:t>
      </w:r>
    </w:p>
    <w:p w14:paraId="77CA4F02" w14:textId="77777777" w:rsidR="00113335" w:rsidRDefault="00113335" w:rsidP="00731926">
      <w:pPr>
        <w:pStyle w:val="05number1"/>
        <w:divId w:val="720710570"/>
      </w:pPr>
      <w:r>
        <w:t xml:space="preserve">Center for Drug Evaluation and Research. </w:t>
      </w:r>
      <w:r>
        <w:rPr>
          <w:i/>
          <w:iCs/>
        </w:rPr>
        <w:t>Guidance for Industry: Diabetes Mellitus: Developing Drugs and Therapeutic Biologics for Treatment and Prevention</w:t>
      </w:r>
      <w:r>
        <w:t>. Rockville,. Food and Drug Administration; 2008. Available at: http://www.fda.gov/downloads/Drugs/Guidances/ucm071624.pdf.</w:t>
      </w:r>
    </w:p>
    <w:p w14:paraId="27460999" w14:textId="77777777" w:rsidR="00113335" w:rsidRDefault="00113335" w:rsidP="00731926">
      <w:pPr>
        <w:pStyle w:val="05number1"/>
        <w:divId w:val="720710570"/>
      </w:pPr>
      <w:r>
        <w:t xml:space="preserve">Carne A. </w:t>
      </w:r>
      <w:r>
        <w:rPr>
          <w:i/>
          <w:iCs/>
        </w:rPr>
        <w:t>Summary Data Report of the 2011-2012 Annual Survey of Divisions of General Practice</w:t>
      </w:r>
      <w:r>
        <w:t>. Adelaide: Primary Health Care Research &amp; Information Service, Discipline of General Practice, Flinders University, and Australian Government Department of Health and Ageing; 2013. Available at: http://www.phcris.org.au/phplib/filedownload.php?file=/elib/lib/downloaded_files/publications/pdfs/phcris_pub_8400.pdf.</w:t>
      </w:r>
    </w:p>
    <w:p w14:paraId="44EAEE73" w14:textId="77777777" w:rsidR="00113335" w:rsidRDefault="00113335" w:rsidP="00731926">
      <w:pPr>
        <w:pStyle w:val="05number1"/>
        <w:divId w:val="720710570"/>
      </w:pPr>
      <w:r>
        <w:t xml:space="preserve">Health Workforce Australia. </w:t>
      </w:r>
      <w:r>
        <w:rPr>
          <w:i/>
          <w:iCs/>
        </w:rPr>
        <w:t>Health Workforce by Numbers</w:t>
      </w:r>
      <w:r>
        <w:t>. Adelaide: Health Workforce Australia; 2013. Available at: http://www.hwa.gov.au/sites/uploads/Health-Workforce-by-Numbers-FINAL.pdf.</w:t>
      </w:r>
    </w:p>
    <w:p w14:paraId="03CA90A4" w14:textId="77777777" w:rsidR="00113335" w:rsidRDefault="00113335" w:rsidP="00731926">
      <w:pPr>
        <w:pStyle w:val="05number1"/>
        <w:divId w:val="720710570"/>
      </w:pPr>
      <w:r>
        <w:t xml:space="preserve">U.K. prospective diabetes study 16. Overview of 6 years’ therapy of type II diabetes: a progressive disease. U.K. Prospective Diabetes Study Group. </w:t>
      </w:r>
      <w:r>
        <w:rPr>
          <w:i/>
          <w:iCs/>
        </w:rPr>
        <w:t>Diabetes</w:t>
      </w:r>
      <w:r>
        <w:t xml:space="preserve"> 1995;44(11):1249-58.</w:t>
      </w:r>
    </w:p>
    <w:p w14:paraId="0D1B9569" w14:textId="77777777" w:rsidR="00113335" w:rsidRDefault="00113335" w:rsidP="00731926">
      <w:pPr>
        <w:pStyle w:val="05number1"/>
        <w:divId w:val="720710570"/>
      </w:pPr>
      <w:r>
        <w:t xml:space="preserve">Home PD, Pocock SJ, Beck-Nielsen H, et al. Rosiglitazone Evaluated for Cardiac Outcomes and Regulation of Glycaemia in Diabetes (RECORD): study design and protocol. </w:t>
      </w:r>
      <w:r>
        <w:rPr>
          <w:i/>
          <w:iCs/>
        </w:rPr>
        <w:t>Diabetologia</w:t>
      </w:r>
      <w:r>
        <w:t xml:space="preserve"> 2005;48(9):1726-35. doi:10.1007/s00125-005-1869-1.</w:t>
      </w:r>
    </w:p>
    <w:p w14:paraId="763F889A" w14:textId="77777777" w:rsidR="00113335" w:rsidRDefault="00113335" w:rsidP="00731926">
      <w:pPr>
        <w:pStyle w:val="05number1"/>
        <w:divId w:val="720710570"/>
      </w:pPr>
      <w:r>
        <w:t xml:space="preserve">Buse JB, Bigger JT, Byington RP, et al. Action to Control Cardiovascular Risk in Diabetes (ACCORD) trial: design and methods. </w:t>
      </w:r>
      <w:r>
        <w:rPr>
          <w:i/>
          <w:iCs/>
        </w:rPr>
        <w:t>Am. J. Cardiol.</w:t>
      </w:r>
      <w:r>
        <w:t xml:space="preserve"> 2007;99(12A):21i-33i. doi:10.1016/j.amjcard.2007.03.003.</w:t>
      </w:r>
    </w:p>
    <w:p w14:paraId="7E686345" w14:textId="77777777" w:rsidR="00113335" w:rsidRDefault="00113335" w:rsidP="00731926">
      <w:pPr>
        <w:pStyle w:val="05number1"/>
        <w:divId w:val="720710570"/>
      </w:pPr>
      <w:r>
        <w:t xml:space="preserve">ADVANCE--Action in Diabetes and Vascular Disease: patient recruitment and characteristics of the study population at baseline. </w:t>
      </w:r>
      <w:r>
        <w:rPr>
          <w:i/>
          <w:iCs/>
        </w:rPr>
        <w:t>Diabet. Med.</w:t>
      </w:r>
      <w:r>
        <w:t xml:space="preserve"> 2005;22(7):882-8. doi:10.1111/j.1464-5491.2005.01596.x.</w:t>
      </w:r>
    </w:p>
    <w:p w14:paraId="05B53A7E" w14:textId="77777777" w:rsidR="00113335" w:rsidRDefault="00113335" w:rsidP="00731926">
      <w:pPr>
        <w:pStyle w:val="05number1"/>
        <w:divId w:val="720710570"/>
      </w:pPr>
      <w:r>
        <w:lastRenderedPageBreak/>
        <w:t xml:space="preserve">Douglas KA, Yen LE, Korda RJ, Kljakovic M, Glasgow NJ. Chronic disease management items in general practice: a population-based study of variation in claims by claimant characteristics. </w:t>
      </w:r>
      <w:r>
        <w:rPr>
          <w:i/>
          <w:iCs/>
        </w:rPr>
        <w:t>Med. J. Aust.</w:t>
      </w:r>
      <w:r>
        <w:t xml:space="preserve"> 2011;195(4):198-202.</w:t>
      </w:r>
    </w:p>
    <w:p w14:paraId="1491A0F5" w14:textId="77777777" w:rsidR="00113335" w:rsidRDefault="00113335" w:rsidP="00731926">
      <w:pPr>
        <w:pStyle w:val="05number1"/>
        <w:divId w:val="720710570"/>
      </w:pPr>
      <w:r>
        <w:t xml:space="preserve">Vitry AI, Roughead EE, Ramsay EN, et al. Chronic disease management: does the disease affect likelihood of care planning? </w:t>
      </w:r>
      <w:r>
        <w:rPr>
          <w:i/>
          <w:iCs/>
        </w:rPr>
        <w:t>Aust. Health Rev.</w:t>
      </w:r>
      <w:r>
        <w:t xml:space="preserve"> 2012;36(4):419-23. doi:10.1071/AH11100.</w:t>
      </w:r>
    </w:p>
    <w:p w14:paraId="31D89EC9" w14:textId="77777777" w:rsidR="00113335" w:rsidRDefault="00113335" w:rsidP="00731926">
      <w:pPr>
        <w:pStyle w:val="05number1"/>
        <w:divId w:val="720710570"/>
      </w:pPr>
      <w:r>
        <w:t xml:space="preserve">Adaji A, Schattner P, Jones KM, Beovich B, Piterman L. Care planning and adherence to diabetes process guidelines: medicare data analysis. </w:t>
      </w:r>
      <w:r>
        <w:rPr>
          <w:i/>
          <w:iCs/>
        </w:rPr>
        <w:t>Aust. Health Rev.</w:t>
      </w:r>
      <w:r>
        <w:t xml:space="preserve"> 2013;37(1):83-7. doi:10.1071/AH11136.</w:t>
      </w:r>
    </w:p>
    <w:p w14:paraId="5E505F4E" w14:textId="77777777" w:rsidR="00113335" w:rsidRDefault="00113335" w:rsidP="00731926">
      <w:pPr>
        <w:pStyle w:val="05number1"/>
        <w:divId w:val="720710570"/>
      </w:pPr>
      <w:r>
        <w:t xml:space="preserve">Zwar N, Hermiz O, Comino EJ, Shortus T, Burns J, Harris M. Do multidisciplinary care plans result in better care for patients with type 2 diabetes? </w:t>
      </w:r>
      <w:r>
        <w:rPr>
          <w:i/>
          <w:iCs/>
        </w:rPr>
        <w:t>Aust. Fam. Physician</w:t>
      </w:r>
      <w:r>
        <w:t xml:space="preserve"> 2007;36(1-2):85-9.</w:t>
      </w:r>
    </w:p>
    <w:p w14:paraId="4C652ED1" w14:textId="77777777" w:rsidR="00113335" w:rsidRDefault="00113335" w:rsidP="00731926">
      <w:pPr>
        <w:pStyle w:val="05number1"/>
        <w:divId w:val="720710570"/>
      </w:pPr>
      <w:r>
        <w:t xml:space="preserve">Zwar N, Hasan I, Hermiz O, Vagholkar S, Comino E, Harris M. Multidisciplinary care plans and diabetes--benefits for patients with poor glycaemic control. </w:t>
      </w:r>
      <w:r>
        <w:rPr>
          <w:i/>
          <w:iCs/>
        </w:rPr>
        <w:t>Aust. Fam. Physician</w:t>
      </w:r>
      <w:r>
        <w:t xml:space="preserve"> 2008;37(11):960-2.</w:t>
      </w:r>
    </w:p>
    <w:p w14:paraId="60C1EEF3" w14:textId="77777777" w:rsidR="00113335" w:rsidRDefault="00113335" w:rsidP="00731926">
      <w:pPr>
        <w:pStyle w:val="05number1"/>
        <w:divId w:val="720710570"/>
      </w:pPr>
      <w:r>
        <w:t xml:space="preserve">Wickramasinghe LK, Schattner P, Hibbert ME, Enticott JC, Georgeff MP, Russell GM. Impact on diabetes management of General Practice Management Plans, Team Care Arrangements and reviews. </w:t>
      </w:r>
      <w:r>
        <w:rPr>
          <w:i/>
          <w:iCs/>
        </w:rPr>
        <w:t>Med. J. Aust.</w:t>
      </w:r>
      <w:r>
        <w:t xml:space="preserve"> 2013;199(4):261-5.</w:t>
      </w:r>
    </w:p>
    <w:p w14:paraId="0AF8D71E" w14:textId="77777777" w:rsidR="00113335" w:rsidRDefault="000A65A0" w:rsidP="00731926">
      <w:pPr>
        <w:pStyle w:val="05number1"/>
        <w:divId w:val="720710570"/>
      </w:pPr>
      <w:r>
        <w:t>S</w:t>
      </w:r>
      <w:r w:rsidR="00113335">
        <w:t xml:space="preserve">tratton IM, Adler AI, Neil HA, et al. Association of glycaemia with macrovascular and microvascular complications of type 2 diabetes (UKPDS 35): prospective observational study. </w:t>
      </w:r>
      <w:r w:rsidR="00113335">
        <w:rPr>
          <w:i/>
          <w:iCs/>
        </w:rPr>
        <w:t>BMJ</w:t>
      </w:r>
      <w:r w:rsidR="00113335">
        <w:t xml:space="preserve"> 2000;321(7258):405-12.</w:t>
      </w:r>
    </w:p>
    <w:p w14:paraId="07615086" w14:textId="77777777" w:rsidR="00113335" w:rsidRDefault="00113335" w:rsidP="00731926">
      <w:pPr>
        <w:pStyle w:val="05number1"/>
        <w:divId w:val="720710570"/>
      </w:pPr>
      <w:r>
        <w:t xml:space="preserve">Glasziou PP, Clarke P, Alexander J, et al. Cost-effectiveness of lowering blood pressure with a fixed combination of perindopril and indapamide in type 2 diabetes mellitus: an ADVANCE trial-based analysis. </w:t>
      </w:r>
      <w:r>
        <w:rPr>
          <w:i/>
          <w:iCs/>
        </w:rPr>
        <w:t>Med. J. Aust.</w:t>
      </w:r>
      <w:r>
        <w:t xml:space="preserve"> 2010;193(6):320-4.</w:t>
      </w:r>
    </w:p>
    <w:p w14:paraId="3B5AE81E" w14:textId="77777777" w:rsidR="00113335" w:rsidRDefault="00113335" w:rsidP="00731926">
      <w:pPr>
        <w:pStyle w:val="05number1"/>
        <w:divId w:val="720710570"/>
      </w:pPr>
      <w:r>
        <w:t xml:space="preserve">Clarke P, Gray A, Adler A, et al. Cost-effectiveness analysis of intensive blood-glucose control with metformin in overweight patients with type II diabetes (UKPDS No. 51). </w:t>
      </w:r>
      <w:r>
        <w:rPr>
          <w:i/>
          <w:iCs/>
        </w:rPr>
        <w:t>Diabetologia</w:t>
      </w:r>
      <w:r>
        <w:t xml:space="preserve"> 2001;44(3):298-304. doi:10.1007/s001250051617.</w:t>
      </w:r>
    </w:p>
    <w:p w14:paraId="29878CA9" w14:textId="77777777" w:rsidR="00113335" w:rsidRDefault="00113335" w:rsidP="00731926">
      <w:pPr>
        <w:pStyle w:val="05number1"/>
        <w:divId w:val="720710570"/>
      </w:pPr>
      <w:r>
        <w:t xml:space="preserve">Drug Utilisation Sub-Committee of the Pharmaceutical Benefits Advisory Committee. </w:t>
      </w:r>
      <w:r>
        <w:rPr>
          <w:i/>
          <w:iCs/>
        </w:rPr>
        <w:t>Drug Utilisation Sub-Committee Outcome Statement 7-8 February 2013</w:t>
      </w:r>
      <w:r>
        <w:t>. Department of Health; 2013. Available at: http://www.pbs.gov.au/industry/listing/elements/dusc-meetings/dos/dusc-dos-feb-2013.pdf.</w:t>
      </w:r>
    </w:p>
    <w:p w14:paraId="502BE6FE" w14:textId="77777777" w:rsidR="00113335" w:rsidRDefault="00113335" w:rsidP="00731926">
      <w:pPr>
        <w:pStyle w:val="05number1"/>
        <w:divId w:val="720710570"/>
      </w:pPr>
      <w:r>
        <w:t xml:space="preserve">18th Expert Committee on the Selection and Use of Essential Medicines. </w:t>
      </w:r>
      <w:r>
        <w:rPr>
          <w:i/>
          <w:iCs/>
        </w:rPr>
        <w:t>Review of the Evidence Comparing Insulin (human or Animal) with Analogue Insulins</w:t>
      </w:r>
      <w:r>
        <w:t>. Accra, Ghana: World Health Organisation; 2011:1-51. Available at: http://www.who.int/selection_medicines/committees/expert/18/applications/Insulin_review.pdf.</w:t>
      </w:r>
    </w:p>
    <w:p w14:paraId="3F496F92" w14:textId="77777777" w:rsidR="00113335" w:rsidRDefault="00113335" w:rsidP="00731926">
      <w:pPr>
        <w:pStyle w:val="05number1"/>
        <w:divId w:val="720710570"/>
      </w:pPr>
      <w:r>
        <w:t xml:space="preserve">Knight AW, Ford D, Audehm R, Colagiuri S, Best J. The Australian Primary Care Collaboratives Program: improving diabetes care. </w:t>
      </w:r>
      <w:r>
        <w:rPr>
          <w:i/>
          <w:iCs/>
        </w:rPr>
        <w:t>BMJ Qual. Saf.</w:t>
      </w:r>
      <w:r>
        <w:t xml:space="preserve"> 2012;21(11):956-63. doi:10.1136/bmjqs-2011-000460.</w:t>
      </w:r>
    </w:p>
    <w:p w14:paraId="7F4A10F2" w14:textId="77777777" w:rsidR="00113335" w:rsidRDefault="00113335" w:rsidP="00731926">
      <w:pPr>
        <w:pStyle w:val="05number1"/>
        <w:divId w:val="720710570"/>
      </w:pPr>
      <w:r>
        <w:t xml:space="preserve">Boland MRS, Tsiachristas A, Kruis AL, Chavannes NH, Rutten-van Mölken MPMH. The health economic impact of disease management programs for COPD: a systematic literature review and meta-analysis. </w:t>
      </w:r>
      <w:r>
        <w:rPr>
          <w:i/>
          <w:iCs/>
        </w:rPr>
        <w:t>BMC Pulm. Med.</w:t>
      </w:r>
      <w:r>
        <w:t xml:space="preserve"> 2013;13:40. doi:10.1186/1471-2466-13-40.</w:t>
      </w:r>
    </w:p>
    <w:p w14:paraId="57791D1B" w14:textId="77777777" w:rsidR="00113335" w:rsidRDefault="00113335" w:rsidP="00731926">
      <w:pPr>
        <w:pStyle w:val="05number1"/>
        <w:divId w:val="720710570"/>
      </w:pPr>
      <w:r>
        <w:t xml:space="preserve">Krause DS. Economic effectiveness of disease management programs: a meta-analysis. </w:t>
      </w:r>
      <w:r>
        <w:rPr>
          <w:i/>
          <w:iCs/>
        </w:rPr>
        <w:t>Dis. Manag.</w:t>
      </w:r>
      <w:r>
        <w:t xml:space="preserve"> 2005;8(2):114-34. doi:10.1089/dis.2005.8.114.</w:t>
      </w:r>
    </w:p>
    <w:p w14:paraId="5C5E8520" w14:textId="77777777" w:rsidR="00113335" w:rsidRDefault="00113335" w:rsidP="00731926">
      <w:pPr>
        <w:pStyle w:val="05number1"/>
        <w:divId w:val="720710570"/>
      </w:pPr>
      <w:r>
        <w:lastRenderedPageBreak/>
        <w:t xml:space="preserve">Timmins N, Ham C. </w:t>
      </w:r>
      <w:r>
        <w:rPr>
          <w:i/>
          <w:iCs/>
        </w:rPr>
        <w:t>The Quest for Integrated Health and Social Care: A Case Study in Canterbury, New Zealand</w:t>
      </w:r>
      <w:r>
        <w:t>. London: The King’s Fund; 2013. Available at: http://www.kingsfund.org.uk/sites/files/kf/field/field_publication_file/quest-integrated-care-new-zealand-timmins-ham-sept13.pdf.</w:t>
      </w:r>
    </w:p>
    <w:p w14:paraId="3126012E" w14:textId="77777777" w:rsidR="00113335" w:rsidRDefault="00113335" w:rsidP="00731926">
      <w:pPr>
        <w:pStyle w:val="05number1"/>
        <w:divId w:val="720710570"/>
      </w:pPr>
      <w:r>
        <w:t xml:space="preserve">Curry N, Harris M, Gunn LH, et al. Integrated care pilot in north-west London: a mixed methods evaluation. </w:t>
      </w:r>
      <w:r>
        <w:rPr>
          <w:i/>
          <w:iCs/>
        </w:rPr>
        <w:t>Int. J. Integr. Care</w:t>
      </w:r>
      <w:r>
        <w:t xml:space="preserve"> 2013;13:e027.</w:t>
      </w:r>
    </w:p>
    <w:p w14:paraId="1A081269" w14:textId="77777777" w:rsidR="00113335" w:rsidRDefault="00113335" w:rsidP="00731926">
      <w:pPr>
        <w:pStyle w:val="05number1"/>
        <w:divId w:val="720710570"/>
      </w:pPr>
      <w:r>
        <w:t xml:space="preserve">Curry N, Ham C. </w:t>
      </w:r>
      <w:r>
        <w:rPr>
          <w:i/>
          <w:iCs/>
        </w:rPr>
        <w:t>Clinical and Service Integration: The Route to Improved Outcomes</w:t>
      </w:r>
      <w:r>
        <w:t>. London: The King’s Fund; 2010. Available at: https://www.kingsfund.org.uk/sites/files/kf/Clinical-and-service-integration-Natasha-Curry-</w:t>
      </w:r>
      <w:r w:rsidR="00A415CA">
        <w:t>Chris-Ham-22-November-2010.pdf.</w:t>
      </w:r>
    </w:p>
    <w:p w14:paraId="42B711AC" w14:textId="77777777" w:rsidR="00F348CF" w:rsidRPr="0049693E" w:rsidRDefault="00F348CF" w:rsidP="00731926"/>
    <w:sectPr w:rsidR="00F348CF" w:rsidRPr="0049693E" w:rsidSect="006F43C4">
      <w:pgSz w:w="11906" w:h="16838"/>
      <w:pgMar w:top="1440" w:right="1440" w:bottom="1440" w:left="1440" w:header="708" w:footer="708" w:gutter="0"/>
      <w:pgBorders w:offsetFrom="page">
        <w:top w:val="none" w:sz="0" w:space="0" w:color="000000"/>
        <w:left w:val="none" w:sz="0" w:space="0" w:color="000000"/>
        <w:bottom w:val="none" w:sz="0" w:space="0" w:color="000000"/>
        <w:right w:val="none" w:sz="0" w:space="0" w:color="00000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21A74F" w14:textId="77777777" w:rsidR="002F16C1" w:rsidRDefault="002F16C1" w:rsidP="0053283D">
      <w:pPr>
        <w:spacing w:after="0"/>
      </w:pPr>
      <w:r>
        <w:separator/>
      </w:r>
    </w:p>
  </w:endnote>
  <w:endnote w:type="continuationSeparator" w:id="0">
    <w:p w14:paraId="77A82F94" w14:textId="77777777" w:rsidR="002F16C1" w:rsidRDefault="002F16C1" w:rsidP="0053283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yriadPro-Ligh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3879254"/>
      <w:docPartObj>
        <w:docPartGallery w:val="Page Numbers (Bottom of Page)"/>
        <w:docPartUnique/>
      </w:docPartObj>
    </w:sdtPr>
    <w:sdtEndPr>
      <w:rPr>
        <w:noProof/>
      </w:rPr>
    </w:sdtEndPr>
    <w:sdtContent>
      <w:p w14:paraId="5F671041" w14:textId="19D01447" w:rsidR="002F16C1" w:rsidRDefault="002F16C1" w:rsidP="00413816">
        <w:pPr>
          <w:pStyle w:val="Footer"/>
        </w:pPr>
        <w:r>
          <w:fldChar w:fldCharType="begin"/>
        </w:r>
        <w:r>
          <w:instrText xml:space="preserve"> PAGE   \* MERGEFORMAT </w:instrText>
        </w:r>
        <w:r>
          <w:fldChar w:fldCharType="separate"/>
        </w:r>
        <w:r w:rsidR="00861133">
          <w:rPr>
            <w:noProof/>
          </w:rPr>
          <w:t>38</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839613" w14:textId="77777777" w:rsidR="002F16C1" w:rsidRPr="00AF3575" w:rsidRDefault="002F16C1" w:rsidP="00AF3575">
      <w:pPr>
        <w:pStyle w:val="Footer"/>
      </w:pPr>
    </w:p>
  </w:footnote>
  <w:footnote w:type="continuationSeparator" w:id="0">
    <w:p w14:paraId="697832D2" w14:textId="77777777" w:rsidR="002F16C1" w:rsidRDefault="002F16C1" w:rsidP="0053283D">
      <w:pPr>
        <w:spacing w:after="0"/>
      </w:pPr>
      <w:r>
        <w:continuationSeparator/>
      </w:r>
    </w:p>
  </w:footnote>
  <w:footnote w:id="1">
    <w:p w14:paraId="35A8D431" w14:textId="77777777" w:rsidR="002F16C1" w:rsidRPr="00552846" w:rsidRDefault="002F16C1" w:rsidP="004179DA">
      <w:pPr>
        <w:pStyle w:val="FootnoteText"/>
        <w:rPr>
          <w:sz w:val="16"/>
          <w:szCs w:val="16"/>
        </w:rPr>
      </w:pPr>
      <w:r w:rsidRPr="00552846">
        <w:rPr>
          <w:rStyle w:val="FootnoteReference"/>
          <w:sz w:val="16"/>
          <w:szCs w:val="16"/>
        </w:rPr>
        <w:footnoteRef/>
      </w:r>
      <w:r w:rsidRPr="00552846">
        <w:rPr>
          <w:sz w:val="16"/>
          <w:szCs w:val="16"/>
        </w:rPr>
        <w:t xml:space="preserve"> Based on CPI escalation (A</w:t>
      </w:r>
      <w:r>
        <w:rPr>
          <w:sz w:val="16"/>
          <w:szCs w:val="16"/>
        </w:rPr>
        <w:t>ustralian Bureau of Statistics).</w:t>
      </w:r>
    </w:p>
  </w:footnote>
  <w:footnote w:id="2">
    <w:p w14:paraId="28E12F16" w14:textId="77777777" w:rsidR="002F16C1" w:rsidRDefault="002F16C1">
      <w:pPr>
        <w:pStyle w:val="FootnoteText"/>
      </w:pPr>
      <w:r>
        <w:rPr>
          <w:rStyle w:val="FootnoteReference"/>
        </w:rPr>
        <w:footnoteRef/>
      </w:r>
      <w:r>
        <w:t xml:space="preserve"> </w:t>
      </w:r>
      <w:r>
        <w:rPr>
          <w:rFonts w:eastAsiaTheme="minorHAnsi"/>
        </w:rPr>
        <w:t>Defined as ‘RA1’ according to Australian Bureau of Statistics.</w:t>
      </w:r>
    </w:p>
  </w:footnote>
  <w:footnote w:id="3">
    <w:p w14:paraId="61D82187" w14:textId="77777777" w:rsidR="002F16C1" w:rsidRDefault="002F16C1" w:rsidP="00D0423F">
      <w:pPr>
        <w:pStyle w:val="FootnoteText"/>
      </w:pPr>
      <w:r>
        <w:t xml:space="preserve"> c Using AIHW definition based on classification of ICD-10 codes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EE227E" w14:textId="77777777" w:rsidR="002F16C1" w:rsidRDefault="002F16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697D45" w14:textId="77777777" w:rsidR="002F16C1" w:rsidRDefault="002F16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E607DA" w14:textId="77777777" w:rsidR="002F16C1" w:rsidRDefault="002F16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D6FE0D" w14:textId="77777777" w:rsidR="002F16C1" w:rsidRPr="007935D3" w:rsidRDefault="002F16C1">
    <w:pPr>
      <w:pStyle w:val="Header"/>
      <w:rPr>
        <w:color w:val="808080" w:themeColor="background1" w:themeShade="8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0D6019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3BBADE7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198EA8E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95860C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7A3486A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FDCD63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10A7010"/>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90C0E1E"/>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E3CAC0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204A49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D07BE4"/>
    <w:multiLevelType w:val="multilevel"/>
    <w:tmpl w:val="E1A05366"/>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0D082844"/>
    <w:multiLevelType w:val="hybridMultilevel"/>
    <w:tmpl w:val="CD70E6D4"/>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2" w15:restartNumberingAfterBreak="0">
    <w:nsid w:val="0D34271F"/>
    <w:multiLevelType w:val="hybridMultilevel"/>
    <w:tmpl w:val="6F663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2BC6A0E"/>
    <w:multiLevelType w:val="hybridMultilevel"/>
    <w:tmpl w:val="4D4CD482"/>
    <w:lvl w:ilvl="0" w:tplc="98CAFA56">
      <w:start w:val="1"/>
      <w:numFmt w:val="decimal"/>
      <w:lvlText w:val="%1."/>
      <w:lvlJc w:val="left"/>
      <w:pPr>
        <w:ind w:left="720" w:hanging="360"/>
      </w:pPr>
      <w:rPr>
        <w:u w:val="single"/>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4" w15:restartNumberingAfterBreak="0">
    <w:nsid w:val="14B92C8B"/>
    <w:multiLevelType w:val="hybridMultilevel"/>
    <w:tmpl w:val="542A2E0A"/>
    <w:lvl w:ilvl="0" w:tplc="D8B8A7F0">
      <w:start w:val="1"/>
      <w:numFmt w:val="lowerLetter"/>
      <w:pStyle w:val="06letter2"/>
      <w:lvlText w:val="%1."/>
      <w:lvlJc w:val="left"/>
      <w:pPr>
        <w:ind w:left="1077" w:hanging="360"/>
      </w:pPr>
      <w:rPr>
        <w:rFonts w:ascii="Arial" w:hAnsi="Arial" w:hint="default"/>
        <w:color w:val="002960"/>
        <w:sz w:val="22"/>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15" w15:restartNumberingAfterBreak="0">
    <w:nsid w:val="1E80521C"/>
    <w:multiLevelType w:val="hybridMultilevel"/>
    <w:tmpl w:val="6F5447B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0B27BFD"/>
    <w:multiLevelType w:val="multilevel"/>
    <w:tmpl w:val="805A63DA"/>
    <w:lvl w:ilvl="0">
      <w:start w:val="1"/>
      <w:numFmt w:val="bullet"/>
      <w:pStyle w:val="01squarebullet"/>
      <w:lvlText w:val="■"/>
      <w:lvlJc w:val="left"/>
      <w:pPr>
        <w:ind w:left="360" w:hanging="360"/>
      </w:pPr>
      <w:rPr>
        <w:rFonts w:ascii="Times New Roman" w:hAnsi="Times New Roman" w:cs="Times New Roman" w:hint="default"/>
        <w:color w:val="002960"/>
        <w:sz w:val="24"/>
        <w:szCs w:val="24"/>
      </w:rPr>
    </w:lvl>
    <w:lvl w:ilvl="1">
      <w:start w:val="1"/>
      <w:numFmt w:val="bullet"/>
      <w:lvlText w:val="–"/>
      <w:lvlJc w:val="left"/>
      <w:pPr>
        <w:tabs>
          <w:tab w:val="num" w:pos="646"/>
        </w:tabs>
        <w:ind w:left="644" w:hanging="284"/>
      </w:pPr>
      <w:rPr>
        <w:rFonts w:ascii="Arial" w:hAnsi="Arial" w:hint="default"/>
        <w:color w:val="auto"/>
        <w:sz w:val="24"/>
      </w:rPr>
    </w:lvl>
    <w:lvl w:ilvl="2">
      <w:start w:val="1"/>
      <w:numFmt w:val="bullet"/>
      <w:lvlText w:val="□"/>
      <w:lvlJc w:val="left"/>
      <w:pPr>
        <w:tabs>
          <w:tab w:val="num" w:pos="924"/>
        </w:tabs>
        <w:ind w:left="927" w:hanging="283"/>
      </w:pPr>
      <w:rPr>
        <w:rFonts w:ascii="Times New Roman" w:hAnsi="Times New Roman" w:cs="Times New Roman" w:hint="default"/>
        <w:color w:val="auto"/>
        <w:sz w:val="20"/>
      </w:rPr>
    </w:lvl>
    <w:lvl w:ilvl="3">
      <w:start w:val="1"/>
      <w:numFmt w:val="bullet"/>
      <w:lvlText w:val="-"/>
      <w:lvlJc w:val="left"/>
      <w:pPr>
        <w:tabs>
          <w:tab w:val="num" w:pos="1213"/>
        </w:tabs>
        <w:ind w:left="1211" w:hanging="284"/>
      </w:pPr>
      <w:rPr>
        <w:rFonts w:ascii="Times New Roman" w:hAnsi="Times New Roman" w:cs="Times New Roman" w:hint="default"/>
        <w:color w:val="002960"/>
        <w:sz w:val="24"/>
      </w:rPr>
    </w:lvl>
    <w:lvl w:ilvl="4">
      <w:start w:val="1"/>
      <w:numFmt w:val="lowerLetter"/>
      <w:lvlText w:val="(%5)"/>
      <w:lvlJc w:val="left"/>
      <w:pPr>
        <w:tabs>
          <w:tab w:val="num" w:pos="1877"/>
        </w:tabs>
        <w:ind w:left="1877" w:hanging="360"/>
      </w:pPr>
      <w:rPr>
        <w:rFonts w:hint="default"/>
      </w:rPr>
    </w:lvl>
    <w:lvl w:ilvl="5">
      <w:start w:val="1"/>
      <w:numFmt w:val="lowerRoman"/>
      <w:lvlText w:val="(%6)"/>
      <w:lvlJc w:val="left"/>
      <w:pPr>
        <w:tabs>
          <w:tab w:val="num" w:pos="2237"/>
        </w:tabs>
        <w:ind w:left="2237" w:hanging="360"/>
      </w:pPr>
      <w:rPr>
        <w:rFonts w:hint="default"/>
      </w:rPr>
    </w:lvl>
    <w:lvl w:ilvl="6">
      <w:start w:val="1"/>
      <w:numFmt w:val="decimal"/>
      <w:lvlText w:val="%7."/>
      <w:lvlJc w:val="left"/>
      <w:pPr>
        <w:tabs>
          <w:tab w:val="num" w:pos="2597"/>
        </w:tabs>
        <w:ind w:left="2597" w:hanging="360"/>
      </w:pPr>
      <w:rPr>
        <w:rFonts w:hint="default"/>
      </w:rPr>
    </w:lvl>
    <w:lvl w:ilvl="7">
      <w:start w:val="1"/>
      <w:numFmt w:val="lowerLetter"/>
      <w:lvlText w:val="%8."/>
      <w:lvlJc w:val="left"/>
      <w:pPr>
        <w:tabs>
          <w:tab w:val="num" w:pos="2957"/>
        </w:tabs>
        <w:ind w:left="2957" w:hanging="360"/>
      </w:pPr>
      <w:rPr>
        <w:rFonts w:hint="default"/>
      </w:rPr>
    </w:lvl>
    <w:lvl w:ilvl="8">
      <w:start w:val="1"/>
      <w:numFmt w:val="lowerRoman"/>
      <w:lvlText w:val="%9."/>
      <w:lvlJc w:val="left"/>
      <w:pPr>
        <w:tabs>
          <w:tab w:val="num" w:pos="3317"/>
        </w:tabs>
        <w:ind w:left="3317" w:hanging="360"/>
      </w:pPr>
      <w:rPr>
        <w:rFonts w:hint="default"/>
      </w:rPr>
    </w:lvl>
  </w:abstractNum>
  <w:abstractNum w:abstractNumId="17" w15:restartNumberingAfterBreak="0">
    <w:nsid w:val="369D6AAF"/>
    <w:multiLevelType w:val="hybridMultilevel"/>
    <w:tmpl w:val="F632A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E201525"/>
    <w:multiLevelType w:val="hybridMultilevel"/>
    <w:tmpl w:val="D2081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0FE1F36"/>
    <w:multiLevelType w:val="hybridMultilevel"/>
    <w:tmpl w:val="3BF48E3A"/>
    <w:lvl w:ilvl="0" w:tplc="EC889F0E">
      <w:start w:val="1"/>
      <w:numFmt w:val="decimal"/>
      <w:lvlText w:val="%1."/>
      <w:lvlJc w:val="left"/>
      <w:pPr>
        <w:tabs>
          <w:tab w:val="num" w:pos="720"/>
        </w:tabs>
        <w:ind w:left="720" w:hanging="360"/>
      </w:pPr>
    </w:lvl>
    <w:lvl w:ilvl="1" w:tplc="47F88D46">
      <w:start w:val="1"/>
      <w:numFmt w:val="decimal"/>
      <w:lvlText w:val="%2."/>
      <w:lvlJc w:val="left"/>
      <w:pPr>
        <w:tabs>
          <w:tab w:val="num" w:pos="1440"/>
        </w:tabs>
        <w:ind w:left="1440" w:hanging="360"/>
      </w:pPr>
    </w:lvl>
    <w:lvl w:ilvl="2" w:tplc="584CB1CE" w:tentative="1">
      <w:start w:val="1"/>
      <w:numFmt w:val="decimal"/>
      <w:lvlText w:val="%3."/>
      <w:lvlJc w:val="left"/>
      <w:pPr>
        <w:tabs>
          <w:tab w:val="num" w:pos="2160"/>
        </w:tabs>
        <w:ind w:left="2160" w:hanging="360"/>
      </w:pPr>
    </w:lvl>
    <w:lvl w:ilvl="3" w:tplc="AF8658CE" w:tentative="1">
      <w:start w:val="1"/>
      <w:numFmt w:val="decimal"/>
      <w:lvlText w:val="%4."/>
      <w:lvlJc w:val="left"/>
      <w:pPr>
        <w:tabs>
          <w:tab w:val="num" w:pos="2880"/>
        </w:tabs>
        <w:ind w:left="2880" w:hanging="360"/>
      </w:pPr>
    </w:lvl>
    <w:lvl w:ilvl="4" w:tplc="6BBEE308" w:tentative="1">
      <w:start w:val="1"/>
      <w:numFmt w:val="decimal"/>
      <w:lvlText w:val="%5."/>
      <w:lvlJc w:val="left"/>
      <w:pPr>
        <w:tabs>
          <w:tab w:val="num" w:pos="3600"/>
        </w:tabs>
        <w:ind w:left="3600" w:hanging="360"/>
      </w:pPr>
    </w:lvl>
    <w:lvl w:ilvl="5" w:tplc="663A49AA" w:tentative="1">
      <w:start w:val="1"/>
      <w:numFmt w:val="decimal"/>
      <w:lvlText w:val="%6."/>
      <w:lvlJc w:val="left"/>
      <w:pPr>
        <w:tabs>
          <w:tab w:val="num" w:pos="4320"/>
        </w:tabs>
        <w:ind w:left="4320" w:hanging="360"/>
      </w:pPr>
    </w:lvl>
    <w:lvl w:ilvl="6" w:tplc="770EC286" w:tentative="1">
      <w:start w:val="1"/>
      <w:numFmt w:val="decimal"/>
      <w:lvlText w:val="%7."/>
      <w:lvlJc w:val="left"/>
      <w:pPr>
        <w:tabs>
          <w:tab w:val="num" w:pos="5040"/>
        </w:tabs>
        <w:ind w:left="5040" w:hanging="360"/>
      </w:pPr>
    </w:lvl>
    <w:lvl w:ilvl="7" w:tplc="06EC0C76" w:tentative="1">
      <w:start w:val="1"/>
      <w:numFmt w:val="decimal"/>
      <w:lvlText w:val="%8."/>
      <w:lvlJc w:val="left"/>
      <w:pPr>
        <w:tabs>
          <w:tab w:val="num" w:pos="5760"/>
        </w:tabs>
        <w:ind w:left="5760" w:hanging="360"/>
      </w:pPr>
    </w:lvl>
    <w:lvl w:ilvl="8" w:tplc="56A8FAB4" w:tentative="1">
      <w:start w:val="1"/>
      <w:numFmt w:val="decimal"/>
      <w:lvlText w:val="%9."/>
      <w:lvlJc w:val="left"/>
      <w:pPr>
        <w:tabs>
          <w:tab w:val="num" w:pos="6480"/>
        </w:tabs>
        <w:ind w:left="6480" w:hanging="360"/>
      </w:pPr>
    </w:lvl>
  </w:abstractNum>
  <w:abstractNum w:abstractNumId="20" w15:restartNumberingAfterBreak="0">
    <w:nsid w:val="430A15E3"/>
    <w:multiLevelType w:val="hybridMultilevel"/>
    <w:tmpl w:val="AA003E6C"/>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45A33655"/>
    <w:multiLevelType w:val="hybridMultilevel"/>
    <w:tmpl w:val="BF34C94A"/>
    <w:lvl w:ilvl="0" w:tplc="98C2C596">
      <w:start w:val="1"/>
      <w:numFmt w:val="decimal"/>
      <w:pStyle w:val="07number3"/>
      <w:lvlText w:val="%1)"/>
      <w:lvlJc w:val="left"/>
      <w:pPr>
        <w:ind w:left="1366" w:hanging="360"/>
      </w:pPr>
      <w:rPr>
        <w:rFonts w:ascii="Arial" w:hAnsi="Arial" w:hint="default"/>
        <w:color w:val="002960"/>
        <w:sz w:val="22"/>
      </w:rPr>
    </w:lvl>
    <w:lvl w:ilvl="1" w:tplc="04090019" w:tentative="1">
      <w:start w:val="1"/>
      <w:numFmt w:val="lowerLetter"/>
      <w:lvlText w:val="%2."/>
      <w:lvlJc w:val="left"/>
      <w:pPr>
        <w:ind w:left="2086" w:hanging="360"/>
      </w:pPr>
    </w:lvl>
    <w:lvl w:ilvl="2" w:tplc="0409001B" w:tentative="1">
      <w:start w:val="1"/>
      <w:numFmt w:val="lowerRoman"/>
      <w:lvlText w:val="%3."/>
      <w:lvlJc w:val="right"/>
      <w:pPr>
        <w:ind w:left="2806" w:hanging="180"/>
      </w:pPr>
    </w:lvl>
    <w:lvl w:ilvl="3" w:tplc="0409000F" w:tentative="1">
      <w:start w:val="1"/>
      <w:numFmt w:val="decimal"/>
      <w:lvlText w:val="%4."/>
      <w:lvlJc w:val="left"/>
      <w:pPr>
        <w:ind w:left="3526" w:hanging="360"/>
      </w:pPr>
    </w:lvl>
    <w:lvl w:ilvl="4" w:tplc="04090019" w:tentative="1">
      <w:start w:val="1"/>
      <w:numFmt w:val="lowerLetter"/>
      <w:lvlText w:val="%5."/>
      <w:lvlJc w:val="left"/>
      <w:pPr>
        <w:ind w:left="4246" w:hanging="360"/>
      </w:pPr>
    </w:lvl>
    <w:lvl w:ilvl="5" w:tplc="0409001B" w:tentative="1">
      <w:start w:val="1"/>
      <w:numFmt w:val="lowerRoman"/>
      <w:lvlText w:val="%6."/>
      <w:lvlJc w:val="right"/>
      <w:pPr>
        <w:ind w:left="4966" w:hanging="180"/>
      </w:pPr>
    </w:lvl>
    <w:lvl w:ilvl="6" w:tplc="0409000F" w:tentative="1">
      <w:start w:val="1"/>
      <w:numFmt w:val="decimal"/>
      <w:lvlText w:val="%7."/>
      <w:lvlJc w:val="left"/>
      <w:pPr>
        <w:ind w:left="5686" w:hanging="360"/>
      </w:pPr>
    </w:lvl>
    <w:lvl w:ilvl="7" w:tplc="04090019" w:tentative="1">
      <w:start w:val="1"/>
      <w:numFmt w:val="lowerLetter"/>
      <w:lvlText w:val="%8."/>
      <w:lvlJc w:val="left"/>
      <w:pPr>
        <w:ind w:left="6406" w:hanging="360"/>
      </w:pPr>
    </w:lvl>
    <w:lvl w:ilvl="8" w:tplc="0409001B" w:tentative="1">
      <w:start w:val="1"/>
      <w:numFmt w:val="lowerRoman"/>
      <w:lvlText w:val="%9."/>
      <w:lvlJc w:val="right"/>
      <w:pPr>
        <w:ind w:left="7126" w:hanging="180"/>
      </w:pPr>
    </w:lvl>
  </w:abstractNum>
  <w:abstractNum w:abstractNumId="22" w15:restartNumberingAfterBreak="0">
    <w:nsid w:val="4B536535"/>
    <w:multiLevelType w:val="hybridMultilevel"/>
    <w:tmpl w:val="277E7B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4C40F8"/>
    <w:multiLevelType w:val="hybridMultilevel"/>
    <w:tmpl w:val="444434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15:restartNumberingAfterBreak="0">
    <w:nsid w:val="57214AFB"/>
    <w:multiLevelType w:val="hybridMultilevel"/>
    <w:tmpl w:val="8ED27858"/>
    <w:lvl w:ilvl="0" w:tplc="E9C00C7E">
      <w:start w:val="1"/>
      <w:numFmt w:val="bullet"/>
      <w:pStyle w:val="04shortdash"/>
      <w:lvlText w:val="-"/>
      <w:lvlJc w:val="left"/>
      <w:pPr>
        <w:ind w:left="5400" w:hanging="360"/>
      </w:pPr>
      <w:rPr>
        <w:rFonts w:ascii="Times New Roman" w:hAnsi="Times New Roman" w:cs="Times New Roman" w:hint="default"/>
        <w:color w:val="002960"/>
      </w:rPr>
    </w:lvl>
    <w:lvl w:ilvl="1" w:tplc="04090003" w:tentative="1">
      <w:start w:val="1"/>
      <w:numFmt w:val="bullet"/>
      <w:lvlText w:val="o"/>
      <w:lvlJc w:val="left"/>
      <w:pPr>
        <w:ind w:left="6120" w:hanging="360"/>
      </w:pPr>
      <w:rPr>
        <w:rFonts w:ascii="Courier New" w:hAnsi="Courier New" w:cs="Courier New" w:hint="default"/>
      </w:rPr>
    </w:lvl>
    <w:lvl w:ilvl="2" w:tplc="04090005" w:tentative="1">
      <w:start w:val="1"/>
      <w:numFmt w:val="bullet"/>
      <w:lvlText w:val=""/>
      <w:lvlJc w:val="left"/>
      <w:pPr>
        <w:ind w:left="6840" w:hanging="360"/>
      </w:pPr>
      <w:rPr>
        <w:rFonts w:ascii="Wingdings" w:hAnsi="Wingdings" w:hint="default"/>
      </w:rPr>
    </w:lvl>
    <w:lvl w:ilvl="3" w:tplc="04090001" w:tentative="1">
      <w:start w:val="1"/>
      <w:numFmt w:val="bullet"/>
      <w:lvlText w:val=""/>
      <w:lvlJc w:val="left"/>
      <w:pPr>
        <w:ind w:left="7560" w:hanging="360"/>
      </w:pPr>
      <w:rPr>
        <w:rFonts w:ascii="Symbol" w:hAnsi="Symbol" w:hint="default"/>
      </w:rPr>
    </w:lvl>
    <w:lvl w:ilvl="4" w:tplc="04090003" w:tentative="1">
      <w:start w:val="1"/>
      <w:numFmt w:val="bullet"/>
      <w:lvlText w:val="o"/>
      <w:lvlJc w:val="left"/>
      <w:pPr>
        <w:ind w:left="8280" w:hanging="360"/>
      </w:pPr>
      <w:rPr>
        <w:rFonts w:ascii="Courier New" w:hAnsi="Courier New" w:cs="Courier New" w:hint="default"/>
      </w:rPr>
    </w:lvl>
    <w:lvl w:ilvl="5" w:tplc="04090005" w:tentative="1">
      <w:start w:val="1"/>
      <w:numFmt w:val="bullet"/>
      <w:lvlText w:val=""/>
      <w:lvlJc w:val="left"/>
      <w:pPr>
        <w:ind w:left="9000" w:hanging="360"/>
      </w:pPr>
      <w:rPr>
        <w:rFonts w:ascii="Wingdings" w:hAnsi="Wingdings" w:hint="default"/>
      </w:rPr>
    </w:lvl>
    <w:lvl w:ilvl="6" w:tplc="04090001" w:tentative="1">
      <w:start w:val="1"/>
      <w:numFmt w:val="bullet"/>
      <w:lvlText w:val=""/>
      <w:lvlJc w:val="left"/>
      <w:pPr>
        <w:ind w:left="9720" w:hanging="360"/>
      </w:pPr>
      <w:rPr>
        <w:rFonts w:ascii="Symbol" w:hAnsi="Symbol" w:hint="default"/>
      </w:rPr>
    </w:lvl>
    <w:lvl w:ilvl="7" w:tplc="04090003" w:tentative="1">
      <w:start w:val="1"/>
      <w:numFmt w:val="bullet"/>
      <w:lvlText w:val="o"/>
      <w:lvlJc w:val="left"/>
      <w:pPr>
        <w:ind w:left="10440" w:hanging="360"/>
      </w:pPr>
      <w:rPr>
        <w:rFonts w:ascii="Courier New" w:hAnsi="Courier New" w:cs="Courier New" w:hint="default"/>
      </w:rPr>
    </w:lvl>
    <w:lvl w:ilvl="8" w:tplc="04090005" w:tentative="1">
      <w:start w:val="1"/>
      <w:numFmt w:val="bullet"/>
      <w:lvlText w:val=""/>
      <w:lvlJc w:val="left"/>
      <w:pPr>
        <w:ind w:left="11160" w:hanging="360"/>
      </w:pPr>
      <w:rPr>
        <w:rFonts w:ascii="Wingdings" w:hAnsi="Wingdings" w:hint="default"/>
      </w:rPr>
    </w:lvl>
  </w:abstractNum>
  <w:abstractNum w:abstractNumId="25" w15:restartNumberingAfterBreak="0">
    <w:nsid w:val="5C574A11"/>
    <w:multiLevelType w:val="hybridMultilevel"/>
    <w:tmpl w:val="849A91CE"/>
    <w:lvl w:ilvl="0" w:tplc="7DC2ED36">
      <w:start w:val="1"/>
      <w:numFmt w:val="bullet"/>
      <w:pStyle w:val="02dash"/>
      <w:lvlText w:val="‒"/>
      <w:lvlJc w:val="left"/>
      <w:pPr>
        <w:ind w:left="3870" w:hanging="360"/>
      </w:pPr>
      <w:rPr>
        <w:rFonts w:ascii="Arial" w:hAnsi="Arial" w:hint="default"/>
        <w:color w:val="002960"/>
      </w:rPr>
    </w:lvl>
    <w:lvl w:ilvl="1" w:tplc="04090003" w:tentative="1">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661C100C"/>
    <w:multiLevelType w:val="hybridMultilevel"/>
    <w:tmpl w:val="C2A0F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D3C6E66"/>
    <w:multiLevelType w:val="hybridMultilevel"/>
    <w:tmpl w:val="277E7B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71E7AF5"/>
    <w:multiLevelType w:val="hybridMultilevel"/>
    <w:tmpl w:val="C18233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77EE2944"/>
    <w:multiLevelType w:val="hybridMultilevel"/>
    <w:tmpl w:val="7DCEAAFC"/>
    <w:lvl w:ilvl="0" w:tplc="49DC0304">
      <w:start w:val="1"/>
      <w:numFmt w:val="lowerLetter"/>
      <w:pStyle w:val="08letter4"/>
      <w:lvlText w:val="%1)"/>
      <w:lvlJc w:val="left"/>
      <w:pPr>
        <w:ind w:left="1644" w:hanging="360"/>
      </w:pPr>
      <w:rPr>
        <w:rFonts w:ascii="Arial" w:hAnsi="Arial" w:hint="default"/>
        <w:color w:val="002960"/>
        <w:sz w:val="22"/>
      </w:rPr>
    </w:lvl>
    <w:lvl w:ilvl="1" w:tplc="04090019" w:tentative="1">
      <w:start w:val="1"/>
      <w:numFmt w:val="lowerLetter"/>
      <w:lvlText w:val="%2."/>
      <w:lvlJc w:val="left"/>
      <w:pPr>
        <w:ind w:left="2364" w:hanging="360"/>
      </w:pPr>
    </w:lvl>
    <w:lvl w:ilvl="2" w:tplc="0409001B" w:tentative="1">
      <w:start w:val="1"/>
      <w:numFmt w:val="lowerRoman"/>
      <w:lvlText w:val="%3."/>
      <w:lvlJc w:val="right"/>
      <w:pPr>
        <w:ind w:left="3084" w:hanging="180"/>
      </w:pPr>
    </w:lvl>
    <w:lvl w:ilvl="3" w:tplc="0409000F" w:tentative="1">
      <w:start w:val="1"/>
      <w:numFmt w:val="decimal"/>
      <w:lvlText w:val="%4."/>
      <w:lvlJc w:val="left"/>
      <w:pPr>
        <w:ind w:left="3804" w:hanging="360"/>
      </w:pPr>
    </w:lvl>
    <w:lvl w:ilvl="4" w:tplc="04090019" w:tentative="1">
      <w:start w:val="1"/>
      <w:numFmt w:val="lowerLetter"/>
      <w:lvlText w:val="%5."/>
      <w:lvlJc w:val="left"/>
      <w:pPr>
        <w:ind w:left="4524" w:hanging="360"/>
      </w:pPr>
    </w:lvl>
    <w:lvl w:ilvl="5" w:tplc="0409001B" w:tentative="1">
      <w:start w:val="1"/>
      <w:numFmt w:val="lowerRoman"/>
      <w:lvlText w:val="%6."/>
      <w:lvlJc w:val="right"/>
      <w:pPr>
        <w:ind w:left="5244" w:hanging="180"/>
      </w:pPr>
    </w:lvl>
    <w:lvl w:ilvl="6" w:tplc="0409000F" w:tentative="1">
      <w:start w:val="1"/>
      <w:numFmt w:val="decimal"/>
      <w:lvlText w:val="%7."/>
      <w:lvlJc w:val="left"/>
      <w:pPr>
        <w:ind w:left="5964" w:hanging="360"/>
      </w:pPr>
    </w:lvl>
    <w:lvl w:ilvl="7" w:tplc="04090019" w:tentative="1">
      <w:start w:val="1"/>
      <w:numFmt w:val="lowerLetter"/>
      <w:lvlText w:val="%8."/>
      <w:lvlJc w:val="left"/>
      <w:pPr>
        <w:ind w:left="6684" w:hanging="360"/>
      </w:pPr>
    </w:lvl>
    <w:lvl w:ilvl="8" w:tplc="0409001B" w:tentative="1">
      <w:start w:val="1"/>
      <w:numFmt w:val="lowerRoman"/>
      <w:lvlText w:val="%9."/>
      <w:lvlJc w:val="right"/>
      <w:pPr>
        <w:ind w:left="7404" w:hanging="180"/>
      </w:pPr>
    </w:lvl>
  </w:abstractNum>
  <w:abstractNum w:abstractNumId="30" w15:restartNumberingAfterBreak="0">
    <w:nsid w:val="7B8E557E"/>
    <w:multiLevelType w:val="multilevel"/>
    <w:tmpl w:val="6A4A31D6"/>
    <w:lvl w:ilvl="0">
      <w:start w:val="1"/>
      <w:numFmt w:val="decimal"/>
      <w:pStyle w:val="05number1"/>
      <w:lvlText w:val="%1."/>
      <w:lvlJc w:val="left"/>
      <w:pPr>
        <w:ind w:left="360" w:hanging="360"/>
      </w:pPr>
      <w:rPr>
        <w:rFonts w:ascii="Georgia" w:hAnsi="Georgia" w:hint="default"/>
        <w:b/>
        <w:bCs/>
        <w:color w:val="002960"/>
        <w:sz w:val="20"/>
        <w:szCs w:val="24"/>
      </w:rPr>
    </w:lvl>
    <w:lvl w:ilvl="1">
      <w:start w:val="1"/>
      <w:numFmt w:val="lowerLetter"/>
      <w:lvlText w:val="%2."/>
      <w:lvlJc w:val="left"/>
      <w:pPr>
        <w:tabs>
          <w:tab w:val="num" w:pos="646"/>
        </w:tabs>
        <w:ind w:left="646" w:hanging="289"/>
      </w:pPr>
      <w:rPr>
        <w:rFonts w:ascii="Arial" w:hAnsi="Arial" w:hint="default"/>
        <w:color w:val="auto"/>
        <w:sz w:val="22"/>
      </w:rPr>
    </w:lvl>
    <w:lvl w:ilvl="2">
      <w:start w:val="1"/>
      <w:numFmt w:val="decimal"/>
      <w:lvlText w:val="%3)"/>
      <w:lvlJc w:val="left"/>
      <w:pPr>
        <w:tabs>
          <w:tab w:val="num" w:pos="924"/>
        </w:tabs>
        <w:ind w:left="924" w:hanging="278"/>
      </w:pPr>
      <w:rPr>
        <w:rFonts w:ascii="Arial" w:hAnsi="Arial" w:hint="default"/>
        <w:color w:val="auto"/>
        <w:sz w:val="22"/>
      </w:rPr>
    </w:lvl>
    <w:lvl w:ilvl="3">
      <w:start w:val="1"/>
      <w:numFmt w:val="lowerLetter"/>
      <w:lvlText w:val="%4)"/>
      <w:lvlJc w:val="left"/>
      <w:pPr>
        <w:tabs>
          <w:tab w:val="num" w:pos="1213"/>
        </w:tabs>
        <w:ind w:left="1213" w:hanging="289"/>
      </w:pPr>
      <w:rPr>
        <w:rFonts w:ascii="Arial" w:hAnsi="Arial" w:hint="default"/>
        <w:b w:val="0"/>
        <w:i w:val="0"/>
        <w:color w:val="auto"/>
        <w:sz w:val="22"/>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31" w15:restartNumberingAfterBreak="0">
    <w:nsid w:val="7C3C6FDA"/>
    <w:multiLevelType w:val="hybridMultilevel"/>
    <w:tmpl w:val="C0EA6302"/>
    <w:lvl w:ilvl="0" w:tplc="350452DA">
      <w:start w:val="1"/>
      <w:numFmt w:val="bullet"/>
      <w:pStyle w:val="03opensquarebullet"/>
      <w:lvlText w:val="□"/>
      <w:lvlJc w:val="left"/>
      <w:pPr>
        <w:ind w:left="2880" w:hanging="360"/>
      </w:pPr>
      <w:rPr>
        <w:rFonts w:ascii="Times New Roman" w:hAnsi="Times New Roman" w:cs="Times New Roman" w:hint="default"/>
        <w:color w:val="002960"/>
        <w:sz w:val="20"/>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abstractNumId w:val="30"/>
  </w:num>
  <w:num w:numId="2">
    <w:abstractNumId w:val="16"/>
  </w:num>
  <w:num w:numId="3">
    <w:abstractNumId w:val="10"/>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25"/>
  </w:num>
  <w:num w:numId="15">
    <w:abstractNumId w:val="31"/>
  </w:num>
  <w:num w:numId="16">
    <w:abstractNumId w:val="24"/>
  </w:num>
  <w:num w:numId="17">
    <w:abstractNumId w:val="14"/>
  </w:num>
  <w:num w:numId="18">
    <w:abstractNumId w:val="21"/>
  </w:num>
  <w:num w:numId="19">
    <w:abstractNumId w:val="29"/>
  </w:num>
  <w:num w:numId="2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num>
  <w:num w:numId="2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num>
  <w:num w:numId="26">
    <w:abstractNumId w:val="15"/>
  </w:num>
  <w:num w:numId="27">
    <w:abstractNumId w:val="27"/>
  </w:num>
  <w:num w:numId="28">
    <w:abstractNumId w:val="22"/>
  </w:num>
  <w:num w:numId="29">
    <w:abstractNumId w:val="17"/>
  </w:num>
  <w:num w:numId="30">
    <w:abstractNumId w:val="26"/>
  </w:num>
  <w:num w:numId="31">
    <w:abstractNumId w:val="19"/>
  </w:num>
  <w:num w:numId="32">
    <w:abstractNumId w:val="23"/>
  </w:num>
  <w:num w:numId="33">
    <w:abstractNumId w:val="11"/>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8"/>
  </w:num>
  <w:num w:numId="36">
    <w:abstractNumId w:val="13"/>
  </w:num>
  <w:num w:numId="3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0"/>
  </w:num>
  <w:num w:numId="4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SortMethod w:val="0000"/>
  <w:defaultTabStop w:val="720"/>
  <w:hyphenationZone w:val="425"/>
  <w:defaultTableStyle w:val="McKTableStyle"/>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ocIDStyle" w:val="blank"/>
    <w:docVar w:name="EN.InstantFormat" w:val="&lt;ENInstantFormat&gt;&lt;Enabled&gt;1&lt;/Enabled&gt;&lt;ScanUnformatted&gt;1&lt;/ScanUnformatted&gt;&lt;ScanChanges&gt;1&lt;/ScanChanges&gt;&lt;Suspended&gt;1&lt;/Suspended&gt;&lt;/ENInstantFormat&gt;"/>
    <w:docVar w:name="EN.Layout" w:val="&lt;ENLayout&gt;&lt;Style&gt;Vancouver&lt;/Style&gt;&lt;LeftDelim&gt;{&lt;/LeftDelim&gt;&lt;RightDelim&gt;}&lt;/RightDelim&gt;&lt;FontName&gt;Times New Roman&lt;/FontName&gt;&lt;FontSize&gt;13&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 w:name="INISection" w:val="Proposal"/>
    <w:docVar w:name="Language" w:val="English (Australia)"/>
    <w:docVar w:name="sScope" w:val="4"/>
  </w:docVars>
  <w:rsids>
    <w:rsidRoot w:val="00AF3575"/>
    <w:rsid w:val="0000045A"/>
    <w:rsid w:val="00000594"/>
    <w:rsid w:val="000005F1"/>
    <w:rsid w:val="00000BE3"/>
    <w:rsid w:val="00000DD7"/>
    <w:rsid w:val="00001582"/>
    <w:rsid w:val="000016B9"/>
    <w:rsid w:val="00001996"/>
    <w:rsid w:val="00001EB5"/>
    <w:rsid w:val="00001F02"/>
    <w:rsid w:val="00001F40"/>
    <w:rsid w:val="00002795"/>
    <w:rsid w:val="00002C89"/>
    <w:rsid w:val="00002E33"/>
    <w:rsid w:val="00002E37"/>
    <w:rsid w:val="0000380E"/>
    <w:rsid w:val="000040FC"/>
    <w:rsid w:val="00005058"/>
    <w:rsid w:val="0000560D"/>
    <w:rsid w:val="00005A0F"/>
    <w:rsid w:val="00005A54"/>
    <w:rsid w:val="00005B4D"/>
    <w:rsid w:val="00006370"/>
    <w:rsid w:val="0000637F"/>
    <w:rsid w:val="0000653F"/>
    <w:rsid w:val="00006DBF"/>
    <w:rsid w:val="00006DC5"/>
    <w:rsid w:val="00007586"/>
    <w:rsid w:val="00007933"/>
    <w:rsid w:val="00007B24"/>
    <w:rsid w:val="00007BDE"/>
    <w:rsid w:val="00007E53"/>
    <w:rsid w:val="000105DD"/>
    <w:rsid w:val="0001098D"/>
    <w:rsid w:val="000109BD"/>
    <w:rsid w:val="00010ACF"/>
    <w:rsid w:val="00011B39"/>
    <w:rsid w:val="00011CA2"/>
    <w:rsid w:val="00012168"/>
    <w:rsid w:val="00013284"/>
    <w:rsid w:val="00013614"/>
    <w:rsid w:val="00013A54"/>
    <w:rsid w:val="00013AAF"/>
    <w:rsid w:val="00014082"/>
    <w:rsid w:val="0001473E"/>
    <w:rsid w:val="00014DEB"/>
    <w:rsid w:val="000152E7"/>
    <w:rsid w:val="0001613A"/>
    <w:rsid w:val="00016BCA"/>
    <w:rsid w:val="00016D01"/>
    <w:rsid w:val="00016D02"/>
    <w:rsid w:val="00016E15"/>
    <w:rsid w:val="0001729A"/>
    <w:rsid w:val="0001749A"/>
    <w:rsid w:val="00017AE1"/>
    <w:rsid w:val="00017B4E"/>
    <w:rsid w:val="0002002E"/>
    <w:rsid w:val="0002024D"/>
    <w:rsid w:val="00021277"/>
    <w:rsid w:val="00021D0B"/>
    <w:rsid w:val="00022B0E"/>
    <w:rsid w:val="00022E2A"/>
    <w:rsid w:val="00022FCD"/>
    <w:rsid w:val="00023180"/>
    <w:rsid w:val="000234DC"/>
    <w:rsid w:val="0002356F"/>
    <w:rsid w:val="00023817"/>
    <w:rsid w:val="00023E46"/>
    <w:rsid w:val="00023E68"/>
    <w:rsid w:val="00024B47"/>
    <w:rsid w:val="00024EC5"/>
    <w:rsid w:val="000250AE"/>
    <w:rsid w:val="0002531A"/>
    <w:rsid w:val="00025470"/>
    <w:rsid w:val="000258BD"/>
    <w:rsid w:val="000258BE"/>
    <w:rsid w:val="0002640B"/>
    <w:rsid w:val="00026706"/>
    <w:rsid w:val="00026E92"/>
    <w:rsid w:val="00026F24"/>
    <w:rsid w:val="000275E0"/>
    <w:rsid w:val="000305BF"/>
    <w:rsid w:val="00030E22"/>
    <w:rsid w:val="0003101D"/>
    <w:rsid w:val="00031C6C"/>
    <w:rsid w:val="00031FF3"/>
    <w:rsid w:val="0003201C"/>
    <w:rsid w:val="000321E9"/>
    <w:rsid w:val="000321F7"/>
    <w:rsid w:val="0003269A"/>
    <w:rsid w:val="00032E69"/>
    <w:rsid w:val="00033950"/>
    <w:rsid w:val="0003395C"/>
    <w:rsid w:val="00033A76"/>
    <w:rsid w:val="00033E28"/>
    <w:rsid w:val="00034196"/>
    <w:rsid w:val="00034B67"/>
    <w:rsid w:val="00034C13"/>
    <w:rsid w:val="00034F1E"/>
    <w:rsid w:val="000355A1"/>
    <w:rsid w:val="00035B57"/>
    <w:rsid w:val="00035EA8"/>
    <w:rsid w:val="00035FA4"/>
    <w:rsid w:val="00036020"/>
    <w:rsid w:val="0003625D"/>
    <w:rsid w:val="00036865"/>
    <w:rsid w:val="00037338"/>
    <w:rsid w:val="00037373"/>
    <w:rsid w:val="000379D6"/>
    <w:rsid w:val="00037B6D"/>
    <w:rsid w:val="00037E7D"/>
    <w:rsid w:val="0004016E"/>
    <w:rsid w:val="00040347"/>
    <w:rsid w:val="00040385"/>
    <w:rsid w:val="00040BDF"/>
    <w:rsid w:val="00040F68"/>
    <w:rsid w:val="0004118B"/>
    <w:rsid w:val="000413D8"/>
    <w:rsid w:val="00041473"/>
    <w:rsid w:val="000416E0"/>
    <w:rsid w:val="00041ADD"/>
    <w:rsid w:val="00041B44"/>
    <w:rsid w:val="00041D2C"/>
    <w:rsid w:val="00041DDC"/>
    <w:rsid w:val="0004204B"/>
    <w:rsid w:val="00042D39"/>
    <w:rsid w:val="00042FB7"/>
    <w:rsid w:val="00043C16"/>
    <w:rsid w:val="00045318"/>
    <w:rsid w:val="00045498"/>
    <w:rsid w:val="000461B6"/>
    <w:rsid w:val="0004635D"/>
    <w:rsid w:val="000468C0"/>
    <w:rsid w:val="00046E52"/>
    <w:rsid w:val="00046F32"/>
    <w:rsid w:val="000470B1"/>
    <w:rsid w:val="0005050D"/>
    <w:rsid w:val="0005198B"/>
    <w:rsid w:val="00051A11"/>
    <w:rsid w:val="0005304B"/>
    <w:rsid w:val="000531FC"/>
    <w:rsid w:val="000537A3"/>
    <w:rsid w:val="000539A9"/>
    <w:rsid w:val="00053A0A"/>
    <w:rsid w:val="00053BB2"/>
    <w:rsid w:val="0005431B"/>
    <w:rsid w:val="00054B03"/>
    <w:rsid w:val="00054DDC"/>
    <w:rsid w:val="00055110"/>
    <w:rsid w:val="00055D3A"/>
    <w:rsid w:val="0005643C"/>
    <w:rsid w:val="000571C0"/>
    <w:rsid w:val="000571FA"/>
    <w:rsid w:val="000573F9"/>
    <w:rsid w:val="00057AFE"/>
    <w:rsid w:val="00060090"/>
    <w:rsid w:val="000609B6"/>
    <w:rsid w:val="00061175"/>
    <w:rsid w:val="00061267"/>
    <w:rsid w:val="00061908"/>
    <w:rsid w:val="00061A9B"/>
    <w:rsid w:val="000622F3"/>
    <w:rsid w:val="0006287B"/>
    <w:rsid w:val="00062C34"/>
    <w:rsid w:val="00062E38"/>
    <w:rsid w:val="00062F85"/>
    <w:rsid w:val="00063191"/>
    <w:rsid w:val="00063C13"/>
    <w:rsid w:val="00063EA5"/>
    <w:rsid w:val="000640D7"/>
    <w:rsid w:val="00064C91"/>
    <w:rsid w:val="00065BFC"/>
    <w:rsid w:val="00065D5C"/>
    <w:rsid w:val="00066726"/>
    <w:rsid w:val="00067BF2"/>
    <w:rsid w:val="00070570"/>
    <w:rsid w:val="00070B79"/>
    <w:rsid w:val="000710CB"/>
    <w:rsid w:val="000718CF"/>
    <w:rsid w:val="00071996"/>
    <w:rsid w:val="00071B04"/>
    <w:rsid w:val="000724A6"/>
    <w:rsid w:val="00072507"/>
    <w:rsid w:val="0007250C"/>
    <w:rsid w:val="00072582"/>
    <w:rsid w:val="00072BCF"/>
    <w:rsid w:val="00072D0B"/>
    <w:rsid w:val="0007380A"/>
    <w:rsid w:val="00073E27"/>
    <w:rsid w:val="00075335"/>
    <w:rsid w:val="0007552B"/>
    <w:rsid w:val="00075531"/>
    <w:rsid w:val="00075B4E"/>
    <w:rsid w:val="00075C08"/>
    <w:rsid w:val="00075C9F"/>
    <w:rsid w:val="00075E2C"/>
    <w:rsid w:val="00075EE6"/>
    <w:rsid w:val="00075F58"/>
    <w:rsid w:val="00076387"/>
    <w:rsid w:val="00076F9A"/>
    <w:rsid w:val="00077424"/>
    <w:rsid w:val="0007749C"/>
    <w:rsid w:val="00077D8A"/>
    <w:rsid w:val="00077E25"/>
    <w:rsid w:val="00077EEE"/>
    <w:rsid w:val="0008019C"/>
    <w:rsid w:val="000805AC"/>
    <w:rsid w:val="0008073E"/>
    <w:rsid w:val="00080ADD"/>
    <w:rsid w:val="00080C55"/>
    <w:rsid w:val="00080DA2"/>
    <w:rsid w:val="0008138E"/>
    <w:rsid w:val="00081AFF"/>
    <w:rsid w:val="00081B5E"/>
    <w:rsid w:val="000824E0"/>
    <w:rsid w:val="00082609"/>
    <w:rsid w:val="00082675"/>
    <w:rsid w:val="00082748"/>
    <w:rsid w:val="0008275F"/>
    <w:rsid w:val="00082C2A"/>
    <w:rsid w:val="00083461"/>
    <w:rsid w:val="00084122"/>
    <w:rsid w:val="0008445F"/>
    <w:rsid w:val="00084698"/>
    <w:rsid w:val="000846C1"/>
    <w:rsid w:val="000851AD"/>
    <w:rsid w:val="00085A58"/>
    <w:rsid w:val="00085ABC"/>
    <w:rsid w:val="0008647C"/>
    <w:rsid w:val="0008685C"/>
    <w:rsid w:val="000868DD"/>
    <w:rsid w:val="0008694D"/>
    <w:rsid w:val="00086AC2"/>
    <w:rsid w:val="00086B77"/>
    <w:rsid w:val="000876FE"/>
    <w:rsid w:val="0008792C"/>
    <w:rsid w:val="000879C9"/>
    <w:rsid w:val="00087C2C"/>
    <w:rsid w:val="000900AE"/>
    <w:rsid w:val="00090B14"/>
    <w:rsid w:val="0009105A"/>
    <w:rsid w:val="00091062"/>
    <w:rsid w:val="0009154D"/>
    <w:rsid w:val="00091D72"/>
    <w:rsid w:val="00091F6E"/>
    <w:rsid w:val="00091FEE"/>
    <w:rsid w:val="00092A2C"/>
    <w:rsid w:val="00092CDF"/>
    <w:rsid w:val="00092DDA"/>
    <w:rsid w:val="000930AD"/>
    <w:rsid w:val="000943BA"/>
    <w:rsid w:val="00094527"/>
    <w:rsid w:val="0009480F"/>
    <w:rsid w:val="00094A64"/>
    <w:rsid w:val="00094B0B"/>
    <w:rsid w:val="000955AD"/>
    <w:rsid w:val="00095DAF"/>
    <w:rsid w:val="00096836"/>
    <w:rsid w:val="00096838"/>
    <w:rsid w:val="000968BE"/>
    <w:rsid w:val="00097539"/>
    <w:rsid w:val="00097593"/>
    <w:rsid w:val="000976EC"/>
    <w:rsid w:val="00097F2D"/>
    <w:rsid w:val="000A045B"/>
    <w:rsid w:val="000A0759"/>
    <w:rsid w:val="000A0A92"/>
    <w:rsid w:val="000A0E9B"/>
    <w:rsid w:val="000A0EE8"/>
    <w:rsid w:val="000A1162"/>
    <w:rsid w:val="000A11C1"/>
    <w:rsid w:val="000A12F3"/>
    <w:rsid w:val="000A162A"/>
    <w:rsid w:val="000A186C"/>
    <w:rsid w:val="000A221A"/>
    <w:rsid w:val="000A2800"/>
    <w:rsid w:val="000A2CA0"/>
    <w:rsid w:val="000A2F00"/>
    <w:rsid w:val="000A3FDF"/>
    <w:rsid w:val="000A467D"/>
    <w:rsid w:val="000A498A"/>
    <w:rsid w:val="000A4B06"/>
    <w:rsid w:val="000A5213"/>
    <w:rsid w:val="000A566F"/>
    <w:rsid w:val="000A57CE"/>
    <w:rsid w:val="000A5D73"/>
    <w:rsid w:val="000A5E9A"/>
    <w:rsid w:val="000A5FDD"/>
    <w:rsid w:val="000A65A0"/>
    <w:rsid w:val="000A6B14"/>
    <w:rsid w:val="000A70EC"/>
    <w:rsid w:val="000A714F"/>
    <w:rsid w:val="000A78AC"/>
    <w:rsid w:val="000A7A68"/>
    <w:rsid w:val="000A7D7A"/>
    <w:rsid w:val="000B06B3"/>
    <w:rsid w:val="000B09BB"/>
    <w:rsid w:val="000B0BC3"/>
    <w:rsid w:val="000B118C"/>
    <w:rsid w:val="000B18A9"/>
    <w:rsid w:val="000B2918"/>
    <w:rsid w:val="000B3725"/>
    <w:rsid w:val="000B3DF5"/>
    <w:rsid w:val="000B4523"/>
    <w:rsid w:val="000B4813"/>
    <w:rsid w:val="000B4BD6"/>
    <w:rsid w:val="000B50E0"/>
    <w:rsid w:val="000B51B9"/>
    <w:rsid w:val="000B52B6"/>
    <w:rsid w:val="000B5BBD"/>
    <w:rsid w:val="000B5C38"/>
    <w:rsid w:val="000B67D0"/>
    <w:rsid w:val="000B67FD"/>
    <w:rsid w:val="000B6857"/>
    <w:rsid w:val="000B6E59"/>
    <w:rsid w:val="000B70FA"/>
    <w:rsid w:val="000B7A22"/>
    <w:rsid w:val="000B7A85"/>
    <w:rsid w:val="000B7C1F"/>
    <w:rsid w:val="000B7CEE"/>
    <w:rsid w:val="000B7FD4"/>
    <w:rsid w:val="000C0065"/>
    <w:rsid w:val="000C0347"/>
    <w:rsid w:val="000C07D3"/>
    <w:rsid w:val="000C0EEF"/>
    <w:rsid w:val="000C18E5"/>
    <w:rsid w:val="000C1990"/>
    <w:rsid w:val="000C1AFA"/>
    <w:rsid w:val="000C21FE"/>
    <w:rsid w:val="000C2328"/>
    <w:rsid w:val="000C2D93"/>
    <w:rsid w:val="000C2EF7"/>
    <w:rsid w:val="000C316B"/>
    <w:rsid w:val="000C317C"/>
    <w:rsid w:val="000C31AB"/>
    <w:rsid w:val="000C35FD"/>
    <w:rsid w:val="000C3745"/>
    <w:rsid w:val="000C4AB6"/>
    <w:rsid w:val="000C4B66"/>
    <w:rsid w:val="000C54F8"/>
    <w:rsid w:val="000C56FC"/>
    <w:rsid w:val="000C575E"/>
    <w:rsid w:val="000C5A87"/>
    <w:rsid w:val="000C642C"/>
    <w:rsid w:val="000C70FD"/>
    <w:rsid w:val="000C7338"/>
    <w:rsid w:val="000C7908"/>
    <w:rsid w:val="000C7AD4"/>
    <w:rsid w:val="000C7E21"/>
    <w:rsid w:val="000C7EC4"/>
    <w:rsid w:val="000D0FD9"/>
    <w:rsid w:val="000D13A0"/>
    <w:rsid w:val="000D156A"/>
    <w:rsid w:val="000D18FD"/>
    <w:rsid w:val="000D1FFC"/>
    <w:rsid w:val="000D2090"/>
    <w:rsid w:val="000D2682"/>
    <w:rsid w:val="000D2BDC"/>
    <w:rsid w:val="000D2F75"/>
    <w:rsid w:val="000D2FA1"/>
    <w:rsid w:val="000D3336"/>
    <w:rsid w:val="000D3804"/>
    <w:rsid w:val="000D3DEB"/>
    <w:rsid w:val="000D41D2"/>
    <w:rsid w:val="000D4570"/>
    <w:rsid w:val="000D4920"/>
    <w:rsid w:val="000D5A5B"/>
    <w:rsid w:val="000D6859"/>
    <w:rsid w:val="000D6D45"/>
    <w:rsid w:val="000D6F34"/>
    <w:rsid w:val="000D716F"/>
    <w:rsid w:val="000D738D"/>
    <w:rsid w:val="000D76BC"/>
    <w:rsid w:val="000D7800"/>
    <w:rsid w:val="000D7C7F"/>
    <w:rsid w:val="000D7EA8"/>
    <w:rsid w:val="000E04E9"/>
    <w:rsid w:val="000E07B1"/>
    <w:rsid w:val="000E0CD8"/>
    <w:rsid w:val="000E0E4A"/>
    <w:rsid w:val="000E14C4"/>
    <w:rsid w:val="000E1AD9"/>
    <w:rsid w:val="000E1DCA"/>
    <w:rsid w:val="000E2205"/>
    <w:rsid w:val="000E287E"/>
    <w:rsid w:val="000E2B30"/>
    <w:rsid w:val="000E32C0"/>
    <w:rsid w:val="000E3C67"/>
    <w:rsid w:val="000E437B"/>
    <w:rsid w:val="000E4406"/>
    <w:rsid w:val="000E47B0"/>
    <w:rsid w:val="000E47BD"/>
    <w:rsid w:val="000E4E27"/>
    <w:rsid w:val="000E5173"/>
    <w:rsid w:val="000E5289"/>
    <w:rsid w:val="000E5963"/>
    <w:rsid w:val="000E5AAD"/>
    <w:rsid w:val="000E675E"/>
    <w:rsid w:val="000E6DA6"/>
    <w:rsid w:val="000E7392"/>
    <w:rsid w:val="000E7523"/>
    <w:rsid w:val="000E791C"/>
    <w:rsid w:val="000E7C61"/>
    <w:rsid w:val="000F02A3"/>
    <w:rsid w:val="000F0A53"/>
    <w:rsid w:val="000F0CBB"/>
    <w:rsid w:val="000F16F2"/>
    <w:rsid w:val="000F24EF"/>
    <w:rsid w:val="000F26B7"/>
    <w:rsid w:val="000F26EC"/>
    <w:rsid w:val="000F271B"/>
    <w:rsid w:val="000F27A0"/>
    <w:rsid w:val="000F27B9"/>
    <w:rsid w:val="000F29DA"/>
    <w:rsid w:val="000F2A57"/>
    <w:rsid w:val="000F384D"/>
    <w:rsid w:val="000F3C33"/>
    <w:rsid w:val="000F41E6"/>
    <w:rsid w:val="000F5080"/>
    <w:rsid w:val="000F62BF"/>
    <w:rsid w:val="000F685C"/>
    <w:rsid w:val="000F69AC"/>
    <w:rsid w:val="000F738D"/>
    <w:rsid w:val="000F7726"/>
    <w:rsid w:val="00100002"/>
    <w:rsid w:val="001001BE"/>
    <w:rsid w:val="001003F6"/>
    <w:rsid w:val="00100873"/>
    <w:rsid w:val="00100CA2"/>
    <w:rsid w:val="00100E70"/>
    <w:rsid w:val="0010102D"/>
    <w:rsid w:val="0010144A"/>
    <w:rsid w:val="00101CBB"/>
    <w:rsid w:val="00101F6A"/>
    <w:rsid w:val="00102B84"/>
    <w:rsid w:val="0010302A"/>
    <w:rsid w:val="00103366"/>
    <w:rsid w:val="0010354C"/>
    <w:rsid w:val="00103CFA"/>
    <w:rsid w:val="001041D8"/>
    <w:rsid w:val="00104227"/>
    <w:rsid w:val="00104813"/>
    <w:rsid w:val="00104D38"/>
    <w:rsid w:val="00104E51"/>
    <w:rsid w:val="0010507E"/>
    <w:rsid w:val="0010638A"/>
    <w:rsid w:val="00106610"/>
    <w:rsid w:val="00107122"/>
    <w:rsid w:val="0010792D"/>
    <w:rsid w:val="00107B13"/>
    <w:rsid w:val="00107B62"/>
    <w:rsid w:val="00107D4A"/>
    <w:rsid w:val="0011020A"/>
    <w:rsid w:val="0011025D"/>
    <w:rsid w:val="00110E86"/>
    <w:rsid w:val="0011121C"/>
    <w:rsid w:val="00111334"/>
    <w:rsid w:val="00111CE5"/>
    <w:rsid w:val="00112981"/>
    <w:rsid w:val="0011316A"/>
    <w:rsid w:val="001131B7"/>
    <w:rsid w:val="00113335"/>
    <w:rsid w:val="00113367"/>
    <w:rsid w:val="0011397F"/>
    <w:rsid w:val="00114129"/>
    <w:rsid w:val="001143FE"/>
    <w:rsid w:val="00114518"/>
    <w:rsid w:val="00115504"/>
    <w:rsid w:val="00115523"/>
    <w:rsid w:val="001156E5"/>
    <w:rsid w:val="00115B57"/>
    <w:rsid w:val="00116405"/>
    <w:rsid w:val="0011645E"/>
    <w:rsid w:val="00116570"/>
    <w:rsid w:val="001168BC"/>
    <w:rsid w:val="00116AA8"/>
    <w:rsid w:val="001170B6"/>
    <w:rsid w:val="00117170"/>
    <w:rsid w:val="0011791A"/>
    <w:rsid w:val="00117A02"/>
    <w:rsid w:val="00117E26"/>
    <w:rsid w:val="00117EDD"/>
    <w:rsid w:val="00120742"/>
    <w:rsid w:val="00121526"/>
    <w:rsid w:val="00121698"/>
    <w:rsid w:val="00121745"/>
    <w:rsid w:val="00121D75"/>
    <w:rsid w:val="00121F10"/>
    <w:rsid w:val="00122509"/>
    <w:rsid w:val="00123079"/>
    <w:rsid w:val="001241AC"/>
    <w:rsid w:val="00124242"/>
    <w:rsid w:val="00124299"/>
    <w:rsid w:val="00124EEF"/>
    <w:rsid w:val="00125266"/>
    <w:rsid w:val="0012584A"/>
    <w:rsid w:val="00125953"/>
    <w:rsid w:val="00125AD4"/>
    <w:rsid w:val="00125BE9"/>
    <w:rsid w:val="00126134"/>
    <w:rsid w:val="00126385"/>
    <w:rsid w:val="0012677E"/>
    <w:rsid w:val="0012691E"/>
    <w:rsid w:val="00126AE7"/>
    <w:rsid w:val="00126BC8"/>
    <w:rsid w:val="001271A9"/>
    <w:rsid w:val="001271AD"/>
    <w:rsid w:val="0012797C"/>
    <w:rsid w:val="001302C5"/>
    <w:rsid w:val="00130817"/>
    <w:rsid w:val="00131040"/>
    <w:rsid w:val="001316F2"/>
    <w:rsid w:val="00131A98"/>
    <w:rsid w:val="00131D23"/>
    <w:rsid w:val="001330E6"/>
    <w:rsid w:val="00133123"/>
    <w:rsid w:val="001338E1"/>
    <w:rsid w:val="00133C22"/>
    <w:rsid w:val="001341D0"/>
    <w:rsid w:val="0013479B"/>
    <w:rsid w:val="00134A33"/>
    <w:rsid w:val="00134FCA"/>
    <w:rsid w:val="001358B6"/>
    <w:rsid w:val="001359CB"/>
    <w:rsid w:val="001359CE"/>
    <w:rsid w:val="00135AAB"/>
    <w:rsid w:val="00136969"/>
    <w:rsid w:val="00136AD6"/>
    <w:rsid w:val="00136D4D"/>
    <w:rsid w:val="00136D78"/>
    <w:rsid w:val="0013701A"/>
    <w:rsid w:val="0013762C"/>
    <w:rsid w:val="001376CE"/>
    <w:rsid w:val="0014039C"/>
    <w:rsid w:val="00140556"/>
    <w:rsid w:val="001405C2"/>
    <w:rsid w:val="0014067D"/>
    <w:rsid w:val="00140900"/>
    <w:rsid w:val="00141018"/>
    <w:rsid w:val="00141887"/>
    <w:rsid w:val="00141A87"/>
    <w:rsid w:val="00141D87"/>
    <w:rsid w:val="00142042"/>
    <w:rsid w:val="001424C2"/>
    <w:rsid w:val="0014261E"/>
    <w:rsid w:val="00142637"/>
    <w:rsid w:val="00142C7B"/>
    <w:rsid w:val="00142DB4"/>
    <w:rsid w:val="00142EB2"/>
    <w:rsid w:val="00142F00"/>
    <w:rsid w:val="0014328C"/>
    <w:rsid w:val="001432D0"/>
    <w:rsid w:val="00143351"/>
    <w:rsid w:val="001434A0"/>
    <w:rsid w:val="00143B0D"/>
    <w:rsid w:val="0014473E"/>
    <w:rsid w:val="00145336"/>
    <w:rsid w:val="00145A89"/>
    <w:rsid w:val="00145B08"/>
    <w:rsid w:val="00145CCB"/>
    <w:rsid w:val="00145DBA"/>
    <w:rsid w:val="001463EE"/>
    <w:rsid w:val="00150039"/>
    <w:rsid w:val="00150A23"/>
    <w:rsid w:val="00150AB5"/>
    <w:rsid w:val="001512DE"/>
    <w:rsid w:val="00151B0C"/>
    <w:rsid w:val="00151BB1"/>
    <w:rsid w:val="0015217B"/>
    <w:rsid w:val="001523CF"/>
    <w:rsid w:val="00152654"/>
    <w:rsid w:val="001528A2"/>
    <w:rsid w:val="00152917"/>
    <w:rsid w:val="00152DE7"/>
    <w:rsid w:val="00153476"/>
    <w:rsid w:val="00153AC2"/>
    <w:rsid w:val="00153BD7"/>
    <w:rsid w:val="00154016"/>
    <w:rsid w:val="00154441"/>
    <w:rsid w:val="0015452A"/>
    <w:rsid w:val="00154A91"/>
    <w:rsid w:val="00154BB2"/>
    <w:rsid w:val="0015512F"/>
    <w:rsid w:val="00155468"/>
    <w:rsid w:val="001555E5"/>
    <w:rsid w:val="00155694"/>
    <w:rsid w:val="00155B81"/>
    <w:rsid w:val="00155CDE"/>
    <w:rsid w:val="00155EDC"/>
    <w:rsid w:val="00156029"/>
    <w:rsid w:val="001568E5"/>
    <w:rsid w:val="00156E23"/>
    <w:rsid w:val="001575ED"/>
    <w:rsid w:val="001577A5"/>
    <w:rsid w:val="00157B7F"/>
    <w:rsid w:val="00160755"/>
    <w:rsid w:val="0016128F"/>
    <w:rsid w:val="00161A76"/>
    <w:rsid w:val="00161C5C"/>
    <w:rsid w:val="00162BDC"/>
    <w:rsid w:val="001641F1"/>
    <w:rsid w:val="00164E0D"/>
    <w:rsid w:val="00165398"/>
    <w:rsid w:val="00165CB5"/>
    <w:rsid w:val="00166694"/>
    <w:rsid w:val="00166834"/>
    <w:rsid w:val="00166A98"/>
    <w:rsid w:val="00166E83"/>
    <w:rsid w:val="00166FA2"/>
    <w:rsid w:val="001671F0"/>
    <w:rsid w:val="001676B5"/>
    <w:rsid w:val="00167923"/>
    <w:rsid w:val="00167B76"/>
    <w:rsid w:val="00167C9F"/>
    <w:rsid w:val="00167FBA"/>
    <w:rsid w:val="001709A8"/>
    <w:rsid w:val="00170B12"/>
    <w:rsid w:val="00170F6C"/>
    <w:rsid w:val="0017148D"/>
    <w:rsid w:val="001714ED"/>
    <w:rsid w:val="0017183E"/>
    <w:rsid w:val="00171C79"/>
    <w:rsid w:val="00171EB2"/>
    <w:rsid w:val="00173A3A"/>
    <w:rsid w:val="00173E16"/>
    <w:rsid w:val="001745B3"/>
    <w:rsid w:val="0017471D"/>
    <w:rsid w:val="00175739"/>
    <w:rsid w:val="00176833"/>
    <w:rsid w:val="001771EC"/>
    <w:rsid w:val="00177A3D"/>
    <w:rsid w:val="001800FC"/>
    <w:rsid w:val="001800FF"/>
    <w:rsid w:val="001805E7"/>
    <w:rsid w:val="00180649"/>
    <w:rsid w:val="001809EF"/>
    <w:rsid w:val="00180B68"/>
    <w:rsid w:val="00180D30"/>
    <w:rsid w:val="00181050"/>
    <w:rsid w:val="001818A8"/>
    <w:rsid w:val="001818DA"/>
    <w:rsid w:val="00181A3E"/>
    <w:rsid w:val="00181B4F"/>
    <w:rsid w:val="00181BC7"/>
    <w:rsid w:val="00181CE9"/>
    <w:rsid w:val="00182783"/>
    <w:rsid w:val="00182825"/>
    <w:rsid w:val="001829E4"/>
    <w:rsid w:val="00182A77"/>
    <w:rsid w:val="00182DFD"/>
    <w:rsid w:val="001834EF"/>
    <w:rsid w:val="00183A8B"/>
    <w:rsid w:val="00183D79"/>
    <w:rsid w:val="00184373"/>
    <w:rsid w:val="00184664"/>
    <w:rsid w:val="001846A2"/>
    <w:rsid w:val="0018497D"/>
    <w:rsid w:val="00184FCC"/>
    <w:rsid w:val="0018503F"/>
    <w:rsid w:val="00185648"/>
    <w:rsid w:val="0018588E"/>
    <w:rsid w:val="00186DA4"/>
    <w:rsid w:val="00186FD8"/>
    <w:rsid w:val="0018713E"/>
    <w:rsid w:val="00187946"/>
    <w:rsid w:val="00187980"/>
    <w:rsid w:val="00187AAD"/>
    <w:rsid w:val="001903E9"/>
    <w:rsid w:val="00190809"/>
    <w:rsid w:val="00191353"/>
    <w:rsid w:val="0019145A"/>
    <w:rsid w:val="00191580"/>
    <w:rsid w:val="0019159A"/>
    <w:rsid w:val="0019176D"/>
    <w:rsid w:val="00191BF3"/>
    <w:rsid w:val="00191E27"/>
    <w:rsid w:val="00191F02"/>
    <w:rsid w:val="0019224D"/>
    <w:rsid w:val="001929E3"/>
    <w:rsid w:val="00192E4B"/>
    <w:rsid w:val="0019300F"/>
    <w:rsid w:val="001932E8"/>
    <w:rsid w:val="0019352D"/>
    <w:rsid w:val="00193D05"/>
    <w:rsid w:val="00194287"/>
    <w:rsid w:val="001955AD"/>
    <w:rsid w:val="001955B0"/>
    <w:rsid w:val="00195D29"/>
    <w:rsid w:val="001965BE"/>
    <w:rsid w:val="00196DD1"/>
    <w:rsid w:val="00197181"/>
    <w:rsid w:val="00197333"/>
    <w:rsid w:val="001A031C"/>
    <w:rsid w:val="001A06CC"/>
    <w:rsid w:val="001A09AC"/>
    <w:rsid w:val="001A0D6C"/>
    <w:rsid w:val="001A18E6"/>
    <w:rsid w:val="001A22B6"/>
    <w:rsid w:val="001A2962"/>
    <w:rsid w:val="001A2D00"/>
    <w:rsid w:val="001A343F"/>
    <w:rsid w:val="001A3F45"/>
    <w:rsid w:val="001A44E2"/>
    <w:rsid w:val="001A47EF"/>
    <w:rsid w:val="001A5C09"/>
    <w:rsid w:val="001A5CF7"/>
    <w:rsid w:val="001A68D7"/>
    <w:rsid w:val="001A6A86"/>
    <w:rsid w:val="001A72B0"/>
    <w:rsid w:val="001A7B14"/>
    <w:rsid w:val="001A7B47"/>
    <w:rsid w:val="001A7C29"/>
    <w:rsid w:val="001B07FE"/>
    <w:rsid w:val="001B08A3"/>
    <w:rsid w:val="001B0BCD"/>
    <w:rsid w:val="001B16B8"/>
    <w:rsid w:val="001B1785"/>
    <w:rsid w:val="001B1B7C"/>
    <w:rsid w:val="001B24B7"/>
    <w:rsid w:val="001B2B26"/>
    <w:rsid w:val="001B2B2B"/>
    <w:rsid w:val="001B2CBA"/>
    <w:rsid w:val="001B36E9"/>
    <w:rsid w:val="001B3777"/>
    <w:rsid w:val="001B407C"/>
    <w:rsid w:val="001B44FF"/>
    <w:rsid w:val="001B4670"/>
    <w:rsid w:val="001B4722"/>
    <w:rsid w:val="001B4C77"/>
    <w:rsid w:val="001B5845"/>
    <w:rsid w:val="001B5892"/>
    <w:rsid w:val="001B63C5"/>
    <w:rsid w:val="001B63F0"/>
    <w:rsid w:val="001B669D"/>
    <w:rsid w:val="001B6EAE"/>
    <w:rsid w:val="001B77EA"/>
    <w:rsid w:val="001B787D"/>
    <w:rsid w:val="001C042C"/>
    <w:rsid w:val="001C0959"/>
    <w:rsid w:val="001C0C2D"/>
    <w:rsid w:val="001C0E2E"/>
    <w:rsid w:val="001C1956"/>
    <w:rsid w:val="001C1CBE"/>
    <w:rsid w:val="001C2332"/>
    <w:rsid w:val="001C27AC"/>
    <w:rsid w:val="001C2CB2"/>
    <w:rsid w:val="001C34FF"/>
    <w:rsid w:val="001C3807"/>
    <w:rsid w:val="001C380A"/>
    <w:rsid w:val="001C4B6F"/>
    <w:rsid w:val="001C5551"/>
    <w:rsid w:val="001C5712"/>
    <w:rsid w:val="001C62BE"/>
    <w:rsid w:val="001C64C8"/>
    <w:rsid w:val="001C7280"/>
    <w:rsid w:val="001C7898"/>
    <w:rsid w:val="001D1309"/>
    <w:rsid w:val="001D1609"/>
    <w:rsid w:val="001D25C7"/>
    <w:rsid w:val="001D27EA"/>
    <w:rsid w:val="001D29B8"/>
    <w:rsid w:val="001D2AB8"/>
    <w:rsid w:val="001D2E84"/>
    <w:rsid w:val="001D3960"/>
    <w:rsid w:val="001D423C"/>
    <w:rsid w:val="001D427A"/>
    <w:rsid w:val="001D430A"/>
    <w:rsid w:val="001D44AE"/>
    <w:rsid w:val="001D4C83"/>
    <w:rsid w:val="001D4D20"/>
    <w:rsid w:val="001D4F22"/>
    <w:rsid w:val="001D4FB2"/>
    <w:rsid w:val="001D5250"/>
    <w:rsid w:val="001D599B"/>
    <w:rsid w:val="001D5DD4"/>
    <w:rsid w:val="001D602C"/>
    <w:rsid w:val="001D6249"/>
    <w:rsid w:val="001D62E6"/>
    <w:rsid w:val="001D658B"/>
    <w:rsid w:val="001D683C"/>
    <w:rsid w:val="001D6ABD"/>
    <w:rsid w:val="001D71C5"/>
    <w:rsid w:val="001D79E5"/>
    <w:rsid w:val="001D7CF4"/>
    <w:rsid w:val="001E046F"/>
    <w:rsid w:val="001E0A95"/>
    <w:rsid w:val="001E0ABE"/>
    <w:rsid w:val="001E0FB6"/>
    <w:rsid w:val="001E159D"/>
    <w:rsid w:val="001E16FB"/>
    <w:rsid w:val="001E1B70"/>
    <w:rsid w:val="001E1EAC"/>
    <w:rsid w:val="001E2380"/>
    <w:rsid w:val="001E3190"/>
    <w:rsid w:val="001E3493"/>
    <w:rsid w:val="001E382D"/>
    <w:rsid w:val="001E3883"/>
    <w:rsid w:val="001E4005"/>
    <w:rsid w:val="001E46CF"/>
    <w:rsid w:val="001E4A2E"/>
    <w:rsid w:val="001E5091"/>
    <w:rsid w:val="001E50BE"/>
    <w:rsid w:val="001E543E"/>
    <w:rsid w:val="001E5552"/>
    <w:rsid w:val="001E58BD"/>
    <w:rsid w:val="001E58C7"/>
    <w:rsid w:val="001E58F5"/>
    <w:rsid w:val="001E5BC7"/>
    <w:rsid w:val="001E5BCD"/>
    <w:rsid w:val="001E612C"/>
    <w:rsid w:val="001E7A55"/>
    <w:rsid w:val="001E7BA6"/>
    <w:rsid w:val="001E7EE9"/>
    <w:rsid w:val="001E7F60"/>
    <w:rsid w:val="001F02DB"/>
    <w:rsid w:val="001F0D2C"/>
    <w:rsid w:val="001F0D42"/>
    <w:rsid w:val="001F0FB3"/>
    <w:rsid w:val="001F1482"/>
    <w:rsid w:val="001F167C"/>
    <w:rsid w:val="001F1E04"/>
    <w:rsid w:val="001F2445"/>
    <w:rsid w:val="001F29E9"/>
    <w:rsid w:val="001F2E10"/>
    <w:rsid w:val="001F2F1E"/>
    <w:rsid w:val="001F3A25"/>
    <w:rsid w:val="001F3CB4"/>
    <w:rsid w:val="001F3CE2"/>
    <w:rsid w:val="001F3F13"/>
    <w:rsid w:val="001F3F60"/>
    <w:rsid w:val="001F3FD9"/>
    <w:rsid w:val="001F4191"/>
    <w:rsid w:val="001F4204"/>
    <w:rsid w:val="001F4290"/>
    <w:rsid w:val="001F4543"/>
    <w:rsid w:val="001F45C9"/>
    <w:rsid w:val="001F48BF"/>
    <w:rsid w:val="001F50C5"/>
    <w:rsid w:val="001F5493"/>
    <w:rsid w:val="001F5AE3"/>
    <w:rsid w:val="001F5B41"/>
    <w:rsid w:val="001F5B5A"/>
    <w:rsid w:val="001F63D7"/>
    <w:rsid w:val="001F6B55"/>
    <w:rsid w:val="001F7956"/>
    <w:rsid w:val="001F7C18"/>
    <w:rsid w:val="002000FA"/>
    <w:rsid w:val="0020063B"/>
    <w:rsid w:val="00200B58"/>
    <w:rsid w:val="002011E4"/>
    <w:rsid w:val="002019DE"/>
    <w:rsid w:val="00202049"/>
    <w:rsid w:val="00202AC9"/>
    <w:rsid w:val="00202E78"/>
    <w:rsid w:val="00203517"/>
    <w:rsid w:val="00203622"/>
    <w:rsid w:val="002039F0"/>
    <w:rsid w:val="00203B58"/>
    <w:rsid w:val="00204442"/>
    <w:rsid w:val="002044CF"/>
    <w:rsid w:val="002053F6"/>
    <w:rsid w:val="00205DB8"/>
    <w:rsid w:val="00205F52"/>
    <w:rsid w:val="002062E3"/>
    <w:rsid w:val="00206DCF"/>
    <w:rsid w:val="00206E0D"/>
    <w:rsid w:val="00207ECA"/>
    <w:rsid w:val="00210977"/>
    <w:rsid w:val="00211348"/>
    <w:rsid w:val="0021200E"/>
    <w:rsid w:val="00212231"/>
    <w:rsid w:val="00212738"/>
    <w:rsid w:val="00212753"/>
    <w:rsid w:val="00212826"/>
    <w:rsid w:val="002128DA"/>
    <w:rsid w:val="00212F64"/>
    <w:rsid w:val="00213081"/>
    <w:rsid w:val="002131F2"/>
    <w:rsid w:val="0021333A"/>
    <w:rsid w:val="002133F7"/>
    <w:rsid w:val="002138AA"/>
    <w:rsid w:val="00213C21"/>
    <w:rsid w:val="00213C96"/>
    <w:rsid w:val="0021423C"/>
    <w:rsid w:val="002146C8"/>
    <w:rsid w:val="0021488F"/>
    <w:rsid w:val="00214E8A"/>
    <w:rsid w:val="00214F32"/>
    <w:rsid w:val="00216512"/>
    <w:rsid w:val="0021652B"/>
    <w:rsid w:val="00216B40"/>
    <w:rsid w:val="00216DEE"/>
    <w:rsid w:val="00216E6B"/>
    <w:rsid w:val="00217677"/>
    <w:rsid w:val="00220ACD"/>
    <w:rsid w:val="00220D94"/>
    <w:rsid w:val="002213A1"/>
    <w:rsid w:val="002217E2"/>
    <w:rsid w:val="00221AB9"/>
    <w:rsid w:val="00221B14"/>
    <w:rsid w:val="002222AE"/>
    <w:rsid w:val="00222F9D"/>
    <w:rsid w:val="00223082"/>
    <w:rsid w:val="00223608"/>
    <w:rsid w:val="002245A3"/>
    <w:rsid w:val="002245C2"/>
    <w:rsid w:val="002248E2"/>
    <w:rsid w:val="002253EA"/>
    <w:rsid w:val="00225498"/>
    <w:rsid w:val="002255CE"/>
    <w:rsid w:val="002262F3"/>
    <w:rsid w:val="002269F4"/>
    <w:rsid w:val="00226ECE"/>
    <w:rsid w:val="002276B3"/>
    <w:rsid w:val="002279D7"/>
    <w:rsid w:val="00227DE8"/>
    <w:rsid w:val="0023000C"/>
    <w:rsid w:val="002304C9"/>
    <w:rsid w:val="002307B1"/>
    <w:rsid w:val="00231C19"/>
    <w:rsid w:val="00231C95"/>
    <w:rsid w:val="00231F6C"/>
    <w:rsid w:val="0023250F"/>
    <w:rsid w:val="00232712"/>
    <w:rsid w:val="0023399C"/>
    <w:rsid w:val="00233BB6"/>
    <w:rsid w:val="00233D4D"/>
    <w:rsid w:val="00233DC9"/>
    <w:rsid w:val="00234813"/>
    <w:rsid w:val="0023485B"/>
    <w:rsid w:val="00234D76"/>
    <w:rsid w:val="00235B23"/>
    <w:rsid w:val="00235B69"/>
    <w:rsid w:val="00235C68"/>
    <w:rsid w:val="002366E4"/>
    <w:rsid w:val="002368A4"/>
    <w:rsid w:val="002370FF"/>
    <w:rsid w:val="00237191"/>
    <w:rsid w:val="002376D0"/>
    <w:rsid w:val="00237800"/>
    <w:rsid w:val="002379B4"/>
    <w:rsid w:val="002401C6"/>
    <w:rsid w:val="002401F2"/>
    <w:rsid w:val="002404D0"/>
    <w:rsid w:val="00240DF7"/>
    <w:rsid w:val="00240E2B"/>
    <w:rsid w:val="0024109C"/>
    <w:rsid w:val="0024109D"/>
    <w:rsid w:val="00241403"/>
    <w:rsid w:val="00241CCB"/>
    <w:rsid w:val="002425AB"/>
    <w:rsid w:val="0024294D"/>
    <w:rsid w:val="00242CE2"/>
    <w:rsid w:val="00243006"/>
    <w:rsid w:val="00243193"/>
    <w:rsid w:val="00243398"/>
    <w:rsid w:val="002439B4"/>
    <w:rsid w:val="0024451D"/>
    <w:rsid w:val="00244B4A"/>
    <w:rsid w:val="002450E8"/>
    <w:rsid w:val="00245272"/>
    <w:rsid w:val="002452D8"/>
    <w:rsid w:val="00245470"/>
    <w:rsid w:val="002459CE"/>
    <w:rsid w:val="00245C30"/>
    <w:rsid w:val="00245C65"/>
    <w:rsid w:val="00245E20"/>
    <w:rsid w:val="00246322"/>
    <w:rsid w:val="00246473"/>
    <w:rsid w:val="00246AE9"/>
    <w:rsid w:val="00246B8E"/>
    <w:rsid w:val="00246BC3"/>
    <w:rsid w:val="00247A22"/>
    <w:rsid w:val="00250052"/>
    <w:rsid w:val="00250757"/>
    <w:rsid w:val="00250A4B"/>
    <w:rsid w:val="00250C36"/>
    <w:rsid w:val="0025192C"/>
    <w:rsid w:val="0025209F"/>
    <w:rsid w:val="00252908"/>
    <w:rsid w:val="00252AB5"/>
    <w:rsid w:val="00252ACE"/>
    <w:rsid w:val="00252F0B"/>
    <w:rsid w:val="00253213"/>
    <w:rsid w:val="00254034"/>
    <w:rsid w:val="00254075"/>
    <w:rsid w:val="002542CB"/>
    <w:rsid w:val="00254858"/>
    <w:rsid w:val="0025485E"/>
    <w:rsid w:val="0025532F"/>
    <w:rsid w:val="00255C4B"/>
    <w:rsid w:val="00256003"/>
    <w:rsid w:val="0025672B"/>
    <w:rsid w:val="00256DEA"/>
    <w:rsid w:val="00256EAA"/>
    <w:rsid w:val="00260129"/>
    <w:rsid w:val="00261075"/>
    <w:rsid w:val="00261143"/>
    <w:rsid w:val="002611EA"/>
    <w:rsid w:val="0026163B"/>
    <w:rsid w:val="0026198C"/>
    <w:rsid w:val="00261A49"/>
    <w:rsid w:val="00262059"/>
    <w:rsid w:val="00262099"/>
    <w:rsid w:val="002620E8"/>
    <w:rsid w:val="00263341"/>
    <w:rsid w:val="00263710"/>
    <w:rsid w:val="00263876"/>
    <w:rsid w:val="00263F27"/>
    <w:rsid w:val="002649EF"/>
    <w:rsid w:val="00264AAB"/>
    <w:rsid w:val="00264DCC"/>
    <w:rsid w:val="002663E8"/>
    <w:rsid w:val="00266769"/>
    <w:rsid w:val="00266862"/>
    <w:rsid w:val="00266A03"/>
    <w:rsid w:val="00266D87"/>
    <w:rsid w:val="00267145"/>
    <w:rsid w:val="002675CC"/>
    <w:rsid w:val="00267849"/>
    <w:rsid w:val="00267ACB"/>
    <w:rsid w:val="00270CE8"/>
    <w:rsid w:val="002713C2"/>
    <w:rsid w:val="00271AEF"/>
    <w:rsid w:val="002723E1"/>
    <w:rsid w:val="00272ADF"/>
    <w:rsid w:val="00272B45"/>
    <w:rsid w:val="002730D5"/>
    <w:rsid w:val="00273685"/>
    <w:rsid w:val="002748F4"/>
    <w:rsid w:val="00274977"/>
    <w:rsid w:val="00275880"/>
    <w:rsid w:val="002758DE"/>
    <w:rsid w:val="002761DF"/>
    <w:rsid w:val="00276370"/>
    <w:rsid w:val="00276698"/>
    <w:rsid w:val="00276E01"/>
    <w:rsid w:val="00277638"/>
    <w:rsid w:val="00277856"/>
    <w:rsid w:val="00277E1E"/>
    <w:rsid w:val="00280065"/>
    <w:rsid w:val="00280440"/>
    <w:rsid w:val="00280BF9"/>
    <w:rsid w:val="00280ED3"/>
    <w:rsid w:val="0028265F"/>
    <w:rsid w:val="002834E0"/>
    <w:rsid w:val="00283DA8"/>
    <w:rsid w:val="002842D3"/>
    <w:rsid w:val="00284513"/>
    <w:rsid w:val="00284785"/>
    <w:rsid w:val="002847D9"/>
    <w:rsid w:val="002852D1"/>
    <w:rsid w:val="00286FC1"/>
    <w:rsid w:val="002871B0"/>
    <w:rsid w:val="002872FA"/>
    <w:rsid w:val="002874E9"/>
    <w:rsid w:val="0029005F"/>
    <w:rsid w:val="002900B5"/>
    <w:rsid w:val="0029030D"/>
    <w:rsid w:val="00290615"/>
    <w:rsid w:val="00290935"/>
    <w:rsid w:val="00290DC7"/>
    <w:rsid w:val="00290E2C"/>
    <w:rsid w:val="00291008"/>
    <w:rsid w:val="00291454"/>
    <w:rsid w:val="002915C6"/>
    <w:rsid w:val="00291632"/>
    <w:rsid w:val="00291857"/>
    <w:rsid w:val="0029209F"/>
    <w:rsid w:val="002920B1"/>
    <w:rsid w:val="00292B40"/>
    <w:rsid w:val="00292C43"/>
    <w:rsid w:val="00293225"/>
    <w:rsid w:val="00293459"/>
    <w:rsid w:val="00293921"/>
    <w:rsid w:val="00295051"/>
    <w:rsid w:val="00295300"/>
    <w:rsid w:val="00295798"/>
    <w:rsid w:val="00295B29"/>
    <w:rsid w:val="00296543"/>
    <w:rsid w:val="00296614"/>
    <w:rsid w:val="00296AAB"/>
    <w:rsid w:val="002974D8"/>
    <w:rsid w:val="00297ABA"/>
    <w:rsid w:val="002A01F0"/>
    <w:rsid w:val="002A0299"/>
    <w:rsid w:val="002A0AA6"/>
    <w:rsid w:val="002A0B14"/>
    <w:rsid w:val="002A1129"/>
    <w:rsid w:val="002A146A"/>
    <w:rsid w:val="002A18CA"/>
    <w:rsid w:val="002A1986"/>
    <w:rsid w:val="002A19D7"/>
    <w:rsid w:val="002A1AEC"/>
    <w:rsid w:val="002A2620"/>
    <w:rsid w:val="002A2D09"/>
    <w:rsid w:val="002A2DCB"/>
    <w:rsid w:val="002A39DB"/>
    <w:rsid w:val="002A39F4"/>
    <w:rsid w:val="002A3ADB"/>
    <w:rsid w:val="002A404E"/>
    <w:rsid w:val="002A432A"/>
    <w:rsid w:val="002A46FA"/>
    <w:rsid w:val="002A53F2"/>
    <w:rsid w:val="002A5E1A"/>
    <w:rsid w:val="002A5EE1"/>
    <w:rsid w:val="002A6214"/>
    <w:rsid w:val="002A640C"/>
    <w:rsid w:val="002A6B6F"/>
    <w:rsid w:val="002A6C00"/>
    <w:rsid w:val="002A6EA1"/>
    <w:rsid w:val="002A77FE"/>
    <w:rsid w:val="002A7941"/>
    <w:rsid w:val="002A7EFD"/>
    <w:rsid w:val="002B00FD"/>
    <w:rsid w:val="002B0262"/>
    <w:rsid w:val="002B10AB"/>
    <w:rsid w:val="002B1248"/>
    <w:rsid w:val="002B2200"/>
    <w:rsid w:val="002B2375"/>
    <w:rsid w:val="002B2377"/>
    <w:rsid w:val="002B3507"/>
    <w:rsid w:val="002B37EC"/>
    <w:rsid w:val="002B38E7"/>
    <w:rsid w:val="002B3D14"/>
    <w:rsid w:val="002B3F5F"/>
    <w:rsid w:val="002B4682"/>
    <w:rsid w:val="002B4A3F"/>
    <w:rsid w:val="002B5336"/>
    <w:rsid w:val="002B57B5"/>
    <w:rsid w:val="002B587F"/>
    <w:rsid w:val="002B5FB4"/>
    <w:rsid w:val="002B5FDC"/>
    <w:rsid w:val="002B62EC"/>
    <w:rsid w:val="002B6736"/>
    <w:rsid w:val="002B697E"/>
    <w:rsid w:val="002B6A3D"/>
    <w:rsid w:val="002B6A74"/>
    <w:rsid w:val="002C028A"/>
    <w:rsid w:val="002C0649"/>
    <w:rsid w:val="002C0F41"/>
    <w:rsid w:val="002C160A"/>
    <w:rsid w:val="002C17CA"/>
    <w:rsid w:val="002C1A36"/>
    <w:rsid w:val="002C1B5B"/>
    <w:rsid w:val="002C1FEE"/>
    <w:rsid w:val="002C25DB"/>
    <w:rsid w:val="002C283C"/>
    <w:rsid w:val="002C2E42"/>
    <w:rsid w:val="002C31AD"/>
    <w:rsid w:val="002C360B"/>
    <w:rsid w:val="002C45BB"/>
    <w:rsid w:val="002C547D"/>
    <w:rsid w:val="002C5712"/>
    <w:rsid w:val="002C5A07"/>
    <w:rsid w:val="002C5B7E"/>
    <w:rsid w:val="002C5EEA"/>
    <w:rsid w:val="002C6515"/>
    <w:rsid w:val="002C6631"/>
    <w:rsid w:val="002C6857"/>
    <w:rsid w:val="002C70BC"/>
    <w:rsid w:val="002C73A6"/>
    <w:rsid w:val="002C76D1"/>
    <w:rsid w:val="002C7AF7"/>
    <w:rsid w:val="002C7B0F"/>
    <w:rsid w:val="002C7B2B"/>
    <w:rsid w:val="002D0858"/>
    <w:rsid w:val="002D11B9"/>
    <w:rsid w:val="002D182F"/>
    <w:rsid w:val="002D20B0"/>
    <w:rsid w:val="002D234E"/>
    <w:rsid w:val="002D2F33"/>
    <w:rsid w:val="002D334F"/>
    <w:rsid w:val="002D47D9"/>
    <w:rsid w:val="002D52D6"/>
    <w:rsid w:val="002D5C9D"/>
    <w:rsid w:val="002D5E32"/>
    <w:rsid w:val="002D6D1F"/>
    <w:rsid w:val="002D7069"/>
    <w:rsid w:val="002D73CE"/>
    <w:rsid w:val="002D751E"/>
    <w:rsid w:val="002D782F"/>
    <w:rsid w:val="002D787A"/>
    <w:rsid w:val="002E03CA"/>
    <w:rsid w:val="002E03CC"/>
    <w:rsid w:val="002E088E"/>
    <w:rsid w:val="002E0986"/>
    <w:rsid w:val="002E0E91"/>
    <w:rsid w:val="002E1611"/>
    <w:rsid w:val="002E17C1"/>
    <w:rsid w:val="002E1F35"/>
    <w:rsid w:val="002E2014"/>
    <w:rsid w:val="002E2ACC"/>
    <w:rsid w:val="002E3D9E"/>
    <w:rsid w:val="002E3FE7"/>
    <w:rsid w:val="002E40C6"/>
    <w:rsid w:val="002E42D4"/>
    <w:rsid w:val="002E4BFB"/>
    <w:rsid w:val="002E5175"/>
    <w:rsid w:val="002E592B"/>
    <w:rsid w:val="002E5DF6"/>
    <w:rsid w:val="002E7DA3"/>
    <w:rsid w:val="002E7F6B"/>
    <w:rsid w:val="002F147F"/>
    <w:rsid w:val="002F1483"/>
    <w:rsid w:val="002F161F"/>
    <w:rsid w:val="002F16C1"/>
    <w:rsid w:val="002F174E"/>
    <w:rsid w:val="002F1800"/>
    <w:rsid w:val="002F1B5C"/>
    <w:rsid w:val="002F1EAF"/>
    <w:rsid w:val="002F23A2"/>
    <w:rsid w:val="002F2C5E"/>
    <w:rsid w:val="002F2E68"/>
    <w:rsid w:val="002F3060"/>
    <w:rsid w:val="002F35CC"/>
    <w:rsid w:val="002F3810"/>
    <w:rsid w:val="002F38BE"/>
    <w:rsid w:val="002F3C90"/>
    <w:rsid w:val="002F3EAA"/>
    <w:rsid w:val="002F4439"/>
    <w:rsid w:val="002F44C7"/>
    <w:rsid w:val="002F46DC"/>
    <w:rsid w:val="002F4B0D"/>
    <w:rsid w:val="002F5001"/>
    <w:rsid w:val="002F583E"/>
    <w:rsid w:val="002F58E2"/>
    <w:rsid w:val="002F5BF4"/>
    <w:rsid w:val="002F5E13"/>
    <w:rsid w:val="002F6315"/>
    <w:rsid w:val="002F6327"/>
    <w:rsid w:val="002F66C0"/>
    <w:rsid w:val="002F6C9C"/>
    <w:rsid w:val="002F6F8A"/>
    <w:rsid w:val="002F7006"/>
    <w:rsid w:val="002F7361"/>
    <w:rsid w:val="002F75C5"/>
    <w:rsid w:val="002F7642"/>
    <w:rsid w:val="002F78C0"/>
    <w:rsid w:val="002F7D20"/>
    <w:rsid w:val="00300461"/>
    <w:rsid w:val="00300605"/>
    <w:rsid w:val="003007A7"/>
    <w:rsid w:val="003009AF"/>
    <w:rsid w:val="00300C96"/>
    <w:rsid w:val="00300F05"/>
    <w:rsid w:val="0030190C"/>
    <w:rsid w:val="003019F2"/>
    <w:rsid w:val="00301A38"/>
    <w:rsid w:val="00301EC6"/>
    <w:rsid w:val="003020B3"/>
    <w:rsid w:val="003022CF"/>
    <w:rsid w:val="00302803"/>
    <w:rsid w:val="003039C8"/>
    <w:rsid w:val="00303A27"/>
    <w:rsid w:val="00303DB2"/>
    <w:rsid w:val="00304284"/>
    <w:rsid w:val="0030456C"/>
    <w:rsid w:val="0030464C"/>
    <w:rsid w:val="00304EDB"/>
    <w:rsid w:val="003052B7"/>
    <w:rsid w:val="003057C0"/>
    <w:rsid w:val="00306184"/>
    <w:rsid w:val="003067B5"/>
    <w:rsid w:val="003067E0"/>
    <w:rsid w:val="00306F90"/>
    <w:rsid w:val="003076E5"/>
    <w:rsid w:val="003079D7"/>
    <w:rsid w:val="00307D65"/>
    <w:rsid w:val="003101CD"/>
    <w:rsid w:val="003102C2"/>
    <w:rsid w:val="00310837"/>
    <w:rsid w:val="00310B24"/>
    <w:rsid w:val="00310F28"/>
    <w:rsid w:val="003112C9"/>
    <w:rsid w:val="00311355"/>
    <w:rsid w:val="003117D0"/>
    <w:rsid w:val="00311E13"/>
    <w:rsid w:val="00313272"/>
    <w:rsid w:val="003133FF"/>
    <w:rsid w:val="0031372C"/>
    <w:rsid w:val="00313BF2"/>
    <w:rsid w:val="00315816"/>
    <w:rsid w:val="003160D6"/>
    <w:rsid w:val="003165E9"/>
    <w:rsid w:val="00316E54"/>
    <w:rsid w:val="0031769C"/>
    <w:rsid w:val="0031784F"/>
    <w:rsid w:val="00317BDF"/>
    <w:rsid w:val="003209FD"/>
    <w:rsid w:val="00320CAA"/>
    <w:rsid w:val="00320D5F"/>
    <w:rsid w:val="00320E83"/>
    <w:rsid w:val="0032172A"/>
    <w:rsid w:val="00321B43"/>
    <w:rsid w:val="0032287A"/>
    <w:rsid w:val="00323251"/>
    <w:rsid w:val="00323617"/>
    <w:rsid w:val="003239D8"/>
    <w:rsid w:val="003246ED"/>
    <w:rsid w:val="00324D97"/>
    <w:rsid w:val="0032570F"/>
    <w:rsid w:val="003257C1"/>
    <w:rsid w:val="0032591E"/>
    <w:rsid w:val="0032645E"/>
    <w:rsid w:val="0032653A"/>
    <w:rsid w:val="00326C13"/>
    <w:rsid w:val="00326D32"/>
    <w:rsid w:val="003270B9"/>
    <w:rsid w:val="00327210"/>
    <w:rsid w:val="00327368"/>
    <w:rsid w:val="003276EC"/>
    <w:rsid w:val="00327879"/>
    <w:rsid w:val="0032790D"/>
    <w:rsid w:val="003301EF"/>
    <w:rsid w:val="00330CFB"/>
    <w:rsid w:val="00330D3B"/>
    <w:rsid w:val="00331078"/>
    <w:rsid w:val="0033120A"/>
    <w:rsid w:val="003327C7"/>
    <w:rsid w:val="00332AD3"/>
    <w:rsid w:val="00332C2E"/>
    <w:rsid w:val="00332F48"/>
    <w:rsid w:val="00333150"/>
    <w:rsid w:val="00333755"/>
    <w:rsid w:val="00333F2C"/>
    <w:rsid w:val="00333F9A"/>
    <w:rsid w:val="003342D8"/>
    <w:rsid w:val="0033445C"/>
    <w:rsid w:val="003349EF"/>
    <w:rsid w:val="00334EF4"/>
    <w:rsid w:val="0033590E"/>
    <w:rsid w:val="00336351"/>
    <w:rsid w:val="00336364"/>
    <w:rsid w:val="0033648E"/>
    <w:rsid w:val="0033686C"/>
    <w:rsid w:val="0033716C"/>
    <w:rsid w:val="00337341"/>
    <w:rsid w:val="00337D09"/>
    <w:rsid w:val="00337DE1"/>
    <w:rsid w:val="003413C7"/>
    <w:rsid w:val="00341442"/>
    <w:rsid w:val="00341479"/>
    <w:rsid w:val="0034177C"/>
    <w:rsid w:val="00341968"/>
    <w:rsid w:val="003421AA"/>
    <w:rsid w:val="003426D4"/>
    <w:rsid w:val="0034283E"/>
    <w:rsid w:val="00342A23"/>
    <w:rsid w:val="00342C73"/>
    <w:rsid w:val="00342CBF"/>
    <w:rsid w:val="0034350A"/>
    <w:rsid w:val="00343550"/>
    <w:rsid w:val="00343C42"/>
    <w:rsid w:val="003451A7"/>
    <w:rsid w:val="003452AC"/>
    <w:rsid w:val="00345851"/>
    <w:rsid w:val="00345F13"/>
    <w:rsid w:val="0034707B"/>
    <w:rsid w:val="00347183"/>
    <w:rsid w:val="00347424"/>
    <w:rsid w:val="00347533"/>
    <w:rsid w:val="00347564"/>
    <w:rsid w:val="00347B9D"/>
    <w:rsid w:val="00347DB7"/>
    <w:rsid w:val="00350FF9"/>
    <w:rsid w:val="0035128F"/>
    <w:rsid w:val="0035138F"/>
    <w:rsid w:val="00351BA4"/>
    <w:rsid w:val="003521E0"/>
    <w:rsid w:val="003525EA"/>
    <w:rsid w:val="00352BAC"/>
    <w:rsid w:val="00352F39"/>
    <w:rsid w:val="003530DE"/>
    <w:rsid w:val="003531F3"/>
    <w:rsid w:val="003539F4"/>
    <w:rsid w:val="003547AE"/>
    <w:rsid w:val="00355217"/>
    <w:rsid w:val="00355DD2"/>
    <w:rsid w:val="00355F56"/>
    <w:rsid w:val="00356811"/>
    <w:rsid w:val="00356AB7"/>
    <w:rsid w:val="00356B5C"/>
    <w:rsid w:val="00356F14"/>
    <w:rsid w:val="003575AA"/>
    <w:rsid w:val="003606A0"/>
    <w:rsid w:val="003613D7"/>
    <w:rsid w:val="00361541"/>
    <w:rsid w:val="00361635"/>
    <w:rsid w:val="0036194E"/>
    <w:rsid w:val="00362796"/>
    <w:rsid w:val="00363030"/>
    <w:rsid w:val="00363068"/>
    <w:rsid w:val="003632AD"/>
    <w:rsid w:val="00363ECE"/>
    <w:rsid w:val="003640F0"/>
    <w:rsid w:val="0036494F"/>
    <w:rsid w:val="00364BCF"/>
    <w:rsid w:val="003652A4"/>
    <w:rsid w:val="0036534C"/>
    <w:rsid w:val="0036543C"/>
    <w:rsid w:val="00365615"/>
    <w:rsid w:val="00365944"/>
    <w:rsid w:val="00365FC8"/>
    <w:rsid w:val="003665FB"/>
    <w:rsid w:val="00366691"/>
    <w:rsid w:val="0036673D"/>
    <w:rsid w:val="00366782"/>
    <w:rsid w:val="003667D6"/>
    <w:rsid w:val="003676C5"/>
    <w:rsid w:val="003676DE"/>
    <w:rsid w:val="00367BDE"/>
    <w:rsid w:val="00367C1B"/>
    <w:rsid w:val="00367D66"/>
    <w:rsid w:val="00370175"/>
    <w:rsid w:val="00370452"/>
    <w:rsid w:val="0037063E"/>
    <w:rsid w:val="00370D8A"/>
    <w:rsid w:val="0037127F"/>
    <w:rsid w:val="00371542"/>
    <w:rsid w:val="00371932"/>
    <w:rsid w:val="00371A15"/>
    <w:rsid w:val="00371DC0"/>
    <w:rsid w:val="00371DF7"/>
    <w:rsid w:val="003725F1"/>
    <w:rsid w:val="00372708"/>
    <w:rsid w:val="00372AE9"/>
    <w:rsid w:val="00372D26"/>
    <w:rsid w:val="00372EEF"/>
    <w:rsid w:val="00373324"/>
    <w:rsid w:val="003737D0"/>
    <w:rsid w:val="003739EE"/>
    <w:rsid w:val="00373C80"/>
    <w:rsid w:val="00373E41"/>
    <w:rsid w:val="003744A8"/>
    <w:rsid w:val="003746B7"/>
    <w:rsid w:val="00374CE4"/>
    <w:rsid w:val="0037530A"/>
    <w:rsid w:val="0037685C"/>
    <w:rsid w:val="00376AB7"/>
    <w:rsid w:val="00377DA2"/>
    <w:rsid w:val="0038004B"/>
    <w:rsid w:val="00380251"/>
    <w:rsid w:val="00381405"/>
    <w:rsid w:val="00381609"/>
    <w:rsid w:val="00381C0E"/>
    <w:rsid w:val="003821EC"/>
    <w:rsid w:val="00382777"/>
    <w:rsid w:val="003828F9"/>
    <w:rsid w:val="003830F8"/>
    <w:rsid w:val="00383386"/>
    <w:rsid w:val="003843F7"/>
    <w:rsid w:val="003853DB"/>
    <w:rsid w:val="003856CD"/>
    <w:rsid w:val="00385DDA"/>
    <w:rsid w:val="0038602A"/>
    <w:rsid w:val="003867E4"/>
    <w:rsid w:val="00386CD0"/>
    <w:rsid w:val="00386F61"/>
    <w:rsid w:val="00387468"/>
    <w:rsid w:val="00390134"/>
    <w:rsid w:val="00390315"/>
    <w:rsid w:val="0039090C"/>
    <w:rsid w:val="00390BE4"/>
    <w:rsid w:val="0039123A"/>
    <w:rsid w:val="0039145B"/>
    <w:rsid w:val="003916C7"/>
    <w:rsid w:val="00391BB3"/>
    <w:rsid w:val="003920DA"/>
    <w:rsid w:val="00392597"/>
    <w:rsid w:val="00393008"/>
    <w:rsid w:val="0039365D"/>
    <w:rsid w:val="00393681"/>
    <w:rsid w:val="00393DB9"/>
    <w:rsid w:val="00393ECE"/>
    <w:rsid w:val="0039423F"/>
    <w:rsid w:val="003945E0"/>
    <w:rsid w:val="003945E3"/>
    <w:rsid w:val="00395129"/>
    <w:rsid w:val="003952A5"/>
    <w:rsid w:val="0039533A"/>
    <w:rsid w:val="003956D8"/>
    <w:rsid w:val="0039588E"/>
    <w:rsid w:val="00395AF6"/>
    <w:rsid w:val="00395B9E"/>
    <w:rsid w:val="00396036"/>
    <w:rsid w:val="00396083"/>
    <w:rsid w:val="00396526"/>
    <w:rsid w:val="0039672D"/>
    <w:rsid w:val="00396AD9"/>
    <w:rsid w:val="00396B4F"/>
    <w:rsid w:val="00397678"/>
    <w:rsid w:val="003977C9"/>
    <w:rsid w:val="003979D4"/>
    <w:rsid w:val="00397AFB"/>
    <w:rsid w:val="00397B6A"/>
    <w:rsid w:val="00397BB1"/>
    <w:rsid w:val="003A1940"/>
    <w:rsid w:val="003A2310"/>
    <w:rsid w:val="003A233B"/>
    <w:rsid w:val="003A2C12"/>
    <w:rsid w:val="003A2E59"/>
    <w:rsid w:val="003A3489"/>
    <w:rsid w:val="003A3AE8"/>
    <w:rsid w:val="003A3CD8"/>
    <w:rsid w:val="003A42E1"/>
    <w:rsid w:val="003A458C"/>
    <w:rsid w:val="003A48F4"/>
    <w:rsid w:val="003A5D5D"/>
    <w:rsid w:val="003A640A"/>
    <w:rsid w:val="003A6551"/>
    <w:rsid w:val="003A68AC"/>
    <w:rsid w:val="003A6A63"/>
    <w:rsid w:val="003A6AC1"/>
    <w:rsid w:val="003A6FBD"/>
    <w:rsid w:val="003A7D15"/>
    <w:rsid w:val="003A7E4E"/>
    <w:rsid w:val="003B04BC"/>
    <w:rsid w:val="003B0E03"/>
    <w:rsid w:val="003B123B"/>
    <w:rsid w:val="003B3BCE"/>
    <w:rsid w:val="003B426C"/>
    <w:rsid w:val="003B4D47"/>
    <w:rsid w:val="003B4F04"/>
    <w:rsid w:val="003B4F2F"/>
    <w:rsid w:val="003B542B"/>
    <w:rsid w:val="003B5EA1"/>
    <w:rsid w:val="003B65B5"/>
    <w:rsid w:val="003B682D"/>
    <w:rsid w:val="003B68C7"/>
    <w:rsid w:val="003B69B4"/>
    <w:rsid w:val="003B6B6F"/>
    <w:rsid w:val="003B6EE5"/>
    <w:rsid w:val="003B6FA9"/>
    <w:rsid w:val="003B7821"/>
    <w:rsid w:val="003B7BC7"/>
    <w:rsid w:val="003C04EE"/>
    <w:rsid w:val="003C06C9"/>
    <w:rsid w:val="003C09B7"/>
    <w:rsid w:val="003C0FF9"/>
    <w:rsid w:val="003C21E0"/>
    <w:rsid w:val="003C2AD8"/>
    <w:rsid w:val="003C3828"/>
    <w:rsid w:val="003C42BC"/>
    <w:rsid w:val="003C4847"/>
    <w:rsid w:val="003C4D5E"/>
    <w:rsid w:val="003C5095"/>
    <w:rsid w:val="003C54C5"/>
    <w:rsid w:val="003C554F"/>
    <w:rsid w:val="003C583F"/>
    <w:rsid w:val="003C58F3"/>
    <w:rsid w:val="003C64CC"/>
    <w:rsid w:val="003C650F"/>
    <w:rsid w:val="003C6A56"/>
    <w:rsid w:val="003C6D96"/>
    <w:rsid w:val="003C72AC"/>
    <w:rsid w:val="003C76EB"/>
    <w:rsid w:val="003C7705"/>
    <w:rsid w:val="003C7847"/>
    <w:rsid w:val="003C7AEF"/>
    <w:rsid w:val="003D059C"/>
    <w:rsid w:val="003D0697"/>
    <w:rsid w:val="003D07BB"/>
    <w:rsid w:val="003D0D01"/>
    <w:rsid w:val="003D1133"/>
    <w:rsid w:val="003D1338"/>
    <w:rsid w:val="003D1706"/>
    <w:rsid w:val="003D182B"/>
    <w:rsid w:val="003D1BB2"/>
    <w:rsid w:val="003D1EAD"/>
    <w:rsid w:val="003D2506"/>
    <w:rsid w:val="003D3252"/>
    <w:rsid w:val="003D3300"/>
    <w:rsid w:val="003D3C84"/>
    <w:rsid w:val="003D47F6"/>
    <w:rsid w:val="003D4B40"/>
    <w:rsid w:val="003D4BF3"/>
    <w:rsid w:val="003D531B"/>
    <w:rsid w:val="003D562A"/>
    <w:rsid w:val="003D56AD"/>
    <w:rsid w:val="003D5862"/>
    <w:rsid w:val="003D6191"/>
    <w:rsid w:val="003D6193"/>
    <w:rsid w:val="003D6593"/>
    <w:rsid w:val="003D6A21"/>
    <w:rsid w:val="003D6ACD"/>
    <w:rsid w:val="003D729B"/>
    <w:rsid w:val="003D7609"/>
    <w:rsid w:val="003D7A31"/>
    <w:rsid w:val="003E0747"/>
    <w:rsid w:val="003E08BC"/>
    <w:rsid w:val="003E0BC4"/>
    <w:rsid w:val="003E1293"/>
    <w:rsid w:val="003E132F"/>
    <w:rsid w:val="003E1D53"/>
    <w:rsid w:val="003E1DB5"/>
    <w:rsid w:val="003E1FE6"/>
    <w:rsid w:val="003E2C64"/>
    <w:rsid w:val="003E35F3"/>
    <w:rsid w:val="003E3900"/>
    <w:rsid w:val="003E452F"/>
    <w:rsid w:val="003E4C73"/>
    <w:rsid w:val="003E5DA1"/>
    <w:rsid w:val="003E5F82"/>
    <w:rsid w:val="003E6050"/>
    <w:rsid w:val="003E6BCC"/>
    <w:rsid w:val="003E6ECD"/>
    <w:rsid w:val="003E7607"/>
    <w:rsid w:val="003E79B9"/>
    <w:rsid w:val="003E7A46"/>
    <w:rsid w:val="003E7B54"/>
    <w:rsid w:val="003E7B97"/>
    <w:rsid w:val="003E7DDB"/>
    <w:rsid w:val="003F0A66"/>
    <w:rsid w:val="003F1143"/>
    <w:rsid w:val="003F1476"/>
    <w:rsid w:val="003F15BD"/>
    <w:rsid w:val="003F170C"/>
    <w:rsid w:val="003F1B4A"/>
    <w:rsid w:val="003F1DEF"/>
    <w:rsid w:val="003F1EE4"/>
    <w:rsid w:val="003F2CEB"/>
    <w:rsid w:val="003F32CB"/>
    <w:rsid w:val="003F38B1"/>
    <w:rsid w:val="003F39B8"/>
    <w:rsid w:val="003F3D5A"/>
    <w:rsid w:val="003F3E6C"/>
    <w:rsid w:val="003F43A4"/>
    <w:rsid w:val="003F4C43"/>
    <w:rsid w:val="003F5052"/>
    <w:rsid w:val="003F6641"/>
    <w:rsid w:val="003F6A12"/>
    <w:rsid w:val="003F6BD6"/>
    <w:rsid w:val="003F6C3A"/>
    <w:rsid w:val="003F6F90"/>
    <w:rsid w:val="003F72F2"/>
    <w:rsid w:val="003F737A"/>
    <w:rsid w:val="003F7842"/>
    <w:rsid w:val="003F79DA"/>
    <w:rsid w:val="003F7D05"/>
    <w:rsid w:val="003F7F40"/>
    <w:rsid w:val="0040003A"/>
    <w:rsid w:val="004001F3"/>
    <w:rsid w:val="0040063B"/>
    <w:rsid w:val="00400D28"/>
    <w:rsid w:val="00400E59"/>
    <w:rsid w:val="004012C5"/>
    <w:rsid w:val="0040187F"/>
    <w:rsid w:val="004019C4"/>
    <w:rsid w:val="004019CA"/>
    <w:rsid w:val="00401A78"/>
    <w:rsid w:val="00401C59"/>
    <w:rsid w:val="0040218C"/>
    <w:rsid w:val="00402232"/>
    <w:rsid w:val="0040244E"/>
    <w:rsid w:val="00402487"/>
    <w:rsid w:val="0040254E"/>
    <w:rsid w:val="00402D76"/>
    <w:rsid w:val="00402E3F"/>
    <w:rsid w:val="00402EE1"/>
    <w:rsid w:val="00403281"/>
    <w:rsid w:val="004032FC"/>
    <w:rsid w:val="004037D4"/>
    <w:rsid w:val="00403D83"/>
    <w:rsid w:val="00403F49"/>
    <w:rsid w:val="0040408A"/>
    <w:rsid w:val="004050B3"/>
    <w:rsid w:val="004054A5"/>
    <w:rsid w:val="004054D4"/>
    <w:rsid w:val="004063D1"/>
    <w:rsid w:val="004065B5"/>
    <w:rsid w:val="0040675D"/>
    <w:rsid w:val="004078C4"/>
    <w:rsid w:val="004079D6"/>
    <w:rsid w:val="00407ABA"/>
    <w:rsid w:val="00407D9F"/>
    <w:rsid w:val="00407DBC"/>
    <w:rsid w:val="00407F31"/>
    <w:rsid w:val="00407F97"/>
    <w:rsid w:val="00410113"/>
    <w:rsid w:val="004101F9"/>
    <w:rsid w:val="004106ED"/>
    <w:rsid w:val="00410860"/>
    <w:rsid w:val="00410944"/>
    <w:rsid w:val="00410ED4"/>
    <w:rsid w:val="004110B1"/>
    <w:rsid w:val="00411134"/>
    <w:rsid w:val="0041114F"/>
    <w:rsid w:val="004111F5"/>
    <w:rsid w:val="004115E0"/>
    <w:rsid w:val="004116BD"/>
    <w:rsid w:val="004118D1"/>
    <w:rsid w:val="00411F43"/>
    <w:rsid w:val="004128A4"/>
    <w:rsid w:val="00413233"/>
    <w:rsid w:val="0041336D"/>
    <w:rsid w:val="004134CA"/>
    <w:rsid w:val="00413638"/>
    <w:rsid w:val="00413816"/>
    <w:rsid w:val="00414011"/>
    <w:rsid w:val="00414DFE"/>
    <w:rsid w:val="004150D6"/>
    <w:rsid w:val="00415896"/>
    <w:rsid w:val="004158B4"/>
    <w:rsid w:val="00415C28"/>
    <w:rsid w:val="00415D1A"/>
    <w:rsid w:val="0041609E"/>
    <w:rsid w:val="004162E5"/>
    <w:rsid w:val="00416451"/>
    <w:rsid w:val="0041645C"/>
    <w:rsid w:val="00417217"/>
    <w:rsid w:val="00417311"/>
    <w:rsid w:val="004175D1"/>
    <w:rsid w:val="00417949"/>
    <w:rsid w:val="004179DA"/>
    <w:rsid w:val="00417D2D"/>
    <w:rsid w:val="00420930"/>
    <w:rsid w:val="00420F90"/>
    <w:rsid w:val="00421AB1"/>
    <w:rsid w:val="00421DEB"/>
    <w:rsid w:val="00422947"/>
    <w:rsid w:val="004232BD"/>
    <w:rsid w:val="00423986"/>
    <w:rsid w:val="00423B1F"/>
    <w:rsid w:val="00423B48"/>
    <w:rsid w:val="00423BC3"/>
    <w:rsid w:val="00423C14"/>
    <w:rsid w:val="004241AE"/>
    <w:rsid w:val="004242B5"/>
    <w:rsid w:val="0042478C"/>
    <w:rsid w:val="004247CF"/>
    <w:rsid w:val="00424985"/>
    <w:rsid w:val="00424DAF"/>
    <w:rsid w:val="00424EAD"/>
    <w:rsid w:val="004258FD"/>
    <w:rsid w:val="00425B3C"/>
    <w:rsid w:val="00425BCC"/>
    <w:rsid w:val="00425EDD"/>
    <w:rsid w:val="00426849"/>
    <w:rsid w:val="004268F0"/>
    <w:rsid w:val="004269B3"/>
    <w:rsid w:val="00426C15"/>
    <w:rsid w:val="00426E24"/>
    <w:rsid w:val="0042722F"/>
    <w:rsid w:val="00427232"/>
    <w:rsid w:val="00427A34"/>
    <w:rsid w:val="004308B0"/>
    <w:rsid w:val="00430A06"/>
    <w:rsid w:val="00430BAA"/>
    <w:rsid w:val="004319FE"/>
    <w:rsid w:val="00431A6C"/>
    <w:rsid w:val="00431BBB"/>
    <w:rsid w:val="00431C9A"/>
    <w:rsid w:val="0043253C"/>
    <w:rsid w:val="004326E8"/>
    <w:rsid w:val="00432D1A"/>
    <w:rsid w:val="004335BB"/>
    <w:rsid w:val="00433E6D"/>
    <w:rsid w:val="004340F6"/>
    <w:rsid w:val="00434137"/>
    <w:rsid w:val="00434AFC"/>
    <w:rsid w:val="00434FA7"/>
    <w:rsid w:val="004350BD"/>
    <w:rsid w:val="00436541"/>
    <w:rsid w:val="00436DC3"/>
    <w:rsid w:val="00436F0E"/>
    <w:rsid w:val="0043709D"/>
    <w:rsid w:val="00437596"/>
    <w:rsid w:val="004377A8"/>
    <w:rsid w:val="004378B5"/>
    <w:rsid w:val="004378C5"/>
    <w:rsid w:val="00437AC7"/>
    <w:rsid w:val="00437C1D"/>
    <w:rsid w:val="00437EBC"/>
    <w:rsid w:val="0044087E"/>
    <w:rsid w:val="00440D38"/>
    <w:rsid w:val="0044100C"/>
    <w:rsid w:val="004412DE"/>
    <w:rsid w:val="00441D07"/>
    <w:rsid w:val="00441ECE"/>
    <w:rsid w:val="0044204C"/>
    <w:rsid w:val="00442641"/>
    <w:rsid w:val="00442911"/>
    <w:rsid w:val="00442C57"/>
    <w:rsid w:val="00442E24"/>
    <w:rsid w:val="00442E34"/>
    <w:rsid w:val="0044368B"/>
    <w:rsid w:val="004436C5"/>
    <w:rsid w:val="00443738"/>
    <w:rsid w:val="00443DE2"/>
    <w:rsid w:val="004445F4"/>
    <w:rsid w:val="004448DB"/>
    <w:rsid w:val="00445361"/>
    <w:rsid w:val="0044578B"/>
    <w:rsid w:val="004460B8"/>
    <w:rsid w:val="00446669"/>
    <w:rsid w:val="0044683D"/>
    <w:rsid w:val="00446A59"/>
    <w:rsid w:val="00447312"/>
    <w:rsid w:val="0045003B"/>
    <w:rsid w:val="0045054C"/>
    <w:rsid w:val="004506B5"/>
    <w:rsid w:val="00450714"/>
    <w:rsid w:val="00451135"/>
    <w:rsid w:val="00451744"/>
    <w:rsid w:val="00451D6F"/>
    <w:rsid w:val="00452181"/>
    <w:rsid w:val="00452368"/>
    <w:rsid w:val="0045240C"/>
    <w:rsid w:val="004526D1"/>
    <w:rsid w:val="00452764"/>
    <w:rsid w:val="00452D66"/>
    <w:rsid w:val="00453364"/>
    <w:rsid w:val="004541D6"/>
    <w:rsid w:val="00454677"/>
    <w:rsid w:val="004547AE"/>
    <w:rsid w:val="00454BD3"/>
    <w:rsid w:val="00455C08"/>
    <w:rsid w:val="00455D64"/>
    <w:rsid w:val="00455DA4"/>
    <w:rsid w:val="00456444"/>
    <w:rsid w:val="0045685D"/>
    <w:rsid w:val="00456DF1"/>
    <w:rsid w:val="00457096"/>
    <w:rsid w:val="004573DD"/>
    <w:rsid w:val="004574C9"/>
    <w:rsid w:val="00457740"/>
    <w:rsid w:val="00457AF5"/>
    <w:rsid w:val="00457DDC"/>
    <w:rsid w:val="00457EC9"/>
    <w:rsid w:val="004602DC"/>
    <w:rsid w:val="00461982"/>
    <w:rsid w:val="004620C4"/>
    <w:rsid w:val="0046261C"/>
    <w:rsid w:val="00463789"/>
    <w:rsid w:val="00463933"/>
    <w:rsid w:val="00464F63"/>
    <w:rsid w:val="00465638"/>
    <w:rsid w:val="00465742"/>
    <w:rsid w:val="004660C3"/>
    <w:rsid w:val="0046669D"/>
    <w:rsid w:val="00466B83"/>
    <w:rsid w:val="00466D0A"/>
    <w:rsid w:val="004670EA"/>
    <w:rsid w:val="00467677"/>
    <w:rsid w:val="00467771"/>
    <w:rsid w:val="00467D8B"/>
    <w:rsid w:val="00467DD9"/>
    <w:rsid w:val="00470375"/>
    <w:rsid w:val="00470E26"/>
    <w:rsid w:val="00470F31"/>
    <w:rsid w:val="00471079"/>
    <w:rsid w:val="00471164"/>
    <w:rsid w:val="00471249"/>
    <w:rsid w:val="00471306"/>
    <w:rsid w:val="004714A4"/>
    <w:rsid w:val="00471E7F"/>
    <w:rsid w:val="00472839"/>
    <w:rsid w:val="004731C0"/>
    <w:rsid w:val="004736F3"/>
    <w:rsid w:val="00473DBB"/>
    <w:rsid w:val="004743FC"/>
    <w:rsid w:val="00474400"/>
    <w:rsid w:val="004748A4"/>
    <w:rsid w:val="00474C09"/>
    <w:rsid w:val="00474F70"/>
    <w:rsid w:val="004751B7"/>
    <w:rsid w:val="004758CD"/>
    <w:rsid w:val="004758DE"/>
    <w:rsid w:val="00475951"/>
    <w:rsid w:val="00475973"/>
    <w:rsid w:val="00475AEC"/>
    <w:rsid w:val="00476097"/>
    <w:rsid w:val="004761F0"/>
    <w:rsid w:val="004762B9"/>
    <w:rsid w:val="004764F5"/>
    <w:rsid w:val="00476B2A"/>
    <w:rsid w:val="00476D41"/>
    <w:rsid w:val="00476D9B"/>
    <w:rsid w:val="00477267"/>
    <w:rsid w:val="004772BF"/>
    <w:rsid w:val="004777AF"/>
    <w:rsid w:val="00477AA5"/>
    <w:rsid w:val="00477CEC"/>
    <w:rsid w:val="00477EF4"/>
    <w:rsid w:val="00481729"/>
    <w:rsid w:val="00481AC5"/>
    <w:rsid w:val="00481C71"/>
    <w:rsid w:val="004823CB"/>
    <w:rsid w:val="00482DC4"/>
    <w:rsid w:val="00483011"/>
    <w:rsid w:val="004834F4"/>
    <w:rsid w:val="00484009"/>
    <w:rsid w:val="00484148"/>
    <w:rsid w:val="00484AAE"/>
    <w:rsid w:val="00484E08"/>
    <w:rsid w:val="0048566C"/>
    <w:rsid w:val="004856F5"/>
    <w:rsid w:val="00485DE0"/>
    <w:rsid w:val="00485F39"/>
    <w:rsid w:val="0048604B"/>
    <w:rsid w:val="00486539"/>
    <w:rsid w:val="00486876"/>
    <w:rsid w:val="00486C7F"/>
    <w:rsid w:val="00486D45"/>
    <w:rsid w:val="00487285"/>
    <w:rsid w:val="00487978"/>
    <w:rsid w:val="004879AF"/>
    <w:rsid w:val="004879FB"/>
    <w:rsid w:val="004900E1"/>
    <w:rsid w:val="00490226"/>
    <w:rsid w:val="004906EE"/>
    <w:rsid w:val="00490857"/>
    <w:rsid w:val="004908F0"/>
    <w:rsid w:val="004910EA"/>
    <w:rsid w:val="00491280"/>
    <w:rsid w:val="00491370"/>
    <w:rsid w:val="0049177F"/>
    <w:rsid w:val="0049193E"/>
    <w:rsid w:val="00491A42"/>
    <w:rsid w:val="00492063"/>
    <w:rsid w:val="004924B1"/>
    <w:rsid w:val="0049266A"/>
    <w:rsid w:val="00492741"/>
    <w:rsid w:val="004927FE"/>
    <w:rsid w:val="0049281B"/>
    <w:rsid w:val="00492910"/>
    <w:rsid w:val="00493249"/>
    <w:rsid w:val="00493381"/>
    <w:rsid w:val="00493A6D"/>
    <w:rsid w:val="00493E2E"/>
    <w:rsid w:val="00494270"/>
    <w:rsid w:val="00494663"/>
    <w:rsid w:val="00494CF1"/>
    <w:rsid w:val="00495117"/>
    <w:rsid w:val="004951B1"/>
    <w:rsid w:val="004956EC"/>
    <w:rsid w:val="00496430"/>
    <w:rsid w:val="00496916"/>
    <w:rsid w:val="0049693E"/>
    <w:rsid w:val="00496FD5"/>
    <w:rsid w:val="004978AB"/>
    <w:rsid w:val="004978E1"/>
    <w:rsid w:val="00497AAD"/>
    <w:rsid w:val="00497C98"/>
    <w:rsid w:val="00497D99"/>
    <w:rsid w:val="004A01ED"/>
    <w:rsid w:val="004A02D7"/>
    <w:rsid w:val="004A0500"/>
    <w:rsid w:val="004A0FB1"/>
    <w:rsid w:val="004A1061"/>
    <w:rsid w:val="004A1902"/>
    <w:rsid w:val="004A1975"/>
    <w:rsid w:val="004A1B69"/>
    <w:rsid w:val="004A1EFC"/>
    <w:rsid w:val="004A243E"/>
    <w:rsid w:val="004A28A4"/>
    <w:rsid w:val="004A3079"/>
    <w:rsid w:val="004A3786"/>
    <w:rsid w:val="004A380A"/>
    <w:rsid w:val="004A3FB4"/>
    <w:rsid w:val="004A41D6"/>
    <w:rsid w:val="004A4497"/>
    <w:rsid w:val="004A529F"/>
    <w:rsid w:val="004A5B39"/>
    <w:rsid w:val="004A6579"/>
    <w:rsid w:val="004A68D3"/>
    <w:rsid w:val="004A6FF0"/>
    <w:rsid w:val="004A706E"/>
    <w:rsid w:val="004A70CF"/>
    <w:rsid w:val="004A725C"/>
    <w:rsid w:val="004A779B"/>
    <w:rsid w:val="004A7EA0"/>
    <w:rsid w:val="004A7FEE"/>
    <w:rsid w:val="004B0A75"/>
    <w:rsid w:val="004B0CBB"/>
    <w:rsid w:val="004B0E44"/>
    <w:rsid w:val="004B1489"/>
    <w:rsid w:val="004B15A3"/>
    <w:rsid w:val="004B1DD3"/>
    <w:rsid w:val="004B1DDC"/>
    <w:rsid w:val="004B1F0F"/>
    <w:rsid w:val="004B21FE"/>
    <w:rsid w:val="004B24C2"/>
    <w:rsid w:val="004B26FD"/>
    <w:rsid w:val="004B3166"/>
    <w:rsid w:val="004B330E"/>
    <w:rsid w:val="004B382B"/>
    <w:rsid w:val="004B38F7"/>
    <w:rsid w:val="004B4AFE"/>
    <w:rsid w:val="004B51BF"/>
    <w:rsid w:val="004B5518"/>
    <w:rsid w:val="004B5FB7"/>
    <w:rsid w:val="004B61DE"/>
    <w:rsid w:val="004B6938"/>
    <w:rsid w:val="004B6CF1"/>
    <w:rsid w:val="004B7053"/>
    <w:rsid w:val="004B7143"/>
    <w:rsid w:val="004B72BB"/>
    <w:rsid w:val="004B7360"/>
    <w:rsid w:val="004B76A0"/>
    <w:rsid w:val="004B7C4F"/>
    <w:rsid w:val="004B7E3E"/>
    <w:rsid w:val="004C0E08"/>
    <w:rsid w:val="004C0F30"/>
    <w:rsid w:val="004C11B8"/>
    <w:rsid w:val="004C142F"/>
    <w:rsid w:val="004C186D"/>
    <w:rsid w:val="004C18B9"/>
    <w:rsid w:val="004C1AD6"/>
    <w:rsid w:val="004C1C82"/>
    <w:rsid w:val="004C4243"/>
    <w:rsid w:val="004C4295"/>
    <w:rsid w:val="004C4296"/>
    <w:rsid w:val="004C46E1"/>
    <w:rsid w:val="004C4792"/>
    <w:rsid w:val="004C4AAB"/>
    <w:rsid w:val="004C5278"/>
    <w:rsid w:val="004C5D02"/>
    <w:rsid w:val="004C608D"/>
    <w:rsid w:val="004C6139"/>
    <w:rsid w:val="004C61A0"/>
    <w:rsid w:val="004C7174"/>
    <w:rsid w:val="004C759E"/>
    <w:rsid w:val="004C7B59"/>
    <w:rsid w:val="004D0484"/>
    <w:rsid w:val="004D0F66"/>
    <w:rsid w:val="004D144C"/>
    <w:rsid w:val="004D1A84"/>
    <w:rsid w:val="004D2271"/>
    <w:rsid w:val="004D23A9"/>
    <w:rsid w:val="004D2571"/>
    <w:rsid w:val="004D3FDE"/>
    <w:rsid w:val="004D4891"/>
    <w:rsid w:val="004D5D0B"/>
    <w:rsid w:val="004D5DAE"/>
    <w:rsid w:val="004D5E1F"/>
    <w:rsid w:val="004D5E4C"/>
    <w:rsid w:val="004D6818"/>
    <w:rsid w:val="004D68AD"/>
    <w:rsid w:val="004D6CD6"/>
    <w:rsid w:val="004D7349"/>
    <w:rsid w:val="004E087C"/>
    <w:rsid w:val="004E175A"/>
    <w:rsid w:val="004E25B7"/>
    <w:rsid w:val="004E28BE"/>
    <w:rsid w:val="004E2A9F"/>
    <w:rsid w:val="004E2F7C"/>
    <w:rsid w:val="004E3472"/>
    <w:rsid w:val="004E3961"/>
    <w:rsid w:val="004E4107"/>
    <w:rsid w:val="004E420D"/>
    <w:rsid w:val="004E48B2"/>
    <w:rsid w:val="004E4AEB"/>
    <w:rsid w:val="004E4BCE"/>
    <w:rsid w:val="004E57BF"/>
    <w:rsid w:val="004E598A"/>
    <w:rsid w:val="004E5ED4"/>
    <w:rsid w:val="004E60B3"/>
    <w:rsid w:val="004E60FD"/>
    <w:rsid w:val="004E6534"/>
    <w:rsid w:val="004E753B"/>
    <w:rsid w:val="004E7A3D"/>
    <w:rsid w:val="004F05B5"/>
    <w:rsid w:val="004F064B"/>
    <w:rsid w:val="004F09A7"/>
    <w:rsid w:val="004F09AB"/>
    <w:rsid w:val="004F1728"/>
    <w:rsid w:val="004F174C"/>
    <w:rsid w:val="004F1E2A"/>
    <w:rsid w:val="004F2190"/>
    <w:rsid w:val="004F257A"/>
    <w:rsid w:val="004F25DE"/>
    <w:rsid w:val="004F2D2F"/>
    <w:rsid w:val="004F3698"/>
    <w:rsid w:val="004F3841"/>
    <w:rsid w:val="004F3B94"/>
    <w:rsid w:val="004F3BEA"/>
    <w:rsid w:val="004F3C89"/>
    <w:rsid w:val="004F40E5"/>
    <w:rsid w:val="004F4B5F"/>
    <w:rsid w:val="004F4D94"/>
    <w:rsid w:val="004F554A"/>
    <w:rsid w:val="004F556B"/>
    <w:rsid w:val="004F5C5E"/>
    <w:rsid w:val="004F5F5A"/>
    <w:rsid w:val="004F608C"/>
    <w:rsid w:val="004F63E8"/>
    <w:rsid w:val="004F6776"/>
    <w:rsid w:val="004F6DC6"/>
    <w:rsid w:val="004F715C"/>
    <w:rsid w:val="004F74C8"/>
    <w:rsid w:val="004F75D4"/>
    <w:rsid w:val="004F7835"/>
    <w:rsid w:val="004F7B95"/>
    <w:rsid w:val="00500737"/>
    <w:rsid w:val="00501297"/>
    <w:rsid w:val="00501629"/>
    <w:rsid w:val="00501BC6"/>
    <w:rsid w:val="00501E08"/>
    <w:rsid w:val="0050213C"/>
    <w:rsid w:val="00502A80"/>
    <w:rsid w:val="00503103"/>
    <w:rsid w:val="00503371"/>
    <w:rsid w:val="005033ED"/>
    <w:rsid w:val="005035D0"/>
    <w:rsid w:val="00503B7F"/>
    <w:rsid w:val="00503C1C"/>
    <w:rsid w:val="00503EB4"/>
    <w:rsid w:val="005040EB"/>
    <w:rsid w:val="0050410E"/>
    <w:rsid w:val="00504B4D"/>
    <w:rsid w:val="00504BFC"/>
    <w:rsid w:val="00504E7B"/>
    <w:rsid w:val="0050533C"/>
    <w:rsid w:val="0050576C"/>
    <w:rsid w:val="00505AF9"/>
    <w:rsid w:val="00505F07"/>
    <w:rsid w:val="00505FDD"/>
    <w:rsid w:val="00506FD7"/>
    <w:rsid w:val="00507564"/>
    <w:rsid w:val="0050762E"/>
    <w:rsid w:val="00507B1C"/>
    <w:rsid w:val="00507FC4"/>
    <w:rsid w:val="005106B3"/>
    <w:rsid w:val="00510870"/>
    <w:rsid w:val="00510AF7"/>
    <w:rsid w:val="00510EBB"/>
    <w:rsid w:val="00510F16"/>
    <w:rsid w:val="005116EB"/>
    <w:rsid w:val="00511984"/>
    <w:rsid w:val="00511A94"/>
    <w:rsid w:val="00511B7D"/>
    <w:rsid w:val="00511B88"/>
    <w:rsid w:val="0051254E"/>
    <w:rsid w:val="00512B0B"/>
    <w:rsid w:val="00512C91"/>
    <w:rsid w:val="00512E88"/>
    <w:rsid w:val="00512FEA"/>
    <w:rsid w:val="005130EF"/>
    <w:rsid w:val="00513456"/>
    <w:rsid w:val="00513690"/>
    <w:rsid w:val="0051388C"/>
    <w:rsid w:val="005143A1"/>
    <w:rsid w:val="0051453C"/>
    <w:rsid w:val="0051506F"/>
    <w:rsid w:val="005150CB"/>
    <w:rsid w:val="0051515B"/>
    <w:rsid w:val="005153D6"/>
    <w:rsid w:val="005160FC"/>
    <w:rsid w:val="00516A79"/>
    <w:rsid w:val="00516AC9"/>
    <w:rsid w:val="00516DCD"/>
    <w:rsid w:val="0051711E"/>
    <w:rsid w:val="0051769D"/>
    <w:rsid w:val="0051778D"/>
    <w:rsid w:val="00520343"/>
    <w:rsid w:val="005209B9"/>
    <w:rsid w:val="0052144A"/>
    <w:rsid w:val="00522288"/>
    <w:rsid w:val="005223B1"/>
    <w:rsid w:val="00522BD3"/>
    <w:rsid w:val="005239F9"/>
    <w:rsid w:val="00523B7D"/>
    <w:rsid w:val="00524E70"/>
    <w:rsid w:val="00524FFB"/>
    <w:rsid w:val="00525372"/>
    <w:rsid w:val="005255E4"/>
    <w:rsid w:val="00525997"/>
    <w:rsid w:val="00525B6E"/>
    <w:rsid w:val="00525F7F"/>
    <w:rsid w:val="00526031"/>
    <w:rsid w:val="00527100"/>
    <w:rsid w:val="005274F9"/>
    <w:rsid w:val="00527C2B"/>
    <w:rsid w:val="00527DC7"/>
    <w:rsid w:val="005308FA"/>
    <w:rsid w:val="00530968"/>
    <w:rsid w:val="00530BBF"/>
    <w:rsid w:val="00530BD2"/>
    <w:rsid w:val="00530EBE"/>
    <w:rsid w:val="0053127E"/>
    <w:rsid w:val="00531B23"/>
    <w:rsid w:val="005323CE"/>
    <w:rsid w:val="00532577"/>
    <w:rsid w:val="00532698"/>
    <w:rsid w:val="0053283D"/>
    <w:rsid w:val="0053288B"/>
    <w:rsid w:val="005329C0"/>
    <w:rsid w:val="00532BC2"/>
    <w:rsid w:val="00533930"/>
    <w:rsid w:val="005356FB"/>
    <w:rsid w:val="005358A3"/>
    <w:rsid w:val="00535B5E"/>
    <w:rsid w:val="00535FCC"/>
    <w:rsid w:val="005360A5"/>
    <w:rsid w:val="0053744B"/>
    <w:rsid w:val="00537DD1"/>
    <w:rsid w:val="005402AD"/>
    <w:rsid w:val="00540FE0"/>
    <w:rsid w:val="005410D6"/>
    <w:rsid w:val="00541EB5"/>
    <w:rsid w:val="00541EF8"/>
    <w:rsid w:val="0054209A"/>
    <w:rsid w:val="00542438"/>
    <w:rsid w:val="00542777"/>
    <w:rsid w:val="00542B8E"/>
    <w:rsid w:val="00542FCC"/>
    <w:rsid w:val="00543414"/>
    <w:rsid w:val="00543668"/>
    <w:rsid w:val="00543698"/>
    <w:rsid w:val="00544757"/>
    <w:rsid w:val="00544D25"/>
    <w:rsid w:val="00544D52"/>
    <w:rsid w:val="00544F93"/>
    <w:rsid w:val="00545255"/>
    <w:rsid w:val="00545AAE"/>
    <w:rsid w:val="005463E7"/>
    <w:rsid w:val="00546CB7"/>
    <w:rsid w:val="0054707F"/>
    <w:rsid w:val="00550048"/>
    <w:rsid w:val="00550107"/>
    <w:rsid w:val="00550B06"/>
    <w:rsid w:val="00550CA3"/>
    <w:rsid w:val="005515A3"/>
    <w:rsid w:val="00551B7F"/>
    <w:rsid w:val="00552717"/>
    <w:rsid w:val="00552846"/>
    <w:rsid w:val="00552A0A"/>
    <w:rsid w:val="00552CFF"/>
    <w:rsid w:val="005530D2"/>
    <w:rsid w:val="005533AB"/>
    <w:rsid w:val="00553A25"/>
    <w:rsid w:val="00553D26"/>
    <w:rsid w:val="00553D8D"/>
    <w:rsid w:val="00553F85"/>
    <w:rsid w:val="00554CD0"/>
    <w:rsid w:val="005553DB"/>
    <w:rsid w:val="00555868"/>
    <w:rsid w:val="00555A28"/>
    <w:rsid w:val="00555BB6"/>
    <w:rsid w:val="00556715"/>
    <w:rsid w:val="00556C35"/>
    <w:rsid w:val="00556CAB"/>
    <w:rsid w:val="00556D7B"/>
    <w:rsid w:val="00557631"/>
    <w:rsid w:val="00557695"/>
    <w:rsid w:val="0056042F"/>
    <w:rsid w:val="0056095F"/>
    <w:rsid w:val="00560ED7"/>
    <w:rsid w:val="00560FAD"/>
    <w:rsid w:val="0056152F"/>
    <w:rsid w:val="005618DD"/>
    <w:rsid w:val="005620C4"/>
    <w:rsid w:val="005620EA"/>
    <w:rsid w:val="0056306E"/>
    <w:rsid w:val="00563AEC"/>
    <w:rsid w:val="00563E05"/>
    <w:rsid w:val="005647D8"/>
    <w:rsid w:val="00564918"/>
    <w:rsid w:val="00564FBF"/>
    <w:rsid w:val="00565538"/>
    <w:rsid w:val="005663B1"/>
    <w:rsid w:val="00566458"/>
    <w:rsid w:val="005670E4"/>
    <w:rsid w:val="00567293"/>
    <w:rsid w:val="00570331"/>
    <w:rsid w:val="00570BA4"/>
    <w:rsid w:val="00571558"/>
    <w:rsid w:val="00571690"/>
    <w:rsid w:val="00571874"/>
    <w:rsid w:val="00571905"/>
    <w:rsid w:val="00571A0A"/>
    <w:rsid w:val="00572039"/>
    <w:rsid w:val="00572B1C"/>
    <w:rsid w:val="0057313B"/>
    <w:rsid w:val="005732FA"/>
    <w:rsid w:val="0057331B"/>
    <w:rsid w:val="00573AC0"/>
    <w:rsid w:val="00573C2A"/>
    <w:rsid w:val="00573C51"/>
    <w:rsid w:val="00573FE4"/>
    <w:rsid w:val="00574281"/>
    <w:rsid w:val="00574531"/>
    <w:rsid w:val="00574DC8"/>
    <w:rsid w:val="0057565D"/>
    <w:rsid w:val="00575B46"/>
    <w:rsid w:val="00575CFF"/>
    <w:rsid w:val="00576141"/>
    <w:rsid w:val="005763AB"/>
    <w:rsid w:val="0057695D"/>
    <w:rsid w:val="00576C22"/>
    <w:rsid w:val="00576CF1"/>
    <w:rsid w:val="00576D9D"/>
    <w:rsid w:val="00580B07"/>
    <w:rsid w:val="00580BCA"/>
    <w:rsid w:val="00580E49"/>
    <w:rsid w:val="00580E9F"/>
    <w:rsid w:val="00581290"/>
    <w:rsid w:val="00581432"/>
    <w:rsid w:val="005817D9"/>
    <w:rsid w:val="00581880"/>
    <w:rsid w:val="005825CB"/>
    <w:rsid w:val="00582CCF"/>
    <w:rsid w:val="00582F5D"/>
    <w:rsid w:val="0058333E"/>
    <w:rsid w:val="005836BB"/>
    <w:rsid w:val="005836FB"/>
    <w:rsid w:val="00583BEA"/>
    <w:rsid w:val="00583F25"/>
    <w:rsid w:val="00584A4B"/>
    <w:rsid w:val="00585C3E"/>
    <w:rsid w:val="00585CDE"/>
    <w:rsid w:val="00585D37"/>
    <w:rsid w:val="005860C7"/>
    <w:rsid w:val="005867E7"/>
    <w:rsid w:val="0058688C"/>
    <w:rsid w:val="00586C2A"/>
    <w:rsid w:val="00586C64"/>
    <w:rsid w:val="0058704C"/>
    <w:rsid w:val="00587189"/>
    <w:rsid w:val="00587866"/>
    <w:rsid w:val="00587A15"/>
    <w:rsid w:val="00587AED"/>
    <w:rsid w:val="0059009B"/>
    <w:rsid w:val="00590977"/>
    <w:rsid w:val="00590E77"/>
    <w:rsid w:val="00591E82"/>
    <w:rsid w:val="005921F3"/>
    <w:rsid w:val="00592291"/>
    <w:rsid w:val="005924A3"/>
    <w:rsid w:val="00592732"/>
    <w:rsid w:val="00592882"/>
    <w:rsid w:val="00592C27"/>
    <w:rsid w:val="005933AB"/>
    <w:rsid w:val="00594771"/>
    <w:rsid w:val="00594F01"/>
    <w:rsid w:val="00595956"/>
    <w:rsid w:val="00595B4F"/>
    <w:rsid w:val="005965A7"/>
    <w:rsid w:val="0059736A"/>
    <w:rsid w:val="005975FE"/>
    <w:rsid w:val="005976AA"/>
    <w:rsid w:val="0059785F"/>
    <w:rsid w:val="00597C6F"/>
    <w:rsid w:val="005A03C8"/>
    <w:rsid w:val="005A0D13"/>
    <w:rsid w:val="005A199C"/>
    <w:rsid w:val="005A1F5F"/>
    <w:rsid w:val="005A22F4"/>
    <w:rsid w:val="005A2367"/>
    <w:rsid w:val="005A23CA"/>
    <w:rsid w:val="005A2F5F"/>
    <w:rsid w:val="005A349A"/>
    <w:rsid w:val="005A3A15"/>
    <w:rsid w:val="005A42A0"/>
    <w:rsid w:val="005A4482"/>
    <w:rsid w:val="005A45CA"/>
    <w:rsid w:val="005A4614"/>
    <w:rsid w:val="005A48D6"/>
    <w:rsid w:val="005A5114"/>
    <w:rsid w:val="005A57E6"/>
    <w:rsid w:val="005A5825"/>
    <w:rsid w:val="005A6013"/>
    <w:rsid w:val="005A6537"/>
    <w:rsid w:val="005A6600"/>
    <w:rsid w:val="005A7800"/>
    <w:rsid w:val="005A7C7B"/>
    <w:rsid w:val="005B09CD"/>
    <w:rsid w:val="005B0A94"/>
    <w:rsid w:val="005B1372"/>
    <w:rsid w:val="005B2058"/>
    <w:rsid w:val="005B20CC"/>
    <w:rsid w:val="005B2124"/>
    <w:rsid w:val="005B2494"/>
    <w:rsid w:val="005B2EF8"/>
    <w:rsid w:val="005B2F53"/>
    <w:rsid w:val="005B3335"/>
    <w:rsid w:val="005B35C8"/>
    <w:rsid w:val="005B3D20"/>
    <w:rsid w:val="005B3F7B"/>
    <w:rsid w:val="005B3FC3"/>
    <w:rsid w:val="005B429A"/>
    <w:rsid w:val="005B4802"/>
    <w:rsid w:val="005B4878"/>
    <w:rsid w:val="005B4B30"/>
    <w:rsid w:val="005B4C98"/>
    <w:rsid w:val="005B5144"/>
    <w:rsid w:val="005B59D4"/>
    <w:rsid w:val="005B6D1B"/>
    <w:rsid w:val="005B777A"/>
    <w:rsid w:val="005C05D8"/>
    <w:rsid w:val="005C0E34"/>
    <w:rsid w:val="005C17A7"/>
    <w:rsid w:val="005C19D6"/>
    <w:rsid w:val="005C1B5C"/>
    <w:rsid w:val="005C1D12"/>
    <w:rsid w:val="005C2711"/>
    <w:rsid w:val="005C281E"/>
    <w:rsid w:val="005C2B9E"/>
    <w:rsid w:val="005C3012"/>
    <w:rsid w:val="005C32A6"/>
    <w:rsid w:val="005C34DD"/>
    <w:rsid w:val="005C3A15"/>
    <w:rsid w:val="005C3EFB"/>
    <w:rsid w:val="005C44EB"/>
    <w:rsid w:val="005C4C81"/>
    <w:rsid w:val="005C5511"/>
    <w:rsid w:val="005C63FA"/>
    <w:rsid w:val="005C7145"/>
    <w:rsid w:val="005C7161"/>
    <w:rsid w:val="005C7209"/>
    <w:rsid w:val="005C72C6"/>
    <w:rsid w:val="005C758C"/>
    <w:rsid w:val="005C7ABC"/>
    <w:rsid w:val="005C7CC1"/>
    <w:rsid w:val="005C7F46"/>
    <w:rsid w:val="005D001E"/>
    <w:rsid w:val="005D013A"/>
    <w:rsid w:val="005D0407"/>
    <w:rsid w:val="005D09C8"/>
    <w:rsid w:val="005D0A19"/>
    <w:rsid w:val="005D0C00"/>
    <w:rsid w:val="005D1343"/>
    <w:rsid w:val="005D166A"/>
    <w:rsid w:val="005D1715"/>
    <w:rsid w:val="005D1759"/>
    <w:rsid w:val="005D1B1B"/>
    <w:rsid w:val="005D2957"/>
    <w:rsid w:val="005D3020"/>
    <w:rsid w:val="005D3949"/>
    <w:rsid w:val="005D4228"/>
    <w:rsid w:val="005D49EA"/>
    <w:rsid w:val="005D4BF3"/>
    <w:rsid w:val="005D5C92"/>
    <w:rsid w:val="005D5ED7"/>
    <w:rsid w:val="005D5FD8"/>
    <w:rsid w:val="005D65D2"/>
    <w:rsid w:val="005D6F11"/>
    <w:rsid w:val="005D6F2C"/>
    <w:rsid w:val="005D7D86"/>
    <w:rsid w:val="005E02AB"/>
    <w:rsid w:val="005E056F"/>
    <w:rsid w:val="005E1074"/>
    <w:rsid w:val="005E16C5"/>
    <w:rsid w:val="005E1C31"/>
    <w:rsid w:val="005E209F"/>
    <w:rsid w:val="005E21E6"/>
    <w:rsid w:val="005E3294"/>
    <w:rsid w:val="005E33B7"/>
    <w:rsid w:val="005E3831"/>
    <w:rsid w:val="005E4244"/>
    <w:rsid w:val="005E424C"/>
    <w:rsid w:val="005E4296"/>
    <w:rsid w:val="005E4519"/>
    <w:rsid w:val="005E4846"/>
    <w:rsid w:val="005E4A1C"/>
    <w:rsid w:val="005E4B8E"/>
    <w:rsid w:val="005E619F"/>
    <w:rsid w:val="005E68F8"/>
    <w:rsid w:val="005E697E"/>
    <w:rsid w:val="005E6DE9"/>
    <w:rsid w:val="005E7453"/>
    <w:rsid w:val="005E7475"/>
    <w:rsid w:val="005E7BED"/>
    <w:rsid w:val="005E7C33"/>
    <w:rsid w:val="005E7D35"/>
    <w:rsid w:val="005E7EDB"/>
    <w:rsid w:val="005E7EF8"/>
    <w:rsid w:val="005F0221"/>
    <w:rsid w:val="005F0C0C"/>
    <w:rsid w:val="005F0C3D"/>
    <w:rsid w:val="005F1296"/>
    <w:rsid w:val="005F1580"/>
    <w:rsid w:val="005F1DC2"/>
    <w:rsid w:val="005F1E07"/>
    <w:rsid w:val="005F202C"/>
    <w:rsid w:val="005F20B9"/>
    <w:rsid w:val="005F2153"/>
    <w:rsid w:val="005F23FB"/>
    <w:rsid w:val="005F2431"/>
    <w:rsid w:val="005F26A9"/>
    <w:rsid w:val="005F278D"/>
    <w:rsid w:val="005F28B8"/>
    <w:rsid w:val="005F2D19"/>
    <w:rsid w:val="005F2E3C"/>
    <w:rsid w:val="005F2FD5"/>
    <w:rsid w:val="005F331E"/>
    <w:rsid w:val="005F3796"/>
    <w:rsid w:val="005F3DAC"/>
    <w:rsid w:val="005F4033"/>
    <w:rsid w:val="005F4688"/>
    <w:rsid w:val="005F5E6F"/>
    <w:rsid w:val="005F7680"/>
    <w:rsid w:val="005F782B"/>
    <w:rsid w:val="0060004B"/>
    <w:rsid w:val="006007A3"/>
    <w:rsid w:val="0060087A"/>
    <w:rsid w:val="0060120F"/>
    <w:rsid w:val="0060181D"/>
    <w:rsid w:val="006018AB"/>
    <w:rsid w:val="00601916"/>
    <w:rsid w:val="006019BC"/>
    <w:rsid w:val="00601E19"/>
    <w:rsid w:val="00602413"/>
    <w:rsid w:val="0060259A"/>
    <w:rsid w:val="00602802"/>
    <w:rsid w:val="0060304E"/>
    <w:rsid w:val="00603FA2"/>
    <w:rsid w:val="006041B4"/>
    <w:rsid w:val="00604381"/>
    <w:rsid w:val="006046BE"/>
    <w:rsid w:val="0060483C"/>
    <w:rsid w:val="00605316"/>
    <w:rsid w:val="006054A0"/>
    <w:rsid w:val="0060614E"/>
    <w:rsid w:val="00606C46"/>
    <w:rsid w:val="006074A7"/>
    <w:rsid w:val="006107F7"/>
    <w:rsid w:val="00610D9E"/>
    <w:rsid w:val="0061113B"/>
    <w:rsid w:val="006115C8"/>
    <w:rsid w:val="00611CA1"/>
    <w:rsid w:val="00611CFE"/>
    <w:rsid w:val="00612203"/>
    <w:rsid w:val="006123E1"/>
    <w:rsid w:val="00612599"/>
    <w:rsid w:val="00612C32"/>
    <w:rsid w:val="00612C61"/>
    <w:rsid w:val="00614103"/>
    <w:rsid w:val="00614218"/>
    <w:rsid w:val="006147C4"/>
    <w:rsid w:val="00614B66"/>
    <w:rsid w:val="0061501D"/>
    <w:rsid w:val="006151DB"/>
    <w:rsid w:val="00615B5D"/>
    <w:rsid w:val="006168AD"/>
    <w:rsid w:val="00616900"/>
    <w:rsid w:val="0061768D"/>
    <w:rsid w:val="00617763"/>
    <w:rsid w:val="00617D22"/>
    <w:rsid w:val="00620029"/>
    <w:rsid w:val="00620563"/>
    <w:rsid w:val="006209A1"/>
    <w:rsid w:val="00620AC6"/>
    <w:rsid w:val="00620D55"/>
    <w:rsid w:val="00620F2A"/>
    <w:rsid w:val="00620F48"/>
    <w:rsid w:val="006215DC"/>
    <w:rsid w:val="00622321"/>
    <w:rsid w:val="00622342"/>
    <w:rsid w:val="006223F7"/>
    <w:rsid w:val="00622C9F"/>
    <w:rsid w:val="00622F17"/>
    <w:rsid w:val="006230E5"/>
    <w:rsid w:val="00623374"/>
    <w:rsid w:val="00623C8E"/>
    <w:rsid w:val="00623CF6"/>
    <w:rsid w:val="00623D52"/>
    <w:rsid w:val="00625DA8"/>
    <w:rsid w:val="00626076"/>
    <w:rsid w:val="00626760"/>
    <w:rsid w:val="0062680D"/>
    <w:rsid w:val="006268A7"/>
    <w:rsid w:val="00626CCB"/>
    <w:rsid w:val="00627029"/>
    <w:rsid w:val="00627282"/>
    <w:rsid w:val="00627399"/>
    <w:rsid w:val="00627E92"/>
    <w:rsid w:val="006305BC"/>
    <w:rsid w:val="00630BD3"/>
    <w:rsid w:val="00630E56"/>
    <w:rsid w:val="006310FD"/>
    <w:rsid w:val="00631135"/>
    <w:rsid w:val="00631842"/>
    <w:rsid w:val="006319D4"/>
    <w:rsid w:val="00631B04"/>
    <w:rsid w:val="00631E54"/>
    <w:rsid w:val="006323B6"/>
    <w:rsid w:val="00633F52"/>
    <w:rsid w:val="006341E5"/>
    <w:rsid w:val="0063485C"/>
    <w:rsid w:val="00634B42"/>
    <w:rsid w:val="00634CC2"/>
    <w:rsid w:val="006354C3"/>
    <w:rsid w:val="00635F22"/>
    <w:rsid w:val="00636077"/>
    <w:rsid w:val="00636EB2"/>
    <w:rsid w:val="00637473"/>
    <w:rsid w:val="00637555"/>
    <w:rsid w:val="00637A81"/>
    <w:rsid w:val="006400BB"/>
    <w:rsid w:val="006400C1"/>
    <w:rsid w:val="00640527"/>
    <w:rsid w:val="00641FAD"/>
    <w:rsid w:val="00642C62"/>
    <w:rsid w:val="00642D90"/>
    <w:rsid w:val="00642DE0"/>
    <w:rsid w:val="006432BD"/>
    <w:rsid w:val="00643642"/>
    <w:rsid w:val="00644459"/>
    <w:rsid w:val="006447F0"/>
    <w:rsid w:val="00644A14"/>
    <w:rsid w:val="00644A7F"/>
    <w:rsid w:val="00644B6C"/>
    <w:rsid w:val="00644EB0"/>
    <w:rsid w:val="00644EEC"/>
    <w:rsid w:val="006450B8"/>
    <w:rsid w:val="006450BF"/>
    <w:rsid w:val="00645926"/>
    <w:rsid w:val="006466B6"/>
    <w:rsid w:val="00647C4C"/>
    <w:rsid w:val="00650257"/>
    <w:rsid w:val="00650418"/>
    <w:rsid w:val="00650792"/>
    <w:rsid w:val="006511BE"/>
    <w:rsid w:val="00651B3F"/>
    <w:rsid w:val="00651D7B"/>
    <w:rsid w:val="00653529"/>
    <w:rsid w:val="0065358D"/>
    <w:rsid w:val="00653D43"/>
    <w:rsid w:val="006542FE"/>
    <w:rsid w:val="00654419"/>
    <w:rsid w:val="00655015"/>
    <w:rsid w:val="0065566C"/>
    <w:rsid w:val="00656242"/>
    <w:rsid w:val="0065685C"/>
    <w:rsid w:val="00656DD6"/>
    <w:rsid w:val="00657553"/>
    <w:rsid w:val="006575F8"/>
    <w:rsid w:val="006601C1"/>
    <w:rsid w:val="00660B6F"/>
    <w:rsid w:val="00660D38"/>
    <w:rsid w:val="00661109"/>
    <w:rsid w:val="006618C3"/>
    <w:rsid w:val="00661AE6"/>
    <w:rsid w:val="00662B69"/>
    <w:rsid w:val="00663490"/>
    <w:rsid w:val="006645A4"/>
    <w:rsid w:val="006645F6"/>
    <w:rsid w:val="006646E5"/>
    <w:rsid w:val="0066482E"/>
    <w:rsid w:val="006649EE"/>
    <w:rsid w:val="00664B71"/>
    <w:rsid w:val="00664CD4"/>
    <w:rsid w:val="00664E46"/>
    <w:rsid w:val="00665E33"/>
    <w:rsid w:val="00666530"/>
    <w:rsid w:val="00666B26"/>
    <w:rsid w:val="00666D5D"/>
    <w:rsid w:val="00666F50"/>
    <w:rsid w:val="00667ACA"/>
    <w:rsid w:val="00667B92"/>
    <w:rsid w:val="00670559"/>
    <w:rsid w:val="00670C9C"/>
    <w:rsid w:val="00671133"/>
    <w:rsid w:val="0067147B"/>
    <w:rsid w:val="00671816"/>
    <w:rsid w:val="00671C36"/>
    <w:rsid w:val="00671DC1"/>
    <w:rsid w:val="0067391E"/>
    <w:rsid w:val="00674B75"/>
    <w:rsid w:val="00674E43"/>
    <w:rsid w:val="00675322"/>
    <w:rsid w:val="006757DD"/>
    <w:rsid w:val="00675E4D"/>
    <w:rsid w:val="0067683B"/>
    <w:rsid w:val="00676ABE"/>
    <w:rsid w:val="00676AEE"/>
    <w:rsid w:val="0067772D"/>
    <w:rsid w:val="00677AB0"/>
    <w:rsid w:val="00677D6D"/>
    <w:rsid w:val="006802D3"/>
    <w:rsid w:val="00680DBE"/>
    <w:rsid w:val="006811CE"/>
    <w:rsid w:val="00681D79"/>
    <w:rsid w:val="00682A14"/>
    <w:rsid w:val="00682DC0"/>
    <w:rsid w:val="00683238"/>
    <w:rsid w:val="00683414"/>
    <w:rsid w:val="00683A7B"/>
    <w:rsid w:val="00683C92"/>
    <w:rsid w:val="00685C33"/>
    <w:rsid w:val="00685D69"/>
    <w:rsid w:val="00685E19"/>
    <w:rsid w:val="00685ED0"/>
    <w:rsid w:val="006860E3"/>
    <w:rsid w:val="00686AC3"/>
    <w:rsid w:val="00687073"/>
    <w:rsid w:val="00687190"/>
    <w:rsid w:val="006871AF"/>
    <w:rsid w:val="006872E2"/>
    <w:rsid w:val="006904E9"/>
    <w:rsid w:val="006915C0"/>
    <w:rsid w:val="006918A4"/>
    <w:rsid w:val="00691980"/>
    <w:rsid w:val="006919E5"/>
    <w:rsid w:val="0069206A"/>
    <w:rsid w:val="00692631"/>
    <w:rsid w:val="006926F4"/>
    <w:rsid w:val="00692E0C"/>
    <w:rsid w:val="00693296"/>
    <w:rsid w:val="006941E7"/>
    <w:rsid w:val="0069420A"/>
    <w:rsid w:val="00694316"/>
    <w:rsid w:val="00694CA2"/>
    <w:rsid w:val="00694DD6"/>
    <w:rsid w:val="00695461"/>
    <w:rsid w:val="00695CDD"/>
    <w:rsid w:val="00695D14"/>
    <w:rsid w:val="0069654F"/>
    <w:rsid w:val="00696610"/>
    <w:rsid w:val="0069706F"/>
    <w:rsid w:val="006971A3"/>
    <w:rsid w:val="00697280"/>
    <w:rsid w:val="00697C86"/>
    <w:rsid w:val="006A0031"/>
    <w:rsid w:val="006A0209"/>
    <w:rsid w:val="006A060C"/>
    <w:rsid w:val="006A09B3"/>
    <w:rsid w:val="006A0BFA"/>
    <w:rsid w:val="006A0E9E"/>
    <w:rsid w:val="006A0F78"/>
    <w:rsid w:val="006A0FE1"/>
    <w:rsid w:val="006A1298"/>
    <w:rsid w:val="006A13AF"/>
    <w:rsid w:val="006A18E9"/>
    <w:rsid w:val="006A19B2"/>
    <w:rsid w:val="006A1B03"/>
    <w:rsid w:val="006A1E85"/>
    <w:rsid w:val="006A1F08"/>
    <w:rsid w:val="006A2994"/>
    <w:rsid w:val="006A3AE9"/>
    <w:rsid w:val="006A46AA"/>
    <w:rsid w:val="006A5426"/>
    <w:rsid w:val="006A5620"/>
    <w:rsid w:val="006A63BD"/>
    <w:rsid w:val="006A68A9"/>
    <w:rsid w:val="006A6B86"/>
    <w:rsid w:val="006A6D4F"/>
    <w:rsid w:val="006A722F"/>
    <w:rsid w:val="006A7558"/>
    <w:rsid w:val="006A755C"/>
    <w:rsid w:val="006A7AAB"/>
    <w:rsid w:val="006B0B5E"/>
    <w:rsid w:val="006B0F2F"/>
    <w:rsid w:val="006B1099"/>
    <w:rsid w:val="006B133C"/>
    <w:rsid w:val="006B1C33"/>
    <w:rsid w:val="006B1C3F"/>
    <w:rsid w:val="006B1C63"/>
    <w:rsid w:val="006B1DD3"/>
    <w:rsid w:val="006B1F02"/>
    <w:rsid w:val="006B2038"/>
    <w:rsid w:val="006B33E9"/>
    <w:rsid w:val="006B379C"/>
    <w:rsid w:val="006B3E27"/>
    <w:rsid w:val="006B42F3"/>
    <w:rsid w:val="006B4988"/>
    <w:rsid w:val="006B5A27"/>
    <w:rsid w:val="006B5A5D"/>
    <w:rsid w:val="006B5CF6"/>
    <w:rsid w:val="006B5E98"/>
    <w:rsid w:val="006B701C"/>
    <w:rsid w:val="006B76CF"/>
    <w:rsid w:val="006B79E2"/>
    <w:rsid w:val="006C0327"/>
    <w:rsid w:val="006C0676"/>
    <w:rsid w:val="006C09F8"/>
    <w:rsid w:val="006C0AC8"/>
    <w:rsid w:val="006C0B06"/>
    <w:rsid w:val="006C1300"/>
    <w:rsid w:val="006C1735"/>
    <w:rsid w:val="006C17B2"/>
    <w:rsid w:val="006C17D7"/>
    <w:rsid w:val="006C198F"/>
    <w:rsid w:val="006C1AF5"/>
    <w:rsid w:val="006C1CAF"/>
    <w:rsid w:val="006C1E50"/>
    <w:rsid w:val="006C20A1"/>
    <w:rsid w:val="006C2B9D"/>
    <w:rsid w:val="006C374B"/>
    <w:rsid w:val="006C3B70"/>
    <w:rsid w:val="006C3C25"/>
    <w:rsid w:val="006C46DE"/>
    <w:rsid w:val="006C4A8B"/>
    <w:rsid w:val="006C51E2"/>
    <w:rsid w:val="006C52D8"/>
    <w:rsid w:val="006C57B8"/>
    <w:rsid w:val="006C6A64"/>
    <w:rsid w:val="006C6B26"/>
    <w:rsid w:val="006C72A7"/>
    <w:rsid w:val="006C7666"/>
    <w:rsid w:val="006C7CBD"/>
    <w:rsid w:val="006C7E18"/>
    <w:rsid w:val="006D00AA"/>
    <w:rsid w:val="006D02D9"/>
    <w:rsid w:val="006D0403"/>
    <w:rsid w:val="006D079D"/>
    <w:rsid w:val="006D0953"/>
    <w:rsid w:val="006D0EE7"/>
    <w:rsid w:val="006D1346"/>
    <w:rsid w:val="006D1D67"/>
    <w:rsid w:val="006D2211"/>
    <w:rsid w:val="006D2A05"/>
    <w:rsid w:val="006D2F1A"/>
    <w:rsid w:val="006D38B7"/>
    <w:rsid w:val="006D3E9D"/>
    <w:rsid w:val="006D40BB"/>
    <w:rsid w:val="006D43B6"/>
    <w:rsid w:val="006D4414"/>
    <w:rsid w:val="006D4A8D"/>
    <w:rsid w:val="006D4B69"/>
    <w:rsid w:val="006D4C87"/>
    <w:rsid w:val="006D4ED5"/>
    <w:rsid w:val="006D5135"/>
    <w:rsid w:val="006D51EC"/>
    <w:rsid w:val="006D5729"/>
    <w:rsid w:val="006D5AD6"/>
    <w:rsid w:val="006D5D70"/>
    <w:rsid w:val="006D6ACF"/>
    <w:rsid w:val="006D6B0A"/>
    <w:rsid w:val="006D7291"/>
    <w:rsid w:val="006D78B2"/>
    <w:rsid w:val="006D7BA2"/>
    <w:rsid w:val="006E000E"/>
    <w:rsid w:val="006E0C8B"/>
    <w:rsid w:val="006E124D"/>
    <w:rsid w:val="006E2289"/>
    <w:rsid w:val="006E259A"/>
    <w:rsid w:val="006E26DE"/>
    <w:rsid w:val="006E2AC1"/>
    <w:rsid w:val="006E2C07"/>
    <w:rsid w:val="006E2CF9"/>
    <w:rsid w:val="006E2E59"/>
    <w:rsid w:val="006E3697"/>
    <w:rsid w:val="006E3AFB"/>
    <w:rsid w:val="006E3F05"/>
    <w:rsid w:val="006E5366"/>
    <w:rsid w:val="006E53B4"/>
    <w:rsid w:val="006E5664"/>
    <w:rsid w:val="006E5FDD"/>
    <w:rsid w:val="006E695C"/>
    <w:rsid w:val="006E75BE"/>
    <w:rsid w:val="006F0B4C"/>
    <w:rsid w:val="006F0D21"/>
    <w:rsid w:val="006F1149"/>
    <w:rsid w:val="006F1166"/>
    <w:rsid w:val="006F137D"/>
    <w:rsid w:val="006F17CE"/>
    <w:rsid w:val="006F2183"/>
    <w:rsid w:val="006F2581"/>
    <w:rsid w:val="006F313F"/>
    <w:rsid w:val="006F3240"/>
    <w:rsid w:val="006F37AF"/>
    <w:rsid w:val="006F3AE7"/>
    <w:rsid w:val="006F43C4"/>
    <w:rsid w:val="006F5212"/>
    <w:rsid w:val="006F59D5"/>
    <w:rsid w:val="006F5CF1"/>
    <w:rsid w:val="006F5E6B"/>
    <w:rsid w:val="006F6C25"/>
    <w:rsid w:val="006F6E52"/>
    <w:rsid w:val="006F6F16"/>
    <w:rsid w:val="006F73C8"/>
    <w:rsid w:val="006F74A4"/>
    <w:rsid w:val="006F7753"/>
    <w:rsid w:val="006F7ACF"/>
    <w:rsid w:val="006F7B04"/>
    <w:rsid w:val="006F7C3F"/>
    <w:rsid w:val="007002BE"/>
    <w:rsid w:val="00700A3A"/>
    <w:rsid w:val="00700D60"/>
    <w:rsid w:val="007015BC"/>
    <w:rsid w:val="00701972"/>
    <w:rsid w:val="00701E52"/>
    <w:rsid w:val="007024D5"/>
    <w:rsid w:val="007026F2"/>
    <w:rsid w:val="00702D3B"/>
    <w:rsid w:val="0070335D"/>
    <w:rsid w:val="00703F57"/>
    <w:rsid w:val="007044FA"/>
    <w:rsid w:val="007050E3"/>
    <w:rsid w:val="00705252"/>
    <w:rsid w:val="0070554F"/>
    <w:rsid w:val="00705874"/>
    <w:rsid w:val="00705AC2"/>
    <w:rsid w:val="00705B2F"/>
    <w:rsid w:val="00705F3B"/>
    <w:rsid w:val="0070601F"/>
    <w:rsid w:val="00706523"/>
    <w:rsid w:val="00706A11"/>
    <w:rsid w:val="00706C50"/>
    <w:rsid w:val="00707B84"/>
    <w:rsid w:val="00707CF7"/>
    <w:rsid w:val="00710477"/>
    <w:rsid w:val="00710802"/>
    <w:rsid w:val="007109A2"/>
    <w:rsid w:val="007109EF"/>
    <w:rsid w:val="00710AD4"/>
    <w:rsid w:val="00710ED7"/>
    <w:rsid w:val="007113F3"/>
    <w:rsid w:val="00711471"/>
    <w:rsid w:val="00711809"/>
    <w:rsid w:val="00711875"/>
    <w:rsid w:val="00711BA8"/>
    <w:rsid w:val="00711CEB"/>
    <w:rsid w:val="007125C5"/>
    <w:rsid w:val="0071294E"/>
    <w:rsid w:val="00712DF7"/>
    <w:rsid w:val="00712FDD"/>
    <w:rsid w:val="0071397A"/>
    <w:rsid w:val="00713B95"/>
    <w:rsid w:val="0071440B"/>
    <w:rsid w:val="007145AE"/>
    <w:rsid w:val="00714B79"/>
    <w:rsid w:val="00714C3F"/>
    <w:rsid w:val="00716A15"/>
    <w:rsid w:val="0071704D"/>
    <w:rsid w:val="00717345"/>
    <w:rsid w:val="007176BE"/>
    <w:rsid w:val="00717A7A"/>
    <w:rsid w:val="00720EC3"/>
    <w:rsid w:val="0072100A"/>
    <w:rsid w:val="007212B0"/>
    <w:rsid w:val="007217F3"/>
    <w:rsid w:val="00721DC1"/>
    <w:rsid w:val="00721F80"/>
    <w:rsid w:val="00722291"/>
    <w:rsid w:val="0072243F"/>
    <w:rsid w:val="007224DC"/>
    <w:rsid w:val="007227F9"/>
    <w:rsid w:val="00722CCA"/>
    <w:rsid w:val="00722E67"/>
    <w:rsid w:val="007235B2"/>
    <w:rsid w:val="0072393E"/>
    <w:rsid w:val="0072403D"/>
    <w:rsid w:val="00724134"/>
    <w:rsid w:val="007241C2"/>
    <w:rsid w:val="007246BC"/>
    <w:rsid w:val="0072484B"/>
    <w:rsid w:val="00724CD7"/>
    <w:rsid w:val="0072584A"/>
    <w:rsid w:val="007261F5"/>
    <w:rsid w:val="00726708"/>
    <w:rsid w:val="0072694C"/>
    <w:rsid w:val="00727F72"/>
    <w:rsid w:val="00730642"/>
    <w:rsid w:val="007308BA"/>
    <w:rsid w:val="00730945"/>
    <w:rsid w:val="007313F6"/>
    <w:rsid w:val="00731737"/>
    <w:rsid w:val="00731926"/>
    <w:rsid w:val="00731C67"/>
    <w:rsid w:val="007320F2"/>
    <w:rsid w:val="007325FB"/>
    <w:rsid w:val="00732853"/>
    <w:rsid w:val="00732C7C"/>
    <w:rsid w:val="0073312C"/>
    <w:rsid w:val="00733C05"/>
    <w:rsid w:val="00734048"/>
    <w:rsid w:val="00734348"/>
    <w:rsid w:val="0073455D"/>
    <w:rsid w:val="007346E4"/>
    <w:rsid w:val="00735027"/>
    <w:rsid w:val="00735235"/>
    <w:rsid w:val="0073534E"/>
    <w:rsid w:val="007358B0"/>
    <w:rsid w:val="007362D7"/>
    <w:rsid w:val="0073687E"/>
    <w:rsid w:val="00736A7B"/>
    <w:rsid w:val="0073781F"/>
    <w:rsid w:val="00737E52"/>
    <w:rsid w:val="00737FF3"/>
    <w:rsid w:val="007406F6"/>
    <w:rsid w:val="00741326"/>
    <w:rsid w:val="007416AF"/>
    <w:rsid w:val="00741DF0"/>
    <w:rsid w:val="00741FA8"/>
    <w:rsid w:val="00742082"/>
    <w:rsid w:val="00742284"/>
    <w:rsid w:val="007429DF"/>
    <w:rsid w:val="00742E10"/>
    <w:rsid w:val="00743E0A"/>
    <w:rsid w:val="00744ADA"/>
    <w:rsid w:val="0074541C"/>
    <w:rsid w:val="007454BD"/>
    <w:rsid w:val="00745550"/>
    <w:rsid w:val="00746187"/>
    <w:rsid w:val="00746259"/>
    <w:rsid w:val="007465CD"/>
    <w:rsid w:val="00746DB2"/>
    <w:rsid w:val="0074729E"/>
    <w:rsid w:val="007473D0"/>
    <w:rsid w:val="00747D62"/>
    <w:rsid w:val="00747ED0"/>
    <w:rsid w:val="00750A56"/>
    <w:rsid w:val="007514FD"/>
    <w:rsid w:val="00751D22"/>
    <w:rsid w:val="0075225E"/>
    <w:rsid w:val="007525F9"/>
    <w:rsid w:val="007526CA"/>
    <w:rsid w:val="007526E3"/>
    <w:rsid w:val="00752E61"/>
    <w:rsid w:val="00752F08"/>
    <w:rsid w:val="00753114"/>
    <w:rsid w:val="00753C1A"/>
    <w:rsid w:val="00754A65"/>
    <w:rsid w:val="00755A59"/>
    <w:rsid w:val="007563CF"/>
    <w:rsid w:val="00756766"/>
    <w:rsid w:val="007568F0"/>
    <w:rsid w:val="00756C96"/>
    <w:rsid w:val="0075724F"/>
    <w:rsid w:val="0075757B"/>
    <w:rsid w:val="00757914"/>
    <w:rsid w:val="007601BA"/>
    <w:rsid w:val="007604EC"/>
    <w:rsid w:val="00760676"/>
    <w:rsid w:val="00760770"/>
    <w:rsid w:val="00760C44"/>
    <w:rsid w:val="007618F1"/>
    <w:rsid w:val="00761F9B"/>
    <w:rsid w:val="007623D4"/>
    <w:rsid w:val="00763217"/>
    <w:rsid w:val="00763987"/>
    <w:rsid w:val="00763A1F"/>
    <w:rsid w:val="00763BA3"/>
    <w:rsid w:val="00763C30"/>
    <w:rsid w:val="0076418D"/>
    <w:rsid w:val="007645FC"/>
    <w:rsid w:val="007647A7"/>
    <w:rsid w:val="0076576B"/>
    <w:rsid w:val="0076586F"/>
    <w:rsid w:val="007659E9"/>
    <w:rsid w:val="00766457"/>
    <w:rsid w:val="00766BC9"/>
    <w:rsid w:val="00766CB1"/>
    <w:rsid w:val="007670CB"/>
    <w:rsid w:val="00767B23"/>
    <w:rsid w:val="00767C0C"/>
    <w:rsid w:val="00767FCC"/>
    <w:rsid w:val="00770810"/>
    <w:rsid w:val="00770AE1"/>
    <w:rsid w:val="007712D2"/>
    <w:rsid w:val="0077163B"/>
    <w:rsid w:val="007717C3"/>
    <w:rsid w:val="00771D44"/>
    <w:rsid w:val="00771FC0"/>
    <w:rsid w:val="007727CB"/>
    <w:rsid w:val="007729D1"/>
    <w:rsid w:val="00772B35"/>
    <w:rsid w:val="0077348B"/>
    <w:rsid w:val="0077358E"/>
    <w:rsid w:val="00773809"/>
    <w:rsid w:val="00773840"/>
    <w:rsid w:val="00774B5D"/>
    <w:rsid w:val="00774C72"/>
    <w:rsid w:val="007757C9"/>
    <w:rsid w:val="00775BA6"/>
    <w:rsid w:val="00775E8D"/>
    <w:rsid w:val="0077613D"/>
    <w:rsid w:val="007761F8"/>
    <w:rsid w:val="00776386"/>
    <w:rsid w:val="00776424"/>
    <w:rsid w:val="00776F88"/>
    <w:rsid w:val="0077744A"/>
    <w:rsid w:val="00777F57"/>
    <w:rsid w:val="007800C4"/>
    <w:rsid w:val="007809D3"/>
    <w:rsid w:val="00780A98"/>
    <w:rsid w:val="00780B82"/>
    <w:rsid w:val="007810F0"/>
    <w:rsid w:val="00781418"/>
    <w:rsid w:val="0078142C"/>
    <w:rsid w:val="0078156C"/>
    <w:rsid w:val="00781CB3"/>
    <w:rsid w:val="00782729"/>
    <w:rsid w:val="00782DFA"/>
    <w:rsid w:val="0078336C"/>
    <w:rsid w:val="00783D20"/>
    <w:rsid w:val="00784836"/>
    <w:rsid w:val="0078487B"/>
    <w:rsid w:val="0078502E"/>
    <w:rsid w:val="00785139"/>
    <w:rsid w:val="007852BE"/>
    <w:rsid w:val="007855BF"/>
    <w:rsid w:val="007859AA"/>
    <w:rsid w:val="00786711"/>
    <w:rsid w:val="00786A46"/>
    <w:rsid w:val="00786CF0"/>
    <w:rsid w:val="00786FFC"/>
    <w:rsid w:val="00787139"/>
    <w:rsid w:val="00787567"/>
    <w:rsid w:val="00787AE3"/>
    <w:rsid w:val="00787B26"/>
    <w:rsid w:val="00787F95"/>
    <w:rsid w:val="007904E9"/>
    <w:rsid w:val="00790A35"/>
    <w:rsid w:val="00790A3B"/>
    <w:rsid w:val="00790BD2"/>
    <w:rsid w:val="00790FA7"/>
    <w:rsid w:val="0079121E"/>
    <w:rsid w:val="00791B95"/>
    <w:rsid w:val="00792095"/>
    <w:rsid w:val="0079296B"/>
    <w:rsid w:val="00792CA3"/>
    <w:rsid w:val="00793419"/>
    <w:rsid w:val="0079343F"/>
    <w:rsid w:val="007935D3"/>
    <w:rsid w:val="0079390A"/>
    <w:rsid w:val="00793A8F"/>
    <w:rsid w:val="00794304"/>
    <w:rsid w:val="00794366"/>
    <w:rsid w:val="0079455E"/>
    <w:rsid w:val="007948DB"/>
    <w:rsid w:val="00794ABD"/>
    <w:rsid w:val="00794F7C"/>
    <w:rsid w:val="0079501A"/>
    <w:rsid w:val="00795E2E"/>
    <w:rsid w:val="00796584"/>
    <w:rsid w:val="007969DB"/>
    <w:rsid w:val="00796EC6"/>
    <w:rsid w:val="00796F65"/>
    <w:rsid w:val="0079730C"/>
    <w:rsid w:val="00797345"/>
    <w:rsid w:val="00797C15"/>
    <w:rsid w:val="007A0041"/>
    <w:rsid w:val="007A00B0"/>
    <w:rsid w:val="007A186B"/>
    <w:rsid w:val="007A19EE"/>
    <w:rsid w:val="007A1B2B"/>
    <w:rsid w:val="007A1D82"/>
    <w:rsid w:val="007A1DEF"/>
    <w:rsid w:val="007A1E9B"/>
    <w:rsid w:val="007A2652"/>
    <w:rsid w:val="007A2D03"/>
    <w:rsid w:val="007A34DD"/>
    <w:rsid w:val="007A3D11"/>
    <w:rsid w:val="007A43EE"/>
    <w:rsid w:val="007A459B"/>
    <w:rsid w:val="007A45C9"/>
    <w:rsid w:val="007A476B"/>
    <w:rsid w:val="007A4966"/>
    <w:rsid w:val="007A4EAB"/>
    <w:rsid w:val="007A50FD"/>
    <w:rsid w:val="007A55C8"/>
    <w:rsid w:val="007A5810"/>
    <w:rsid w:val="007A5B52"/>
    <w:rsid w:val="007A5DE1"/>
    <w:rsid w:val="007A6808"/>
    <w:rsid w:val="007A688A"/>
    <w:rsid w:val="007A6C5B"/>
    <w:rsid w:val="007A6EFA"/>
    <w:rsid w:val="007A6FB0"/>
    <w:rsid w:val="007A76FB"/>
    <w:rsid w:val="007A795D"/>
    <w:rsid w:val="007A7E2F"/>
    <w:rsid w:val="007B0A14"/>
    <w:rsid w:val="007B0F88"/>
    <w:rsid w:val="007B106A"/>
    <w:rsid w:val="007B1617"/>
    <w:rsid w:val="007B177A"/>
    <w:rsid w:val="007B1DE5"/>
    <w:rsid w:val="007B277F"/>
    <w:rsid w:val="007B2B6B"/>
    <w:rsid w:val="007B305C"/>
    <w:rsid w:val="007B30FB"/>
    <w:rsid w:val="007B31F0"/>
    <w:rsid w:val="007B4B8F"/>
    <w:rsid w:val="007B4C21"/>
    <w:rsid w:val="007B55FA"/>
    <w:rsid w:val="007B5685"/>
    <w:rsid w:val="007B63A8"/>
    <w:rsid w:val="007B641D"/>
    <w:rsid w:val="007B64AA"/>
    <w:rsid w:val="007B6550"/>
    <w:rsid w:val="007B6E63"/>
    <w:rsid w:val="007B74AB"/>
    <w:rsid w:val="007B7655"/>
    <w:rsid w:val="007B78C2"/>
    <w:rsid w:val="007B7C4D"/>
    <w:rsid w:val="007B7CD7"/>
    <w:rsid w:val="007B7E57"/>
    <w:rsid w:val="007C024E"/>
    <w:rsid w:val="007C0403"/>
    <w:rsid w:val="007C06CD"/>
    <w:rsid w:val="007C0DD9"/>
    <w:rsid w:val="007C1104"/>
    <w:rsid w:val="007C145D"/>
    <w:rsid w:val="007C1CC4"/>
    <w:rsid w:val="007C26B7"/>
    <w:rsid w:val="007C3191"/>
    <w:rsid w:val="007C35EA"/>
    <w:rsid w:val="007C3678"/>
    <w:rsid w:val="007C3A6A"/>
    <w:rsid w:val="007C3AD4"/>
    <w:rsid w:val="007C449C"/>
    <w:rsid w:val="007C4E75"/>
    <w:rsid w:val="007C5191"/>
    <w:rsid w:val="007C5804"/>
    <w:rsid w:val="007C59F4"/>
    <w:rsid w:val="007C6089"/>
    <w:rsid w:val="007C642E"/>
    <w:rsid w:val="007C68CE"/>
    <w:rsid w:val="007C6D8A"/>
    <w:rsid w:val="007C7047"/>
    <w:rsid w:val="007C7072"/>
    <w:rsid w:val="007C73F6"/>
    <w:rsid w:val="007C7769"/>
    <w:rsid w:val="007D024F"/>
    <w:rsid w:val="007D051D"/>
    <w:rsid w:val="007D0566"/>
    <w:rsid w:val="007D12A0"/>
    <w:rsid w:val="007D1450"/>
    <w:rsid w:val="007D262B"/>
    <w:rsid w:val="007D2643"/>
    <w:rsid w:val="007D2AD8"/>
    <w:rsid w:val="007D2BF4"/>
    <w:rsid w:val="007D2DA3"/>
    <w:rsid w:val="007D3880"/>
    <w:rsid w:val="007D5A1A"/>
    <w:rsid w:val="007D5D79"/>
    <w:rsid w:val="007D668B"/>
    <w:rsid w:val="007D6B48"/>
    <w:rsid w:val="007D6CC9"/>
    <w:rsid w:val="007D70D1"/>
    <w:rsid w:val="007D7124"/>
    <w:rsid w:val="007D7135"/>
    <w:rsid w:val="007D78A3"/>
    <w:rsid w:val="007D7957"/>
    <w:rsid w:val="007D7A83"/>
    <w:rsid w:val="007D7BF6"/>
    <w:rsid w:val="007D7C5A"/>
    <w:rsid w:val="007E0043"/>
    <w:rsid w:val="007E0071"/>
    <w:rsid w:val="007E00F2"/>
    <w:rsid w:val="007E041C"/>
    <w:rsid w:val="007E0A0F"/>
    <w:rsid w:val="007E0A97"/>
    <w:rsid w:val="007E0E80"/>
    <w:rsid w:val="007E140B"/>
    <w:rsid w:val="007E1D6F"/>
    <w:rsid w:val="007E1F3F"/>
    <w:rsid w:val="007E1F8F"/>
    <w:rsid w:val="007E219D"/>
    <w:rsid w:val="007E226A"/>
    <w:rsid w:val="007E3055"/>
    <w:rsid w:val="007E3C8B"/>
    <w:rsid w:val="007E3E5B"/>
    <w:rsid w:val="007E3EED"/>
    <w:rsid w:val="007E48F4"/>
    <w:rsid w:val="007E4AB2"/>
    <w:rsid w:val="007E55CA"/>
    <w:rsid w:val="007E5F1E"/>
    <w:rsid w:val="007E6BD6"/>
    <w:rsid w:val="007E6BEF"/>
    <w:rsid w:val="007E6CED"/>
    <w:rsid w:val="007E7710"/>
    <w:rsid w:val="007F2B89"/>
    <w:rsid w:val="007F2C3E"/>
    <w:rsid w:val="007F30FB"/>
    <w:rsid w:val="007F3287"/>
    <w:rsid w:val="007F4A39"/>
    <w:rsid w:val="007F4F72"/>
    <w:rsid w:val="007F5717"/>
    <w:rsid w:val="007F5977"/>
    <w:rsid w:val="007F6043"/>
    <w:rsid w:val="007F73AC"/>
    <w:rsid w:val="007F7B96"/>
    <w:rsid w:val="007F7CF7"/>
    <w:rsid w:val="0080003E"/>
    <w:rsid w:val="008002D6"/>
    <w:rsid w:val="008005D2"/>
    <w:rsid w:val="00800A62"/>
    <w:rsid w:val="00800AC3"/>
    <w:rsid w:val="00800C00"/>
    <w:rsid w:val="008010EB"/>
    <w:rsid w:val="00801AD1"/>
    <w:rsid w:val="00801DD6"/>
    <w:rsid w:val="008029E5"/>
    <w:rsid w:val="00802CDE"/>
    <w:rsid w:val="00803292"/>
    <w:rsid w:val="0080357F"/>
    <w:rsid w:val="00803ADC"/>
    <w:rsid w:val="00803F41"/>
    <w:rsid w:val="00803FCD"/>
    <w:rsid w:val="008042C9"/>
    <w:rsid w:val="00804888"/>
    <w:rsid w:val="008048EE"/>
    <w:rsid w:val="00804AF1"/>
    <w:rsid w:val="00804E0B"/>
    <w:rsid w:val="00805D73"/>
    <w:rsid w:val="00805E4D"/>
    <w:rsid w:val="008072E7"/>
    <w:rsid w:val="008073A8"/>
    <w:rsid w:val="0080742D"/>
    <w:rsid w:val="008076ED"/>
    <w:rsid w:val="00807ABE"/>
    <w:rsid w:val="00807C74"/>
    <w:rsid w:val="008100F9"/>
    <w:rsid w:val="00810148"/>
    <w:rsid w:val="0081025E"/>
    <w:rsid w:val="00810E69"/>
    <w:rsid w:val="00810F77"/>
    <w:rsid w:val="00811275"/>
    <w:rsid w:val="00811962"/>
    <w:rsid w:val="00811EA3"/>
    <w:rsid w:val="0081207C"/>
    <w:rsid w:val="008121DF"/>
    <w:rsid w:val="008124F3"/>
    <w:rsid w:val="0081275D"/>
    <w:rsid w:val="00812F5B"/>
    <w:rsid w:val="008130FA"/>
    <w:rsid w:val="00813246"/>
    <w:rsid w:val="00813386"/>
    <w:rsid w:val="008134AB"/>
    <w:rsid w:val="00813732"/>
    <w:rsid w:val="008137D8"/>
    <w:rsid w:val="0081382F"/>
    <w:rsid w:val="00813E44"/>
    <w:rsid w:val="00813E97"/>
    <w:rsid w:val="00813FDE"/>
    <w:rsid w:val="00814934"/>
    <w:rsid w:val="00814A9C"/>
    <w:rsid w:val="008150DD"/>
    <w:rsid w:val="00815FC2"/>
    <w:rsid w:val="008163C4"/>
    <w:rsid w:val="0081667C"/>
    <w:rsid w:val="00816680"/>
    <w:rsid w:val="008169B0"/>
    <w:rsid w:val="00816BBB"/>
    <w:rsid w:val="008178D3"/>
    <w:rsid w:val="008203D7"/>
    <w:rsid w:val="008204A9"/>
    <w:rsid w:val="00821752"/>
    <w:rsid w:val="0082186B"/>
    <w:rsid w:val="008220FD"/>
    <w:rsid w:val="008222B0"/>
    <w:rsid w:val="008224FA"/>
    <w:rsid w:val="00823C99"/>
    <w:rsid w:val="00823F71"/>
    <w:rsid w:val="008246A1"/>
    <w:rsid w:val="00824CB6"/>
    <w:rsid w:val="00824EBF"/>
    <w:rsid w:val="008259DF"/>
    <w:rsid w:val="00825B9A"/>
    <w:rsid w:val="00826EFD"/>
    <w:rsid w:val="00827362"/>
    <w:rsid w:val="008278E6"/>
    <w:rsid w:val="00827923"/>
    <w:rsid w:val="00827A0E"/>
    <w:rsid w:val="00827A78"/>
    <w:rsid w:val="00830580"/>
    <w:rsid w:val="008315A0"/>
    <w:rsid w:val="00831756"/>
    <w:rsid w:val="00831789"/>
    <w:rsid w:val="008319D7"/>
    <w:rsid w:val="00832399"/>
    <w:rsid w:val="008325E9"/>
    <w:rsid w:val="00832737"/>
    <w:rsid w:val="00833803"/>
    <w:rsid w:val="00833982"/>
    <w:rsid w:val="00833B81"/>
    <w:rsid w:val="00834B21"/>
    <w:rsid w:val="00835AD3"/>
    <w:rsid w:val="00836B73"/>
    <w:rsid w:val="008370B4"/>
    <w:rsid w:val="008379A9"/>
    <w:rsid w:val="00837A13"/>
    <w:rsid w:val="00840A14"/>
    <w:rsid w:val="00840D5F"/>
    <w:rsid w:val="0084192D"/>
    <w:rsid w:val="00841D84"/>
    <w:rsid w:val="00841DC2"/>
    <w:rsid w:val="00842EC6"/>
    <w:rsid w:val="00843052"/>
    <w:rsid w:val="008431D4"/>
    <w:rsid w:val="00843657"/>
    <w:rsid w:val="00843E0F"/>
    <w:rsid w:val="008444F5"/>
    <w:rsid w:val="0084465E"/>
    <w:rsid w:val="00844C18"/>
    <w:rsid w:val="00845EDC"/>
    <w:rsid w:val="00845F48"/>
    <w:rsid w:val="00846481"/>
    <w:rsid w:val="00846ABF"/>
    <w:rsid w:val="00846F25"/>
    <w:rsid w:val="00850491"/>
    <w:rsid w:val="008516C2"/>
    <w:rsid w:val="008527F4"/>
    <w:rsid w:val="00852944"/>
    <w:rsid w:val="00852B79"/>
    <w:rsid w:val="0085307D"/>
    <w:rsid w:val="008533F6"/>
    <w:rsid w:val="00853E96"/>
    <w:rsid w:val="00854640"/>
    <w:rsid w:val="008555F0"/>
    <w:rsid w:val="00855A5F"/>
    <w:rsid w:val="00855B7A"/>
    <w:rsid w:val="00856163"/>
    <w:rsid w:val="008568D7"/>
    <w:rsid w:val="00856A44"/>
    <w:rsid w:val="00856A50"/>
    <w:rsid w:val="008570F8"/>
    <w:rsid w:val="0085720A"/>
    <w:rsid w:val="00857B92"/>
    <w:rsid w:val="00857CC1"/>
    <w:rsid w:val="0086027A"/>
    <w:rsid w:val="0086070C"/>
    <w:rsid w:val="00860EDF"/>
    <w:rsid w:val="00861133"/>
    <w:rsid w:val="00861C63"/>
    <w:rsid w:val="00861D8D"/>
    <w:rsid w:val="008624D9"/>
    <w:rsid w:val="00862642"/>
    <w:rsid w:val="008627E3"/>
    <w:rsid w:val="008631FE"/>
    <w:rsid w:val="0086366A"/>
    <w:rsid w:val="0086388D"/>
    <w:rsid w:val="00863E2A"/>
    <w:rsid w:val="008645BE"/>
    <w:rsid w:val="00864C0A"/>
    <w:rsid w:val="00864DC2"/>
    <w:rsid w:val="0086505A"/>
    <w:rsid w:val="0086532F"/>
    <w:rsid w:val="00865871"/>
    <w:rsid w:val="00865F6E"/>
    <w:rsid w:val="00866C5F"/>
    <w:rsid w:val="00867236"/>
    <w:rsid w:val="00867587"/>
    <w:rsid w:val="00867A8E"/>
    <w:rsid w:val="00870013"/>
    <w:rsid w:val="008700DA"/>
    <w:rsid w:val="008701F9"/>
    <w:rsid w:val="0087039C"/>
    <w:rsid w:val="00870774"/>
    <w:rsid w:val="00870D40"/>
    <w:rsid w:val="00870FC2"/>
    <w:rsid w:val="0087143D"/>
    <w:rsid w:val="008717ED"/>
    <w:rsid w:val="00871EFB"/>
    <w:rsid w:val="008726B3"/>
    <w:rsid w:val="00872858"/>
    <w:rsid w:val="00872C68"/>
    <w:rsid w:val="008731F1"/>
    <w:rsid w:val="00873704"/>
    <w:rsid w:val="00873782"/>
    <w:rsid w:val="00873B0F"/>
    <w:rsid w:val="00873FA3"/>
    <w:rsid w:val="00874144"/>
    <w:rsid w:val="00874202"/>
    <w:rsid w:val="0087433E"/>
    <w:rsid w:val="0087450B"/>
    <w:rsid w:val="00874FB8"/>
    <w:rsid w:val="008752A2"/>
    <w:rsid w:val="00875449"/>
    <w:rsid w:val="00875B02"/>
    <w:rsid w:val="008766A3"/>
    <w:rsid w:val="00876A7D"/>
    <w:rsid w:val="00876C62"/>
    <w:rsid w:val="00877018"/>
    <w:rsid w:val="00877050"/>
    <w:rsid w:val="00877153"/>
    <w:rsid w:val="008778A4"/>
    <w:rsid w:val="00877B07"/>
    <w:rsid w:val="00880308"/>
    <w:rsid w:val="00880ACE"/>
    <w:rsid w:val="00880B47"/>
    <w:rsid w:val="008815A1"/>
    <w:rsid w:val="00881679"/>
    <w:rsid w:val="00881FA3"/>
    <w:rsid w:val="00882237"/>
    <w:rsid w:val="008824C6"/>
    <w:rsid w:val="00882AA1"/>
    <w:rsid w:val="00883583"/>
    <w:rsid w:val="008836F5"/>
    <w:rsid w:val="00883D3C"/>
    <w:rsid w:val="00883D5A"/>
    <w:rsid w:val="00883E28"/>
    <w:rsid w:val="00884468"/>
    <w:rsid w:val="0088463D"/>
    <w:rsid w:val="0088470C"/>
    <w:rsid w:val="00884CE7"/>
    <w:rsid w:val="00884E0C"/>
    <w:rsid w:val="00885761"/>
    <w:rsid w:val="00885911"/>
    <w:rsid w:val="00885DEB"/>
    <w:rsid w:val="00885E15"/>
    <w:rsid w:val="0088602B"/>
    <w:rsid w:val="00886318"/>
    <w:rsid w:val="0088653B"/>
    <w:rsid w:val="00886558"/>
    <w:rsid w:val="0088661C"/>
    <w:rsid w:val="008866F2"/>
    <w:rsid w:val="008867A5"/>
    <w:rsid w:val="008871F0"/>
    <w:rsid w:val="00887B24"/>
    <w:rsid w:val="0089047F"/>
    <w:rsid w:val="0089055D"/>
    <w:rsid w:val="008905DC"/>
    <w:rsid w:val="00890A38"/>
    <w:rsid w:val="0089128F"/>
    <w:rsid w:val="00891687"/>
    <w:rsid w:val="00891911"/>
    <w:rsid w:val="00891CA4"/>
    <w:rsid w:val="00891DE3"/>
    <w:rsid w:val="008920A0"/>
    <w:rsid w:val="008920CB"/>
    <w:rsid w:val="008929C5"/>
    <w:rsid w:val="00893095"/>
    <w:rsid w:val="00893136"/>
    <w:rsid w:val="00893318"/>
    <w:rsid w:val="008934DB"/>
    <w:rsid w:val="008937BD"/>
    <w:rsid w:val="008937F6"/>
    <w:rsid w:val="00893C97"/>
    <w:rsid w:val="00895339"/>
    <w:rsid w:val="00895523"/>
    <w:rsid w:val="0089584F"/>
    <w:rsid w:val="00895C33"/>
    <w:rsid w:val="00895C6E"/>
    <w:rsid w:val="00895D0F"/>
    <w:rsid w:val="00896110"/>
    <w:rsid w:val="00896A3A"/>
    <w:rsid w:val="00897197"/>
    <w:rsid w:val="00897625"/>
    <w:rsid w:val="00897E88"/>
    <w:rsid w:val="008A1195"/>
    <w:rsid w:val="008A1579"/>
    <w:rsid w:val="008A1649"/>
    <w:rsid w:val="008A1909"/>
    <w:rsid w:val="008A1DD5"/>
    <w:rsid w:val="008A21CB"/>
    <w:rsid w:val="008A2238"/>
    <w:rsid w:val="008A2985"/>
    <w:rsid w:val="008A2DC5"/>
    <w:rsid w:val="008A2E9E"/>
    <w:rsid w:val="008A3689"/>
    <w:rsid w:val="008A4044"/>
    <w:rsid w:val="008A4224"/>
    <w:rsid w:val="008A4937"/>
    <w:rsid w:val="008A4DE9"/>
    <w:rsid w:val="008A50BE"/>
    <w:rsid w:val="008A582A"/>
    <w:rsid w:val="008A5A91"/>
    <w:rsid w:val="008A628D"/>
    <w:rsid w:val="008A66BD"/>
    <w:rsid w:val="008A690A"/>
    <w:rsid w:val="008A7431"/>
    <w:rsid w:val="008A75D2"/>
    <w:rsid w:val="008A763A"/>
    <w:rsid w:val="008A7648"/>
    <w:rsid w:val="008A785C"/>
    <w:rsid w:val="008A7A31"/>
    <w:rsid w:val="008A7ACC"/>
    <w:rsid w:val="008B025F"/>
    <w:rsid w:val="008B0765"/>
    <w:rsid w:val="008B0C91"/>
    <w:rsid w:val="008B12E5"/>
    <w:rsid w:val="008B149B"/>
    <w:rsid w:val="008B215E"/>
    <w:rsid w:val="008B2F11"/>
    <w:rsid w:val="008B300C"/>
    <w:rsid w:val="008B38C5"/>
    <w:rsid w:val="008B3B12"/>
    <w:rsid w:val="008B3C4D"/>
    <w:rsid w:val="008B3FC0"/>
    <w:rsid w:val="008B44AE"/>
    <w:rsid w:val="008B48F1"/>
    <w:rsid w:val="008B518C"/>
    <w:rsid w:val="008B52E5"/>
    <w:rsid w:val="008B614F"/>
    <w:rsid w:val="008B6205"/>
    <w:rsid w:val="008B68A4"/>
    <w:rsid w:val="008B6D75"/>
    <w:rsid w:val="008B6E51"/>
    <w:rsid w:val="008B6E9E"/>
    <w:rsid w:val="008B7910"/>
    <w:rsid w:val="008B791F"/>
    <w:rsid w:val="008C0009"/>
    <w:rsid w:val="008C0373"/>
    <w:rsid w:val="008C05D5"/>
    <w:rsid w:val="008C0CAB"/>
    <w:rsid w:val="008C114B"/>
    <w:rsid w:val="008C1312"/>
    <w:rsid w:val="008C1F48"/>
    <w:rsid w:val="008C2032"/>
    <w:rsid w:val="008C27BB"/>
    <w:rsid w:val="008C2815"/>
    <w:rsid w:val="008C2C6C"/>
    <w:rsid w:val="008C3467"/>
    <w:rsid w:val="008C3565"/>
    <w:rsid w:val="008C36F9"/>
    <w:rsid w:val="008C4113"/>
    <w:rsid w:val="008C4503"/>
    <w:rsid w:val="008C484F"/>
    <w:rsid w:val="008C4B30"/>
    <w:rsid w:val="008C5A06"/>
    <w:rsid w:val="008C5B1E"/>
    <w:rsid w:val="008C5B25"/>
    <w:rsid w:val="008C6D57"/>
    <w:rsid w:val="008C7322"/>
    <w:rsid w:val="008C7735"/>
    <w:rsid w:val="008D03C8"/>
    <w:rsid w:val="008D0D08"/>
    <w:rsid w:val="008D0E95"/>
    <w:rsid w:val="008D120D"/>
    <w:rsid w:val="008D131F"/>
    <w:rsid w:val="008D1614"/>
    <w:rsid w:val="008D18F1"/>
    <w:rsid w:val="008D2A6C"/>
    <w:rsid w:val="008D365B"/>
    <w:rsid w:val="008D3A04"/>
    <w:rsid w:val="008D4303"/>
    <w:rsid w:val="008D4B21"/>
    <w:rsid w:val="008D4CB1"/>
    <w:rsid w:val="008D555C"/>
    <w:rsid w:val="008D5686"/>
    <w:rsid w:val="008D60C8"/>
    <w:rsid w:val="008D610C"/>
    <w:rsid w:val="008D623A"/>
    <w:rsid w:val="008D62D1"/>
    <w:rsid w:val="008D6364"/>
    <w:rsid w:val="008D6A86"/>
    <w:rsid w:val="008D6C47"/>
    <w:rsid w:val="008D6EDE"/>
    <w:rsid w:val="008D7D9B"/>
    <w:rsid w:val="008E0028"/>
    <w:rsid w:val="008E0784"/>
    <w:rsid w:val="008E0B44"/>
    <w:rsid w:val="008E0E41"/>
    <w:rsid w:val="008E0F76"/>
    <w:rsid w:val="008E11EB"/>
    <w:rsid w:val="008E15DD"/>
    <w:rsid w:val="008E1982"/>
    <w:rsid w:val="008E1A95"/>
    <w:rsid w:val="008E2050"/>
    <w:rsid w:val="008E299B"/>
    <w:rsid w:val="008E2E69"/>
    <w:rsid w:val="008E3572"/>
    <w:rsid w:val="008E441A"/>
    <w:rsid w:val="008E4429"/>
    <w:rsid w:val="008E4ACD"/>
    <w:rsid w:val="008E4CA0"/>
    <w:rsid w:val="008E52D7"/>
    <w:rsid w:val="008E563B"/>
    <w:rsid w:val="008E6D43"/>
    <w:rsid w:val="008E7281"/>
    <w:rsid w:val="008E72F3"/>
    <w:rsid w:val="008E74AF"/>
    <w:rsid w:val="008E7E78"/>
    <w:rsid w:val="008F0028"/>
    <w:rsid w:val="008F0161"/>
    <w:rsid w:val="008F1164"/>
    <w:rsid w:val="008F14A5"/>
    <w:rsid w:val="008F234F"/>
    <w:rsid w:val="008F26BE"/>
    <w:rsid w:val="008F2895"/>
    <w:rsid w:val="008F298C"/>
    <w:rsid w:val="008F2D4D"/>
    <w:rsid w:val="008F2F19"/>
    <w:rsid w:val="008F33A8"/>
    <w:rsid w:val="008F37D8"/>
    <w:rsid w:val="008F3A42"/>
    <w:rsid w:val="008F3A7D"/>
    <w:rsid w:val="008F41B6"/>
    <w:rsid w:val="008F43A6"/>
    <w:rsid w:val="008F45C1"/>
    <w:rsid w:val="008F4FFD"/>
    <w:rsid w:val="008F514B"/>
    <w:rsid w:val="008F5238"/>
    <w:rsid w:val="008F56BB"/>
    <w:rsid w:val="008F58BE"/>
    <w:rsid w:val="008F5BC6"/>
    <w:rsid w:val="008F5FB3"/>
    <w:rsid w:val="008F6113"/>
    <w:rsid w:val="008F65DB"/>
    <w:rsid w:val="008F681F"/>
    <w:rsid w:val="008F757D"/>
    <w:rsid w:val="008F76DA"/>
    <w:rsid w:val="0090002C"/>
    <w:rsid w:val="009005C1"/>
    <w:rsid w:val="00900980"/>
    <w:rsid w:val="00900A88"/>
    <w:rsid w:val="00900B58"/>
    <w:rsid w:val="0090130E"/>
    <w:rsid w:val="00901418"/>
    <w:rsid w:val="00901521"/>
    <w:rsid w:val="00901977"/>
    <w:rsid w:val="00901980"/>
    <w:rsid w:val="00902059"/>
    <w:rsid w:val="009020CC"/>
    <w:rsid w:val="00902BE2"/>
    <w:rsid w:val="009032E2"/>
    <w:rsid w:val="00903614"/>
    <w:rsid w:val="0090388C"/>
    <w:rsid w:val="00903A26"/>
    <w:rsid w:val="00904022"/>
    <w:rsid w:val="0090449A"/>
    <w:rsid w:val="00904820"/>
    <w:rsid w:val="00905697"/>
    <w:rsid w:val="00905712"/>
    <w:rsid w:val="00905D5C"/>
    <w:rsid w:val="00905D70"/>
    <w:rsid w:val="00906B3B"/>
    <w:rsid w:val="00907036"/>
    <w:rsid w:val="00907184"/>
    <w:rsid w:val="00907701"/>
    <w:rsid w:val="0091014D"/>
    <w:rsid w:val="00910725"/>
    <w:rsid w:val="00911D8F"/>
    <w:rsid w:val="009121F2"/>
    <w:rsid w:val="00912616"/>
    <w:rsid w:val="00912771"/>
    <w:rsid w:val="00912FB6"/>
    <w:rsid w:val="009132A8"/>
    <w:rsid w:val="00914275"/>
    <w:rsid w:val="00914470"/>
    <w:rsid w:val="00914DE4"/>
    <w:rsid w:val="0091520D"/>
    <w:rsid w:val="00915B73"/>
    <w:rsid w:val="00915D33"/>
    <w:rsid w:val="00915E8B"/>
    <w:rsid w:val="00916B07"/>
    <w:rsid w:val="00916BEB"/>
    <w:rsid w:val="00916D3B"/>
    <w:rsid w:val="00916EF7"/>
    <w:rsid w:val="00917356"/>
    <w:rsid w:val="00917C5A"/>
    <w:rsid w:val="00920ACA"/>
    <w:rsid w:val="0092134C"/>
    <w:rsid w:val="009217CA"/>
    <w:rsid w:val="00921D13"/>
    <w:rsid w:val="009220C6"/>
    <w:rsid w:val="009227A2"/>
    <w:rsid w:val="009228F9"/>
    <w:rsid w:val="00922F6B"/>
    <w:rsid w:val="0092306E"/>
    <w:rsid w:val="00923AA9"/>
    <w:rsid w:val="00923FF3"/>
    <w:rsid w:val="009249EE"/>
    <w:rsid w:val="00924A25"/>
    <w:rsid w:val="009250E0"/>
    <w:rsid w:val="00925204"/>
    <w:rsid w:val="009252F4"/>
    <w:rsid w:val="009254A9"/>
    <w:rsid w:val="00925BD4"/>
    <w:rsid w:val="0092609B"/>
    <w:rsid w:val="00926568"/>
    <w:rsid w:val="009267BB"/>
    <w:rsid w:val="009305BA"/>
    <w:rsid w:val="00930CD9"/>
    <w:rsid w:val="00930E85"/>
    <w:rsid w:val="00931474"/>
    <w:rsid w:val="009328A9"/>
    <w:rsid w:val="00932A13"/>
    <w:rsid w:val="00932F1E"/>
    <w:rsid w:val="00932FCF"/>
    <w:rsid w:val="009332BA"/>
    <w:rsid w:val="009335D0"/>
    <w:rsid w:val="00933C6D"/>
    <w:rsid w:val="00933FAC"/>
    <w:rsid w:val="0093408C"/>
    <w:rsid w:val="009342E4"/>
    <w:rsid w:val="0093441A"/>
    <w:rsid w:val="0093501F"/>
    <w:rsid w:val="009350FD"/>
    <w:rsid w:val="00935340"/>
    <w:rsid w:val="0093571A"/>
    <w:rsid w:val="00935B00"/>
    <w:rsid w:val="00935BC7"/>
    <w:rsid w:val="009361C3"/>
    <w:rsid w:val="009362DA"/>
    <w:rsid w:val="009364AC"/>
    <w:rsid w:val="009364B5"/>
    <w:rsid w:val="00936670"/>
    <w:rsid w:val="009369D5"/>
    <w:rsid w:val="00936D80"/>
    <w:rsid w:val="00940536"/>
    <w:rsid w:val="00940600"/>
    <w:rsid w:val="00940789"/>
    <w:rsid w:val="00940DA9"/>
    <w:rsid w:val="00941BBB"/>
    <w:rsid w:val="00942134"/>
    <w:rsid w:val="00942960"/>
    <w:rsid w:val="00942A0A"/>
    <w:rsid w:val="00942F45"/>
    <w:rsid w:val="00942F9F"/>
    <w:rsid w:val="00943792"/>
    <w:rsid w:val="00943B36"/>
    <w:rsid w:val="00943CA5"/>
    <w:rsid w:val="00943DEC"/>
    <w:rsid w:val="00944E16"/>
    <w:rsid w:val="00944F43"/>
    <w:rsid w:val="00945552"/>
    <w:rsid w:val="009455D6"/>
    <w:rsid w:val="0094580B"/>
    <w:rsid w:val="009458C2"/>
    <w:rsid w:val="00945B57"/>
    <w:rsid w:val="00946163"/>
    <w:rsid w:val="009462D8"/>
    <w:rsid w:val="009464A1"/>
    <w:rsid w:val="009466F0"/>
    <w:rsid w:val="00946CBB"/>
    <w:rsid w:val="00946F83"/>
    <w:rsid w:val="00947B48"/>
    <w:rsid w:val="00947B4E"/>
    <w:rsid w:val="00947D34"/>
    <w:rsid w:val="0095056D"/>
    <w:rsid w:val="00951115"/>
    <w:rsid w:val="00951676"/>
    <w:rsid w:val="00951C00"/>
    <w:rsid w:val="00951EA7"/>
    <w:rsid w:val="00951EDA"/>
    <w:rsid w:val="00951EFB"/>
    <w:rsid w:val="00951F6F"/>
    <w:rsid w:val="0095324C"/>
    <w:rsid w:val="00953488"/>
    <w:rsid w:val="009536ED"/>
    <w:rsid w:val="00953BE3"/>
    <w:rsid w:val="00953D2F"/>
    <w:rsid w:val="00953DA6"/>
    <w:rsid w:val="0095597D"/>
    <w:rsid w:val="00955C0D"/>
    <w:rsid w:val="00955C63"/>
    <w:rsid w:val="00956608"/>
    <w:rsid w:val="00956780"/>
    <w:rsid w:val="00956B01"/>
    <w:rsid w:val="00956DEA"/>
    <w:rsid w:val="00956E3F"/>
    <w:rsid w:val="00957BDD"/>
    <w:rsid w:val="00957EA6"/>
    <w:rsid w:val="00957EFB"/>
    <w:rsid w:val="00960763"/>
    <w:rsid w:val="00960E6D"/>
    <w:rsid w:val="0096115D"/>
    <w:rsid w:val="0096178C"/>
    <w:rsid w:val="00961A6B"/>
    <w:rsid w:val="00961EC7"/>
    <w:rsid w:val="00963363"/>
    <w:rsid w:val="009638BB"/>
    <w:rsid w:val="00963DCD"/>
    <w:rsid w:val="0096432F"/>
    <w:rsid w:val="0096470F"/>
    <w:rsid w:val="00964992"/>
    <w:rsid w:val="00964B92"/>
    <w:rsid w:val="0096628D"/>
    <w:rsid w:val="0096631B"/>
    <w:rsid w:val="009665C9"/>
    <w:rsid w:val="00966734"/>
    <w:rsid w:val="00966809"/>
    <w:rsid w:val="0097016D"/>
    <w:rsid w:val="0097036C"/>
    <w:rsid w:val="009703C7"/>
    <w:rsid w:val="00970ACD"/>
    <w:rsid w:val="00970E67"/>
    <w:rsid w:val="009712EC"/>
    <w:rsid w:val="00971608"/>
    <w:rsid w:val="00971B3E"/>
    <w:rsid w:val="00971CAA"/>
    <w:rsid w:val="009726B0"/>
    <w:rsid w:val="00972AC8"/>
    <w:rsid w:val="009731D6"/>
    <w:rsid w:val="009741A3"/>
    <w:rsid w:val="009745ED"/>
    <w:rsid w:val="009747C7"/>
    <w:rsid w:val="00974B3F"/>
    <w:rsid w:val="00974CAB"/>
    <w:rsid w:val="00975046"/>
    <w:rsid w:val="00975ABB"/>
    <w:rsid w:val="00975AF1"/>
    <w:rsid w:val="00976200"/>
    <w:rsid w:val="0097673A"/>
    <w:rsid w:val="0097673E"/>
    <w:rsid w:val="00976C08"/>
    <w:rsid w:val="00976E7F"/>
    <w:rsid w:val="00980611"/>
    <w:rsid w:val="009807DF"/>
    <w:rsid w:val="00980B2B"/>
    <w:rsid w:val="00980CDD"/>
    <w:rsid w:val="009819CA"/>
    <w:rsid w:val="0098260B"/>
    <w:rsid w:val="009828C3"/>
    <w:rsid w:val="00982A19"/>
    <w:rsid w:val="00982C95"/>
    <w:rsid w:val="00982FAC"/>
    <w:rsid w:val="0098305C"/>
    <w:rsid w:val="00983838"/>
    <w:rsid w:val="009838D1"/>
    <w:rsid w:val="00983E7E"/>
    <w:rsid w:val="0098488A"/>
    <w:rsid w:val="00984A04"/>
    <w:rsid w:val="00985348"/>
    <w:rsid w:val="009853BE"/>
    <w:rsid w:val="009857C3"/>
    <w:rsid w:val="00986110"/>
    <w:rsid w:val="00986595"/>
    <w:rsid w:val="0098687E"/>
    <w:rsid w:val="009873B0"/>
    <w:rsid w:val="009875A6"/>
    <w:rsid w:val="009875F1"/>
    <w:rsid w:val="009879AF"/>
    <w:rsid w:val="009902E9"/>
    <w:rsid w:val="0099058D"/>
    <w:rsid w:val="009907BE"/>
    <w:rsid w:val="00990CEB"/>
    <w:rsid w:val="00990EE7"/>
    <w:rsid w:val="00990FC0"/>
    <w:rsid w:val="00991218"/>
    <w:rsid w:val="009917D5"/>
    <w:rsid w:val="00991B63"/>
    <w:rsid w:val="00992408"/>
    <w:rsid w:val="009926BE"/>
    <w:rsid w:val="00992D84"/>
    <w:rsid w:val="00992E82"/>
    <w:rsid w:val="00993D07"/>
    <w:rsid w:val="00993F28"/>
    <w:rsid w:val="00994127"/>
    <w:rsid w:val="00994229"/>
    <w:rsid w:val="009949CF"/>
    <w:rsid w:val="0099507A"/>
    <w:rsid w:val="00995FFF"/>
    <w:rsid w:val="00996A5E"/>
    <w:rsid w:val="00996C3E"/>
    <w:rsid w:val="009973B8"/>
    <w:rsid w:val="009977B7"/>
    <w:rsid w:val="009978AC"/>
    <w:rsid w:val="009A05F4"/>
    <w:rsid w:val="009A11F6"/>
    <w:rsid w:val="009A1218"/>
    <w:rsid w:val="009A23E2"/>
    <w:rsid w:val="009A286B"/>
    <w:rsid w:val="009A2BD1"/>
    <w:rsid w:val="009A2D6A"/>
    <w:rsid w:val="009A3154"/>
    <w:rsid w:val="009A3730"/>
    <w:rsid w:val="009A3854"/>
    <w:rsid w:val="009A3C0C"/>
    <w:rsid w:val="009A4230"/>
    <w:rsid w:val="009A43D9"/>
    <w:rsid w:val="009A4805"/>
    <w:rsid w:val="009A549C"/>
    <w:rsid w:val="009A5E0A"/>
    <w:rsid w:val="009A63B9"/>
    <w:rsid w:val="009A6FB2"/>
    <w:rsid w:val="009A6FFF"/>
    <w:rsid w:val="009A71A1"/>
    <w:rsid w:val="009A7477"/>
    <w:rsid w:val="009A7502"/>
    <w:rsid w:val="009A7853"/>
    <w:rsid w:val="009A7FC0"/>
    <w:rsid w:val="009B09A0"/>
    <w:rsid w:val="009B0D04"/>
    <w:rsid w:val="009B10EB"/>
    <w:rsid w:val="009B12DC"/>
    <w:rsid w:val="009B1478"/>
    <w:rsid w:val="009B1AFA"/>
    <w:rsid w:val="009B20D8"/>
    <w:rsid w:val="009B2646"/>
    <w:rsid w:val="009B2E2B"/>
    <w:rsid w:val="009B35D5"/>
    <w:rsid w:val="009B3B47"/>
    <w:rsid w:val="009B3BCA"/>
    <w:rsid w:val="009B41A9"/>
    <w:rsid w:val="009B487E"/>
    <w:rsid w:val="009B4F3D"/>
    <w:rsid w:val="009B54C2"/>
    <w:rsid w:val="009B5868"/>
    <w:rsid w:val="009B59E4"/>
    <w:rsid w:val="009B6C34"/>
    <w:rsid w:val="009B7165"/>
    <w:rsid w:val="009B7E6F"/>
    <w:rsid w:val="009C0118"/>
    <w:rsid w:val="009C0B3E"/>
    <w:rsid w:val="009C0C0D"/>
    <w:rsid w:val="009C0D3D"/>
    <w:rsid w:val="009C0EB3"/>
    <w:rsid w:val="009C0ECA"/>
    <w:rsid w:val="009C1308"/>
    <w:rsid w:val="009C2741"/>
    <w:rsid w:val="009C286D"/>
    <w:rsid w:val="009C2B33"/>
    <w:rsid w:val="009C3202"/>
    <w:rsid w:val="009C3465"/>
    <w:rsid w:val="009C3717"/>
    <w:rsid w:val="009C39C8"/>
    <w:rsid w:val="009C3D8C"/>
    <w:rsid w:val="009C45C8"/>
    <w:rsid w:val="009C5594"/>
    <w:rsid w:val="009C5BB0"/>
    <w:rsid w:val="009C5BDA"/>
    <w:rsid w:val="009C602F"/>
    <w:rsid w:val="009C6122"/>
    <w:rsid w:val="009C67CE"/>
    <w:rsid w:val="009C688C"/>
    <w:rsid w:val="009C6C34"/>
    <w:rsid w:val="009C7001"/>
    <w:rsid w:val="009C7390"/>
    <w:rsid w:val="009C7B2D"/>
    <w:rsid w:val="009D02EC"/>
    <w:rsid w:val="009D0815"/>
    <w:rsid w:val="009D0BC8"/>
    <w:rsid w:val="009D0E21"/>
    <w:rsid w:val="009D1384"/>
    <w:rsid w:val="009D1395"/>
    <w:rsid w:val="009D15A7"/>
    <w:rsid w:val="009D1ADE"/>
    <w:rsid w:val="009D1BCE"/>
    <w:rsid w:val="009D1F84"/>
    <w:rsid w:val="009D26C3"/>
    <w:rsid w:val="009D2A58"/>
    <w:rsid w:val="009D2E6B"/>
    <w:rsid w:val="009D2F31"/>
    <w:rsid w:val="009D39B7"/>
    <w:rsid w:val="009D3AD1"/>
    <w:rsid w:val="009D3E7F"/>
    <w:rsid w:val="009D401B"/>
    <w:rsid w:val="009D4167"/>
    <w:rsid w:val="009D5338"/>
    <w:rsid w:val="009D5E04"/>
    <w:rsid w:val="009D5F82"/>
    <w:rsid w:val="009D5FB6"/>
    <w:rsid w:val="009D61AC"/>
    <w:rsid w:val="009D66A5"/>
    <w:rsid w:val="009D6790"/>
    <w:rsid w:val="009D686F"/>
    <w:rsid w:val="009D7245"/>
    <w:rsid w:val="009D7796"/>
    <w:rsid w:val="009D792B"/>
    <w:rsid w:val="009D7A4D"/>
    <w:rsid w:val="009E0117"/>
    <w:rsid w:val="009E0146"/>
    <w:rsid w:val="009E06B1"/>
    <w:rsid w:val="009E0CE7"/>
    <w:rsid w:val="009E17F2"/>
    <w:rsid w:val="009E1D1C"/>
    <w:rsid w:val="009E1DE0"/>
    <w:rsid w:val="009E21E1"/>
    <w:rsid w:val="009E2920"/>
    <w:rsid w:val="009E2C62"/>
    <w:rsid w:val="009E302F"/>
    <w:rsid w:val="009E3885"/>
    <w:rsid w:val="009E3AEF"/>
    <w:rsid w:val="009E3D66"/>
    <w:rsid w:val="009E3DD4"/>
    <w:rsid w:val="009E484F"/>
    <w:rsid w:val="009E5264"/>
    <w:rsid w:val="009E5D5D"/>
    <w:rsid w:val="009E6159"/>
    <w:rsid w:val="009E6224"/>
    <w:rsid w:val="009E6739"/>
    <w:rsid w:val="009E7E36"/>
    <w:rsid w:val="009F0252"/>
    <w:rsid w:val="009F04B3"/>
    <w:rsid w:val="009F1941"/>
    <w:rsid w:val="009F1A98"/>
    <w:rsid w:val="009F1BF3"/>
    <w:rsid w:val="009F1CD2"/>
    <w:rsid w:val="009F23E9"/>
    <w:rsid w:val="009F24A2"/>
    <w:rsid w:val="009F25CB"/>
    <w:rsid w:val="009F29A5"/>
    <w:rsid w:val="009F2A88"/>
    <w:rsid w:val="009F2B64"/>
    <w:rsid w:val="009F3468"/>
    <w:rsid w:val="009F34B6"/>
    <w:rsid w:val="009F38B7"/>
    <w:rsid w:val="009F4F3E"/>
    <w:rsid w:val="009F56F3"/>
    <w:rsid w:val="009F5735"/>
    <w:rsid w:val="009F58AC"/>
    <w:rsid w:val="009F61BE"/>
    <w:rsid w:val="009F62CE"/>
    <w:rsid w:val="009F668C"/>
    <w:rsid w:val="009F6875"/>
    <w:rsid w:val="009F72A5"/>
    <w:rsid w:val="009F75D0"/>
    <w:rsid w:val="009F79E0"/>
    <w:rsid w:val="009F7B9C"/>
    <w:rsid w:val="009F7FFB"/>
    <w:rsid w:val="00A000EE"/>
    <w:rsid w:val="00A002C7"/>
    <w:rsid w:val="00A0035E"/>
    <w:rsid w:val="00A00755"/>
    <w:rsid w:val="00A00B5F"/>
    <w:rsid w:val="00A00D5B"/>
    <w:rsid w:val="00A0107A"/>
    <w:rsid w:val="00A01131"/>
    <w:rsid w:val="00A011F6"/>
    <w:rsid w:val="00A01279"/>
    <w:rsid w:val="00A01574"/>
    <w:rsid w:val="00A0164A"/>
    <w:rsid w:val="00A01682"/>
    <w:rsid w:val="00A02D5A"/>
    <w:rsid w:val="00A0302E"/>
    <w:rsid w:val="00A035E8"/>
    <w:rsid w:val="00A03A89"/>
    <w:rsid w:val="00A04C14"/>
    <w:rsid w:val="00A04D20"/>
    <w:rsid w:val="00A04F6A"/>
    <w:rsid w:val="00A05CA8"/>
    <w:rsid w:val="00A06030"/>
    <w:rsid w:val="00A06B41"/>
    <w:rsid w:val="00A1012B"/>
    <w:rsid w:val="00A10C45"/>
    <w:rsid w:val="00A112AE"/>
    <w:rsid w:val="00A1164F"/>
    <w:rsid w:val="00A117F4"/>
    <w:rsid w:val="00A12552"/>
    <w:rsid w:val="00A12633"/>
    <w:rsid w:val="00A12C88"/>
    <w:rsid w:val="00A13338"/>
    <w:rsid w:val="00A14242"/>
    <w:rsid w:val="00A14C4A"/>
    <w:rsid w:val="00A14E21"/>
    <w:rsid w:val="00A152D0"/>
    <w:rsid w:val="00A15366"/>
    <w:rsid w:val="00A15477"/>
    <w:rsid w:val="00A154A2"/>
    <w:rsid w:val="00A15A9D"/>
    <w:rsid w:val="00A15CFC"/>
    <w:rsid w:val="00A15F7E"/>
    <w:rsid w:val="00A1638D"/>
    <w:rsid w:val="00A16C13"/>
    <w:rsid w:val="00A16F3B"/>
    <w:rsid w:val="00A178FC"/>
    <w:rsid w:val="00A17909"/>
    <w:rsid w:val="00A20015"/>
    <w:rsid w:val="00A204B1"/>
    <w:rsid w:val="00A2062E"/>
    <w:rsid w:val="00A221E8"/>
    <w:rsid w:val="00A22476"/>
    <w:rsid w:val="00A22704"/>
    <w:rsid w:val="00A22B83"/>
    <w:rsid w:val="00A22B9A"/>
    <w:rsid w:val="00A2304F"/>
    <w:rsid w:val="00A23600"/>
    <w:rsid w:val="00A2372F"/>
    <w:rsid w:val="00A23987"/>
    <w:rsid w:val="00A24565"/>
    <w:rsid w:val="00A24656"/>
    <w:rsid w:val="00A246D4"/>
    <w:rsid w:val="00A246F5"/>
    <w:rsid w:val="00A24D78"/>
    <w:rsid w:val="00A251C8"/>
    <w:rsid w:val="00A253B5"/>
    <w:rsid w:val="00A259E6"/>
    <w:rsid w:val="00A25CBA"/>
    <w:rsid w:val="00A2611E"/>
    <w:rsid w:val="00A26363"/>
    <w:rsid w:val="00A2639D"/>
    <w:rsid w:val="00A26DA7"/>
    <w:rsid w:val="00A26DC3"/>
    <w:rsid w:val="00A279E0"/>
    <w:rsid w:val="00A27FC1"/>
    <w:rsid w:val="00A300EC"/>
    <w:rsid w:val="00A30248"/>
    <w:rsid w:val="00A30738"/>
    <w:rsid w:val="00A30799"/>
    <w:rsid w:val="00A30CC4"/>
    <w:rsid w:val="00A30CFA"/>
    <w:rsid w:val="00A31179"/>
    <w:rsid w:val="00A318C1"/>
    <w:rsid w:val="00A31F30"/>
    <w:rsid w:val="00A32E04"/>
    <w:rsid w:val="00A332C8"/>
    <w:rsid w:val="00A3381B"/>
    <w:rsid w:val="00A3416F"/>
    <w:rsid w:val="00A3422D"/>
    <w:rsid w:val="00A344DF"/>
    <w:rsid w:val="00A34FB1"/>
    <w:rsid w:val="00A353CD"/>
    <w:rsid w:val="00A353E0"/>
    <w:rsid w:val="00A35402"/>
    <w:rsid w:val="00A3588C"/>
    <w:rsid w:val="00A3594C"/>
    <w:rsid w:val="00A365E8"/>
    <w:rsid w:val="00A3667F"/>
    <w:rsid w:val="00A366DC"/>
    <w:rsid w:val="00A366E2"/>
    <w:rsid w:val="00A36D43"/>
    <w:rsid w:val="00A36DAA"/>
    <w:rsid w:val="00A37095"/>
    <w:rsid w:val="00A370F1"/>
    <w:rsid w:val="00A37431"/>
    <w:rsid w:val="00A3766E"/>
    <w:rsid w:val="00A37688"/>
    <w:rsid w:val="00A37752"/>
    <w:rsid w:val="00A37BD6"/>
    <w:rsid w:val="00A37FBC"/>
    <w:rsid w:val="00A401DA"/>
    <w:rsid w:val="00A40DFB"/>
    <w:rsid w:val="00A40FCA"/>
    <w:rsid w:val="00A415CA"/>
    <w:rsid w:val="00A41D48"/>
    <w:rsid w:val="00A41F68"/>
    <w:rsid w:val="00A42149"/>
    <w:rsid w:val="00A42525"/>
    <w:rsid w:val="00A42C4F"/>
    <w:rsid w:val="00A42C9D"/>
    <w:rsid w:val="00A42D25"/>
    <w:rsid w:val="00A431E4"/>
    <w:rsid w:val="00A43514"/>
    <w:rsid w:val="00A43684"/>
    <w:rsid w:val="00A436FA"/>
    <w:rsid w:val="00A43A6B"/>
    <w:rsid w:val="00A43BBB"/>
    <w:rsid w:val="00A44448"/>
    <w:rsid w:val="00A448A6"/>
    <w:rsid w:val="00A44BD7"/>
    <w:rsid w:val="00A44EE1"/>
    <w:rsid w:val="00A450FA"/>
    <w:rsid w:val="00A4547F"/>
    <w:rsid w:val="00A45694"/>
    <w:rsid w:val="00A456CB"/>
    <w:rsid w:val="00A45760"/>
    <w:rsid w:val="00A459A5"/>
    <w:rsid w:val="00A46AFE"/>
    <w:rsid w:val="00A46FF9"/>
    <w:rsid w:val="00A47348"/>
    <w:rsid w:val="00A47388"/>
    <w:rsid w:val="00A479E5"/>
    <w:rsid w:val="00A47BBF"/>
    <w:rsid w:val="00A47EAF"/>
    <w:rsid w:val="00A47FBB"/>
    <w:rsid w:val="00A50153"/>
    <w:rsid w:val="00A5030E"/>
    <w:rsid w:val="00A503E8"/>
    <w:rsid w:val="00A51720"/>
    <w:rsid w:val="00A51F41"/>
    <w:rsid w:val="00A52261"/>
    <w:rsid w:val="00A52AAB"/>
    <w:rsid w:val="00A53084"/>
    <w:rsid w:val="00A53148"/>
    <w:rsid w:val="00A5339E"/>
    <w:rsid w:val="00A536D5"/>
    <w:rsid w:val="00A53883"/>
    <w:rsid w:val="00A5399B"/>
    <w:rsid w:val="00A54179"/>
    <w:rsid w:val="00A5478E"/>
    <w:rsid w:val="00A5479C"/>
    <w:rsid w:val="00A54899"/>
    <w:rsid w:val="00A54C18"/>
    <w:rsid w:val="00A54EC1"/>
    <w:rsid w:val="00A54EF2"/>
    <w:rsid w:val="00A55434"/>
    <w:rsid w:val="00A558D8"/>
    <w:rsid w:val="00A56B9C"/>
    <w:rsid w:val="00A570B2"/>
    <w:rsid w:val="00A57CBC"/>
    <w:rsid w:val="00A57D10"/>
    <w:rsid w:val="00A57F31"/>
    <w:rsid w:val="00A57F4B"/>
    <w:rsid w:val="00A604E7"/>
    <w:rsid w:val="00A60C2B"/>
    <w:rsid w:val="00A60C55"/>
    <w:rsid w:val="00A60C6C"/>
    <w:rsid w:val="00A622E1"/>
    <w:rsid w:val="00A6240F"/>
    <w:rsid w:val="00A62454"/>
    <w:rsid w:val="00A630E9"/>
    <w:rsid w:val="00A634EC"/>
    <w:rsid w:val="00A6356D"/>
    <w:rsid w:val="00A636AD"/>
    <w:rsid w:val="00A6430C"/>
    <w:rsid w:val="00A64571"/>
    <w:rsid w:val="00A649DC"/>
    <w:rsid w:val="00A64CF6"/>
    <w:rsid w:val="00A658A3"/>
    <w:rsid w:val="00A65A3C"/>
    <w:rsid w:val="00A65C77"/>
    <w:rsid w:val="00A6683B"/>
    <w:rsid w:val="00A673F5"/>
    <w:rsid w:val="00A67F61"/>
    <w:rsid w:val="00A7035B"/>
    <w:rsid w:val="00A7066B"/>
    <w:rsid w:val="00A70CA4"/>
    <w:rsid w:val="00A7121B"/>
    <w:rsid w:val="00A714E5"/>
    <w:rsid w:val="00A716BA"/>
    <w:rsid w:val="00A7182A"/>
    <w:rsid w:val="00A718DA"/>
    <w:rsid w:val="00A71CA0"/>
    <w:rsid w:val="00A72142"/>
    <w:rsid w:val="00A72624"/>
    <w:rsid w:val="00A73FDB"/>
    <w:rsid w:val="00A74776"/>
    <w:rsid w:val="00A74D81"/>
    <w:rsid w:val="00A75EB5"/>
    <w:rsid w:val="00A76144"/>
    <w:rsid w:val="00A76298"/>
    <w:rsid w:val="00A766B5"/>
    <w:rsid w:val="00A76943"/>
    <w:rsid w:val="00A81464"/>
    <w:rsid w:val="00A8154A"/>
    <w:rsid w:val="00A81552"/>
    <w:rsid w:val="00A8176B"/>
    <w:rsid w:val="00A817AB"/>
    <w:rsid w:val="00A81DF2"/>
    <w:rsid w:val="00A82196"/>
    <w:rsid w:val="00A82DC3"/>
    <w:rsid w:val="00A82F5D"/>
    <w:rsid w:val="00A83380"/>
    <w:rsid w:val="00A83484"/>
    <w:rsid w:val="00A83606"/>
    <w:rsid w:val="00A83B18"/>
    <w:rsid w:val="00A83FEF"/>
    <w:rsid w:val="00A84616"/>
    <w:rsid w:val="00A84C93"/>
    <w:rsid w:val="00A84DE8"/>
    <w:rsid w:val="00A85239"/>
    <w:rsid w:val="00A856C8"/>
    <w:rsid w:val="00A8693C"/>
    <w:rsid w:val="00A86BAF"/>
    <w:rsid w:val="00A86BCC"/>
    <w:rsid w:val="00A86DBE"/>
    <w:rsid w:val="00A87027"/>
    <w:rsid w:val="00A870B5"/>
    <w:rsid w:val="00A87120"/>
    <w:rsid w:val="00A8737D"/>
    <w:rsid w:val="00A875BC"/>
    <w:rsid w:val="00A87C83"/>
    <w:rsid w:val="00A90235"/>
    <w:rsid w:val="00A90410"/>
    <w:rsid w:val="00A90520"/>
    <w:rsid w:val="00A905A2"/>
    <w:rsid w:val="00A91379"/>
    <w:rsid w:val="00A914EB"/>
    <w:rsid w:val="00A91646"/>
    <w:rsid w:val="00A91D82"/>
    <w:rsid w:val="00A91E1A"/>
    <w:rsid w:val="00A91E27"/>
    <w:rsid w:val="00A9269D"/>
    <w:rsid w:val="00A92A7C"/>
    <w:rsid w:val="00A93071"/>
    <w:rsid w:val="00A931A6"/>
    <w:rsid w:val="00A93E4C"/>
    <w:rsid w:val="00A94214"/>
    <w:rsid w:val="00A9460D"/>
    <w:rsid w:val="00A947FC"/>
    <w:rsid w:val="00A95060"/>
    <w:rsid w:val="00A950AA"/>
    <w:rsid w:val="00A95D5E"/>
    <w:rsid w:val="00A95DB1"/>
    <w:rsid w:val="00A96610"/>
    <w:rsid w:val="00A971F3"/>
    <w:rsid w:val="00A97CC1"/>
    <w:rsid w:val="00AA00D8"/>
    <w:rsid w:val="00AA02A0"/>
    <w:rsid w:val="00AA0329"/>
    <w:rsid w:val="00AA0CEB"/>
    <w:rsid w:val="00AA0E5F"/>
    <w:rsid w:val="00AA2230"/>
    <w:rsid w:val="00AA240E"/>
    <w:rsid w:val="00AA25B0"/>
    <w:rsid w:val="00AA3158"/>
    <w:rsid w:val="00AA33A8"/>
    <w:rsid w:val="00AA34E8"/>
    <w:rsid w:val="00AA35A3"/>
    <w:rsid w:val="00AA372B"/>
    <w:rsid w:val="00AA3F3A"/>
    <w:rsid w:val="00AA4069"/>
    <w:rsid w:val="00AA4887"/>
    <w:rsid w:val="00AA493D"/>
    <w:rsid w:val="00AA5226"/>
    <w:rsid w:val="00AA55FE"/>
    <w:rsid w:val="00AA5A7D"/>
    <w:rsid w:val="00AA5B47"/>
    <w:rsid w:val="00AA5F4D"/>
    <w:rsid w:val="00AA67B9"/>
    <w:rsid w:val="00AA6E06"/>
    <w:rsid w:val="00AA70DA"/>
    <w:rsid w:val="00AA750F"/>
    <w:rsid w:val="00AB0129"/>
    <w:rsid w:val="00AB07B6"/>
    <w:rsid w:val="00AB0925"/>
    <w:rsid w:val="00AB0AA0"/>
    <w:rsid w:val="00AB11C4"/>
    <w:rsid w:val="00AB17AF"/>
    <w:rsid w:val="00AB1F4F"/>
    <w:rsid w:val="00AB2335"/>
    <w:rsid w:val="00AB242E"/>
    <w:rsid w:val="00AB2831"/>
    <w:rsid w:val="00AB2AAF"/>
    <w:rsid w:val="00AB2C47"/>
    <w:rsid w:val="00AB2F52"/>
    <w:rsid w:val="00AB2FF7"/>
    <w:rsid w:val="00AB46EB"/>
    <w:rsid w:val="00AB514A"/>
    <w:rsid w:val="00AB56C0"/>
    <w:rsid w:val="00AB57A5"/>
    <w:rsid w:val="00AB5CE3"/>
    <w:rsid w:val="00AB5F2E"/>
    <w:rsid w:val="00AB5F45"/>
    <w:rsid w:val="00AB6281"/>
    <w:rsid w:val="00AB64E8"/>
    <w:rsid w:val="00AB66F4"/>
    <w:rsid w:val="00AB6927"/>
    <w:rsid w:val="00AB6945"/>
    <w:rsid w:val="00AB7748"/>
    <w:rsid w:val="00AB7F06"/>
    <w:rsid w:val="00AC0655"/>
    <w:rsid w:val="00AC06B4"/>
    <w:rsid w:val="00AC09C6"/>
    <w:rsid w:val="00AC0A68"/>
    <w:rsid w:val="00AC0F03"/>
    <w:rsid w:val="00AC12E6"/>
    <w:rsid w:val="00AC1A26"/>
    <w:rsid w:val="00AC1BF2"/>
    <w:rsid w:val="00AC1F6D"/>
    <w:rsid w:val="00AC2427"/>
    <w:rsid w:val="00AC249A"/>
    <w:rsid w:val="00AC2705"/>
    <w:rsid w:val="00AC2F14"/>
    <w:rsid w:val="00AC328E"/>
    <w:rsid w:val="00AC32A0"/>
    <w:rsid w:val="00AC3689"/>
    <w:rsid w:val="00AC36AF"/>
    <w:rsid w:val="00AC3764"/>
    <w:rsid w:val="00AC3B20"/>
    <w:rsid w:val="00AC423B"/>
    <w:rsid w:val="00AC4377"/>
    <w:rsid w:val="00AC45A3"/>
    <w:rsid w:val="00AC4951"/>
    <w:rsid w:val="00AC49BC"/>
    <w:rsid w:val="00AC4FDF"/>
    <w:rsid w:val="00AC5043"/>
    <w:rsid w:val="00AC5F42"/>
    <w:rsid w:val="00AC6D03"/>
    <w:rsid w:val="00AC706C"/>
    <w:rsid w:val="00AC712F"/>
    <w:rsid w:val="00AC7A57"/>
    <w:rsid w:val="00AD0B1A"/>
    <w:rsid w:val="00AD0B72"/>
    <w:rsid w:val="00AD0ECB"/>
    <w:rsid w:val="00AD0EFB"/>
    <w:rsid w:val="00AD0FED"/>
    <w:rsid w:val="00AD17B7"/>
    <w:rsid w:val="00AD1D7A"/>
    <w:rsid w:val="00AD1EDB"/>
    <w:rsid w:val="00AD21B2"/>
    <w:rsid w:val="00AD283E"/>
    <w:rsid w:val="00AD316F"/>
    <w:rsid w:val="00AD33F3"/>
    <w:rsid w:val="00AD363D"/>
    <w:rsid w:val="00AD3F17"/>
    <w:rsid w:val="00AD4188"/>
    <w:rsid w:val="00AD43D9"/>
    <w:rsid w:val="00AD49C1"/>
    <w:rsid w:val="00AD509C"/>
    <w:rsid w:val="00AD5461"/>
    <w:rsid w:val="00AD59C3"/>
    <w:rsid w:val="00AD5B2F"/>
    <w:rsid w:val="00AD5CDA"/>
    <w:rsid w:val="00AD6114"/>
    <w:rsid w:val="00AD6B9D"/>
    <w:rsid w:val="00AD6DED"/>
    <w:rsid w:val="00AD77AD"/>
    <w:rsid w:val="00AD787E"/>
    <w:rsid w:val="00AD7A25"/>
    <w:rsid w:val="00AD7B60"/>
    <w:rsid w:val="00AD7D09"/>
    <w:rsid w:val="00AD7F41"/>
    <w:rsid w:val="00AE050C"/>
    <w:rsid w:val="00AE07FB"/>
    <w:rsid w:val="00AE0A70"/>
    <w:rsid w:val="00AE0DC3"/>
    <w:rsid w:val="00AE167A"/>
    <w:rsid w:val="00AE18C4"/>
    <w:rsid w:val="00AE2440"/>
    <w:rsid w:val="00AE2CAA"/>
    <w:rsid w:val="00AE2E36"/>
    <w:rsid w:val="00AE30DD"/>
    <w:rsid w:val="00AE338E"/>
    <w:rsid w:val="00AE3C9A"/>
    <w:rsid w:val="00AE45F6"/>
    <w:rsid w:val="00AE47B7"/>
    <w:rsid w:val="00AE4837"/>
    <w:rsid w:val="00AE4D16"/>
    <w:rsid w:val="00AE5CFF"/>
    <w:rsid w:val="00AE624E"/>
    <w:rsid w:val="00AE628E"/>
    <w:rsid w:val="00AE6CE3"/>
    <w:rsid w:val="00AE72A6"/>
    <w:rsid w:val="00AE758F"/>
    <w:rsid w:val="00AE7A66"/>
    <w:rsid w:val="00AE7AD2"/>
    <w:rsid w:val="00AF040C"/>
    <w:rsid w:val="00AF0481"/>
    <w:rsid w:val="00AF109D"/>
    <w:rsid w:val="00AF15BF"/>
    <w:rsid w:val="00AF15CB"/>
    <w:rsid w:val="00AF23BD"/>
    <w:rsid w:val="00AF2E06"/>
    <w:rsid w:val="00AF3262"/>
    <w:rsid w:val="00AF3481"/>
    <w:rsid w:val="00AF3575"/>
    <w:rsid w:val="00AF3C5B"/>
    <w:rsid w:val="00AF3CFA"/>
    <w:rsid w:val="00AF3D3D"/>
    <w:rsid w:val="00AF4277"/>
    <w:rsid w:val="00AF43A4"/>
    <w:rsid w:val="00AF45DC"/>
    <w:rsid w:val="00AF4818"/>
    <w:rsid w:val="00AF543D"/>
    <w:rsid w:val="00AF550C"/>
    <w:rsid w:val="00AF55AC"/>
    <w:rsid w:val="00AF55B1"/>
    <w:rsid w:val="00AF5D68"/>
    <w:rsid w:val="00AF60C4"/>
    <w:rsid w:val="00AF628E"/>
    <w:rsid w:val="00AF6EBD"/>
    <w:rsid w:val="00AF6FCE"/>
    <w:rsid w:val="00AF7167"/>
    <w:rsid w:val="00AF719D"/>
    <w:rsid w:val="00AF7786"/>
    <w:rsid w:val="00B00284"/>
    <w:rsid w:val="00B00881"/>
    <w:rsid w:val="00B00A0A"/>
    <w:rsid w:val="00B017EB"/>
    <w:rsid w:val="00B0223C"/>
    <w:rsid w:val="00B0280C"/>
    <w:rsid w:val="00B03000"/>
    <w:rsid w:val="00B03699"/>
    <w:rsid w:val="00B03B50"/>
    <w:rsid w:val="00B04704"/>
    <w:rsid w:val="00B05862"/>
    <w:rsid w:val="00B05F43"/>
    <w:rsid w:val="00B06511"/>
    <w:rsid w:val="00B0660A"/>
    <w:rsid w:val="00B06E63"/>
    <w:rsid w:val="00B07CD0"/>
    <w:rsid w:val="00B102F4"/>
    <w:rsid w:val="00B10BB9"/>
    <w:rsid w:val="00B11904"/>
    <w:rsid w:val="00B11946"/>
    <w:rsid w:val="00B12059"/>
    <w:rsid w:val="00B12192"/>
    <w:rsid w:val="00B12890"/>
    <w:rsid w:val="00B137E4"/>
    <w:rsid w:val="00B13A17"/>
    <w:rsid w:val="00B13A9B"/>
    <w:rsid w:val="00B13BFE"/>
    <w:rsid w:val="00B13ED0"/>
    <w:rsid w:val="00B13FD5"/>
    <w:rsid w:val="00B1429B"/>
    <w:rsid w:val="00B14B19"/>
    <w:rsid w:val="00B1503B"/>
    <w:rsid w:val="00B15218"/>
    <w:rsid w:val="00B15850"/>
    <w:rsid w:val="00B15B0A"/>
    <w:rsid w:val="00B15B44"/>
    <w:rsid w:val="00B15B5D"/>
    <w:rsid w:val="00B16425"/>
    <w:rsid w:val="00B16F01"/>
    <w:rsid w:val="00B17074"/>
    <w:rsid w:val="00B17351"/>
    <w:rsid w:val="00B17631"/>
    <w:rsid w:val="00B17D99"/>
    <w:rsid w:val="00B17F53"/>
    <w:rsid w:val="00B20214"/>
    <w:rsid w:val="00B20697"/>
    <w:rsid w:val="00B20704"/>
    <w:rsid w:val="00B207DA"/>
    <w:rsid w:val="00B2174D"/>
    <w:rsid w:val="00B21795"/>
    <w:rsid w:val="00B217D8"/>
    <w:rsid w:val="00B2198C"/>
    <w:rsid w:val="00B21CC6"/>
    <w:rsid w:val="00B23314"/>
    <w:rsid w:val="00B233D4"/>
    <w:rsid w:val="00B23A68"/>
    <w:rsid w:val="00B23E2A"/>
    <w:rsid w:val="00B244E8"/>
    <w:rsid w:val="00B24532"/>
    <w:rsid w:val="00B24AA6"/>
    <w:rsid w:val="00B24BF5"/>
    <w:rsid w:val="00B24CAF"/>
    <w:rsid w:val="00B24FF1"/>
    <w:rsid w:val="00B2503E"/>
    <w:rsid w:val="00B25260"/>
    <w:rsid w:val="00B25779"/>
    <w:rsid w:val="00B25802"/>
    <w:rsid w:val="00B2621B"/>
    <w:rsid w:val="00B26292"/>
    <w:rsid w:val="00B26435"/>
    <w:rsid w:val="00B2643A"/>
    <w:rsid w:val="00B26A2A"/>
    <w:rsid w:val="00B27990"/>
    <w:rsid w:val="00B27D0B"/>
    <w:rsid w:val="00B27F4B"/>
    <w:rsid w:val="00B30022"/>
    <w:rsid w:val="00B30169"/>
    <w:rsid w:val="00B30217"/>
    <w:rsid w:val="00B30276"/>
    <w:rsid w:val="00B3076A"/>
    <w:rsid w:val="00B30B6F"/>
    <w:rsid w:val="00B3171C"/>
    <w:rsid w:val="00B324D0"/>
    <w:rsid w:val="00B32749"/>
    <w:rsid w:val="00B32842"/>
    <w:rsid w:val="00B32CAE"/>
    <w:rsid w:val="00B3313C"/>
    <w:rsid w:val="00B3313D"/>
    <w:rsid w:val="00B331E3"/>
    <w:rsid w:val="00B342E8"/>
    <w:rsid w:val="00B34673"/>
    <w:rsid w:val="00B35266"/>
    <w:rsid w:val="00B35682"/>
    <w:rsid w:val="00B35736"/>
    <w:rsid w:val="00B36370"/>
    <w:rsid w:val="00B363CB"/>
    <w:rsid w:val="00B3700B"/>
    <w:rsid w:val="00B379DB"/>
    <w:rsid w:val="00B40B25"/>
    <w:rsid w:val="00B41028"/>
    <w:rsid w:val="00B41077"/>
    <w:rsid w:val="00B41112"/>
    <w:rsid w:val="00B411DF"/>
    <w:rsid w:val="00B4198C"/>
    <w:rsid w:val="00B41A93"/>
    <w:rsid w:val="00B41B78"/>
    <w:rsid w:val="00B41D40"/>
    <w:rsid w:val="00B42C63"/>
    <w:rsid w:val="00B43534"/>
    <w:rsid w:val="00B436FD"/>
    <w:rsid w:val="00B438D2"/>
    <w:rsid w:val="00B43C47"/>
    <w:rsid w:val="00B43F8D"/>
    <w:rsid w:val="00B441A5"/>
    <w:rsid w:val="00B44271"/>
    <w:rsid w:val="00B44293"/>
    <w:rsid w:val="00B446A7"/>
    <w:rsid w:val="00B446DF"/>
    <w:rsid w:val="00B44718"/>
    <w:rsid w:val="00B448F3"/>
    <w:rsid w:val="00B44B70"/>
    <w:rsid w:val="00B44E3B"/>
    <w:rsid w:val="00B4566C"/>
    <w:rsid w:val="00B4597A"/>
    <w:rsid w:val="00B461FE"/>
    <w:rsid w:val="00B46421"/>
    <w:rsid w:val="00B46430"/>
    <w:rsid w:val="00B46464"/>
    <w:rsid w:val="00B4655E"/>
    <w:rsid w:val="00B46589"/>
    <w:rsid w:val="00B4685F"/>
    <w:rsid w:val="00B46923"/>
    <w:rsid w:val="00B46FB3"/>
    <w:rsid w:val="00B477C0"/>
    <w:rsid w:val="00B479C2"/>
    <w:rsid w:val="00B51582"/>
    <w:rsid w:val="00B51AE1"/>
    <w:rsid w:val="00B51E50"/>
    <w:rsid w:val="00B52168"/>
    <w:rsid w:val="00B52690"/>
    <w:rsid w:val="00B52EF7"/>
    <w:rsid w:val="00B5400F"/>
    <w:rsid w:val="00B5458C"/>
    <w:rsid w:val="00B54724"/>
    <w:rsid w:val="00B54A15"/>
    <w:rsid w:val="00B5559F"/>
    <w:rsid w:val="00B562BC"/>
    <w:rsid w:val="00B56A74"/>
    <w:rsid w:val="00B5710C"/>
    <w:rsid w:val="00B57580"/>
    <w:rsid w:val="00B577E7"/>
    <w:rsid w:val="00B57A35"/>
    <w:rsid w:val="00B6034F"/>
    <w:rsid w:val="00B60381"/>
    <w:rsid w:val="00B60392"/>
    <w:rsid w:val="00B6040C"/>
    <w:rsid w:val="00B60C0D"/>
    <w:rsid w:val="00B61207"/>
    <w:rsid w:val="00B617AC"/>
    <w:rsid w:val="00B6181A"/>
    <w:rsid w:val="00B61A04"/>
    <w:rsid w:val="00B61A86"/>
    <w:rsid w:val="00B62991"/>
    <w:rsid w:val="00B63D9E"/>
    <w:rsid w:val="00B64150"/>
    <w:rsid w:val="00B643C9"/>
    <w:rsid w:val="00B64453"/>
    <w:rsid w:val="00B64E7D"/>
    <w:rsid w:val="00B65466"/>
    <w:rsid w:val="00B6548B"/>
    <w:rsid w:val="00B657DA"/>
    <w:rsid w:val="00B659D6"/>
    <w:rsid w:val="00B65F17"/>
    <w:rsid w:val="00B661CE"/>
    <w:rsid w:val="00B66407"/>
    <w:rsid w:val="00B6651C"/>
    <w:rsid w:val="00B669A3"/>
    <w:rsid w:val="00B66FFC"/>
    <w:rsid w:val="00B6700A"/>
    <w:rsid w:val="00B67945"/>
    <w:rsid w:val="00B67CC5"/>
    <w:rsid w:val="00B700C9"/>
    <w:rsid w:val="00B7025D"/>
    <w:rsid w:val="00B707EA"/>
    <w:rsid w:val="00B708DD"/>
    <w:rsid w:val="00B70A7E"/>
    <w:rsid w:val="00B72609"/>
    <w:rsid w:val="00B72A49"/>
    <w:rsid w:val="00B72CDF"/>
    <w:rsid w:val="00B72DA0"/>
    <w:rsid w:val="00B72EFA"/>
    <w:rsid w:val="00B73696"/>
    <w:rsid w:val="00B75060"/>
    <w:rsid w:val="00B750BA"/>
    <w:rsid w:val="00B75248"/>
    <w:rsid w:val="00B75F5B"/>
    <w:rsid w:val="00B77B61"/>
    <w:rsid w:val="00B8010D"/>
    <w:rsid w:val="00B80427"/>
    <w:rsid w:val="00B811C9"/>
    <w:rsid w:val="00B816F5"/>
    <w:rsid w:val="00B819D9"/>
    <w:rsid w:val="00B81BAD"/>
    <w:rsid w:val="00B81DD7"/>
    <w:rsid w:val="00B82449"/>
    <w:rsid w:val="00B8250C"/>
    <w:rsid w:val="00B825A3"/>
    <w:rsid w:val="00B8298E"/>
    <w:rsid w:val="00B82EE7"/>
    <w:rsid w:val="00B83445"/>
    <w:rsid w:val="00B83FF2"/>
    <w:rsid w:val="00B84256"/>
    <w:rsid w:val="00B8483F"/>
    <w:rsid w:val="00B84AEB"/>
    <w:rsid w:val="00B84C25"/>
    <w:rsid w:val="00B8554B"/>
    <w:rsid w:val="00B85941"/>
    <w:rsid w:val="00B86078"/>
    <w:rsid w:val="00B860FC"/>
    <w:rsid w:val="00B86DB1"/>
    <w:rsid w:val="00B8705A"/>
    <w:rsid w:val="00B8723B"/>
    <w:rsid w:val="00B8762E"/>
    <w:rsid w:val="00B87631"/>
    <w:rsid w:val="00B901D2"/>
    <w:rsid w:val="00B90AEA"/>
    <w:rsid w:val="00B915BB"/>
    <w:rsid w:val="00B9166E"/>
    <w:rsid w:val="00B92336"/>
    <w:rsid w:val="00B92863"/>
    <w:rsid w:val="00B92B65"/>
    <w:rsid w:val="00B93EAE"/>
    <w:rsid w:val="00B94A91"/>
    <w:rsid w:val="00B9542C"/>
    <w:rsid w:val="00B9575D"/>
    <w:rsid w:val="00B959D9"/>
    <w:rsid w:val="00B95EAF"/>
    <w:rsid w:val="00B966D0"/>
    <w:rsid w:val="00B96914"/>
    <w:rsid w:val="00B96FA5"/>
    <w:rsid w:val="00B9722C"/>
    <w:rsid w:val="00B97327"/>
    <w:rsid w:val="00B973A4"/>
    <w:rsid w:val="00BA00F5"/>
    <w:rsid w:val="00BA048C"/>
    <w:rsid w:val="00BA05BB"/>
    <w:rsid w:val="00BA05F4"/>
    <w:rsid w:val="00BA1299"/>
    <w:rsid w:val="00BA147E"/>
    <w:rsid w:val="00BA19D5"/>
    <w:rsid w:val="00BA231C"/>
    <w:rsid w:val="00BA29D5"/>
    <w:rsid w:val="00BA34B0"/>
    <w:rsid w:val="00BA3AFB"/>
    <w:rsid w:val="00BA3C59"/>
    <w:rsid w:val="00BA464B"/>
    <w:rsid w:val="00BA5279"/>
    <w:rsid w:val="00BA529F"/>
    <w:rsid w:val="00BA52A5"/>
    <w:rsid w:val="00BA53E2"/>
    <w:rsid w:val="00BA5CB8"/>
    <w:rsid w:val="00BA5CDD"/>
    <w:rsid w:val="00BA5E5D"/>
    <w:rsid w:val="00BA6A75"/>
    <w:rsid w:val="00BA6BD2"/>
    <w:rsid w:val="00BA6C07"/>
    <w:rsid w:val="00BA6C31"/>
    <w:rsid w:val="00BB1210"/>
    <w:rsid w:val="00BB125D"/>
    <w:rsid w:val="00BB1C40"/>
    <w:rsid w:val="00BB29DB"/>
    <w:rsid w:val="00BB2B78"/>
    <w:rsid w:val="00BB302A"/>
    <w:rsid w:val="00BB347F"/>
    <w:rsid w:val="00BB4E9F"/>
    <w:rsid w:val="00BB69DD"/>
    <w:rsid w:val="00BB6B37"/>
    <w:rsid w:val="00BB73FF"/>
    <w:rsid w:val="00BC0323"/>
    <w:rsid w:val="00BC0651"/>
    <w:rsid w:val="00BC09F0"/>
    <w:rsid w:val="00BC0B60"/>
    <w:rsid w:val="00BC0BD9"/>
    <w:rsid w:val="00BC227D"/>
    <w:rsid w:val="00BC23A1"/>
    <w:rsid w:val="00BC260E"/>
    <w:rsid w:val="00BC2E16"/>
    <w:rsid w:val="00BC2E62"/>
    <w:rsid w:val="00BC2F38"/>
    <w:rsid w:val="00BC3520"/>
    <w:rsid w:val="00BC3543"/>
    <w:rsid w:val="00BC397D"/>
    <w:rsid w:val="00BC3A3B"/>
    <w:rsid w:val="00BC3EBD"/>
    <w:rsid w:val="00BC4E8B"/>
    <w:rsid w:val="00BC557E"/>
    <w:rsid w:val="00BC55F6"/>
    <w:rsid w:val="00BC57D9"/>
    <w:rsid w:val="00BC5A78"/>
    <w:rsid w:val="00BC5BB8"/>
    <w:rsid w:val="00BC5FFA"/>
    <w:rsid w:val="00BC615E"/>
    <w:rsid w:val="00BC69F5"/>
    <w:rsid w:val="00BC6AF1"/>
    <w:rsid w:val="00BC7152"/>
    <w:rsid w:val="00BC796B"/>
    <w:rsid w:val="00BC7CC8"/>
    <w:rsid w:val="00BC7EF2"/>
    <w:rsid w:val="00BD046C"/>
    <w:rsid w:val="00BD054D"/>
    <w:rsid w:val="00BD061A"/>
    <w:rsid w:val="00BD08D0"/>
    <w:rsid w:val="00BD1135"/>
    <w:rsid w:val="00BD14AB"/>
    <w:rsid w:val="00BD172B"/>
    <w:rsid w:val="00BD18BB"/>
    <w:rsid w:val="00BD1CF2"/>
    <w:rsid w:val="00BD25B5"/>
    <w:rsid w:val="00BD29E9"/>
    <w:rsid w:val="00BD2EDD"/>
    <w:rsid w:val="00BD3006"/>
    <w:rsid w:val="00BD31DF"/>
    <w:rsid w:val="00BD3287"/>
    <w:rsid w:val="00BD3E77"/>
    <w:rsid w:val="00BD3F99"/>
    <w:rsid w:val="00BD44CE"/>
    <w:rsid w:val="00BD4B4A"/>
    <w:rsid w:val="00BD4C85"/>
    <w:rsid w:val="00BD504B"/>
    <w:rsid w:val="00BD5181"/>
    <w:rsid w:val="00BD5B07"/>
    <w:rsid w:val="00BD6095"/>
    <w:rsid w:val="00BD739B"/>
    <w:rsid w:val="00BD7C4D"/>
    <w:rsid w:val="00BD7C9D"/>
    <w:rsid w:val="00BE07F6"/>
    <w:rsid w:val="00BE089C"/>
    <w:rsid w:val="00BE0F00"/>
    <w:rsid w:val="00BE0F45"/>
    <w:rsid w:val="00BE0F46"/>
    <w:rsid w:val="00BE1048"/>
    <w:rsid w:val="00BE11DF"/>
    <w:rsid w:val="00BE1782"/>
    <w:rsid w:val="00BE183F"/>
    <w:rsid w:val="00BE1AD6"/>
    <w:rsid w:val="00BE21DC"/>
    <w:rsid w:val="00BE237D"/>
    <w:rsid w:val="00BE26DA"/>
    <w:rsid w:val="00BE299E"/>
    <w:rsid w:val="00BE30A3"/>
    <w:rsid w:val="00BE3489"/>
    <w:rsid w:val="00BE36E4"/>
    <w:rsid w:val="00BE3971"/>
    <w:rsid w:val="00BE39FA"/>
    <w:rsid w:val="00BE3A5B"/>
    <w:rsid w:val="00BE3EFD"/>
    <w:rsid w:val="00BE5037"/>
    <w:rsid w:val="00BE51CF"/>
    <w:rsid w:val="00BE5F3A"/>
    <w:rsid w:val="00BE6949"/>
    <w:rsid w:val="00BE6F01"/>
    <w:rsid w:val="00BE76D7"/>
    <w:rsid w:val="00BE7E58"/>
    <w:rsid w:val="00BF01A0"/>
    <w:rsid w:val="00BF1026"/>
    <w:rsid w:val="00BF1994"/>
    <w:rsid w:val="00BF1EDE"/>
    <w:rsid w:val="00BF26CF"/>
    <w:rsid w:val="00BF28BB"/>
    <w:rsid w:val="00BF2AA7"/>
    <w:rsid w:val="00BF2DBE"/>
    <w:rsid w:val="00BF3266"/>
    <w:rsid w:val="00BF381E"/>
    <w:rsid w:val="00BF3B72"/>
    <w:rsid w:val="00BF4586"/>
    <w:rsid w:val="00BF47EF"/>
    <w:rsid w:val="00BF481F"/>
    <w:rsid w:val="00BF4C96"/>
    <w:rsid w:val="00BF542E"/>
    <w:rsid w:val="00BF6523"/>
    <w:rsid w:val="00C0053A"/>
    <w:rsid w:val="00C008DE"/>
    <w:rsid w:val="00C01D1F"/>
    <w:rsid w:val="00C01F64"/>
    <w:rsid w:val="00C01FE4"/>
    <w:rsid w:val="00C026A2"/>
    <w:rsid w:val="00C029D7"/>
    <w:rsid w:val="00C02B82"/>
    <w:rsid w:val="00C03324"/>
    <w:rsid w:val="00C03964"/>
    <w:rsid w:val="00C042EB"/>
    <w:rsid w:val="00C04429"/>
    <w:rsid w:val="00C04E7A"/>
    <w:rsid w:val="00C052CB"/>
    <w:rsid w:val="00C053E0"/>
    <w:rsid w:val="00C053EA"/>
    <w:rsid w:val="00C05C6B"/>
    <w:rsid w:val="00C05EEC"/>
    <w:rsid w:val="00C05F9D"/>
    <w:rsid w:val="00C061D0"/>
    <w:rsid w:val="00C06E1E"/>
    <w:rsid w:val="00C06FB2"/>
    <w:rsid w:val="00C0731F"/>
    <w:rsid w:val="00C07904"/>
    <w:rsid w:val="00C07FDB"/>
    <w:rsid w:val="00C103AF"/>
    <w:rsid w:val="00C108C7"/>
    <w:rsid w:val="00C10B14"/>
    <w:rsid w:val="00C10B9A"/>
    <w:rsid w:val="00C10FD3"/>
    <w:rsid w:val="00C110AC"/>
    <w:rsid w:val="00C116DD"/>
    <w:rsid w:val="00C11DA2"/>
    <w:rsid w:val="00C123D3"/>
    <w:rsid w:val="00C1250E"/>
    <w:rsid w:val="00C12BB0"/>
    <w:rsid w:val="00C12DB7"/>
    <w:rsid w:val="00C12F22"/>
    <w:rsid w:val="00C13667"/>
    <w:rsid w:val="00C136B9"/>
    <w:rsid w:val="00C1385C"/>
    <w:rsid w:val="00C144B8"/>
    <w:rsid w:val="00C153E0"/>
    <w:rsid w:val="00C154DE"/>
    <w:rsid w:val="00C15AF9"/>
    <w:rsid w:val="00C15CD6"/>
    <w:rsid w:val="00C15D2A"/>
    <w:rsid w:val="00C15F89"/>
    <w:rsid w:val="00C16266"/>
    <w:rsid w:val="00C16E06"/>
    <w:rsid w:val="00C16E76"/>
    <w:rsid w:val="00C171B8"/>
    <w:rsid w:val="00C17482"/>
    <w:rsid w:val="00C177EB"/>
    <w:rsid w:val="00C17876"/>
    <w:rsid w:val="00C17A19"/>
    <w:rsid w:val="00C17B91"/>
    <w:rsid w:val="00C20094"/>
    <w:rsid w:val="00C201C7"/>
    <w:rsid w:val="00C203B3"/>
    <w:rsid w:val="00C206D3"/>
    <w:rsid w:val="00C20979"/>
    <w:rsid w:val="00C20EA3"/>
    <w:rsid w:val="00C212A5"/>
    <w:rsid w:val="00C2158B"/>
    <w:rsid w:val="00C216E4"/>
    <w:rsid w:val="00C21E28"/>
    <w:rsid w:val="00C22698"/>
    <w:rsid w:val="00C22A79"/>
    <w:rsid w:val="00C23315"/>
    <w:rsid w:val="00C238BA"/>
    <w:rsid w:val="00C240A5"/>
    <w:rsid w:val="00C24B96"/>
    <w:rsid w:val="00C24D33"/>
    <w:rsid w:val="00C255A2"/>
    <w:rsid w:val="00C25ABD"/>
    <w:rsid w:val="00C26113"/>
    <w:rsid w:val="00C26835"/>
    <w:rsid w:val="00C2691F"/>
    <w:rsid w:val="00C272C3"/>
    <w:rsid w:val="00C275D7"/>
    <w:rsid w:val="00C27E64"/>
    <w:rsid w:val="00C3021B"/>
    <w:rsid w:val="00C3035A"/>
    <w:rsid w:val="00C30920"/>
    <w:rsid w:val="00C31084"/>
    <w:rsid w:val="00C31FCA"/>
    <w:rsid w:val="00C32747"/>
    <w:rsid w:val="00C32BD0"/>
    <w:rsid w:val="00C32CFF"/>
    <w:rsid w:val="00C32ED7"/>
    <w:rsid w:val="00C33095"/>
    <w:rsid w:val="00C330BD"/>
    <w:rsid w:val="00C33E3A"/>
    <w:rsid w:val="00C34A51"/>
    <w:rsid w:val="00C35921"/>
    <w:rsid w:val="00C36A26"/>
    <w:rsid w:val="00C36B4F"/>
    <w:rsid w:val="00C36E70"/>
    <w:rsid w:val="00C37E31"/>
    <w:rsid w:val="00C37E9F"/>
    <w:rsid w:val="00C40738"/>
    <w:rsid w:val="00C40A52"/>
    <w:rsid w:val="00C4108A"/>
    <w:rsid w:val="00C4114D"/>
    <w:rsid w:val="00C411E8"/>
    <w:rsid w:val="00C41498"/>
    <w:rsid w:val="00C4189E"/>
    <w:rsid w:val="00C41CE0"/>
    <w:rsid w:val="00C41DEA"/>
    <w:rsid w:val="00C4260F"/>
    <w:rsid w:val="00C42888"/>
    <w:rsid w:val="00C42993"/>
    <w:rsid w:val="00C42E47"/>
    <w:rsid w:val="00C430D3"/>
    <w:rsid w:val="00C434B9"/>
    <w:rsid w:val="00C43522"/>
    <w:rsid w:val="00C44C5E"/>
    <w:rsid w:val="00C45942"/>
    <w:rsid w:val="00C45D16"/>
    <w:rsid w:val="00C46BFE"/>
    <w:rsid w:val="00C46DAE"/>
    <w:rsid w:val="00C47719"/>
    <w:rsid w:val="00C47ED3"/>
    <w:rsid w:val="00C50066"/>
    <w:rsid w:val="00C507C7"/>
    <w:rsid w:val="00C51272"/>
    <w:rsid w:val="00C512DE"/>
    <w:rsid w:val="00C52A53"/>
    <w:rsid w:val="00C52EF0"/>
    <w:rsid w:val="00C5371C"/>
    <w:rsid w:val="00C53BD3"/>
    <w:rsid w:val="00C53DA6"/>
    <w:rsid w:val="00C541D8"/>
    <w:rsid w:val="00C541E1"/>
    <w:rsid w:val="00C55771"/>
    <w:rsid w:val="00C55C27"/>
    <w:rsid w:val="00C55E85"/>
    <w:rsid w:val="00C55F33"/>
    <w:rsid w:val="00C56960"/>
    <w:rsid w:val="00C56EF5"/>
    <w:rsid w:val="00C571FD"/>
    <w:rsid w:val="00C575B3"/>
    <w:rsid w:val="00C57612"/>
    <w:rsid w:val="00C57BC2"/>
    <w:rsid w:val="00C603BE"/>
    <w:rsid w:val="00C610D1"/>
    <w:rsid w:val="00C612FB"/>
    <w:rsid w:val="00C618D9"/>
    <w:rsid w:val="00C61B45"/>
    <w:rsid w:val="00C62334"/>
    <w:rsid w:val="00C6238F"/>
    <w:rsid w:val="00C62A00"/>
    <w:rsid w:val="00C62A3F"/>
    <w:rsid w:val="00C62B2C"/>
    <w:rsid w:val="00C62D84"/>
    <w:rsid w:val="00C62EB3"/>
    <w:rsid w:val="00C63630"/>
    <w:rsid w:val="00C63A46"/>
    <w:rsid w:val="00C63E66"/>
    <w:rsid w:val="00C64739"/>
    <w:rsid w:val="00C64A1F"/>
    <w:rsid w:val="00C64D54"/>
    <w:rsid w:val="00C64DE0"/>
    <w:rsid w:val="00C65273"/>
    <w:rsid w:val="00C6552C"/>
    <w:rsid w:val="00C667B8"/>
    <w:rsid w:val="00C66E19"/>
    <w:rsid w:val="00C675D1"/>
    <w:rsid w:val="00C677BE"/>
    <w:rsid w:val="00C67F6C"/>
    <w:rsid w:val="00C7014F"/>
    <w:rsid w:val="00C70412"/>
    <w:rsid w:val="00C707BB"/>
    <w:rsid w:val="00C70CB2"/>
    <w:rsid w:val="00C7118A"/>
    <w:rsid w:val="00C7161C"/>
    <w:rsid w:val="00C71FAC"/>
    <w:rsid w:val="00C725D7"/>
    <w:rsid w:val="00C72602"/>
    <w:rsid w:val="00C72C75"/>
    <w:rsid w:val="00C72E3F"/>
    <w:rsid w:val="00C73405"/>
    <w:rsid w:val="00C734E1"/>
    <w:rsid w:val="00C7365D"/>
    <w:rsid w:val="00C74584"/>
    <w:rsid w:val="00C746E9"/>
    <w:rsid w:val="00C74818"/>
    <w:rsid w:val="00C74E1B"/>
    <w:rsid w:val="00C7570B"/>
    <w:rsid w:val="00C76272"/>
    <w:rsid w:val="00C764A1"/>
    <w:rsid w:val="00C76858"/>
    <w:rsid w:val="00C768DE"/>
    <w:rsid w:val="00C76BFA"/>
    <w:rsid w:val="00C76D8B"/>
    <w:rsid w:val="00C76F8C"/>
    <w:rsid w:val="00C76FCF"/>
    <w:rsid w:val="00C77210"/>
    <w:rsid w:val="00C77965"/>
    <w:rsid w:val="00C806AB"/>
    <w:rsid w:val="00C81D1D"/>
    <w:rsid w:val="00C81EB0"/>
    <w:rsid w:val="00C82808"/>
    <w:rsid w:val="00C82C56"/>
    <w:rsid w:val="00C8370A"/>
    <w:rsid w:val="00C83AA2"/>
    <w:rsid w:val="00C842C0"/>
    <w:rsid w:val="00C8457F"/>
    <w:rsid w:val="00C85436"/>
    <w:rsid w:val="00C85D57"/>
    <w:rsid w:val="00C85F83"/>
    <w:rsid w:val="00C8612E"/>
    <w:rsid w:val="00C8686C"/>
    <w:rsid w:val="00C86CB1"/>
    <w:rsid w:val="00C874A4"/>
    <w:rsid w:val="00C877EF"/>
    <w:rsid w:val="00C87962"/>
    <w:rsid w:val="00C87B87"/>
    <w:rsid w:val="00C90036"/>
    <w:rsid w:val="00C90452"/>
    <w:rsid w:val="00C90AFE"/>
    <w:rsid w:val="00C90C43"/>
    <w:rsid w:val="00C9110F"/>
    <w:rsid w:val="00C91205"/>
    <w:rsid w:val="00C91335"/>
    <w:rsid w:val="00C91567"/>
    <w:rsid w:val="00C924A3"/>
    <w:rsid w:val="00C92999"/>
    <w:rsid w:val="00C92BBC"/>
    <w:rsid w:val="00C92EF8"/>
    <w:rsid w:val="00C92FB3"/>
    <w:rsid w:val="00C933B8"/>
    <w:rsid w:val="00C93929"/>
    <w:rsid w:val="00C94FA4"/>
    <w:rsid w:val="00C954C6"/>
    <w:rsid w:val="00C9555B"/>
    <w:rsid w:val="00C95608"/>
    <w:rsid w:val="00C95D5F"/>
    <w:rsid w:val="00C95E9F"/>
    <w:rsid w:val="00C96A5E"/>
    <w:rsid w:val="00C96AB0"/>
    <w:rsid w:val="00C96F34"/>
    <w:rsid w:val="00C9718D"/>
    <w:rsid w:val="00C973BC"/>
    <w:rsid w:val="00C97846"/>
    <w:rsid w:val="00C97AA5"/>
    <w:rsid w:val="00CA0295"/>
    <w:rsid w:val="00CA0458"/>
    <w:rsid w:val="00CA0DCB"/>
    <w:rsid w:val="00CA1392"/>
    <w:rsid w:val="00CA192C"/>
    <w:rsid w:val="00CA19CC"/>
    <w:rsid w:val="00CA1FE9"/>
    <w:rsid w:val="00CA2081"/>
    <w:rsid w:val="00CA23D4"/>
    <w:rsid w:val="00CA26D3"/>
    <w:rsid w:val="00CA29B6"/>
    <w:rsid w:val="00CA2DC6"/>
    <w:rsid w:val="00CA363A"/>
    <w:rsid w:val="00CA3FAB"/>
    <w:rsid w:val="00CA4AA7"/>
    <w:rsid w:val="00CA5257"/>
    <w:rsid w:val="00CA54F0"/>
    <w:rsid w:val="00CA5771"/>
    <w:rsid w:val="00CA599B"/>
    <w:rsid w:val="00CA5EBA"/>
    <w:rsid w:val="00CA618B"/>
    <w:rsid w:val="00CA6654"/>
    <w:rsid w:val="00CA6AE8"/>
    <w:rsid w:val="00CA6D73"/>
    <w:rsid w:val="00CA7964"/>
    <w:rsid w:val="00CA79AD"/>
    <w:rsid w:val="00CB043A"/>
    <w:rsid w:val="00CB099F"/>
    <w:rsid w:val="00CB11C5"/>
    <w:rsid w:val="00CB16D3"/>
    <w:rsid w:val="00CB16FE"/>
    <w:rsid w:val="00CB1972"/>
    <w:rsid w:val="00CB1C64"/>
    <w:rsid w:val="00CB1E3D"/>
    <w:rsid w:val="00CB1F60"/>
    <w:rsid w:val="00CB27A7"/>
    <w:rsid w:val="00CB31F3"/>
    <w:rsid w:val="00CB3AE1"/>
    <w:rsid w:val="00CB3FD7"/>
    <w:rsid w:val="00CB4BC4"/>
    <w:rsid w:val="00CB4CF4"/>
    <w:rsid w:val="00CB4D50"/>
    <w:rsid w:val="00CB523C"/>
    <w:rsid w:val="00CB5628"/>
    <w:rsid w:val="00CB6273"/>
    <w:rsid w:val="00CB632B"/>
    <w:rsid w:val="00CB68A5"/>
    <w:rsid w:val="00CB6B1F"/>
    <w:rsid w:val="00CB6BDA"/>
    <w:rsid w:val="00CB6F00"/>
    <w:rsid w:val="00CB75C0"/>
    <w:rsid w:val="00CC09DD"/>
    <w:rsid w:val="00CC0CD2"/>
    <w:rsid w:val="00CC0D91"/>
    <w:rsid w:val="00CC0F21"/>
    <w:rsid w:val="00CC0F95"/>
    <w:rsid w:val="00CC112B"/>
    <w:rsid w:val="00CC129C"/>
    <w:rsid w:val="00CC1BB0"/>
    <w:rsid w:val="00CC241D"/>
    <w:rsid w:val="00CC2902"/>
    <w:rsid w:val="00CC2E6F"/>
    <w:rsid w:val="00CC34C9"/>
    <w:rsid w:val="00CC4080"/>
    <w:rsid w:val="00CC4B50"/>
    <w:rsid w:val="00CC4B60"/>
    <w:rsid w:val="00CC5197"/>
    <w:rsid w:val="00CC5350"/>
    <w:rsid w:val="00CC5441"/>
    <w:rsid w:val="00CC54BA"/>
    <w:rsid w:val="00CC5653"/>
    <w:rsid w:val="00CC5BB5"/>
    <w:rsid w:val="00CC5DD0"/>
    <w:rsid w:val="00CC5F63"/>
    <w:rsid w:val="00CC6C1C"/>
    <w:rsid w:val="00CC7776"/>
    <w:rsid w:val="00CC7A54"/>
    <w:rsid w:val="00CC7CD9"/>
    <w:rsid w:val="00CD049A"/>
    <w:rsid w:val="00CD0677"/>
    <w:rsid w:val="00CD07AF"/>
    <w:rsid w:val="00CD0DA7"/>
    <w:rsid w:val="00CD0DE1"/>
    <w:rsid w:val="00CD298B"/>
    <w:rsid w:val="00CD2C1B"/>
    <w:rsid w:val="00CD2CE2"/>
    <w:rsid w:val="00CD327F"/>
    <w:rsid w:val="00CD3608"/>
    <w:rsid w:val="00CD3750"/>
    <w:rsid w:val="00CD39D0"/>
    <w:rsid w:val="00CD478A"/>
    <w:rsid w:val="00CD4815"/>
    <w:rsid w:val="00CD4980"/>
    <w:rsid w:val="00CD4E16"/>
    <w:rsid w:val="00CD4E54"/>
    <w:rsid w:val="00CD5203"/>
    <w:rsid w:val="00CD5ABC"/>
    <w:rsid w:val="00CD5D91"/>
    <w:rsid w:val="00CD5F09"/>
    <w:rsid w:val="00CD6262"/>
    <w:rsid w:val="00CD65DB"/>
    <w:rsid w:val="00CD6992"/>
    <w:rsid w:val="00CD6FC6"/>
    <w:rsid w:val="00CD7323"/>
    <w:rsid w:val="00CD749F"/>
    <w:rsid w:val="00CD7D1B"/>
    <w:rsid w:val="00CD7D7C"/>
    <w:rsid w:val="00CE1502"/>
    <w:rsid w:val="00CE190E"/>
    <w:rsid w:val="00CE1BDF"/>
    <w:rsid w:val="00CE21E1"/>
    <w:rsid w:val="00CE26B9"/>
    <w:rsid w:val="00CE29F2"/>
    <w:rsid w:val="00CE2A34"/>
    <w:rsid w:val="00CE38F1"/>
    <w:rsid w:val="00CE41B8"/>
    <w:rsid w:val="00CE432C"/>
    <w:rsid w:val="00CE436F"/>
    <w:rsid w:val="00CE4437"/>
    <w:rsid w:val="00CE50F1"/>
    <w:rsid w:val="00CE5244"/>
    <w:rsid w:val="00CE5F68"/>
    <w:rsid w:val="00CE6274"/>
    <w:rsid w:val="00CE65B1"/>
    <w:rsid w:val="00CE6762"/>
    <w:rsid w:val="00CE682B"/>
    <w:rsid w:val="00CE6F02"/>
    <w:rsid w:val="00CE7ABE"/>
    <w:rsid w:val="00CF0594"/>
    <w:rsid w:val="00CF0EC4"/>
    <w:rsid w:val="00CF1700"/>
    <w:rsid w:val="00CF218D"/>
    <w:rsid w:val="00CF2ED4"/>
    <w:rsid w:val="00CF4487"/>
    <w:rsid w:val="00CF45EA"/>
    <w:rsid w:val="00CF5211"/>
    <w:rsid w:val="00CF5233"/>
    <w:rsid w:val="00CF5FD8"/>
    <w:rsid w:val="00CF6159"/>
    <w:rsid w:val="00CF6261"/>
    <w:rsid w:val="00CF6557"/>
    <w:rsid w:val="00CF65CA"/>
    <w:rsid w:val="00CF6F0A"/>
    <w:rsid w:val="00CF729F"/>
    <w:rsid w:val="00CF7985"/>
    <w:rsid w:val="00D0069B"/>
    <w:rsid w:val="00D00BEE"/>
    <w:rsid w:val="00D015CC"/>
    <w:rsid w:val="00D01651"/>
    <w:rsid w:val="00D02785"/>
    <w:rsid w:val="00D028C1"/>
    <w:rsid w:val="00D030F7"/>
    <w:rsid w:val="00D0324B"/>
    <w:rsid w:val="00D03635"/>
    <w:rsid w:val="00D03678"/>
    <w:rsid w:val="00D03EA8"/>
    <w:rsid w:val="00D040D0"/>
    <w:rsid w:val="00D0423F"/>
    <w:rsid w:val="00D045D4"/>
    <w:rsid w:val="00D0464C"/>
    <w:rsid w:val="00D053BE"/>
    <w:rsid w:val="00D05983"/>
    <w:rsid w:val="00D05C7F"/>
    <w:rsid w:val="00D0652A"/>
    <w:rsid w:val="00D065E7"/>
    <w:rsid w:val="00D06D50"/>
    <w:rsid w:val="00D079F7"/>
    <w:rsid w:val="00D1000C"/>
    <w:rsid w:val="00D101E3"/>
    <w:rsid w:val="00D101F0"/>
    <w:rsid w:val="00D1061E"/>
    <w:rsid w:val="00D112D0"/>
    <w:rsid w:val="00D1148F"/>
    <w:rsid w:val="00D11696"/>
    <w:rsid w:val="00D121CA"/>
    <w:rsid w:val="00D123AA"/>
    <w:rsid w:val="00D126B6"/>
    <w:rsid w:val="00D12F9A"/>
    <w:rsid w:val="00D14164"/>
    <w:rsid w:val="00D1467F"/>
    <w:rsid w:val="00D148B2"/>
    <w:rsid w:val="00D1496B"/>
    <w:rsid w:val="00D14BA9"/>
    <w:rsid w:val="00D14D48"/>
    <w:rsid w:val="00D15042"/>
    <w:rsid w:val="00D15213"/>
    <w:rsid w:val="00D152C1"/>
    <w:rsid w:val="00D155D8"/>
    <w:rsid w:val="00D15C89"/>
    <w:rsid w:val="00D16D35"/>
    <w:rsid w:val="00D172A4"/>
    <w:rsid w:val="00D173E2"/>
    <w:rsid w:val="00D17449"/>
    <w:rsid w:val="00D1777F"/>
    <w:rsid w:val="00D17BD3"/>
    <w:rsid w:val="00D17D7B"/>
    <w:rsid w:val="00D17D92"/>
    <w:rsid w:val="00D17E04"/>
    <w:rsid w:val="00D202EA"/>
    <w:rsid w:val="00D207ED"/>
    <w:rsid w:val="00D20973"/>
    <w:rsid w:val="00D2109A"/>
    <w:rsid w:val="00D212D6"/>
    <w:rsid w:val="00D216CF"/>
    <w:rsid w:val="00D21E2E"/>
    <w:rsid w:val="00D233F5"/>
    <w:rsid w:val="00D23C1D"/>
    <w:rsid w:val="00D247E7"/>
    <w:rsid w:val="00D24805"/>
    <w:rsid w:val="00D251A6"/>
    <w:rsid w:val="00D253B9"/>
    <w:rsid w:val="00D257A4"/>
    <w:rsid w:val="00D25C31"/>
    <w:rsid w:val="00D25ED0"/>
    <w:rsid w:val="00D26637"/>
    <w:rsid w:val="00D26B7C"/>
    <w:rsid w:val="00D26DD0"/>
    <w:rsid w:val="00D27D31"/>
    <w:rsid w:val="00D27E11"/>
    <w:rsid w:val="00D30321"/>
    <w:rsid w:val="00D311DD"/>
    <w:rsid w:val="00D32245"/>
    <w:rsid w:val="00D32D0C"/>
    <w:rsid w:val="00D333E0"/>
    <w:rsid w:val="00D334D5"/>
    <w:rsid w:val="00D3387C"/>
    <w:rsid w:val="00D340F8"/>
    <w:rsid w:val="00D34595"/>
    <w:rsid w:val="00D345C7"/>
    <w:rsid w:val="00D3494E"/>
    <w:rsid w:val="00D34BCD"/>
    <w:rsid w:val="00D357CF"/>
    <w:rsid w:val="00D358BA"/>
    <w:rsid w:val="00D35B7C"/>
    <w:rsid w:val="00D36E8B"/>
    <w:rsid w:val="00D373E5"/>
    <w:rsid w:val="00D37761"/>
    <w:rsid w:val="00D37B6B"/>
    <w:rsid w:val="00D37D28"/>
    <w:rsid w:val="00D37E1C"/>
    <w:rsid w:val="00D404B0"/>
    <w:rsid w:val="00D4094A"/>
    <w:rsid w:val="00D411A0"/>
    <w:rsid w:val="00D41D01"/>
    <w:rsid w:val="00D41FB3"/>
    <w:rsid w:val="00D42253"/>
    <w:rsid w:val="00D42CF0"/>
    <w:rsid w:val="00D432DD"/>
    <w:rsid w:val="00D43347"/>
    <w:rsid w:val="00D435CC"/>
    <w:rsid w:val="00D436CB"/>
    <w:rsid w:val="00D43AF2"/>
    <w:rsid w:val="00D43DB5"/>
    <w:rsid w:val="00D43E70"/>
    <w:rsid w:val="00D4406B"/>
    <w:rsid w:val="00D44473"/>
    <w:rsid w:val="00D4499C"/>
    <w:rsid w:val="00D44C2B"/>
    <w:rsid w:val="00D44EF3"/>
    <w:rsid w:val="00D455CB"/>
    <w:rsid w:val="00D4663E"/>
    <w:rsid w:val="00D467FB"/>
    <w:rsid w:val="00D47444"/>
    <w:rsid w:val="00D479A1"/>
    <w:rsid w:val="00D50167"/>
    <w:rsid w:val="00D5039E"/>
    <w:rsid w:val="00D50B20"/>
    <w:rsid w:val="00D50DF6"/>
    <w:rsid w:val="00D50E16"/>
    <w:rsid w:val="00D50E89"/>
    <w:rsid w:val="00D51752"/>
    <w:rsid w:val="00D51DFC"/>
    <w:rsid w:val="00D52085"/>
    <w:rsid w:val="00D521CB"/>
    <w:rsid w:val="00D52624"/>
    <w:rsid w:val="00D5290E"/>
    <w:rsid w:val="00D53704"/>
    <w:rsid w:val="00D53812"/>
    <w:rsid w:val="00D538DF"/>
    <w:rsid w:val="00D53E42"/>
    <w:rsid w:val="00D5476D"/>
    <w:rsid w:val="00D54EFC"/>
    <w:rsid w:val="00D55092"/>
    <w:rsid w:val="00D55CA4"/>
    <w:rsid w:val="00D55EDF"/>
    <w:rsid w:val="00D564A4"/>
    <w:rsid w:val="00D56A53"/>
    <w:rsid w:val="00D56B19"/>
    <w:rsid w:val="00D56BA6"/>
    <w:rsid w:val="00D56C0E"/>
    <w:rsid w:val="00D56D72"/>
    <w:rsid w:val="00D57123"/>
    <w:rsid w:val="00D571B4"/>
    <w:rsid w:val="00D57CD0"/>
    <w:rsid w:val="00D57D23"/>
    <w:rsid w:val="00D60734"/>
    <w:rsid w:val="00D607CF"/>
    <w:rsid w:val="00D61B3E"/>
    <w:rsid w:val="00D62572"/>
    <w:rsid w:val="00D62C9C"/>
    <w:rsid w:val="00D63015"/>
    <w:rsid w:val="00D631B2"/>
    <w:rsid w:val="00D633A3"/>
    <w:rsid w:val="00D634C6"/>
    <w:rsid w:val="00D6389A"/>
    <w:rsid w:val="00D63AAB"/>
    <w:rsid w:val="00D63B86"/>
    <w:rsid w:val="00D640A1"/>
    <w:rsid w:val="00D64172"/>
    <w:rsid w:val="00D64480"/>
    <w:rsid w:val="00D64507"/>
    <w:rsid w:val="00D64D82"/>
    <w:rsid w:val="00D64F62"/>
    <w:rsid w:val="00D6508E"/>
    <w:rsid w:val="00D653E1"/>
    <w:rsid w:val="00D654C1"/>
    <w:rsid w:val="00D658F5"/>
    <w:rsid w:val="00D65A7E"/>
    <w:rsid w:val="00D669B8"/>
    <w:rsid w:val="00D67037"/>
    <w:rsid w:val="00D6703C"/>
    <w:rsid w:val="00D679F7"/>
    <w:rsid w:val="00D70155"/>
    <w:rsid w:val="00D709C7"/>
    <w:rsid w:val="00D70EEC"/>
    <w:rsid w:val="00D713A3"/>
    <w:rsid w:val="00D71F92"/>
    <w:rsid w:val="00D71FF3"/>
    <w:rsid w:val="00D728CF"/>
    <w:rsid w:val="00D72B2A"/>
    <w:rsid w:val="00D72B8A"/>
    <w:rsid w:val="00D72D10"/>
    <w:rsid w:val="00D73268"/>
    <w:rsid w:val="00D73568"/>
    <w:rsid w:val="00D73AED"/>
    <w:rsid w:val="00D73D4F"/>
    <w:rsid w:val="00D743DE"/>
    <w:rsid w:val="00D74E99"/>
    <w:rsid w:val="00D7522F"/>
    <w:rsid w:val="00D7569E"/>
    <w:rsid w:val="00D75ACF"/>
    <w:rsid w:val="00D763D8"/>
    <w:rsid w:val="00D76462"/>
    <w:rsid w:val="00D76D6F"/>
    <w:rsid w:val="00D77990"/>
    <w:rsid w:val="00D77BFB"/>
    <w:rsid w:val="00D77E42"/>
    <w:rsid w:val="00D8079D"/>
    <w:rsid w:val="00D80CF0"/>
    <w:rsid w:val="00D80F3C"/>
    <w:rsid w:val="00D810DC"/>
    <w:rsid w:val="00D81116"/>
    <w:rsid w:val="00D81BB9"/>
    <w:rsid w:val="00D82C9A"/>
    <w:rsid w:val="00D83204"/>
    <w:rsid w:val="00D83B9C"/>
    <w:rsid w:val="00D8495E"/>
    <w:rsid w:val="00D849C7"/>
    <w:rsid w:val="00D84AA8"/>
    <w:rsid w:val="00D850D7"/>
    <w:rsid w:val="00D859BC"/>
    <w:rsid w:val="00D85CA6"/>
    <w:rsid w:val="00D85E24"/>
    <w:rsid w:val="00D85FC2"/>
    <w:rsid w:val="00D873F7"/>
    <w:rsid w:val="00D90765"/>
    <w:rsid w:val="00D91211"/>
    <w:rsid w:val="00D912FF"/>
    <w:rsid w:val="00D91909"/>
    <w:rsid w:val="00D919A3"/>
    <w:rsid w:val="00D91B64"/>
    <w:rsid w:val="00D921B9"/>
    <w:rsid w:val="00D9337F"/>
    <w:rsid w:val="00D93383"/>
    <w:rsid w:val="00D9375A"/>
    <w:rsid w:val="00D9407E"/>
    <w:rsid w:val="00D94D12"/>
    <w:rsid w:val="00D94F6C"/>
    <w:rsid w:val="00D95914"/>
    <w:rsid w:val="00D95A12"/>
    <w:rsid w:val="00D95A3E"/>
    <w:rsid w:val="00D95D94"/>
    <w:rsid w:val="00D95EBD"/>
    <w:rsid w:val="00D95EC1"/>
    <w:rsid w:val="00D96A7D"/>
    <w:rsid w:val="00D97581"/>
    <w:rsid w:val="00D976C6"/>
    <w:rsid w:val="00D97A06"/>
    <w:rsid w:val="00D97FCC"/>
    <w:rsid w:val="00DA0434"/>
    <w:rsid w:val="00DA0EBB"/>
    <w:rsid w:val="00DA1854"/>
    <w:rsid w:val="00DA1883"/>
    <w:rsid w:val="00DA2188"/>
    <w:rsid w:val="00DA2508"/>
    <w:rsid w:val="00DA2687"/>
    <w:rsid w:val="00DA26AA"/>
    <w:rsid w:val="00DA2DE1"/>
    <w:rsid w:val="00DA2E75"/>
    <w:rsid w:val="00DA3114"/>
    <w:rsid w:val="00DA3794"/>
    <w:rsid w:val="00DA379E"/>
    <w:rsid w:val="00DA37D9"/>
    <w:rsid w:val="00DA3C01"/>
    <w:rsid w:val="00DA43BF"/>
    <w:rsid w:val="00DA4430"/>
    <w:rsid w:val="00DA49C7"/>
    <w:rsid w:val="00DA57EB"/>
    <w:rsid w:val="00DA5DA7"/>
    <w:rsid w:val="00DA6B47"/>
    <w:rsid w:val="00DA6CB0"/>
    <w:rsid w:val="00DA7100"/>
    <w:rsid w:val="00DA77F1"/>
    <w:rsid w:val="00DA7B4A"/>
    <w:rsid w:val="00DA7E5A"/>
    <w:rsid w:val="00DB040A"/>
    <w:rsid w:val="00DB05BD"/>
    <w:rsid w:val="00DB08E4"/>
    <w:rsid w:val="00DB0965"/>
    <w:rsid w:val="00DB0B94"/>
    <w:rsid w:val="00DB0ED8"/>
    <w:rsid w:val="00DB1036"/>
    <w:rsid w:val="00DB17E8"/>
    <w:rsid w:val="00DB20C3"/>
    <w:rsid w:val="00DB3564"/>
    <w:rsid w:val="00DB377F"/>
    <w:rsid w:val="00DB40B0"/>
    <w:rsid w:val="00DB46A5"/>
    <w:rsid w:val="00DB4962"/>
    <w:rsid w:val="00DB4DD6"/>
    <w:rsid w:val="00DB55D8"/>
    <w:rsid w:val="00DB5F27"/>
    <w:rsid w:val="00DB6666"/>
    <w:rsid w:val="00DB6E5B"/>
    <w:rsid w:val="00DB70FC"/>
    <w:rsid w:val="00DB71E0"/>
    <w:rsid w:val="00DB7C0F"/>
    <w:rsid w:val="00DB7D45"/>
    <w:rsid w:val="00DB7D81"/>
    <w:rsid w:val="00DB7DE8"/>
    <w:rsid w:val="00DB7DF8"/>
    <w:rsid w:val="00DC001E"/>
    <w:rsid w:val="00DC02AA"/>
    <w:rsid w:val="00DC0594"/>
    <w:rsid w:val="00DC099B"/>
    <w:rsid w:val="00DC0A6E"/>
    <w:rsid w:val="00DC1032"/>
    <w:rsid w:val="00DC122E"/>
    <w:rsid w:val="00DC13D5"/>
    <w:rsid w:val="00DC1481"/>
    <w:rsid w:val="00DC1FD6"/>
    <w:rsid w:val="00DC2276"/>
    <w:rsid w:val="00DC28AD"/>
    <w:rsid w:val="00DC2962"/>
    <w:rsid w:val="00DC2B73"/>
    <w:rsid w:val="00DC2EF1"/>
    <w:rsid w:val="00DC37A0"/>
    <w:rsid w:val="00DC3958"/>
    <w:rsid w:val="00DC3E0E"/>
    <w:rsid w:val="00DC448D"/>
    <w:rsid w:val="00DC44DC"/>
    <w:rsid w:val="00DC4B55"/>
    <w:rsid w:val="00DC57F6"/>
    <w:rsid w:val="00DC625B"/>
    <w:rsid w:val="00DC62AE"/>
    <w:rsid w:val="00DC62CC"/>
    <w:rsid w:val="00DC68BD"/>
    <w:rsid w:val="00DC69C1"/>
    <w:rsid w:val="00DC7257"/>
    <w:rsid w:val="00DC7468"/>
    <w:rsid w:val="00DC7576"/>
    <w:rsid w:val="00DC7731"/>
    <w:rsid w:val="00DC775C"/>
    <w:rsid w:val="00DC7B86"/>
    <w:rsid w:val="00DD03DF"/>
    <w:rsid w:val="00DD08C4"/>
    <w:rsid w:val="00DD0B45"/>
    <w:rsid w:val="00DD14FE"/>
    <w:rsid w:val="00DD21A5"/>
    <w:rsid w:val="00DD22C9"/>
    <w:rsid w:val="00DD26CC"/>
    <w:rsid w:val="00DD28E7"/>
    <w:rsid w:val="00DD31CB"/>
    <w:rsid w:val="00DD32C3"/>
    <w:rsid w:val="00DD3686"/>
    <w:rsid w:val="00DD3C10"/>
    <w:rsid w:val="00DD3FA2"/>
    <w:rsid w:val="00DD3FEA"/>
    <w:rsid w:val="00DD5077"/>
    <w:rsid w:val="00DD52ED"/>
    <w:rsid w:val="00DD5462"/>
    <w:rsid w:val="00DD566C"/>
    <w:rsid w:val="00DD57D6"/>
    <w:rsid w:val="00DD648B"/>
    <w:rsid w:val="00DD6629"/>
    <w:rsid w:val="00DD6C37"/>
    <w:rsid w:val="00DD72DB"/>
    <w:rsid w:val="00DD74E2"/>
    <w:rsid w:val="00DD757B"/>
    <w:rsid w:val="00DD7CD1"/>
    <w:rsid w:val="00DE0334"/>
    <w:rsid w:val="00DE0EA2"/>
    <w:rsid w:val="00DE1AAC"/>
    <w:rsid w:val="00DE3104"/>
    <w:rsid w:val="00DE33DA"/>
    <w:rsid w:val="00DE4017"/>
    <w:rsid w:val="00DE4340"/>
    <w:rsid w:val="00DE47D1"/>
    <w:rsid w:val="00DE4BFB"/>
    <w:rsid w:val="00DE5C36"/>
    <w:rsid w:val="00DE6115"/>
    <w:rsid w:val="00DE65CE"/>
    <w:rsid w:val="00DE6734"/>
    <w:rsid w:val="00DE6AAA"/>
    <w:rsid w:val="00DE7236"/>
    <w:rsid w:val="00DE7D4C"/>
    <w:rsid w:val="00DE7E5F"/>
    <w:rsid w:val="00DF033E"/>
    <w:rsid w:val="00DF0864"/>
    <w:rsid w:val="00DF0AD2"/>
    <w:rsid w:val="00DF0CE2"/>
    <w:rsid w:val="00DF119F"/>
    <w:rsid w:val="00DF1710"/>
    <w:rsid w:val="00DF1781"/>
    <w:rsid w:val="00DF1B60"/>
    <w:rsid w:val="00DF20DB"/>
    <w:rsid w:val="00DF3C93"/>
    <w:rsid w:val="00DF3CDF"/>
    <w:rsid w:val="00DF3FC8"/>
    <w:rsid w:val="00DF4299"/>
    <w:rsid w:val="00DF42D8"/>
    <w:rsid w:val="00DF48AB"/>
    <w:rsid w:val="00DF4AC5"/>
    <w:rsid w:val="00DF58C3"/>
    <w:rsid w:val="00DF5C8C"/>
    <w:rsid w:val="00DF5EE5"/>
    <w:rsid w:val="00DF6388"/>
    <w:rsid w:val="00DF6A8B"/>
    <w:rsid w:val="00DF70CA"/>
    <w:rsid w:val="00DF726D"/>
    <w:rsid w:val="00DF75B1"/>
    <w:rsid w:val="00DF79DF"/>
    <w:rsid w:val="00DF7D78"/>
    <w:rsid w:val="00E0067B"/>
    <w:rsid w:val="00E00BC1"/>
    <w:rsid w:val="00E00E33"/>
    <w:rsid w:val="00E00E71"/>
    <w:rsid w:val="00E01A21"/>
    <w:rsid w:val="00E01BBD"/>
    <w:rsid w:val="00E021EC"/>
    <w:rsid w:val="00E02446"/>
    <w:rsid w:val="00E0250E"/>
    <w:rsid w:val="00E0264A"/>
    <w:rsid w:val="00E027EA"/>
    <w:rsid w:val="00E02C93"/>
    <w:rsid w:val="00E0343A"/>
    <w:rsid w:val="00E036EC"/>
    <w:rsid w:val="00E042C2"/>
    <w:rsid w:val="00E04422"/>
    <w:rsid w:val="00E04599"/>
    <w:rsid w:val="00E0598B"/>
    <w:rsid w:val="00E05C21"/>
    <w:rsid w:val="00E065BE"/>
    <w:rsid w:val="00E0710F"/>
    <w:rsid w:val="00E07236"/>
    <w:rsid w:val="00E0730C"/>
    <w:rsid w:val="00E076F8"/>
    <w:rsid w:val="00E079C8"/>
    <w:rsid w:val="00E106F9"/>
    <w:rsid w:val="00E10C2F"/>
    <w:rsid w:val="00E1155A"/>
    <w:rsid w:val="00E115E5"/>
    <w:rsid w:val="00E11840"/>
    <w:rsid w:val="00E11912"/>
    <w:rsid w:val="00E11EA3"/>
    <w:rsid w:val="00E12441"/>
    <w:rsid w:val="00E12FC0"/>
    <w:rsid w:val="00E12FD8"/>
    <w:rsid w:val="00E13763"/>
    <w:rsid w:val="00E13845"/>
    <w:rsid w:val="00E13849"/>
    <w:rsid w:val="00E14056"/>
    <w:rsid w:val="00E142B3"/>
    <w:rsid w:val="00E14E39"/>
    <w:rsid w:val="00E15480"/>
    <w:rsid w:val="00E156E7"/>
    <w:rsid w:val="00E15921"/>
    <w:rsid w:val="00E15B06"/>
    <w:rsid w:val="00E17179"/>
    <w:rsid w:val="00E17939"/>
    <w:rsid w:val="00E17953"/>
    <w:rsid w:val="00E17C27"/>
    <w:rsid w:val="00E20581"/>
    <w:rsid w:val="00E20B00"/>
    <w:rsid w:val="00E20BD3"/>
    <w:rsid w:val="00E2108F"/>
    <w:rsid w:val="00E2191B"/>
    <w:rsid w:val="00E21FE3"/>
    <w:rsid w:val="00E22204"/>
    <w:rsid w:val="00E224E5"/>
    <w:rsid w:val="00E228FA"/>
    <w:rsid w:val="00E22E3B"/>
    <w:rsid w:val="00E22F63"/>
    <w:rsid w:val="00E230AE"/>
    <w:rsid w:val="00E2338C"/>
    <w:rsid w:val="00E23542"/>
    <w:rsid w:val="00E23A94"/>
    <w:rsid w:val="00E24D33"/>
    <w:rsid w:val="00E24DA2"/>
    <w:rsid w:val="00E257E2"/>
    <w:rsid w:val="00E259CD"/>
    <w:rsid w:val="00E25AC2"/>
    <w:rsid w:val="00E25BB7"/>
    <w:rsid w:val="00E25BD4"/>
    <w:rsid w:val="00E25F59"/>
    <w:rsid w:val="00E26026"/>
    <w:rsid w:val="00E26932"/>
    <w:rsid w:val="00E26B28"/>
    <w:rsid w:val="00E274ED"/>
    <w:rsid w:val="00E3067E"/>
    <w:rsid w:val="00E30718"/>
    <w:rsid w:val="00E30C29"/>
    <w:rsid w:val="00E315D9"/>
    <w:rsid w:val="00E3163C"/>
    <w:rsid w:val="00E31DB6"/>
    <w:rsid w:val="00E32F40"/>
    <w:rsid w:val="00E33368"/>
    <w:rsid w:val="00E335F0"/>
    <w:rsid w:val="00E339E0"/>
    <w:rsid w:val="00E341CA"/>
    <w:rsid w:val="00E346A4"/>
    <w:rsid w:val="00E3471C"/>
    <w:rsid w:val="00E34B44"/>
    <w:rsid w:val="00E34CF6"/>
    <w:rsid w:val="00E34D79"/>
    <w:rsid w:val="00E35667"/>
    <w:rsid w:val="00E4016C"/>
    <w:rsid w:val="00E40A4B"/>
    <w:rsid w:val="00E418EE"/>
    <w:rsid w:val="00E41A30"/>
    <w:rsid w:val="00E42081"/>
    <w:rsid w:val="00E42DD3"/>
    <w:rsid w:val="00E43E27"/>
    <w:rsid w:val="00E44AAF"/>
    <w:rsid w:val="00E45054"/>
    <w:rsid w:val="00E45250"/>
    <w:rsid w:val="00E4648C"/>
    <w:rsid w:val="00E46B0A"/>
    <w:rsid w:val="00E46F33"/>
    <w:rsid w:val="00E46FF1"/>
    <w:rsid w:val="00E50A12"/>
    <w:rsid w:val="00E511C9"/>
    <w:rsid w:val="00E51F81"/>
    <w:rsid w:val="00E527E4"/>
    <w:rsid w:val="00E5281C"/>
    <w:rsid w:val="00E52984"/>
    <w:rsid w:val="00E52F59"/>
    <w:rsid w:val="00E5371F"/>
    <w:rsid w:val="00E53975"/>
    <w:rsid w:val="00E53EFF"/>
    <w:rsid w:val="00E540E3"/>
    <w:rsid w:val="00E5421B"/>
    <w:rsid w:val="00E54BAA"/>
    <w:rsid w:val="00E54FC7"/>
    <w:rsid w:val="00E5505C"/>
    <w:rsid w:val="00E5526A"/>
    <w:rsid w:val="00E5549B"/>
    <w:rsid w:val="00E554BE"/>
    <w:rsid w:val="00E55D86"/>
    <w:rsid w:val="00E568CE"/>
    <w:rsid w:val="00E56FAD"/>
    <w:rsid w:val="00E570D1"/>
    <w:rsid w:val="00E57E49"/>
    <w:rsid w:val="00E60630"/>
    <w:rsid w:val="00E608F2"/>
    <w:rsid w:val="00E60D05"/>
    <w:rsid w:val="00E61449"/>
    <w:rsid w:val="00E61A20"/>
    <w:rsid w:val="00E6258F"/>
    <w:rsid w:val="00E62FC6"/>
    <w:rsid w:val="00E630F2"/>
    <w:rsid w:val="00E6337E"/>
    <w:rsid w:val="00E63EF6"/>
    <w:rsid w:val="00E63F16"/>
    <w:rsid w:val="00E64932"/>
    <w:rsid w:val="00E65324"/>
    <w:rsid w:val="00E65FFA"/>
    <w:rsid w:val="00E66391"/>
    <w:rsid w:val="00E666D4"/>
    <w:rsid w:val="00E6684C"/>
    <w:rsid w:val="00E66D2D"/>
    <w:rsid w:val="00E672BF"/>
    <w:rsid w:val="00E67375"/>
    <w:rsid w:val="00E673E4"/>
    <w:rsid w:val="00E701FB"/>
    <w:rsid w:val="00E70531"/>
    <w:rsid w:val="00E7069A"/>
    <w:rsid w:val="00E70B49"/>
    <w:rsid w:val="00E716E9"/>
    <w:rsid w:val="00E7172A"/>
    <w:rsid w:val="00E7249E"/>
    <w:rsid w:val="00E72C59"/>
    <w:rsid w:val="00E7339F"/>
    <w:rsid w:val="00E733CF"/>
    <w:rsid w:val="00E7367C"/>
    <w:rsid w:val="00E73758"/>
    <w:rsid w:val="00E7378B"/>
    <w:rsid w:val="00E73831"/>
    <w:rsid w:val="00E73F3C"/>
    <w:rsid w:val="00E74D0A"/>
    <w:rsid w:val="00E75246"/>
    <w:rsid w:val="00E757F8"/>
    <w:rsid w:val="00E759D4"/>
    <w:rsid w:val="00E76532"/>
    <w:rsid w:val="00E76798"/>
    <w:rsid w:val="00E76C01"/>
    <w:rsid w:val="00E76CB2"/>
    <w:rsid w:val="00E76E5E"/>
    <w:rsid w:val="00E77975"/>
    <w:rsid w:val="00E77A36"/>
    <w:rsid w:val="00E804AE"/>
    <w:rsid w:val="00E81017"/>
    <w:rsid w:val="00E81BC5"/>
    <w:rsid w:val="00E81E4D"/>
    <w:rsid w:val="00E81FB0"/>
    <w:rsid w:val="00E82686"/>
    <w:rsid w:val="00E83736"/>
    <w:rsid w:val="00E83A8A"/>
    <w:rsid w:val="00E83F7C"/>
    <w:rsid w:val="00E83F89"/>
    <w:rsid w:val="00E841F2"/>
    <w:rsid w:val="00E845A1"/>
    <w:rsid w:val="00E84962"/>
    <w:rsid w:val="00E85402"/>
    <w:rsid w:val="00E85985"/>
    <w:rsid w:val="00E861EB"/>
    <w:rsid w:val="00E8629A"/>
    <w:rsid w:val="00E8664D"/>
    <w:rsid w:val="00E86777"/>
    <w:rsid w:val="00E8679C"/>
    <w:rsid w:val="00E86C18"/>
    <w:rsid w:val="00E86E2F"/>
    <w:rsid w:val="00E86F74"/>
    <w:rsid w:val="00E87236"/>
    <w:rsid w:val="00E87726"/>
    <w:rsid w:val="00E87BC2"/>
    <w:rsid w:val="00E87F91"/>
    <w:rsid w:val="00E90274"/>
    <w:rsid w:val="00E913DA"/>
    <w:rsid w:val="00E91759"/>
    <w:rsid w:val="00E91A23"/>
    <w:rsid w:val="00E91B68"/>
    <w:rsid w:val="00E91D7A"/>
    <w:rsid w:val="00E92221"/>
    <w:rsid w:val="00E928A2"/>
    <w:rsid w:val="00E93321"/>
    <w:rsid w:val="00E9334F"/>
    <w:rsid w:val="00E93A89"/>
    <w:rsid w:val="00E93B92"/>
    <w:rsid w:val="00E93EAC"/>
    <w:rsid w:val="00E940E8"/>
    <w:rsid w:val="00E9451C"/>
    <w:rsid w:val="00E949AF"/>
    <w:rsid w:val="00E94F4D"/>
    <w:rsid w:val="00E95161"/>
    <w:rsid w:val="00E953D0"/>
    <w:rsid w:val="00E9543C"/>
    <w:rsid w:val="00E95694"/>
    <w:rsid w:val="00E960C7"/>
    <w:rsid w:val="00E96256"/>
    <w:rsid w:val="00E96A6A"/>
    <w:rsid w:val="00E972A4"/>
    <w:rsid w:val="00E97AC0"/>
    <w:rsid w:val="00E97DC7"/>
    <w:rsid w:val="00EA0092"/>
    <w:rsid w:val="00EA0334"/>
    <w:rsid w:val="00EA0422"/>
    <w:rsid w:val="00EA0EB3"/>
    <w:rsid w:val="00EA185C"/>
    <w:rsid w:val="00EA1F73"/>
    <w:rsid w:val="00EA2264"/>
    <w:rsid w:val="00EA23BC"/>
    <w:rsid w:val="00EA24E0"/>
    <w:rsid w:val="00EA24F4"/>
    <w:rsid w:val="00EA28D7"/>
    <w:rsid w:val="00EA2C81"/>
    <w:rsid w:val="00EA2D7B"/>
    <w:rsid w:val="00EA2FB4"/>
    <w:rsid w:val="00EA3853"/>
    <w:rsid w:val="00EA386D"/>
    <w:rsid w:val="00EA38DB"/>
    <w:rsid w:val="00EA3E0D"/>
    <w:rsid w:val="00EA3EE6"/>
    <w:rsid w:val="00EA3F90"/>
    <w:rsid w:val="00EA41EB"/>
    <w:rsid w:val="00EA4351"/>
    <w:rsid w:val="00EA4B16"/>
    <w:rsid w:val="00EA4B30"/>
    <w:rsid w:val="00EA52C6"/>
    <w:rsid w:val="00EA5D13"/>
    <w:rsid w:val="00EA620E"/>
    <w:rsid w:val="00EA628E"/>
    <w:rsid w:val="00EA63C3"/>
    <w:rsid w:val="00EA68F4"/>
    <w:rsid w:val="00EA6A9B"/>
    <w:rsid w:val="00EA7372"/>
    <w:rsid w:val="00EA7623"/>
    <w:rsid w:val="00EB02B2"/>
    <w:rsid w:val="00EB0A80"/>
    <w:rsid w:val="00EB0E0F"/>
    <w:rsid w:val="00EB11B2"/>
    <w:rsid w:val="00EB1469"/>
    <w:rsid w:val="00EB1734"/>
    <w:rsid w:val="00EB181D"/>
    <w:rsid w:val="00EB1FE2"/>
    <w:rsid w:val="00EB253F"/>
    <w:rsid w:val="00EB379A"/>
    <w:rsid w:val="00EB387C"/>
    <w:rsid w:val="00EB3AEF"/>
    <w:rsid w:val="00EB3B27"/>
    <w:rsid w:val="00EB3CE0"/>
    <w:rsid w:val="00EB3D26"/>
    <w:rsid w:val="00EB3FB5"/>
    <w:rsid w:val="00EB4693"/>
    <w:rsid w:val="00EB4ABF"/>
    <w:rsid w:val="00EB4D02"/>
    <w:rsid w:val="00EB4EA0"/>
    <w:rsid w:val="00EB5577"/>
    <w:rsid w:val="00EB5DE3"/>
    <w:rsid w:val="00EB5DEA"/>
    <w:rsid w:val="00EB6F5A"/>
    <w:rsid w:val="00EB6FAC"/>
    <w:rsid w:val="00EB7614"/>
    <w:rsid w:val="00EB796A"/>
    <w:rsid w:val="00EB7E6F"/>
    <w:rsid w:val="00EC06B0"/>
    <w:rsid w:val="00EC07B3"/>
    <w:rsid w:val="00EC0C9D"/>
    <w:rsid w:val="00EC12A0"/>
    <w:rsid w:val="00EC1653"/>
    <w:rsid w:val="00EC167D"/>
    <w:rsid w:val="00EC17AF"/>
    <w:rsid w:val="00EC1B30"/>
    <w:rsid w:val="00EC1E77"/>
    <w:rsid w:val="00EC1F11"/>
    <w:rsid w:val="00EC201E"/>
    <w:rsid w:val="00EC202C"/>
    <w:rsid w:val="00EC210C"/>
    <w:rsid w:val="00EC2184"/>
    <w:rsid w:val="00EC23B4"/>
    <w:rsid w:val="00EC2984"/>
    <w:rsid w:val="00EC2AC7"/>
    <w:rsid w:val="00EC354B"/>
    <w:rsid w:val="00EC3A51"/>
    <w:rsid w:val="00EC3B37"/>
    <w:rsid w:val="00EC3EB8"/>
    <w:rsid w:val="00EC3FD4"/>
    <w:rsid w:val="00EC3FE7"/>
    <w:rsid w:val="00EC45E0"/>
    <w:rsid w:val="00EC4C0D"/>
    <w:rsid w:val="00EC57B3"/>
    <w:rsid w:val="00EC5B4A"/>
    <w:rsid w:val="00EC5DB8"/>
    <w:rsid w:val="00EC5EB1"/>
    <w:rsid w:val="00EC6446"/>
    <w:rsid w:val="00EC68E6"/>
    <w:rsid w:val="00EC68F2"/>
    <w:rsid w:val="00EC7139"/>
    <w:rsid w:val="00EC75DE"/>
    <w:rsid w:val="00EC7DE3"/>
    <w:rsid w:val="00EC7F14"/>
    <w:rsid w:val="00ED01CF"/>
    <w:rsid w:val="00ED0D02"/>
    <w:rsid w:val="00ED12E1"/>
    <w:rsid w:val="00ED1B99"/>
    <w:rsid w:val="00ED353F"/>
    <w:rsid w:val="00ED45B6"/>
    <w:rsid w:val="00ED5BD2"/>
    <w:rsid w:val="00ED602E"/>
    <w:rsid w:val="00ED6070"/>
    <w:rsid w:val="00ED6287"/>
    <w:rsid w:val="00ED63AE"/>
    <w:rsid w:val="00ED65A1"/>
    <w:rsid w:val="00ED687B"/>
    <w:rsid w:val="00ED6959"/>
    <w:rsid w:val="00ED6AC9"/>
    <w:rsid w:val="00ED6AD9"/>
    <w:rsid w:val="00ED6C37"/>
    <w:rsid w:val="00ED6E95"/>
    <w:rsid w:val="00ED7A03"/>
    <w:rsid w:val="00ED7C7F"/>
    <w:rsid w:val="00EE0784"/>
    <w:rsid w:val="00EE08BC"/>
    <w:rsid w:val="00EE0942"/>
    <w:rsid w:val="00EE0A21"/>
    <w:rsid w:val="00EE11B4"/>
    <w:rsid w:val="00EE13C4"/>
    <w:rsid w:val="00EE1854"/>
    <w:rsid w:val="00EE18D1"/>
    <w:rsid w:val="00EE18F0"/>
    <w:rsid w:val="00EE1A92"/>
    <w:rsid w:val="00EE1E78"/>
    <w:rsid w:val="00EE1E9F"/>
    <w:rsid w:val="00EE22AD"/>
    <w:rsid w:val="00EE291B"/>
    <w:rsid w:val="00EE2E59"/>
    <w:rsid w:val="00EE2EA8"/>
    <w:rsid w:val="00EE2F8E"/>
    <w:rsid w:val="00EE3133"/>
    <w:rsid w:val="00EE318B"/>
    <w:rsid w:val="00EE367D"/>
    <w:rsid w:val="00EE3B31"/>
    <w:rsid w:val="00EE3BC8"/>
    <w:rsid w:val="00EE3D5D"/>
    <w:rsid w:val="00EE486C"/>
    <w:rsid w:val="00EE4898"/>
    <w:rsid w:val="00EE5B5F"/>
    <w:rsid w:val="00EE632F"/>
    <w:rsid w:val="00EE6871"/>
    <w:rsid w:val="00EE69A5"/>
    <w:rsid w:val="00EE6EA3"/>
    <w:rsid w:val="00EE742F"/>
    <w:rsid w:val="00EE76D5"/>
    <w:rsid w:val="00EE7A52"/>
    <w:rsid w:val="00EF08B3"/>
    <w:rsid w:val="00EF092F"/>
    <w:rsid w:val="00EF11B0"/>
    <w:rsid w:val="00EF1313"/>
    <w:rsid w:val="00EF1C01"/>
    <w:rsid w:val="00EF235C"/>
    <w:rsid w:val="00EF23BF"/>
    <w:rsid w:val="00EF2839"/>
    <w:rsid w:val="00EF3191"/>
    <w:rsid w:val="00EF3371"/>
    <w:rsid w:val="00EF35F9"/>
    <w:rsid w:val="00EF372A"/>
    <w:rsid w:val="00EF3F16"/>
    <w:rsid w:val="00EF4100"/>
    <w:rsid w:val="00EF516B"/>
    <w:rsid w:val="00EF52F1"/>
    <w:rsid w:val="00EF5AFE"/>
    <w:rsid w:val="00EF5C19"/>
    <w:rsid w:val="00EF5C8F"/>
    <w:rsid w:val="00EF6037"/>
    <w:rsid w:val="00EF61A5"/>
    <w:rsid w:val="00EF716A"/>
    <w:rsid w:val="00EF7E0C"/>
    <w:rsid w:val="00EF7F5B"/>
    <w:rsid w:val="00F002E3"/>
    <w:rsid w:val="00F00587"/>
    <w:rsid w:val="00F00725"/>
    <w:rsid w:val="00F00885"/>
    <w:rsid w:val="00F00CA9"/>
    <w:rsid w:val="00F01341"/>
    <w:rsid w:val="00F01485"/>
    <w:rsid w:val="00F01E6F"/>
    <w:rsid w:val="00F02B7C"/>
    <w:rsid w:val="00F02C3D"/>
    <w:rsid w:val="00F02CA3"/>
    <w:rsid w:val="00F02E23"/>
    <w:rsid w:val="00F03AD1"/>
    <w:rsid w:val="00F03F41"/>
    <w:rsid w:val="00F04434"/>
    <w:rsid w:val="00F045EE"/>
    <w:rsid w:val="00F04725"/>
    <w:rsid w:val="00F04772"/>
    <w:rsid w:val="00F053D1"/>
    <w:rsid w:val="00F05FC5"/>
    <w:rsid w:val="00F06153"/>
    <w:rsid w:val="00F066BD"/>
    <w:rsid w:val="00F067D0"/>
    <w:rsid w:val="00F06B69"/>
    <w:rsid w:val="00F06EA3"/>
    <w:rsid w:val="00F073AE"/>
    <w:rsid w:val="00F07916"/>
    <w:rsid w:val="00F07B7F"/>
    <w:rsid w:val="00F1003C"/>
    <w:rsid w:val="00F10316"/>
    <w:rsid w:val="00F107EF"/>
    <w:rsid w:val="00F11652"/>
    <w:rsid w:val="00F1182C"/>
    <w:rsid w:val="00F121EC"/>
    <w:rsid w:val="00F12BC6"/>
    <w:rsid w:val="00F12FC7"/>
    <w:rsid w:val="00F1340B"/>
    <w:rsid w:val="00F135C9"/>
    <w:rsid w:val="00F1366A"/>
    <w:rsid w:val="00F13959"/>
    <w:rsid w:val="00F13E80"/>
    <w:rsid w:val="00F13F4B"/>
    <w:rsid w:val="00F14144"/>
    <w:rsid w:val="00F14366"/>
    <w:rsid w:val="00F14802"/>
    <w:rsid w:val="00F1480D"/>
    <w:rsid w:val="00F1551A"/>
    <w:rsid w:val="00F15637"/>
    <w:rsid w:val="00F15788"/>
    <w:rsid w:val="00F15A38"/>
    <w:rsid w:val="00F15AE8"/>
    <w:rsid w:val="00F15CA4"/>
    <w:rsid w:val="00F15FE0"/>
    <w:rsid w:val="00F1642C"/>
    <w:rsid w:val="00F1662A"/>
    <w:rsid w:val="00F16A7A"/>
    <w:rsid w:val="00F16FDC"/>
    <w:rsid w:val="00F17219"/>
    <w:rsid w:val="00F174C2"/>
    <w:rsid w:val="00F174F4"/>
    <w:rsid w:val="00F17717"/>
    <w:rsid w:val="00F1781A"/>
    <w:rsid w:val="00F17B8A"/>
    <w:rsid w:val="00F17BD9"/>
    <w:rsid w:val="00F205B5"/>
    <w:rsid w:val="00F209DB"/>
    <w:rsid w:val="00F20ADA"/>
    <w:rsid w:val="00F22277"/>
    <w:rsid w:val="00F222BA"/>
    <w:rsid w:val="00F22518"/>
    <w:rsid w:val="00F22CF6"/>
    <w:rsid w:val="00F23F0A"/>
    <w:rsid w:val="00F251C5"/>
    <w:rsid w:val="00F25306"/>
    <w:rsid w:val="00F2560A"/>
    <w:rsid w:val="00F25F0F"/>
    <w:rsid w:val="00F26135"/>
    <w:rsid w:val="00F268B9"/>
    <w:rsid w:val="00F27696"/>
    <w:rsid w:val="00F2777A"/>
    <w:rsid w:val="00F277FC"/>
    <w:rsid w:val="00F27D47"/>
    <w:rsid w:val="00F27D72"/>
    <w:rsid w:val="00F30034"/>
    <w:rsid w:val="00F30655"/>
    <w:rsid w:val="00F307EB"/>
    <w:rsid w:val="00F308E1"/>
    <w:rsid w:val="00F30954"/>
    <w:rsid w:val="00F31B16"/>
    <w:rsid w:val="00F3221C"/>
    <w:rsid w:val="00F3297C"/>
    <w:rsid w:val="00F32E43"/>
    <w:rsid w:val="00F32FD0"/>
    <w:rsid w:val="00F33002"/>
    <w:rsid w:val="00F33BAD"/>
    <w:rsid w:val="00F33F57"/>
    <w:rsid w:val="00F3410C"/>
    <w:rsid w:val="00F342A4"/>
    <w:rsid w:val="00F3485D"/>
    <w:rsid w:val="00F348CF"/>
    <w:rsid w:val="00F34A9D"/>
    <w:rsid w:val="00F35091"/>
    <w:rsid w:val="00F357B2"/>
    <w:rsid w:val="00F3590D"/>
    <w:rsid w:val="00F35FE9"/>
    <w:rsid w:val="00F368B8"/>
    <w:rsid w:val="00F36A0F"/>
    <w:rsid w:val="00F37224"/>
    <w:rsid w:val="00F376F1"/>
    <w:rsid w:val="00F40259"/>
    <w:rsid w:val="00F40DCA"/>
    <w:rsid w:val="00F418A8"/>
    <w:rsid w:val="00F41C35"/>
    <w:rsid w:val="00F42A4E"/>
    <w:rsid w:val="00F42B16"/>
    <w:rsid w:val="00F42BB5"/>
    <w:rsid w:val="00F42BCF"/>
    <w:rsid w:val="00F43288"/>
    <w:rsid w:val="00F4371F"/>
    <w:rsid w:val="00F43A6A"/>
    <w:rsid w:val="00F444AC"/>
    <w:rsid w:val="00F448BB"/>
    <w:rsid w:val="00F44BA0"/>
    <w:rsid w:val="00F45AA3"/>
    <w:rsid w:val="00F4637B"/>
    <w:rsid w:val="00F4663C"/>
    <w:rsid w:val="00F466F3"/>
    <w:rsid w:val="00F4753B"/>
    <w:rsid w:val="00F50401"/>
    <w:rsid w:val="00F50557"/>
    <w:rsid w:val="00F50A26"/>
    <w:rsid w:val="00F50D86"/>
    <w:rsid w:val="00F50F1D"/>
    <w:rsid w:val="00F50F97"/>
    <w:rsid w:val="00F51631"/>
    <w:rsid w:val="00F51AC3"/>
    <w:rsid w:val="00F52018"/>
    <w:rsid w:val="00F5288D"/>
    <w:rsid w:val="00F5295F"/>
    <w:rsid w:val="00F52F0E"/>
    <w:rsid w:val="00F53B8A"/>
    <w:rsid w:val="00F53C28"/>
    <w:rsid w:val="00F54AB1"/>
    <w:rsid w:val="00F54BCE"/>
    <w:rsid w:val="00F5506D"/>
    <w:rsid w:val="00F55CE2"/>
    <w:rsid w:val="00F55D94"/>
    <w:rsid w:val="00F56162"/>
    <w:rsid w:val="00F5630C"/>
    <w:rsid w:val="00F56C6C"/>
    <w:rsid w:val="00F57673"/>
    <w:rsid w:val="00F576B4"/>
    <w:rsid w:val="00F57A5A"/>
    <w:rsid w:val="00F60BA1"/>
    <w:rsid w:val="00F60D09"/>
    <w:rsid w:val="00F61442"/>
    <w:rsid w:val="00F61AFF"/>
    <w:rsid w:val="00F61D38"/>
    <w:rsid w:val="00F62D65"/>
    <w:rsid w:val="00F636E5"/>
    <w:rsid w:val="00F64AC1"/>
    <w:rsid w:val="00F64CDD"/>
    <w:rsid w:val="00F64FBC"/>
    <w:rsid w:val="00F659F2"/>
    <w:rsid w:val="00F65AA5"/>
    <w:rsid w:val="00F660E9"/>
    <w:rsid w:val="00F661D4"/>
    <w:rsid w:val="00F662B8"/>
    <w:rsid w:val="00F66953"/>
    <w:rsid w:val="00F66A24"/>
    <w:rsid w:val="00F66FCA"/>
    <w:rsid w:val="00F6782F"/>
    <w:rsid w:val="00F67A2E"/>
    <w:rsid w:val="00F700C5"/>
    <w:rsid w:val="00F703B4"/>
    <w:rsid w:val="00F70528"/>
    <w:rsid w:val="00F706DE"/>
    <w:rsid w:val="00F711D6"/>
    <w:rsid w:val="00F71240"/>
    <w:rsid w:val="00F71968"/>
    <w:rsid w:val="00F71E52"/>
    <w:rsid w:val="00F73003"/>
    <w:rsid w:val="00F730B3"/>
    <w:rsid w:val="00F73A9B"/>
    <w:rsid w:val="00F73C26"/>
    <w:rsid w:val="00F73CFE"/>
    <w:rsid w:val="00F73EFA"/>
    <w:rsid w:val="00F7535D"/>
    <w:rsid w:val="00F75510"/>
    <w:rsid w:val="00F7582C"/>
    <w:rsid w:val="00F76935"/>
    <w:rsid w:val="00F77229"/>
    <w:rsid w:val="00F77B32"/>
    <w:rsid w:val="00F77E1C"/>
    <w:rsid w:val="00F80148"/>
    <w:rsid w:val="00F80461"/>
    <w:rsid w:val="00F80F57"/>
    <w:rsid w:val="00F80F78"/>
    <w:rsid w:val="00F81934"/>
    <w:rsid w:val="00F8287D"/>
    <w:rsid w:val="00F82C82"/>
    <w:rsid w:val="00F832DE"/>
    <w:rsid w:val="00F83EDE"/>
    <w:rsid w:val="00F844B9"/>
    <w:rsid w:val="00F84FCA"/>
    <w:rsid w:val="00F8563C"/>
    <w:rsid w:val="00F8583F"/>
    <w:rsid w:val="00F85E69"/>
    <w:rsid w:val="00F8687E"/>
    <w:rsid w:val="00F86998"/>
    <w:rsid w:val="00F86B21"/>
    <w:rsid w:val="00F86F7B"/>
    <w:rsid w:val="00F87223"/>
    <w:rsid w:val="00F87930"/>
    <w:rsid w:val="00F90C00"/>
    <w:rsid w:val="00F90CEB"/>
    <w:rsid w:val="00F90D9B"/>
    <w:rsid w:val="00F914DB"/>
    <w:rsid w:val="00F91A03"/>
    <w:rsid w:val="00F92033"/>
    <w:rsid w:val="00F92079"/>
    <w:rsid w:val="00F922D4"/>
    <w:rsid w:val="00F92B96"/>
    <w:rsid w:val="00F92EEF"/>
    <w:rsid w:val="00F944F9"/>
    <w:rsid w:val="00F95098"/>
    <w:rsid w:val="00F95605"/>
    <w:rsid w:val="00F95BE5"/>
    <w:rsid w:val="00F95ED0"/>
    <w:rsid w:val="00F9601F"/>
    <w:rsid w:val="00F963FA"/>
    <w:rsid w:val="00F965FB"/>
    <w:rsid w:val="00F9678D"/>
    <w:rsid w:val="00F96BFA"/>
    <w:rsid w:val="00F97299"/>
    <w:rsid w:val="00F97558"/>
    <w:rsid w:val="00F976FB"/>
    <w:rsid w:val="00F97AC8"/>
    <w:rsid w:val="00FA0012"/>
    <w:rsid w:val="00FA01F5"/>
    <w:rsid w:val="00FA0238"/>
    <w:rsid w:val="00FA043B"/>
    <w:rsid w:val="00FA0BC4"/>
    <w:rsid w:val="00FA109E"/>
    <w:rsid w:val="00FA1736"/>
    <w:rsid w:val="00FA1861"/>
    <w:rsid w:val="00FA1B6A"/>
    <w:rsid w:val="00FA1DB9"/>
    <w:rsid w:val="00FA26F9"/>
    <w:rsid w:val="00FA2915"/>
    <w:rsid w:val="00FA3C9A"/>
    <w:rsid w:val="00FA3E3F"/>
    <w:rsid w:val="00FA4433"/>
    <w:rsid w:val="00FA4640"/>
    <w:rsid w:val="00FA4887"/>
    <w:rsid w:val="00FA4E1E"/>
    <w:rsid w:val="00FA51D1"/>
    <w:rsid w:val="00FA5280"/>
    <w:rsid w:val="00FA5585"/>
    <w:rsid w:val="00FA56BB"/>
    <w:rsid w:val="00FA5EE5"/>
    <w:rsid w:val="00FA5F76"/>
    <w:rsid w:val="00FA65F0"/>
    <w:rsid w:val="00FA6AB3"/>
    <w:rsid w:val="00FA6DEF"/>
    <w:rsid w:val="00FA6E00"/>
    <w:rsid w:val="00FA6F54"/>
    <w:rsid w:val="00FA7472"/>
    <w:rsid w:val="00FA750A"/>
    <w:rsid w:val="00FA7617"/>
    <w:rsid w:val="00FA76D6"/>
    <w:rsid w:val="00FA77FF"/>
    <w:rsid w:val="00FA798A"/>
    <w:rsid w:val="00FA7D8B"/>
    <w:rsid w:val="00FB03AC"/>
    <w:rsid w:val="00FB0890"/>
    <w:rsid w:val="00FB0E29"/>
    <w:rsid w:val="00FB1123"/>
    <w:rsid w:val="00FB1B73"/>
    <w:rsid w:val="00FB1EC4"/>
    <w:rsid w:val="00FB31C2"/>
    <w:rsid w:val="00FB3B13"/>
    <w:rsid w:val="00FB3B90"/>
    <w:rsid w:val="00FB3DC7"/>
    <w:rsid w:val="00FB3F71"/>
    <w:rsid w:val="00FB405C"/>
    <w:rsid w:val="00FB43D3"/>
    <w:rsid w:val="00FB4480"/>
    <w:rsid w:val="00FB467E"/>
    <w:rsid w:val="00FB4769"/>
    <w:rsid w:val="00FB5338"/>
    <w:rsid w:val="00FB56D6"/>
    <w:rsid w:val="00FB5BB2"/>
    <w:rsid w:val="00FB5E4F"/>
    <w:rsid w:val="00FB61FA"/>
    <w:rsid w:val="00FB6332"/>
    <w:rsid w:val="00FB68BC"/>
    <w:rsid w:val="00FB6D3C"/>
    <w:rsid w:val="00FB6F7F"/>
    <w:rsid w:val="00FB6F89"/>
    <w:rsid w:val="00FB7600"/>
    <w:rsid w:val="00FB7818"/>
    <w:rsid w:val="00FB7C65"/>
    <w:rsid w:val="00FC0EE0"/>
    <w:rsid w:val="00FC103D"/>
    <w:rsid w:val="00FC1C5E"/>
    <w:rsid w:val="00FC2269"/>
    <w:rsid w:val="00FC2BEE"/>
    <w:rsid w:val="00FC2F38"/>
    <w:rsid w:val="00FC2F3A"/>
    <w:rsid w:val="00FC30D1"/>
    <w:rsid w:val="00FC3275"/>
    <w:rsid w:val="00FC360E"/>
    <w:rsid w:val="00FC37F7"/>
    <w:rsid w:val="00FC3A40"/>
    <w:rsid w:val="00FC3B64"/>
    <w:rsid w:val="00FC3ECF"/>
    <w:rsid w:val="00FC3EFD"/>
    <w:rsid w:val="00FC4251"/>
    <w:rsid w:val="00FC47C4"/>
    <w:rsid w:val="00FC519C"/>
    <w:rsid w:val="00FC51CC"/>
    <w:rsid w:val="00FC56B1"/>
    <w:rsid w:val="00FC6160"/>
    <w:rsid w:val="00FC618B"/>
    <w:rsid w:val="00FC688D"/>
    <w:rsid w:val="00FC6990"/>
    <w:rsid w:val="00FC6B78"/>
    <w:rsid w:val="00FC7076"/>
    <w:rsid w:val="00FC7612"/>
    <w:rsid w:val="00FC77D6"/>
    <w:rsid w:val="00FC7C96"/>
    <w:rsid w:val="00FD02B8"/>
    <w:rsid w:val="00FD051F"/>
    <w:rsid w:val="00FD056E"/>
    <w:rsid w:val="00FD0647"/>
    <w:rsid w:val="00FD09FF"/>
    <w:rsid w:val="00FD1553"/>
    <w:rsid w:val="00FD1796"/>
    <w:rsid w:val="00FD1CFC"/>
    <w:rsid w:val="00FD1F59"/>
    <w:rsid w:val="00FD212B"/>
    <w:rsid w:val="00FD226A"/>
    <w:rsid w:val="00FD23DA"/>
    <w:rsid w:val="00FD2440"/>
    <w:rsid w:val="00FD2578"/>
    <w:rsid w:val="00FD2591"/>
    <w:rsid w:val="00FD2AB7"/>
    <w:rsid w:val="00FD2D1D"/>
    <w:rsid w:val="00FD2DE2"/>
    <w:rsid w:val="00FD391E"/>
    <w:rsid w:val="00FD464E"/>
    <w:rsid w:val="00FD4BCF"/>
    <w:rsid w:val="00FD4E20"/>
    <w:rsid w:val="00FD4F82"/>
    <w:rsid w:val="00FD5058"/>
    <w:rsid w:val="00FD52E0"/>
    <w:rsid w:val="00FD5F0C"/>
    <w:rsid w:val="00FD5F37"/>
    <w:rsid w:val="00FD6044"/>
    <w:rsid w:val="00FD692C"/>
    <w:rsid w:val="00FD6E3F"/>
    <w:rsid w:val="00FD6F8A"/>
    <w:rsid w:val="00FE057C"/>
    <w:rsid w:val="00FE1BF0"/>
    <w:rsid w:val="00FE246A"/>
    <w:rsid w:val="00FE3517"/>
    <w:rsid w:val="00FE38D4"/>
    <w:rsid w:val="00FE3D19"/>
    <w:rsid w:val="00FE3D84"/>
    <w:rsid w:val="00FE4005"/>
    <w:rsid w:val="00FE4466"/>
    <w:rsid w:val="00FE4AE3"/>
    <w:rsid w:val="00FE501D"/>
    <w:rsid w:val="00FE511D"/>
    <w:rsid w:val="00FE5AC0"/>
    <w:rsid w:val="00FE60D4"/>
    <w:rsid w:val="00FE61DC"/>
    <w:rsid w:val="00FE6676"/>
    <w:rsid w:val="00FE66A8"/>
    <w:rsid w:val="00FE6705"/>
    <w:rsid w:val="00FE756D"/>
    <w:rsid w:val="00FE75BA"/>
    <w:rsid w:val="00FE7E06"/>
    <w:rsid w:val="00FF0002"/>
    <w:rsid w:val="00FF034B"/>
    <w:rsid w:val="00FF0352"/>
    <w:rsid w:val="00FF0E92"/>
    <w:rsid w:val="00FF143E"/>
    <w:rsid w:val="00FF19CA"/>
    <w:rsid w:val="00FF19D9"/>
    <w:rsid w:val="00FF1DD3"/>
    <w:rsid w:val="00FF20D6"/>
    <w:rsid w:val="00FF24D9"/>
    <w:rsid w:val="00FF2877"/>
    <w:rsid w:val="00FF31C8"/>
    <w:rsid w:val="00FF31E0"/>
    <w:rsid w:val="00FF3278"/>
    <w:rsid w:val="00FF3C16"/>
    <w:rsid w:val="00FF4950"/>
    <w:rsid w:val="00FF4A6F"/>
    <w:rsid w:val="00FF4E61"/>
    <w:rsid w:val="00FF4E63"/>
    <w:rsid w:val="00FF4E92"/>
    <w:rsid w:val="00FF53A1"/>
    <w:rsid w:val="00FF5B30"/>
    <w:rsid w:val="00FF6310"/>
    <w:rsid w:val="00FF657F"/>
    <w:rsid w:val="00FF72A5"/>
    <w:rsid w:val="00FF7347"/>
    <w:rsid w:val="00FF7657"/>
    <w:rsid w:val="00FF78B2"/>
    <w:rsid w:val="00FF7BFB"/>
    <w:rsid w:val="00FF7D97"/>
    <w:rsid w:val="00FF7E94"/>
    <w:rsid w:val="00FF7EB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7DA650B2"/>
  <w15:docId w15:val="{77CB1830-C296-4926-AA67-40E012734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lsdException w:name="heading 3" w:semiHidden="1" w:uiPriority="0"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5BCC"/>
    <w:pPr>
      <w:spacing w:before="120" w:after="120" w:line="360" w:lineRule="auto"/>
    </w:pPr>
    <w:rPr>
      <w:rFonts w:ascii="Georgia" w:eastAsia="Times New Roman" w:hAnsi="Georgia" w:cs="Times New Roman"/>
      <w:sz w:val="19"/>
      <w:szCs w:val="20"/>
      <w:lang w:val="en-AU"/>
    </w:rPr>
  </w:style>
  <w:style w:type="paragraph" w:styleId="Heading1">
    <w:name w:val="heading 1"/>
    <w:basedOn w:val="32chaptertitle"/>
    <w:next w:val="Normal"/>
    <w:link w:val="Heading1Char"/>
    <w:unhideWhenUsed/>
    <w:qFormat/>
    <w:rsid w:val="00BE26DA"/>
  </w:style>
  <w:style w:type="paragraph" w:styleId="Heading2">
    <w:name w:val="heading 2"/>
    <w:basedOn w:val="20major"/>
    <w:next w:val="Normal"/>
    <w:link w:val="Heading2Char"/>
    <w:unhideWhenUsed/>
    <w:rsid w:val="00BE26DA"/>
  </w:style>
  <w:style w:type="paragraph" w:styleId="Heading3">
    <w:name w:val="heading 3"/>
    <w:basedOn w:val="21minor"/>
    <w:next w:val="Normal"/>
    <w:link w:val="Heading3Char"/>
    <w:unhideWhenUsed/>
    <w:rsid w:val="00BE26DA"/>
  </w:style>
  <w:style w:type="paragraph" w:styleId="Heading4">
    <w:name w:val="heading 4"/>
    <w:basedOn w:val="Normal"/>
    <w:next w:val="Normal"/>
    <w:link w:val="Heading4Char"/>
    <w:uiPriority w:val="9"/>
    <w:semiHidden/>
    <w:unhideWhenUsed/>
    <w:rsid w:val="00BE26DA"/>
    <w:pPr>
      <w:numPr>
        <w:ilvl w:val="3"/>
        <w:numId w:val="3"/>
      </w:numPr>
      <w:spacing w:before="240" w:after="0"/>
      <w:outlineLvl w:val="3"/>
    </w:pPr>
    <w:rPr>
      <w:smallCaps/>
      <w:spacing w:val="10"/>
      <w:sz w:val="22"/>
      <w:szCs w:val="22"/>
    </w:rPr>
  </w:style>
  <w:style w:type="paragraph" w:styleId="Heading5">
    <w:name w:val="heading 5"/>
    <w:basedOn w:val="Normal"/>
    <w:next w:val="Normal"/>
    <w:link w:val="Heading5Char"/>
    <w:uiPriority w:val="9"/>
    <w:semiHidden/>
    <w:unhideWhenUsed/>
    <w:rsid w:val="00BE26DA"/>
    <w:pPr>
      <w:numPr>
        <w:ilvl w:val="4"/>
        <w:numId w:val="3"/>
      </w:numPr>
      <w:spacing w:before="200" w:after="0"/>
      <w:outlineLvl w:val="4"/>
    </w:pPr>
    <w:rPr>
      <w:rFonts w:asciiTheme="minorHAnsi" w:eastAsiaTheme="minorEastAsia" w:hAnsiTheme="minorHAnsi" w:cstheme="minorBidi"/>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rsid w:val="00BE26DA"/>
    <w:pPr>
      <w:numPr>
        <w:ilvl w:val="5"/>
        <w:numId w:val="3"/>
      </w:numPr>
      <w:spacing w:after="0"/>
      <w:outlineLvl w:val="5"/>
    </w:pPr>
    <w:rPr>
      <w:rFonts w:asciiTheme="minorHAnsi" w:eastAsiaTheme="minorEastAsia" w:hAnsiTheme="minorHAnsi" w:cstheme="minorBidi"/>
      <w:smallCaps/>
      <w:color w:val="C0504D" w:themeColor="accent2"/>
      <w:spacing w:val="5"/>
      <w:sz w:val="22"/>
    </w:rPr>
  </w:style>
  <w:style w:type="paragraph" w:styleId="Heading7">
    <w:name w:val="heading 7"/>
    <w:basedOn w:val="Normal"/>
    <w:next w:val="Normal"/>
    <w:link w:val="Heading7Char"/>
    <w:uiPriority w:val="9"/>
    <w:semiHidden/>
    <w:unhideWhenUsed/>
    <w:rsid w:val="00BE26DA"/>
    <w:pPr>
      <w:numPr>
        <w:ilvl w:val="6"/>
        <w:numId w:val="3"/>
      </w:numPr>
      <w:spacing w:after="0"/>
      <w:outlineLvl w:val="6"/>
    </w:pPr>
    <w:rPr>
      <w:rFonts w:asciiTheme="minorHAnsi" w:eastAsiaTheme="minorEastAsia" w:hAnsiTheme="minorHAnsi" w:cstheme="minorBidi"/>
      <w:b/>
      <w:smallCaps/>
      <w:color w:val="C0504D" w:themeColor="accent2"/>
      <w:spacing w:val="10"/>
      <w:sz w:val="20"/>
    </w:rPr>
  </w:style>
  <w:style w:type="paragraph" w:styleId="Heading8">
    <w:name w:val="heading 8"/>
    <w:basedOn w:val="Normal"/>
    <w:next w:val="Normal"/>
    <w:link w:val="Heading8Char"/>
    <w:uiPriority w:val="9"/>
    <w:semiHidden/>
    <w:unhideWhenUsed/>
    <w:rsid w:val="00BE26DA"/>
    <w:pPr>
      <w:numPr>
        <w:ilvl w:val="7"/>
        <w:numId w:val="3"/>
      </w:numPr>
      <w:spacing w:after="0"/>
      <w:outlineLvl w:val="7"/>
    </w:pPr>
    <w:rPr>
      <w:rFonts w:asciiTheme="minorHAnsi" w:eastAsiaTheme="minorEastAsia" w:hAnsiTheme="minorHAnsi" w:cstheme="minorBidi"/>
      <w:b/>
      <w:i/>
      <w:smallCaps/>
      <w:color w:val="943634" w:themeColor="accent2" w:themeShade="BF"/>
      <w:sz w:val="20"/>
    </w:rPr>
  </w:style>
  <w:style w:type="paragraph" w:styleId="Heading9">
    <w:name w:val="heading 9"/>
    <w:basedOn w:val="Normal"/>
    <w:next w:val="Normal"/>
    <w:link w:val="Heading9Char"/>
    <w:uiPriority w:val="9"/>
    <w:semiHidden/>
    <w:unhideWhenUsed/>
    <w:rsid w:val="00BE26DA"/>
    <w:pPr>
      <w:spacing w:after="0"/>
      <w:ind w:left="1584" w:hanging="144"/>
      <w:outlineLvl w:val="8"/>
    </w:pPr>
    <w:rPr>
      <w:rFonts w:asciiTheme="minorHAnsi" w:eastAsiaTheme="minorEastAsia" w:hAnsiTheme="minorHAnsi" w:cstheme="minorBidi"/>
      <w:b/>
      <w:i/>
      <w:smallCaps/>
      <w:color w:val="622423" w:themeColor="accent2" w:themeShade="7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squarebullet">
    <w:name w:val="01 square bullet"/>
    <w:basedOn w:val="Normal"/>
    <w:uiPriority w:val="3"/>
    <w:qFormat/>
    <w:rsid w:val="005E4B8E"/>
    <w:pPr>
      <w:numPr>
        <w:numId w:val="2"/>
      </w:numPr>
      <w:ind w:left="357" w:right="142" w:hanging="357"/>
    </w:pPr>
  </w:style>
  <w:style w:type="paragraph" w:customStyle="1" w:styleId="02dash">
    <w:name w:val="02 dash"/>
    <w:basedOn w:val="01squarebullet"/>
    <w:uiPriority w:val="4"/>
    <w:qFormat/>
    <w:rsid w:val="003A2C12"/>
    <w:pPr>
      <w:numPr>
        <w:numId w:val="14"/>
      </w:numPr>
      <w:tabs>
        <w:tab w:val="left" w:pos="646"/>
      </w:tabs>
      <w:ind w:left="641" w:hanging="284"/>
    </w:pPr>
  </w:style>
  <w:style w:type="paragraph" w:customStyle="1" w:styleId="03opensquarebullet">
    <w:name w:val="03 open square bullet"/>
    <w:basedOn w:val="02dash"/>
    <w:uiPriority w:val="5"/>
    <w:qFormat/>
    <w:rsid w:val="00676AEE"/>
    <w:pPr>
      <w:numPr>
        <w:numId w:val="15"/>
      </w:numPr>
      <w:tabs>
        <w:tab w:val="clear" w:pos="646"/>
        <w:tab w:val="left" w:pos="924"/>
      </w:tabs>
      <w:ind w:left="930" w:hanging="284"/>
    </w:pPr>
  </w:style>
  <w:style w:type="paragraph" w:customStyle="1" w:styleId="04shortdash">
    <w:name w:val="04 short dash"/>
    <w:basedOn w:val="03opensquarebullet"/>
    <w:uiPriority w:val="6"/>
    <w:qFormat/>
    <w:rsid w:val="004F257A"/>
    <w:pPr>
      <w:numPr>
        <w:numId w:val="16"/>
      </w:numPr>
      <w:tabs>
        <w:tab w:val="clear" w:pos="924"/>
        <w:tab w:val="left" w:pos="1213"/>
      </w:tabs>
      <w:ind w:left="1208" w:hanging="284"/>
    </w:pPr>
  </w:style>
  <w:style w:type="paragraph" w:customStyle="1" w:styleId="05number1">
    <w:name w:val="05 number/1"/>
    <w:basedOn w:val="Normal"/>
    <w:uiPriority w:val="7"/>
    <w:qFormat/>
    <w:rsid w:val="00D44C2B"/>
    <w:pPr>
      <w:numPr>
        <w:numId w:val="1"/>
      </w:numPr>
    </w:pPr>
  </w:style>
  <w:style w:type="paragraph" w:customStyle="1" w:styleId="06letter2">
    <w:name w:val="06 letter/2"/>
    <w:basedOn w:val="Normal"/>
    <w:uiPriority w:val="8"/>
    <w:qFormat/>
    <w:rsid w:val="00F00725"/>
    <w:pPr>
      <w:numPr>
        <w:numId w:val="17"/>
      </w:numPr>
      <w:ind w:left="648" w:hanging="288"/>
    </w:pPr>
  </w:style>
  <w:style w:type="paragraph" w:customStyle="1" w:styleId="07number3">
    <w:name w:val="07 number/3"/>
    <w:basedOn w:val="Normal"/>
    <w:uiPriority w:val="9"/>
    <w:qFormat/>
    <w:rsid w:val="00F00725"/>
    <w:pPr>
      <w:numPr>
        <w:numId w:val="18"/>
      </w:numPr>
      <w:ind w:left="922" w:hanging="274"/>
    </w:pPr>
  </w:style>
  <w:style w:type="paragraph" w:customStyle="1" w:styleId="08letter4">
    <w:name w:val="08 letter/4"/>
    <w:basedOn w:val="Normal"/>
    <w:uiPriority w:val="10"/>
    <w:qFormat/>
    <w:rsid w:val="00F00725"/>
    <w:pPr>
      <w:numPr>
        <w:numId w:val="19"/>
      </w:numPr>
      <w:ind w:left="1210" w:hanging="288"/>
    </w:pPr>
  </w:style>
  <w:style w:type="paragraph" w:customStyle="1" w:styleId="10tablenormal">
    <w:name w:val="10 table normal"/>
    <w:basedOn w:val="Normal"/>
    <w:rsid w:val="006B5CF6"/>
    <w:pPr>
      <w:spacing w:line="240" w:lineRule="auto"/>
      <w:ind w:right="142"/>
    </w:pPr>
  </w:style>
  <w:style w:type="paragraph" w:customStyle="1" w:styleId="15tableheading">
    <w:name w:val="15 table heading"/>
    <w:basedOn w:val="10tablenormal"/>
    <w:next w:val="10tablenormal"/>
    <w:rsid w:val="006B5CF6"/>
    <w:rPr>
      <w:b/>
    </w:rPr>
  </w:style>
  <w:style w:type="paragraph" w:customStyle="1" w:styleId="20major">
    <w:name w:val="20 major"/>
    <w:basedOn w:val="Normal"/>
    <w:next w:val="Normal"/>
    <w:autoRedefine/>
    <w:uiPriority w:val="1"/>
    <w:qFormat/>
    <w:rsid w:val="0051453C"/>
    <w:pPr>
      <w:keepNext/>
      <w:spacing w:before="540"/>
      <w:ind w:right="360"/>
      <w:outlineLvl w:val="1"/>
    </w:pPr>
    <w:rPr>
      <w:b/>
      <w:caps/>
      <w:color w:val="1F66B1"/>
      <w:sz w:val="22"/>
    </w:rPr>
  </w:style>
  <w:style w:type="paragraph" w:customStyle="1" w:styleId="21minor">
    <w:name w:val="21 minor"/>
    <w:basedOn w:val="Normal"/>
    <w:next w:val="Normal"/>
    <w:autoRedefine/>
    <w:uiPriority w:val="2"/>
    <w:qFormat/>
    <w:rsid w:val="00501297"/>
    <w:pPr>
      <w:keepNext/>
      <w:spacing w:before="420"/>
      <w:ind w:right="360"/>
      <w:outlineLvl w:val="2"/>
    </w:pPr>
    <w:rPr>
      <w:b/>
      <w:color w:val="1F66B1"/>
    </w:rPr>
  </w:style>
  <w:style w:type="paragraph" w:customStyle="1" w:styleId="22numberedparagraph">
    <w:name w:val="22 numbered paragraph"/>
    <w:basedOn w:val="Normal"/>
    <w:next w:val="Normal"/>
    <w:link w:val="22numberedparagraphChar"/>
    <w:uiPriority w:val="11"/>
    <w:qFormat/>
    <w:rsid w:val="00F00725"/>
    <w:pPr>
      <w:outlineLvl w:val="3"/>
    </w:pPr>
    <w:rPr>
      <w:rFonts w:ascii="Arial" w:hAnsi="Arial"/>
      <w:b/>
      <w:color w:val="002960"/>
      <w:sz w:val="24"/>
    </w:rPr>
  </w:style>
  <w:style w:type="paragraph" w:customStyle="1" w:styleId="23threesquarebulletsbreak">
    <w:name w:val="23 three square bullets break"/>
    <w:basedOn w:val="Normal"/>
    <w:next w:val="Normal"/>
    <w:uiPriority w:val="99"/>
    <w:rsid w:val="00C05F9D"/>
    <w:pPr>
      <w:spacing w:before="600" w:after="480"/>
      <w:jc w:val="center"/>
    </w:pPr>
    <w:rPr>
      <w:rFonts w:ascii="Arial" w:hAnsi="Arial"/>
    </w:rPr>
  </w:style>
  <w:style w:type="paragraph" w:customStyle="1" w:styleId="24enddate">
    <w:name w:val="24 end date"/>
    <w:basedOn w:val="Normal"/>
    <w:next w:val="Normal"/>
    <w:rsid w:val="00E76798"/>
    <w:pPr>
      <w:pBdr>
        <w:top w:val="single" w:sz="4" w:space="6" w:color="auto"/>
      </w:pBdr>
      <w:spacing w:before="300"/>
    </w:pPr>
    <w:rPr>
      <w:rFonts w:ascii="Arial" w:hAnsi="Arial"/>
      <w:sz w:val="20"/>
    </w:rPr>
  </w:style>
  <w:style w:type="paragraph" w:customStyle="1" w:styleId="30documenttitle">
    <w:name w:val="30 document title"/>
    <w:basedOn w:val="Normal"/>
    <w:next w:val="Normal"/>
    <w:rsid w:val="00711875"/>
    <w:pPr>
      <w:spacing w:before="600" w:after="360"/>
      <w:ind w:left="-1138" w:right="1080"/>
      <w:outlineLvl w:val="0"/>
    </w:pPr>
    <w:rPr>
      <w:rFonts w:ascii="Arial" w:hAnsi="Arial"/>
      <w:color w:val="002960"/>
      <w:sz w:val="44"/>
    </w:rPr>
  </w:style>
  <w:style w:type="paragraph" w:customStyle="1" w:styleId="31subtitle">
    <w:name w:val="31 subtitle"/>
    <w:basedOn w:val="Normal"/>
    <w:next w:val="Normal"/>
    <w:rsid w:val="00711875"/>
    <w:pPr>
      <w:spacing w:after="360"/>
      <w:ind w:left="-1138" w:right="3600"/>
    </w:pPr>
    <w:rPr>
      <w:rFonts w:ascii="Arial" w:hAnsi="Arial"/>
      <w:color w:val="002960"/>
      <w:sz w:val="24"/>
    </w:rPr>
  </w:style>
  <w:style w:type="paragraph" w:customStyle="1" w:styleId="32chaptertitle">
    <w:name w:val="32 chapter title"/>
    <w:basedOn w:val="Normal"/>
    <w:next w:val="Normal"/>
    <w:link w:val="32chaptertitleChar"/>
    <w:autoRedefine/>
    <w:uiPriority w:val="1"/>
    <w:qFormat/>
    <w:rsid w:val="008C484F"/>
    <w:pPr>
      <w:pageBreakBefore/>
      <w:spacing w:before="0" w:after="300"/>
      <w:outlineLvl w:val="0"/>
    </w:pPr>
    <w:rPr>
      <w:color w:val="1F66B1"/>
      <w:sz w:val="36"/>
    </w:rPr>
  </w:style>
  <w:style w:type="paragraph" w:customStyle="1" w:styleId="32aResume">
    <w:name w:val="32a Resume"/>
    <w:basedOn w:val="32chaptertitle"/>
    <w:next w:val="Normal"/>
    <w:rsid w:val="00C81D1D"/>
    <w:pPr>
      <w:ind w:left="-1134"/>
      <w:outlineLvl w:val="2"/>
    </w:pPr>
  </w:style>
  <w:style w:type="paragraph" w:customStyle="1" w:styleId="33contentschapter">
    <w:name w:val="33 contents chapter"/>
    <w:basedOn w:val="Normal"/>
    <w:next w:val="Normal"/>
    <w:autoRedefine/>
    <w:rsid w:val="002B2375"/>
    <w:pPr>
      <w:spacing w:after="1000"/>
    </w:pPr>
    <w:rPr>
      <w:rFonts w:ascii="Arial" w:hAnsi="Arial" w:cs="Arial"/>
      <w:color w:val="1F66B1"/>
      <w:sz w:val="44"/>
    </w:rPr>
  </w:style>
  <w:style w:type="paragraph" w:customStyle="1" w:styleId="38letterdate">
    <w:name w:val="38 letter date"/>
    <w:basedOn w:val="Normal"/>
    <w:next w:val="Normal"/>
    <w:uiPriority w:val="49"/>
    <w:rsid w:val="00BE26DA"/>
    <w:pPr>
      <w:spacing w:before="1680"/>
      <w:jc w:val="right"/>
    </w:pPr>
  </w:style>
  <w:style w:type="paragraph" w:customStyle="1" w:styleId="39restrictivenote">
    <w:name w:val="39 restrictive note"/>
    <w:basedOn w:val="Normal"/>
    <w:next w:val="Normal"/>
    <w:rsid w:val="00BE26DA"/>
    <w:rPr>
      <w:rFonts w:ascii="Arial" w:hAnsi="Arial"/>
      <w:caps/>
      <w:sz w:val="20"/>
    </w:rPr>
  </w:style>
  <w:style w:type="paragraph" w:customStyle="1" w:styleId="40address">
    <w:name w:val="40 address"/>
    <w:basedOn w:val="Normal"/>
    <w:rsid w:val="00BE26DA"/>
  </w:style>
  <w:style w:type="paragraph" w:customStyle="1" w:styleId="41closingsignature">
    <w:name w:val="41 closing signature"/>
    <w:basedOn w:val="Normal"/>
    <w:rsid w:val="00994229"/>
    <w:pPr>
      <w:spacing w:before="540"/>
    </w:pPr>
  </w:style>
  <w:style w:type="paragraph" w:customStyle="1" w:styleId="42cc">
    <w:name w:val="42 cc:"/>
    <w:basedOn w:val="Normal"/>
    <w:rsid w:val="00503B7F"/>
    <w:pPr>
      <w:ind w:left="544" w:hanging="544"/>
    </w:pPr>
    <w:rPr>
      <w:rFonts w:ascii="Arial" w:hAnsi="Arial"/>
      <w:sz w:val="24"/>
    </w:rPr>
  </w:style>
  <w:style w:type="paragraph" w:customStyle="1" w:styleId="60exhnormal">
    <w:name w:val="60 exh normal"/>
    <w:basedOn w:val="Normal"/>
    <w:rsid w:val="002A0299"/>
    <w:pPr>
      <w:spacing w:before="200" w:after="0"/>
    </w:pPr>
    <w:rPr>
      <w:rFonts w:ascii="Arial" w:hAnsi="Arial"/>
      <w:caps/>
      <w:sz w:val="18"/>
    </w:rPr>
  </w:style>
  <w:style w:type="paragraph" w:styleId="Caption">
    <w:name w:val="caption"/>
    <w:basedOn w:val="Normal"/>
    <w:next w:val="Normal"/>
    <w:unhideWhenUsed/>
    <w:rsid w:val="00B8723B"/>
    <w:pPr>
      <w:spacing w:after="200" w:line="240" w:lineRule="auto"/>
    </w:pPr>
    <w:rPr>
      <w:rFonts w:ascii="Arial" w:hAnsi="Arial"/>
      <w:b/>
      <w:bCs/>
      <w:sz w:val="18"/>
      <w:szCs w:val="18"/>
    </w:rPr>
  </w:style>
  <w:style w:type="character" w:styleId="CommentReference">
    <w:name w:val="annotation reference"/>
    <w:basedOn w:val="DefaultParagraphFont"/>
    <w:uiPriority w:val="99"/>
    <w:unhideWhenUsed/>
    <w:rsid w:val="00BE26DA"/>
    <w:rPr>
      <w:sz w:val="16"/>
      <w:szCs w:val="16"/>
    </w:rPr>
  </w:style>
  <w:style w:type="paragraph" w:styleId="CommentText">
    <w:name w:val="annotation text"/>
    <w:basedOn w:val="Normal"/>
    <w:link w:val="CommentTextChar"/>
    <w:uiPriority w:val="99"/>
    <w:rsid w:val="00BE26DA"/>
    <w:rPr>
      <w:sz w:val="20"/>
    </w:rPr>
  </w:style>
  <w:style w:type="character" w:customStyle="1" w:styleId="CommentTextChar">
    <w:name w:val="Comment Text Char"/>
    <w:basedOn w:val="DefaultParagraphFont"/>
    <w:link w:val="CommentText"/>
    <w:uiPriority w:val="99"/>
    <w:rsid w:val="00BE26DA"/>
    <w:rPr>
      <w:rFonts w:ascii="Times New Roman" w:eastAsia="Times New Roman" w:hAnsi="Times New Roman" w:cs="Times New Roman"/>
      <w:sz w:val="20"/>
      <w:szCs w:val="20"/>
    </w:rPr>
  </w:style>
  <w:style w:type="paragraph" w:styleId="DocumentMap">
    <w:name w:val="Document Map"/>
    <w:basedOn w:val="Normal"/>
    <w:link w:val="DocumentMapChar"/>
    <w:uiPriority w:val="99"/>
    <w:unhideWhenUsed/>
    <w:rsid w:val="00BE26DA"/>
    <w:pPr>
      <w:spacing w:after="0"/>
    </w:pPr>
    <w:rPr>
      <w:rFonts w:ascii="Tahoma" w:hAnsi="Tahoma" w:cs="Tahoma"/>
      <w:sz w:val="16"/>
      <w:szCs w:val="16"/>
    </w:rPr>
  </w:style>
  <w:style w:type="character" w:customStyle="1" w:styleId="DocumentMapChar">
    <w:name w:val="Document Map Char"/>
    <w:basedOn w:val="DefaultParagraphFont"/>
    <w:link w:val="DocumentMap"/>
    <w:uiPriority w:val="99"/>
    <w:rsid w:val="00BE26DA"/>
    <w:rPr>
      <w:rFonts w:ascii="Tahoma" w:eastAsia="Times New Roman" w:hAnsi="Tahoma" w:cs="Tahoma"/>
      <w:sz w:val="16"/>
      <w:szCs w:val="16"/>
    </w:rPr>
  </w:style>
  <w:style w:type="paragraph" w:customStyle="1" w:styleId="DocumentID-BL">
    <w:name w:val="DocumentID-BL"/>
    <w:basedOn w:val="Normal"/>
    <w:next w:val="Header"/>
    <w:rsid w:val="00BE26DA"/>
    <w:pPr>
      <w:framePr w:hSpace="187" w:vSpace="187" w:wrap="around" w:vAnchor="page" w:hAnchor="page" w:x="721" w:y="15985" w:anchorLock="1"/>
      <w:spacing w:after="0"/>
    </w:pPr>
    <w:rPr>
      <w:sz w:val="16"/>
    </w:rPr>
  </w:style>
  <w:style w:type="paragraph" w:styleId="Header">
    <w:name w:val="header"/>
    <w:basedOn w:val="Normal"/>
    <w:link w:val="HeaderChar"/>
    <w:unhideWhenUsed/>
    <w:rsid w:val="007002BE"/>
    <w:pPr>
      <w:tabs>
        <w:tab w:val="center" w:pos="4320"/>
        <w:tab w:val="right" w:pos="8640"/>
      </w:tabs>
      <w:jc w:val="right"/>
    </w:pPr>
    <w:rPr>
      <w:rFonts w:ascii="Arial" w:hAnsi="Arial"/>
      <w:sz w:val="18"/>
      <w:lang w:val="de-DE"/>
    </w:rPr>
  </w:style>
  <w:style w:type="character" w:customStyle="1" w:styleId="HeaderChar">
    <w:name w:val="Header Char"/>
    <w:basedOn w:val="DefaultParagraphFont"/>
    <w:link w:val="Header"/>
    <w:rsid w:val="007002BE"/>
    <w:rPr>
      <w:rFonts w:ascii="Arial" w:eastAsia="Times New Roman" w:hAnsi="Arial" w:cs="Times New Roman"/>
      <w:sz w:val="18"/>
      <w:szCs w:val="20"/>
      <w:lang w:val="de-DE"/>
    </w:rPr>
  </w:style>
  <w:style w:type="paragraph" w:customStyle="1" w:styleId="DocumentID-BLT">
    <w:name w:val="DocumentID-BLT"/>
    <w:basedOn w:val="DocumentID-BL"/>
    <w:rsid w:val="00BE26DA"/>
    <w:pPr>
      <w:framePr w:wrap="around"/>
    </w:pPr>
    <w:rPr>
      <w:vanish/>
      <w:color w:val="FF0000"/>
    </w:rPr>
  </w:style>
  <w:style w:type="paragraph" w:customStyle="1" w:styleId="DocumentID-TR">
    <w:name w:val="DocumentID-TR"/>
    <w:basedOn w:val="Normal"/>
    <w:next w:val="Header"/>
    <w:rsid w:val="00BE26DA"/>
    <w:pPr>
      <w:framePr w:w="5760" w:wrap="around" w:vAnchor="page" w:hAnchor="page" w:x="5401" w:y="721" w:anchorLock="1"/>
      <w:spacing w:after="0"/>
      <w:jc w:val="right"/>
    </w:pPr>
    <w:rPr>
      <w:sz w:val="16"/>
    </w:rPr>
  </w:style>
  <w:style w:type="paragraph" w:customStyle="1" w:styleId="DocumentID-TRT">
    <w:name w:val="DocumentID-TRT"/>
    <w:basedOn w:val="DocumentID-TR"/>
    <w:rsid w:val="00BE26DA"/>
    <w:pPr>
      <w:framePr w:wrap="around"/>
    </w:pPr>
    <w:rPr>
      <w:vanish/>
      <w:color w:val="FF0000"/>
    </w:rPr>
  </w:style>
  <w:style w:type="character" w:styleId="EndnoteReference">
    <w:name w:val="endnote reference"/>
    <w:basedOn w:val="DefaultParagraphFont"/>
    <w:rsid w:val="00BE26DA"/>
    <w:rPr>
      <w:vertAlign w:val="superscript"/>
    </w:rPr>
  </w:style>
  <w:style w:type="paragraph" w:styleId="EndnoteText">
    <w:name w:val="endnote text"/>
    <w:basedOn w:val="Normal"/>
    <w:link w:val="EndnoteTextChar"/>
    <w:rsid w:val="00BE26DA"/>
    <w:rPr>
      <w:sz w:val="20"/>
    </w:rPr>
  </w:style>
  <w:style w:type="character" w:customStyle="1" w:styleId="EndnoteTextChar">
    <w:name w:val="Endnote Text Char"/>
    <w:basedOn w:val="DefaultParagraphFont"/>
    <w:link w:val="EndnoteText"/>
    <w:rsid w:val="00BE26DA"/>
    <w:rPr>
      <w:rFonts w:ascii="Times New Roman" w:eastAsia="Times New Roman" w:hAnsi="Times New Roman" w:cs="Times New Roman"/>
      <w:sz w:val="20"/>
      <w:szCs w:val="20"/>
    </w:rPr>
  </w:style>
  <w:style w:type="paragraph" w:styleId="EnvelopeAddress">
    <w:name w:val="envelope address"/>
    <w:basedOn w:val="Normal"/>
    <w:unhideWhenUsed/>
    <w:rsid w:val="00BE26DA"/>
    <w:pPr>
      <w:framePr w:w="7920" w:h="1980" w:hRule="exact" w:hSpace="180" w:wrap="auto" w:hAnchor="page" w:xAlign="center" w:yAlign="bottom"/>
      <w:spacing w:after="0"/>
      <w:ind w:left="2880"/>
    </w:pPr>
  </w:style>
  <w:style w:type="paragraph" w:styleId="EnvelopeReturn">
    <w:name w:val="envelope return"/>
    <w:basedOn w:val="Normal"/>
    <w:unhideWhenUsed/>
    <w:rsid w:val="00BE26DA"/>
    <w:pPr>
      <w:spacing w:after="0"/>
    </w:pPr>
    <w:rPr>
      <w:sz w:val="20"/>
    </w:rPr>
  </w:style>
  <w:style w:type="paragraph" w:styleId="Footer">
    <w:name w:val="footer"/>
    <w:basedOn w:val="Normal"/>
    <w:link w:val="FooterChar"/>
    <w:unhideWhenUsed/>
    <w:rsid w:val="00BE26DA"/>
    <w:pPr>
      <w:jc w:val="right"/>
    </w:pPr>
  </w:style>
  <w:style w:type="character" w:customStyle="1" w:styleId="FooterChar">
    <w:name w:val="Footer Char"/>
    <w:basedOn w:val="DefaultParagraphFont"/>
    <w:link w:val="Footer"/>
    <w:rsid w:val="00BE26DA"/>
    <w:rPr>
      <w:rFonts w:ascii="Times New Roman" w:eastAsia="Times New Roman" w:hAnsi="Times New Roman" w:cs="Times New Roman"/>
      <w:sz w:val="26"/>
      <w:szCs w:val="20"/>
    </w:rPr>
  </w:style>
  <w:style w:type="character" w:styleId="FootnoteReference">
    <w:name w:val="footnote reference"/>
    <w:basedOn w:val="DefaultParagraphFont"/>
    <w:uiPriority w:val="99"/>
    <w:rsid w:val="00BE26DA"/>
    <w:rPr>
      <w:position w:val="6"/>
      <w:sz w:val="18"/>
    </w:rPr>
  </w:style>
  <w:style w:type="paragraph" w:styleId="FootnoteText">
    <w:name w:val="footnote text"/>
    <w:basedOn w:val="Normal"/>
    <w:link w:val="FootnoteTextChar"/>
    <w:rsid w:val="00425BCC"/>
    <w:pPr>
      <w:spacing w:before="60" w:after="0"/>
      <w:ind w:left="142" w:hanging="142"/>
    </w:pPr>
    <w:rPr>
      <w:rFonts w:ascii="Arial" w:hAnsi="Arial"/>
      <w:sz w:val="18"/>
    </w:rPr>
  </w:style>
  <w:style w:type="character" w:customStyle="1" w:styleId="FootnoteTextChar">
    <w:name w:val="Footnote Text Char"/>
    <w:basedOn w:val="DefaultParagraphFont"/>
    <w:link w:val="FootnoteText"/>
    <w:rsid w:val="00425BCC"/>
    <w:rPr>
      <w:rFonts w:ascii="Arial" w:eastAsia="Times New Roman" w:hAnsi="Arial" w:cs="Times New Roman"/>
      <w:sz w:val="18"/>
      <w:szCs w:val="20"/>
      <w:lang w:val="en-AU"/>
    </w:rPr>
  </w:style>
  <w:style w:type="character" w:customStyle="1" w:styleId="Heading1Char">
    <w:name w:val="Heading 1 Char"/>
    <w:basedOn w:val="DefaultParagraphFont"/>
    <w:link w:val="Heading1"/>
    <w:rsid w:val="00BE26DA"/>
    <w:rPr>
      <w:rFonts w:ascii="Arial" w:eastAsia="Times New Roman" w:hAnsi="Arial" w:cs="Times New Roman"/>
      <w:sz w:val="44"/>
      <w:szCs w:val="20"/>
    </w:rPr>
  </w:style>
  <w:style w:type="character" w:customStyle="1" w:styleId="Heading2Char">
    <w:name w:val="Heading 2 Char"/>
    <w:basedOn w:val="DefaultParagraphFont"/>
    <w:link w:val="Heading2"/>
    <w:rsid w:val="00BE26DA"/>
    <w:rPr>
      <w:rFonts w:ascii="Arial" w:eastAsia="Times New Roman" w:hAnsi="Arial" w:cs="Times New Roman"/>
      <w:b/>
      <w:caps/>
      <w:sz w:val="24"/>
      <w:szCs w:val="20"/>
    </w:rPr>
  </w:style>
  <w:style w:type="character" w:customStyle="1" w:styleId="Heading3Char">
    <w:name w:val="Heading 3 Char"/>
    <w:basedOn w:val="DefaultParagraphFont"/>
    <w:link w:val="Heading3"/>
    <w:rsid w:val="00BE26DA"/>
    <w:rPr>
      <w:rFonts w:ascii="Arial" w:eastAsia="Times New Roman" w:hAnsi="Arial" w:cs="Times New Roman"/>
      <w:b/>
      <w:sz w:val="26"/>
      <w:szCs w:val="20"/>
    </w:rPr>
  </w:style>
  <w:style w:type="character" w:customStyle="1" w:styleId="Heading4Char">
    <w:name w:val="Heading 4 Char"/>
    <w:basedOn w:val="DefaultParagraphFont"/>
    <w:link w:val="Heading4"/>
    <w:uiPriority w:val="9"/>
    <w:semiHidden/>
    <w:rsid w:val="00BE26DA"/>
    <w:rPr>
      <w:rFonts w:ascii="Times New Roman" w:eastAsia="Times New Roman" w:hAnsi="Times New Roman" w:cs="Times New Roman"/>
      <w:smallCaps/>
      <w:spacing w:val="10"/>
      <w:lang w:val="en-AU"/>
    </w:rPr>
  </w:style>
  <w:style w:type="character" w:customStyle="1" w:styleId="Heading5Char">
    <w:name w:val="Heading 5 Char"/>
    <w:basedOn w:val="DefaultParagraphFont"/>
    <w:link w:val="Heading5"/>
    <w:uiPriority w:val="9"/>
    <w:semiHidden/>
    <w:rsid w:val="00BE26DA"/>
    <w:rPr>
      <w:rFonts w:eastAsiaTheme="minorEastAsia"/>
      <w:smallCaps/>
      <w:color w:val="943634" w:themeColor="accent2" w:themeShade="BF"/>
      <w:spacing w:val="10"/>
      <w:szCs w:val="26"/>
      <w:lang w:val="en-AU"/>
    </w:rPr>
  </w:style>
  <w:style w:type="character" w:styleId="LineNumber">
    <w:name w:val="line number"/>
    <w:basedOn w:val="DefaultParagraphFont"/>
    <w:unhideWhenUsed/>
    <w:rsid w:val="00BE26DA"/>
  </w:style>
  <w:style w:type="paragraph" w:styleId="MacroText">
    <w:name w:val="macro"/>
    <w:link w:val="MacroTextChar"/>
    <w:rsid w:val="00BE26DA"/>
    <w:pPr>
      <w:tabs>
        <w:tab w:val="left" w:pos="288"/>
        <w:tab w:val="left" w:pos="576"/>
        <w:tab w:val="left" w:pos="864"/>
        <w:tab w:val="left" w:pos="1152"/>
        <w:tab w:val="left" w:pos="1440"/>
        <w:tab w:val="left" w:pos="1728"/>
        <w:tab w:val="left" w:pos="2016"/>
        <w:tab w:val="left" w:pos="2304"/>
        <w:tab w:val="left" w:pos="2592"/>
        <w:tab w:val="left" w:pos="2880"/>
      </w:tabs>
      <w:spacing w:after="0" w:line="240" w:lineRule="auto"/>
      <w:ind w:right="-4176"/>
    </w:pPr>
    <w:rPr>
      <w:rFonts w:ascii="Arial" w:eastAsia="Times New Roman" w:hAnsi="Arial" w:cs="Times New Roman"/>
      <w:sz w:val="20"/>
      <w:szCs w:val="20"/>
    </w:rPr>
  </w:style>
  <w:style w:type="character" w:customStyle="1" w:styleId="MacroTextChar">
    <w:name w:val="Macro Text Char"/>
    <w:basedOn w:val="DefaultParagraphFont"/>
    <w:link w:val="MacroText"/>
    <w:rsid w:val="00BE26DA"/>
    <w:rPr>
      <w:rFonts w:ascii="Arial" w:eastAsia="Times New Roman" w:hAnsi="Arial" w:cs="Times New Roman"/>
      <w:sz w:val="20"/>
      <w:szCs w:val="20"/>
    </w:rPr>
  </w:style>
  <w:style w:type="character" w:styleId="PageNumber">
    <w:name w:val="page number"/>
    <w:basedOn w:val="DefaultParagraphFont"/>
    <w:rsid w:val="00BE26DA"/>
    <w:rPr>
      <w:rFonts w:ascii="Arial" w:hAnsi="Arial"/>
      <w:sz w:val="16"/>
    </w:rPr>
  </w:style>
  <w:style w:type="paragraph" w:customStyle="1" w:styleId="SOPP20major">
    <w:name w:val="SOPP_20 major"/>
    <w:basedOn w:val="Normal"/>
    <w:next w:val="Normal"/>
    <w:uiPriority w:val="99"/>
    <w:rsid w:val="00982FAC"/>
    <w:pPr>
      <w:keepNext/>
      <w:spacing w:before="540"/>
      <w:ind w:right="360"/>
      <w:outlineLvl w:val="2"/>
    </w:pPr>
    <w:rPr>
      <w:rFonts w:ascii="Arial" w:hAnsi="Arial"/>
      <w:b/>
      <w:caps/>
      <w:color w:val="002960"/>
      <w:sz w:val="24"/>
    </w:rPr>
  </w:style>
  <w:style w:type="paragraph" w:customStyle="1" w:styleId="SOPP21minor">
    <w:name w:val="SOPP_21 minor"/>
    <w:basedOn w:val="Normal"/>
    <w:next w:val="Normal"/>
    <w:rsid w:val="00982FAC"/>
    <w:pPr>
      <w:keepNext/>
      <w:spacing w:before="420"/>
      <w:ind w:right="360"/>
      <w:outlineLvl w:val="3"/>
    </w:pPr>
    <w:rPr>
      <w:rFonts w:ascii="Arial" w:hAnsi="Arial"/>
      <w:b/>
      <w:color w:val="002960"/>
    </w:rPr>
  </w:style>
  <w:style w:type="paragraph" w:customStyle="1" w:styleId="SOPP30documenttitle">
    <w:name w:val="SOPP_30 document title"/>
    <w:basedOn w:val="Normal"/>
    <w:next w:val="Normal"/>
    <w:uiPriority w:val="99"/>
    <w:rsid w:val="006A1298"/>
    <w:pPr>
      <w:spacing w:before="600" w:after="360"/>
      <w:ind w:right="1080"/>
      <w:outlineLvl w:val="0"/>
    </w:pPr>
    <w:rPr>
      <w:rFonts w:ascii="Arial" w:hAnsi="Arial"/>
      <w:color w:val="002960"/>
      <w:sz w:val="44"/>
    </w:rPr>
  </w:style>
  <w:style w:type="paragraph" w:customStyle="1" w:styleId="SOPP42cc">
    <w:name w:val="SOPP_42 cc:"/>
    <w:basedOn w:val="Normal"/>
    <w:rsid w:val="00BE26DA"/>
    <w:pPr>
      <w:spacing w:before="480"/>
      <w:ind w:left="544" w:hanging="544"/>
    </w:pPr>
    <w:rPr>
      <w:lang w:val="cs-CZ"/>
    </w:rPr>
  </w:style>
  <w:style w:type="paragraph" w:customStyle="1" w:styleId="SOPPChapter">
    <w:name w:val="SOPP_Chapter"/>
    <w:basedOn w:val="32chaptertitle"/>
    <w:rsid w:val="00994229"/>
    <w:rPr>
      <w:lang w:val="de-DE"/>
    </w:rPr>
  </w:style>
  <w:style w:type="paragraph" w:customStyle="1" w:styleId="StyleArialLatin12ptLeft-2cmAfter0pt">
    <w:name w:val="Style Arial (Latin) 12 pt Left:  -2 cm After:  0 pt"/>
    <w:basedOn w:val="Normal"/>
    <w:uiPriority w:val="49"/>
    <w:rsid w:val="00BE26DA"/>
    <w:pPr>
      <w:spacing w:after="0"/>
      <w:ind w:left="-1134"/>
    </w:pPr>
    <w:rPr>
      <w:rFonts w:ascii="Arial" w:hAnsi="Arial" w:cs="Arial"/>
    </w:rPr>
  </w:style>
  <w:style w:type="character" w:customStyle="1" w:styleId="StyleArialLatin13pt">
    <w:name w:val="Style Arial (Latin) 13 pt"/>
    <w:basedOn w:val="DefaultParagraphFont"/>
    <w:rsid w:val="00BE26DA"/>
    <w:rPr>
      <w:rFonts w:ascii="Arial" w:hAnsi="Arial" w:cs="Arial"/>
      <w:color w:val="auto"/>
      <w:sz w:val="26"/>
    </w:rPr>
  </w:style>
  <w:style w:type="paragraph" w:customStyle="1" w:styleId="StyleArialLatin13ptLeft-2cmHanging099cmRight">
    <w:name w:val="Style Arial (Latin) 13 pt Left:  -2 cm Hanging:  0.99 cm Right:..."/>
    <w:basedOn w:val="Normal"/>
    <w:uiPriority w:val="49"/>
    <w:rsid w:val="00BE26DA"/>
    <w:pPr>
      <w:ind w:left="-573" w:right="1077" w:hanging="561"/>
    </w:pPr>
    <w:rPr>
      <w:rFonts w:ascii="Arial" w:hAnsi="Arial" w:cs="Arial"/>
    </w:rPr>
  </w:style>
  <w:style w:type="paragraph" w:customStyle="1" w:styleId="StyleArial10ptLeft-2cm">
    <w:name w:val="Style Arial 10 pt Left:  -2 cm"/>
    <w:basedOn w:val="Normal"/>
    <w:uiPriority w:val="49"/>
    <w:rsid w:val="00BE26DA"/>
    <w:rPr>
      <w:rFonts w:ascii="Arial" w:hAnsi="Arial"/>
      <w:sz w:val="20"/>
    </w:rPr>
  </w:style>
  <w:style w:type="paragraph" w:customStyle="1" w:styleId="StyleArial10ptLeft-2cmAfter0pt">
    <w:name w:val="Style Arial 10 pt Left:  -2 cm After:  0 pt"/>
    <w:basedOn w:val="Normal"/>
    <w:semiHidden/>
    <w:rsid w:val="00994229"/>
    <w:pPr>
      <w:spacing w:after="0"/>
      <w:ind w:left="-1134"/>
    </w:pPr>
    <w:rPr>
      <w:rFonts w:ascii="Arial" w:hAnsi="Arial"/>
      <w:sz w:val="20"/>
    </w:rPr>
  </w:style>
  <w:style w:type="character" w:customStyle="1" w:styleId="StyleArial14pt">
    <w:name w:val="Style Arial 14 pt"/>
    <w:basedOn w:val="DefaultParagraphFont"/>
    <w:rsid w:val="00BE26DA"/>
    <w:rPr>
      <w:rFonts w:ascii="Arial" w:hAnsi="Arial"/>
      <w:color w:val="auto"/>
      <w:sz w:val="28"/>
    </w:rPr>
  </w:style>
  <w:style w:type="paragraph" w:customStyle="1" w:styleId="StyleArial22ptCustomColorRGB04196After10pt">
    <w:name w:val="Style Arial 22 pt Custom Color(RGB(04196)) After:  10 pt"/>
    <w:basedOn w:val="Normal"/>
    <w:semiHidden/>
    <w:rsid w:val="00994229"/>
    <w:pPr>
      <w:spacing w:after="200"/>
    </w:pPr>
    <w:rPr>
      <w:rFonts w:ascii="Arial" w:hAnsi="Arial"/>
      <w:color w:val="002960"/>
      <w:sz w:val="44"/>
    </w:rPr>
  </w:style>
  <w:style w:type="paragraph" w:customStyle="1" w:styleId="StyleArialLeft-2cmAfter0pt">
    <w:name w:val="Style Arial Left:  -2 cm After:  0 pt"/>
    <w:basedOn w:val="Normal"/>
    <w:semiHidden/>
    <w:rsid w:val="00994229"/>
    <w:pPr>
      <w:spacing w:after="0"/>
      <w:ind w:left="-1134"/>
    </w:pPr>
    <w:rPr>
      <w:rFonts w:ascii="Arial" w:hAnsi="Arial"/>
      <w:sz w:val="24"/>
    </w:rPr>
  </w:style>
  <w:style w:type="paragraph" w:styleId="TOC1">
    <w:name w:val="toc 1"/>
    <w:basedOn w:val="Normal"/>
    <w:next w:val="Normal"/>
    <w:autoRedefine/>
    <w:uiPriority w:val="39"/>
    <w:rsid w:val="00FB6D3C"/>
    <w:pPr>
      <w:tabs>
        <w:tab w:val="right" w:pos="8280"/>
      </w:tabs>
      <w:ind w:left="821" w:right="1440" w:hanging="360"/>
    </w:pPr>
    <w:rPr>
      <w:rFonts w:ascii="Arial" w:hAnsi="Arial"/>
      <w:lang w:val="en-GB"/>
    </w:rPr>
  </w:style>
  <w:style w:type="paragraph" w:styleId="TOC2">
    <w:name w:val="toc 2"/>
    <w:basedOn w:val="Normal"/>
    <w:next w:val="Normal"/>
    <w:autoRedefine/>
    <w:uiPriority w:val="39"/>
    <w:rsid w:val="00BE26DA"/>
    <w:pPr>
      <w:tabs>
        <w:tab w:val="right" w:pos="8280"/>
      </w:tabs>
      <w:ind w:left="821" w:right="1440"/>
    </w:pPr>
    <w:rPr>
      <w:rFonts w:ascii="Arial" w:hAnsi="Arial"/>
    </w:rPr>
  </w:style>
  <w:style w:type="paragraph" w:styleId="TOC3">
    <w:name w:val="toc 3"/>
    <w:basedOn w:val="TOC2"/>
    <w:next w:val="Normal"/>
    <w:autoRedefine/>
    <w:rsid w:val="00BE26DA"/>
    <w:pPr>
      <w:ind w:left="1181"/>
    </w:pPr>
    <w:rPr>
      <w:rFonts w:cs="Arial"/>
    </w:rPr>
  </w:style>
  <w:style w:type="paragraph" w:styleId="TOC4">
    <w:name w:val="toc 4"/>
    <w:basedOn w:val="Normal"/>
    <w:next w:val="Normal"/>
    <w:autoRedefine/>
    <w:rsid w:val="00BE26DA"/>
    <w:pPr>
      <w:tabs>
        <w:tab w:val="right" w:leader="dot" w:pos="8309"/>
      </w:tabs>
      <w:ind w:left="720"/>
    </w:pPr>
    <w:rPr>
      <w:rFonts w:ascii="Arial" w:hAnsi="Arial" w:cs="Arial"/>
    </w:rPr>
  </w:style>
  <w:style w:type="paragraph" w:styleId="TOC5">
    <w:name w:val="toc 5"/>
    <w:basedOn w:val="Normal"/>
    <w:next w:val="Normal"/>
    <w:autoRedefine/>
    <w:rsid w:val="00BE26DA"/>
    <w:pPr>
      <w:tabs>
        <w:tab w:val="right" w:leader="dot" w:pos="8309"/>
      </w:tabs>
      <w:ind w:left="960"/>
    </w:pPr>
    <w:rPr>
      <w:rFonts w:ascii="Arial" w:hAnsi="Arial" w:cs="Arial"/>
    </w:rPr>
  </w:style>
  <w:style w:type="paragraph" w:styleId="TOC6">
    <w:name w:val="toc 6"/>
    <w:basedOn w:val="Normal"/>
    <w:next w:val="Normal"/>
    <w:autoRedefine/>
    <w:rsid w:val="00BE26DA"/>
    <w:pPr>
      <w:tabs>
        <w:tab w:val="right" w:leader="dot" w:pos="8309"/>
      </w:tabs>
      <w:ind w:left="1200"/>
    </w:pPr>
    <w:rPr>
      <w:rFonts w:ascii="Arial" w:hAnsi="Arial" w:cs="Arial"/>
    </w:rPr>
  </w:style>
  <w:style w:type="paragraph" w:styleId="TOC7">
    <w:name w:val="toc 7"/>
    <w:basedOn w:val="Normal"/>
    <w:next w:val="Normal"/>
    <w:autoRedefine/>
    <w:rsid w:val="00BE26DA"/>
    <w:rPr>
      <w:rFonts w:ascii="Arial" w:hAnsi="Arial" w:cs="Arial"/>
    </w:rPr>
  </w:style>
  <w:style w:type="paragraph" w:styleId="TOC8">
    <w:name w:val="toc 8"/>
    <w:basedOn w:val="Normal"/>
    <w:next w:val="Normal"/>
    <w:autoRedefine/>
    <w:rsid w:val="00BE26DA"/>
    <w:pPr>
      <w:tabs>
        <w:tab w:val="right" w:leader="dot" w:pos="8309"/>
      </w:tabs>
      <w:ind w:left="1680"/>
    </w:pPr>
    <w:rPr>
      <w:rFonts w:ascii="Arial" w:hAnsi="Arial" w:cs="Arial"/>
    </w:rPr>
  </w:style>
  <w:style w:type="paragraph" w:styleId="TOC9">
    <w:name w:val="toc 9"/>
    <w:basedOn w:val="Normal"/>
    <w:next w:val="Normal"/>
    <w:autoRedefine/>
    <w:rsid w:val="00BE26DA"/>
    <w:pPr>
      <w:tabs>
        <w:tab w:val="right" w:leader="dot" w:pos="8309"/>
      </w:tabs>
      <w:ind w:left="1920"/>
    </w:pPr>
    <w:rPr>
      <w:rFonts w:ascii="Arial" w:hAnsi="Arial" w:cs="Arial"/>
    </w:rPr>
  </w:style>
  <w:style w:type="character" w:styleId="PlaceholderText">
    <w:name w:val="Placeholder Text"/>
    <w:basedOn w:val="DefaultParagraphFont"/>
    <w:uiPriority w:val="99"/>
    <w:semiHidden/>
    <w:rsid w:val="00BE26DA"/>
    <w:rPr>
      <w:color w:val="808080"/>
    </w:rPr>
  </w:style>
  <w:style w:type="paragraph" w:styleId="BalloonText">
    <w:name w:val="Balloon Text"/>
    <w:basedOn w:val="Normal"/>
    <w:link w:val="BalloonTextChar"/>
    <w:uiPriority w:val="99"/>
    <w:rsid w:val="00BE26DA"/>
    <w:rPr>
      <w:rFonts w:ascii="Tahoma" w:hAnsi="Tahoma" w:cs="Tahoma"/>
      <w:sz w:val="16"/>
      <w:szCs w:val="16"/>
    </w:rPr>
  </w:style>
  <w:style w:type="character" w:customStyle="1" w:styleId="BalloonTextChar">
    <w:name w:val="Balloon Text Char"/>
    <w:basedOn w:val="DefaultParagraphFont"/>
    <w:link w:val="BalloonText"/>
    <w:uiPriority w:val="99"/>
    <w:rsid w:val="00BE26DA"/>
    <w:rPr>
      <w:rFonts w:ascii="Tahoma" w:eastAsia="Times New Roman" w:hAnsi="Tahoma" w:cs="Tahoma"/>
      <w:sz w:val="16"/>
      <w:szCs w:val="16"/>
    </w:rPr>
  </w:style>
  <w:style w:type="table" w:customStyle="1" w:styleId="McKTableStyle">
    <w:name w:val="McKTableStyle"/>
    <w:basedOn w:val="TableNormal"/>
    <w:uiPriority w:val="99"/>
    <w:rsid w:val="00BE26DA"/>
    <w:pPr>
      <w:spacing w:before="60" w:after="60" w:line="240" w:lineRule="auto"/>
      <w:ind w:right="289"/>
    </w:pPr>
    <w:rPr>
      <w:rFonts w:ascii="Times New Roman" w:hAnsi="Times New Roman"/>
      <w:sz w:val="26"/>
    </w:rPr>
    <w:tblPr/>
    <w:tblStylePr w:type="firstRow">
      <w:pPr>
        <w:wordWrap/>
        <w:spacing w:beforeLines="0" w:before="60" w:beforeAutospacing="0" w:afterLines="0" w:after="60" w:afterAutospacing="0" w:line="240" w:lineRule="auto"/>
        <w:ind w:leftChars="0" w:left="0" w:rightChars="0" w:right="289" w:firstLineChars="0" w:firstLine="0"/>
        <w:contextualSpacing w:val="0"/>
        <w:jc w:val="left"/>
        <w:outlineLvl w:val="9"/>
      </w:pPr>
      <w:rPr>
        <w:rFonts w:ascii="Times New Roman" w:hAnsi="Times New Roman"/>
        <w:b/>
        <w:i w:val="0"/>
        <w:caps w:val="0"/>
        <w:smallCaps w:val="0"/>
        <w:strike w:val="0"/>
        <w:dstrike w:val="0"/>
        <w:vanish w:val="0"/>
        <w:color w:val="auto"/>
        <w:sz w:val="26"/>
        <w:u w:val="none"/>
        <w:vertAlign w:val="baseline"/>
      </w:rPr>
      <w:tblPr/>
      <w:tcPr>
        <w:tcBorders>
          <w:top w:val="nil"/>
          <w:left w:val="nil"/>
          <w:bottom w:val="nil"/>
          <w:right w:val="nil"/>
          <w:insideH w:val="nil"/>
          <w:insideV w:val="nil"/>
          <w:tl2br w:val="nil"/>
          <w:tr2bl w:val="nil"/>
        </w:tcBorders>
        <w:vAlign w:val="bottom"/>
      </w:tcPr>
    </w:tblStylePr>
  </w:style>
  <w:style w:type="table" w:styleId="TableGrid">
    <w:name w:val="Table Grid"/>
    <w:basedOn w:val="TableNormal"/>
    <w:uiPriority w:val="59"/>
    <w:rsid w:val="00BE26DA"/>
    <w:pPr>
      <w:spacing w:after="18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6Char">
    <w:name w:val="Heading 6 Char"/>
    <w:basedOn w:val="DefaultParagraphFont"/>
    <w:link w:val="Heading6"/>
    <w:uiPriority w:val="9"/>
    <w:semiHidden/>
    <w:rsid w:val="00BE26DA"/>
    <w:rPr>
      <w:rFonts w:eastAsiaTheme="minorEastAsia"/>
      <w:smallCaps/>
      <w:color w:val="C0504D" w:themeColor="accent2"/>
      <w:spacing w:val="5"/>
      <w:szCs w:val="20"/>
      <w:lang w:val="en-AU"/>
    </w:rPr>
  </w:style>
  <w:style w:type="character" w:customStyle="1" w:styleId="Heading7Char">
    <w:name w:val="Heading 7 Char"/>
    <w:basedOn w:val="DefaultParagraphFont"/>
    <w:link w:val="Heading7"/>
    <w:uiPriority w:val="9"/>
    <w:semiHidden/>
    <w:rsid w:val="00BE26DA"/>
    <w:rPr>
      <w:rFonts w:eastAsiaTheme="minorEastAsia"/>
      <w:b/>
      <w:smallCaps/>
      <w:color w:val="C0504D" w:themeColor="accent2"/>
      <w:spacing w:val="10"/>
      <w:sz w:val="20"/>
      <w:szCs w:val="20"/>
      <w:lang w:val="en-AU"/>
    </w:rPr>
  </w:style>
  <w:style w:type="character" w:customStyle="1" w:styleId="Heading8Char">
    <w:name w:val="Heading 8 Char"/>
    <w:basedOn w:val="DefaultParagraphFont"/>
    <w:link w:val="Heading8"/>
    <w:uiPriority w:val="9"/>
    <w:semiHidden/>
    <w:rsid w:val="00BE26DA"/>
    <w:rPr>
      <w:rFonts w:eastAsiaTheme="minorEastAsia"/>
      <w:b/>
      <w:i/>
      <w:smallCaps/>
      <w:color w:val="943634" w:themeColor="accent2" w:themeShade="BF"/>
      <w:sz w:val="20"/>
      <w:szCs w:val="20"/>
      <w:lang w:val="en-AU"/>
    </w:rPr>
  </w:style>
  <w:style w:type="character" w:customStyle="1" w:styleId="Heading9Char">
    <w:name w:val="Heading 9 Char"/>
    <w:basedOn w:val="DefaultParagraphFont"/>
    <w:link w:val="Heading9"/>
    <w:uiPriority w:val="9"/>
    <w:semiHidden/>
    <w:rsid w:val="00BE26DA"/>
    <w:rPr>
      <w:rFonts w:eastAsiaTheme="minorEastAsia"/>
      <w:b/>
      <w:i/>
      <w:smallCaps/>
      <w:color w:val="622423" w:themeColor="accent2" w:themeShade="7F"/>
      <w:sz w:val="20"/>
      <w:szCs w:val="20"/>
    </w:rPr>
  </w:style>
  <w:style w:type="paragraph" w:customStyle="1" w:styleId="36opener">
    <w:name w:val="36 opener"/>
    <w:basedOn w:val="Normal"/>
    <w:rsid w:val="00BE26DA"/>
    <w:pPr>
      <w:tabs>
        <w:tab w:val="right" w:pos="-261"/>
      </w:tabs>
      <w:spacing w:after="0"/>
      <w:ind w:hanging="2160"/>
    </w:pPr>
  </w:style>
  <w:style w:type="paragraph" w:customStyle="1" w:styleId="41closing">
    <w:name w:val="41 closing"/>
    <w:basedOn w:val="Normal"/>
    <w:rsid w:val="00BE26DA"/>
    <w:pPr>
      <w:spacing w:before="60"/>
      <w:ind w:left="3958"/>
    </w:pPr>
  </w:style>
  <w:style w:type="paragraph" w:customStyle="1" w:styleId="DocumentID-BLGlobal">
    <w:name w:val="DocumentID-BLGlobal"/>
    <w:basedOn w:val="Normal"/>
    <w:next w:val="Header"/>
    <w:rsid w:val="00BE26DA"/>
    <w:pPr>
      <w:framePr w:hSpace="187" w:vSpace="187" w:wrap="around" w:vAnchor="page" w:hAnchor="page" w:x="721" w:y="15985" w:anchorLock="1"/>
      <w:spacing w:after="0"/>
    </w:pPr>
    <w:rPr>
      <w:sz w:val="16"/>
    </w:rPr>
  </w:style>
  <w:style w:type="paragraph" w:customStyle="1" w:styleId="DocumentID-TRGlobal">
    <w:name w:val="DocumentID-TRGlobal"/>
    <w:basedOn w:val="Normal"/>
    <w:next w:val="Header"/>
    <w:rsid w:val="00BE26DA"/>
    <w:pPr>
      <w:framePr w:w="5760" w:wrap="around" w:vAnchor="page" w:hAnchor="page" w:x="5401" w:y="721" w:anchorLock="1"/>
      <w:spacing w:after="0"/>
      <w:jc w:val="right"/>
    </w:pPr>
    <w:rPr>
      <w:sz w:val="16"/>
    </w:rPr>
  </w:style>
  <w:style w:type="paragraph" w:styleId="MessageHeader">
    <w:name w:val="Message Header"/>
    <w:basedOn w:val="Normal"/>
    <w:link w:val="MessageHeaderChar"/>
    <w:unhideWhenUsed/>
    <w:rsid w:val="00BE26D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character" w:customStyle="1" w:styleId="MessageHeaderChar">
    <w:name w:val="Message Header Char"/>
    <w:basedOn w:val="DefaultParagraphFont"/>
    <w:link w:val="MessageHeader"/>
    <w:rsid w:val="00BE26DA"/>
    <w:rPr>
      <w:rFonts w:ascii="Arial" w:eastAsia="Times New Roman" w:hAnsi="Arial" w:cs="Arial"/>
      <w:sz w:val="24"/>
      <w:szCs w:val="24"/>
      <w:shd w:val="pct20" w:color="auto" w:fill="auto"/>
    </w:rPr>
  </w:style>
  <w:style w:type="paragraph" w:customStyle="1" w:styleId="StyleArial22ptCustomAfter10pt">
    <w:name w:val="Style Arial 22 pt Custom After:  10 pt"/>
    <w:basedOn w:val="Normal"/>
    <w:rsid w:val="00BE26DA"/>
    <w:pPr>
      <w:spacing w:after="200"/>
    </w:pPr>
    <w:rPr>
      <w:rFonts w:ascii="Arial" w:hAnsi="Arial"/>
      <w:sz w:val="44"/>
    </w:rPr>
  </w:style>
  <w:style w:type="paragraph" w:customStyle="1" w:styleId="TitlePageClient">
    <w:name w:val="Title Page_Client"/>
    <w:basedOn w:val="Normal"/>
    <w:next w:val="Normal"/>
    <w:link w:val="TitlePageClientChar"/>
    <w:rsid w:val="00BE26DA"/>
    <w:rPr>
      <w:rFonts w:ascii="Arial" w:hAnsi="Arial"/>
      <w:color w:val="000000"/>
      <w:sz w:val="28"/>
    </w:rPr>
  </w:style>
  <w:style w:type="paragraph" w:customStyle="1" w:styleId="TitlePageDisclaimer">
    <w:name w:val="Title Page_Disclaimer"/>
    <w:basedOn w:val="Normal"/>
    <w:rsid w:val="00BE26DA"/>
    <w:rPr>
      <w:rFonts w:ascii="Arial" w:hAnsi="Arial"/>
      <w:sz w:val="18"/>
    </w:rPr>
  </w:style>
  <w:style w:type="paragraph" w:customStyle="1" w:styleId="TitlePageDocument">
    <w:name w:val="Title Page_Document"/>
    <w:basedOn w:val="Normal"/>
    <w:link w:val="TitlePageDocumentChar"/>
    <w:rsid w:val="00BE26DA"/>
    <w:rPr>
      <w:rFonts w:ascii="Arial" w:hAnsi="Arial" w:cs="Arial"/>
      <w:color w:val="000000"/>
    </w:rPr>
  </w:style>
  <w:style w:type="paragraph" w:customStyle="1" w:styleId="TitlePageTitle">
    <w:name w:val="Title Page_Title"/>
    <w:basedOn w:val="Normal"/>
    <w:next w:val="Normal"/>
    <w:link w:val="TitlePageTitleChar"/>
    <w:autoRedefine/>
    <w:rsid w:val="00BE26DA"/>
    <w:pPr>
      <w:spacing w:after="200"/>
    </w:pPr>
    <w:rPr>
      <w:rFonts w:ascii="Arial" w:hAnsi="Arial"/>
      <w:color w:val="002960"/>
      <w:sz w:val="44"/>
    </w:rPr>
  </w:style>
  <w:style w:type="paragraph" w:styleId="Bibliography">
    <w:name w:val="Bibliography"/>
    <w:basedOn w:val="Normal"/>
    <w:next w:val="Normal"/>
    <w:uiPriority w:val="37"/>
    <w:semiHidden/>
    <w:unhideWhenUsed/>
    <w:rsid w:val="00BE26DA"/>
  </w:style>
  <w:style w:type="paragraph" w:styleId="BlockText">
    <w:name w:val="Block Text"/>
    <w:basedOn w:val="Normal"/>
    <w:uiPriority w:val="99"/>
    <w:unhideWhenUsed/>
    <w:rsid w:val="00BE26DA"/>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unhideWhenUsed/>
    <w:rsid w:val="00BE26DA"/>
  </w:style>
  <w:style w:type="character" w:customStyle="1" w:styleId="BodyTextChar">
    <w:name w:val="Body Text Char"/>
    <w:basedOn w:val="DefaultParagraphFont"/>
    <w:link w:val="BodyText"/>
    <w:uiPriority w:val="99"/>
    <w:rsid w:val="00BE26DA"/>
    <w:rPr>
      <w:rFonts w:ascii="Times New Roman" w:eastAsia="Times New Roman" w:hAnsi="Times New Roman" w:cs="Times New Roman"/>
      <w:sz w:val="26"/>
      <w:szCs w:val="20"/>
    </w:rPr>
  </w:style>
  <w:style w:type="paragraph" w:styleId="BodyText2">
    <w:name w:val="Body Text 2"/>
    <w:basedOn w:val="Normal"/>
    <w:link w:val="BodyText2Char"/>
    <w:uiPriority w:val="99"/>
    <w:unhideWhenUsed/>
    <w:rsid w:val="00BE26DA"/>
    <w:pPr>
      <w:spacing w:line="480" w:lineRule="auto"/>
    </w:pPr>
  </w:style>
  <w:style w:type="character" w:customStyle="1" w:styleId="BodyText2Char">
    <w:name w:val="Body Text 2 Char"/>
    <w:basedOn w:val="DefaultParagraphFont"/>
    <w:link w:val="BodyText2"/>
    <w:uiPriority w:val="99"/>
    <w:rsid w:val="00BE26DA"/>
    <w:rPr>
      <w:rFonts w:ascii="Times New Roman" w:eastAsia="Times New Roman" w:hAnsi="Times New Roman" w:cs="Times New Roman"/>
      <w:sz w:val="26"/>
      <w:szCs w:val="20"/>
    </w:rPr>
  </w:style>
  <w:style w:type="paragraph" w:styleId="BodyText3">
    <w:name w:val="Body Text 3"/>
    <w:basedOn w:val="Normal"/>
    <w:link w:val="BodyText3Char"/>
    <w:uiPriority w:val="99"/>
    <w:unhideWhenUsed/>
    <w:rsid w:val="00BE26DA"/>
    <w:rPr>
      <w:sz w:val="16"/>
      <w:szCs w:val="16"/>
    </w:rPr>
  </w:style>
  <w:style w:type="character" w:customStyle="1" w:styleId="BodyText3Char">
    <w:name w:val="Body Text 3 Char"/>
    <w:basedOn w:val="DefaultParagraphFont"/>
    <w:link w:val="BodyText3"/>
    <w:uiPriority w:val="99"/>
    <w:rsid w:val="00BE26DA"/>
    <w:rPr>
      <w:rFonts w:ascii="Times New Roman" w:eastAsia="Times New Roman" w:hAnsi="Times New Roman" w:cs="Times New Roman"/>
      <w:sz w:val="16"/>
      <w:szCs w:val="16"/>
    </w:rPr>
  </w:style>
  <w:style w:type="paragraph" w:styleId="BodyTextFirstIndent">
    <w:name w:val="Body Text First Indent"/>
    <w:basedOn w:val="BodyText"/>
    <w:link w:val="BodyTextFirstIndentChar"/>
    <w:uiPriority w:val="99"/>
    <w:unhideWhenUsed/>
    <w:rsid w:val="00BE26DA"/>
    <w:pPr>
      <w:spacing w:after="180"/>
      <w:ind w:firstLine="360"/>
    </w:pPr>
  </w:style>
  <w:style w:type="character" w:customStyle="1" w:styleId="BodyTextFirstIndentChar">
    <w:name w:val="Body Text First Indent Char"/>
    <w:basedOn w:val="BodyTextChar"/>
    <w:link w:val="BodyTextFirstIndent"/>
    <w:uiPriority w:val="99"/>
    <w:rsid w:val="00BE26DA"/>
    <w:rPr>
      <w:rFonts w:ascii="Times New Roman" w:eastAsia="Times New Roman" w:hAnsi="Times New Roman" w:cs="Times New Roman"/>
      <w:sz w:val="26"/>
      <w:szCs w:val="20"/>
    </w:rPr>
  </w:style>
  <w:style w:type="paragraph" w:styleId="BodyTextIndent">
    <w:name w:val="Body Text Indent"/>
    <w:basedOn w:val="Normal"/>
    <w:link w:val="BodyTextIndentChar"/>
    <w:uiPriority w:val="99"/>
    <w:unhideWhenUsed/>
    <w:rsid w:val="00BE26DA"/>
    <w:pPr>
      <w:ind w:left="360"/>
    </w:pPr>
  </w:style>
  <w:style w:type="character" w:customStyle="1" w:styleId="BodyTextIndentChar">
    <w:name w:val="Body Text Indent Char"/>
    <w:basedOn w:val="DefaultParagraphFont"/>
    <w:link w:val="BodyTextIndent"/>
    <w:uiPriority w:val="99"/>
    <w:rsid w:val="00BE26DA"/>
    <w:rPr>
      <w:rFonts w:ascii="Times New Roman" w:eastAsia="Times New Roman" w:hAnsi="Times New Roman" w:cs="Times New Roman"/>
      <w:sz w:val="26"/>
      <w:szCs w:val="20"/>
    </w:rPr>
  </w:style>
  <w:style w:type="paragraph" w:styleId="BodyTextFirstIndent2">
    <w:name w:val="Body Text First Indent 2"/>
    <w:basedOn w:val="BodyTextIndent"/>
    <w:link w:val="BodyTextFirstIndent2Char"/>
    <w:uiPriority w:val="99"/>
    <w:unhideWhenUsed/>
    <w:rsid w:val="00BE26DA"/>
    <w:pPr>
      <w:spacing w:after="180"/>
      <w:ind w:firstLine="360"/>
    </w:pPr>
  </w:style>
  <w:style w:type="character" w:customStyle="1" w:styleId="BodyTextFirstIndent2Char">
    <w:name w:val="Body Text First Indent 2 Char"/>
    <w:basedOn w:val="BodyTextIndentChar"/>
    <w:link w:val="BodyTextFirstIndent2"/>
    <w:uiPriority w:val="99"/>
    <w:rsid w:val="00BE26DA"/>
    <w:rPr>
      <w:rFonts w:ascii="Times New Roman" w:eastAsia="Times New Roman" w:hAnsi="Times New Roman" w:cs="Times New Roman"/>
      <w:sz w:val="26"/>
      <w:szCs w:val="20"/>
    </w:rPr>
  </w:style>
  <w:style w:type="paragraph" w:styleId="BodyTextIndent2">
    <w:name w:val="Body Text Indent 2"/>
    <w:basedOn w:val="Normal"/>
    <w:link w:val="BodyTextIndent2Char"/>
    <w:uiPriority w:val="99"/>
    <w:unhideWhenUsed/>
    <w:rsid w:val="00BE26DA"/>
    <w:pPr>
      <w:spacing w:line="480" w:lineRule="auto"/>
      <w:ind w:left="360"/>
    </w:pPr>
  </w:style>
  <w:style w:type="character" w:customStyle="1" w:styleId="BodyTextIndent2Char">
    <w:name w:val="Body Text Indent 2 Char"/>
    <w:basedOn w:val="DefaultParagraphFont"/>
    <w:link w:val="BodyTextIndent2"/>
    <w:uiPriority w:val="99"/>
    <w:rsid w:val="00BE26DA"/>
    <w:rPr>
      <w:rFonts w:ascii="Times New Roman" w:eastAsia="Times New Roman" w:hAnsi="Times New Roman" w:cs="Times New Roman"/>
      <w:sz w:val="26"/>
      <w:szCs w:val="20"/>
    </w:rPr>
  </w:style>
  <w:style w:type="paragraph" w:styleId="BodyTextIndent3">
    <w:name w:val="Body Text Indent 3"/>
    <w:basedOn w:val="Normal"/>
    <w:link w:val="BodyTextIndent3Char"/>
    <w:uiPriority w:val="99"/>
    <w:unhideWhenUsed/>
    <w:rsid w:val="00BE26DA"/>
    <w:pPr>
      <w:ind w:left="360"/>
    </w:pPr>
    <w:rPr>
      <w:sz w:val="16"/>
      <w:szCs w:val="16"/>
    </w:rPr>
  </w:style>
  <w:style w:type="character" w:customStyle="1" w:styleId="BodyTextIndent3Char">
    <w:name w:val="Body Text Indent 3 Char"/>
    <w:basedOn w:val="DefaultParagraphFont"/>
    <w:link w:val="BodyTextIndent3"/>
    <w:uiPriority w:val="99"/>
    <w:rsid w:val="00BE26DA"/>
    <w:rPr>
      <w:rFonts w:ascii="Times New Roman" w:eastAsia="Times New Roman" w:hAnsi="Times New Roman" w:cs="Times New Roman"/>
      <w:sz w:val="16"/>
      <w:szCs w:val="16"/>
    </w:rPr>
  </w:style>
  <w:style w:type="character" w:styleId="BookTitle">
    <w:name w:val="Book Title"/>
    <w:basedOn w:val="DefaultParagraphFont"/>
    <w:uiPriority w:val="33"/>
    <w:unhideWhenUsed/>
    <w:rsid w:val="00BE26DA"/>
    <w:rPr>
      <w:b/>
      <w:bCs/>
      <w:smallCaps/>
      <w:spacing w:val="5"/>
    </w:rPr>
  </w:style>
  <w:style w:type="paragraph" w:styleId="Closing">
    <w:name w:val="Closing"/>
    <w:basedOn w:val="Normal"/>
    <w:link w:val="ClosingChar"/>
    <w:uiPriority w:val="99"/>
    <w:unhideWhenUsed/>
    <w:rsid w:val="00BE26DA"/>
    <w:pPr>
      <w:spacing w:after="0"/>
      <w:ind w:left="4320"/>
    </w:pPr>
  </w:style>
  <w:style w:type="character" w:customStyle="1" w:styleId="ClosingChar">
    <w:name w:val="Closing Char"/>
    <w:basedOn w:val="DefaultParagraphFont"/>
    <w:link w:val="Closing"/>
    <w:uiPriority w:val="99"/>
    <w:rsid w:val="00BE26DA"/>
    <w:rPr>
      <w:rFonts w:ascii="Times New Roman" w:eastAsia="Times New Roman" w:hAnsi="Times New Roman" w:cs="Times New Roman"/>
      <w:sz w:val="26"/>
      <w:szCs w:val="20"/>
    </w:rPr>
  </w:style>
  <w:style w:type="paragraph" w:styleId="CommentSubject">
    <w:name w:val="annotation subject"/>
    <w:basedOn w:val="CommentText"/>
    <w:next w:val="CommentText"/>
    <w:link w:val="CommentSubjectChar"/>
    <w:uiPriority w:val="99"/>
    <w:unhideWhenUsed/>
    <w:rsid w:val="00BE26DA"/>
    <w:rPr>
      <w:b/>
      <w:bCs/>
    </w:rPr>
  </w:style>
  <w:style w:type="character" w:customStyle="1" w:styleId="CommentSubjectChar">
    <w:name w:val="Comment Subject Char"/>
    <w:basedOn w:val="CommentTextChar"/>
    <w:link w:val="CommentSubject"/>
    <w:uiPriority w:val="99"/>
    <w:rsid w:val="00BE26DA"/>
    <w:rPr>
      <w:rFonts w:ascii="Times New Roman" w:eastAsia="Times New Roman" w:hAnsi="Times New Roman" w:cs="Times New Roman"/>
      <w:b/>
      <w:bCs/>
      <w:sz w:val="20"/>
      <w:szCs w:val="20"/>
    </w:rPr>
  </w:style>
  <w:style w:type="paragraph" w:styleId="Date">
    <w:name w:val="Date"/>
    <w:basedOn w:val="Normal"/>
    <w:next w:val="Normal"/>
    <w:link w:val="DateChar"/>
    <w:uiPriority w:val="99"/>
    <w:unhideWhenUsed/>
    <w:rsid w:val="00BE26DA"/>
  </w:style>
  <w:style w:type="character" w:customStyle="1" w:styleId="DateChar">
    <w:name w:val="Date Char"/>
    <w:basedOn w:val="DefaultParagraphFont"/>
    <w:link w:val="Date"/>
    <w:uiPriority w:val="99"/>
    <w:rsid w:val="00BE26DA"/>
    <w:rPr>
      <w:rFonts w:ascii="Times New Roman" w:eastAsia="Times New Roman" w:hAnsi="Times New Roman" w:cs="Times New Roman"/>
      <w:sz w:val="26"/>
      <w:szCs w:val="20"/>
    </w:rPr>
  </w:style>
  <w:style w:type="paragraph" w:styleId="E-mailSignature">
    <w:name w:val="E-mail Signature"/>
    <w:basedOn w:val="Normal"/>
    <w:link w:val="E-mailSignatureChar"/>
    <w:uiPriority w:val="99"/>
    <w:unhideWhenUsed/>
    <w:rsid w:val="00BE26DA"/>
    <w:pPr>
      <w:spacing w:after="0"/>
    </w:pPr>
  </w:style>
  <w:style w:type="character" w:customStyle="1" w:styleId="E-mailSignatureChar">
    <w:name w:val="E-mail Signature Char"/>
    <w:basedOn w:val="DefaultParagraphFont"/>
    <w:link w:val="E-mailSignature"/>
    <w:uiPriority w:val="99"/>
    <w:rsid w:val="00BE26DA"/>
    <w:rPr>
      <w:rFonts w:ascii="Times New Roman" w:eastAsia="Times New Roman" w:hAnsi="Times New Roman" w:cs="Times New Roman"/>
      <w:sz w:val="26"/>
      <w:szCs w:val="20"/>
    </w:rPr>
  </w:style>
  <w:style w:type="character" w:styleId="Emphasis">
    <w:name w:val="Emphasis"/>
    <w:basedOn w:val="DefaultParagraphFont"/>
    <w:uiPriority w:val="20"/>
    <w:unhideWhenUsed/>
    <w:qFormat/>
    <w:rsid w:val="00BE26DA"/>
    <w:rPr>
      <w:i/>
      <w:iCs/>
    </w:rPr>
  </w:style>
  <w:style w:type="character" w:styleId="FollowedHyperlink">
    <w:name w:val="FollowedHyperlink"/>
    <w:basedOn w:val="DefaultParagraphFont"/>
    <w:uiPriority w:val="99"/>
    <w:unhideWhenUsed/>
    <w:rsid w:val="00BE26DA"/>
    <w:rPr>
      <w:color w:val="800080" w:themeColor="followedHyperlink"/>
      <w:u w:val="single"/>
    </w:rPr>
  </w:style>
  <w:style w:type="character" w:styleId="HTMLAcronym">
    <w:name w:val="HTML Acronym"/>
    <w:basedOn w:val="DefaultParagraphFont"/>
    <w:uiPriority w:val="99"/>
    <w:unhideWhenUsed/>
    <w:rsid w:val="00BE26DA"/>
  </w:style>
  <w:style w:type="paragraph" w:styleId="HTMLAddress">
    <w:name w:val="HTML Address"/>
    <w:basedOn w:val="Normal"/>
    <w:link w:val="HTMLAddressChar"/>
    <w:uiPriority w:val="99"/>
    <w:unhideWhenUsed/>
    <w:rsid w:val="00BE26DA"/>
    <w:pPr>
      <w:spacing w:after="0"/>
    </w:pPr>
    <w:rPr>
      <w:i/>
      <w:iCs/>
    </w:rPr>
  </w:style>
  <w:style w:type="character" w:customStyle="1" w:styleId="HTMLAddressChar">
    <w:name w:val="HTML Address Char"/>
    <w:basedOn w:val="DefaultParagraphFont"/>
    <w:link w:val="HTMLAddress"/>
    <w:uiPriority w:val="99"/>
    <w:rsid w:val="00BE26DA"/>
    <w:rPr>
      <w:rFonts w:ascii="Times New Roman" w:eastAsia="Times New Roman" w:hAnsi="Times New Roman" w:cs="Times New Roman"/>
      <w:i/>
      <w:iCs/>
      <w:sz w:val="26"/>
      <w:szCs w:val="20"/>
    </w:rPr>
  </w:style>
  <w:style w:type="character" w:styleId="HTMLCite">
    <w:name w:val="HTML Cite"/>
    <w:basedOn w:val="DefaultParagraphFont"/>
    <w:uiPriority w:val="99"/>
    <w:unhideWhenUsed/>
    <w:rsid w:val="00BE26DA"/>
    <w:rPr>
      <w:i/>
      <w:iCs/>
    </w:rPr>
  </w:style>
  <w:style w:type="character" w:styleId="HTMLCode">
    <w:name w:val="HTML Code"/>
    <w:basedOn w:val="DefaultParagraphFont"/>
    <w:uiPriority w:val="99"/>
    <w:unhideWhenUsed/>
    <w:rsid w:val="00BE26DA"/>
    <w:rPr>
      <w:rFonts w:ascii="Consolas" w:hAnsi="Consolas"/>
      <w:sz w:val="20"/>
      <w:szCs w:val="20"/>
    </w:rPr>
  </w:style>
  <w:style w:type="character" w:styleId="HTMLDefinition">
    <w:name w:val="HTML Definition"/>
    <w:basedOn w:val="DefaultParagraphFont"/>
    <w:uiPriority w:val="99"/>
    <w:unhideWhenUsed/>
    <w:rsid w:val="00BE26DA"/>
    <w:rPr>
      <w:i/>
      <w:iCs/>
    </w:rPr>
  </w:style>
  <w:style w:type="character" w:styleId="HTMLKeyboard">
    <w:name w:val="HTML Keyboard"/>
    <w:basedOn w:val="DefaultParagraphFont"/>
    <w:uiPriority w:val="99"/>
    <w:unhideWhenUsed/>
    <w:rsid w:val="00BE26DA"/>
    <w:rPr>
      <w:rFonts w:ascii="Consolas" w:hAnsi="Consolas"/>
      <w:sz w:val="20"/>
      <w:szCs w:val="20"/>
    </w:rPr>
  </w:style>
  <w:style w:type="paragraph" w:styleId="HTMLPreformatted">
    <w:name w:val="HTML Preformatted"/>
    <w:basedOn w:val="Normal"/>
    <w:link w:val="HTMLPreformattedChar"/>
    <w:uiPriority w:val="99"/>
    <w:unhideWhenUsed/>
    <w:rsid w:val="00BE26DA"/>
    <w:pPr>
      <w:spacing w:after="0"/>
    </w:pPr>
    <w:rPr>
      <w:rFonts w:ascii="Consolas" w:hAnsi="Consolas"/>
      <w:sz w:val="20"/>
    </w:rPr>
  </w:style>
  <w:style w:type="character" w:customStyle="1" w:styleId="HTMLPreformattedChar">
    <w:name w:val="HTML Preformatted Char"/>
    <w:basedOn w:val="DefaultParagraphFont"/>
    <w:link w:val="HTMLPreformatted"/>
    <w:uiPriority w:val="99"/>
    <w:rsid w:val="00BE26DA"/>
    <w:rPr>
      <w:rFonts w:ascii="Consolas" w:eastAsia="Times New Roman" w:hAnsi="Consolas" w:cs="Times New Roman"/>
      <w:sz w:val="20"/>
      <w:szCs w:val="20"/>
    </w:rPr>
  </w:style>
  <w:style w:type="character" w:styleId="HTMLSample">
    <w:name w:val="HTML Sample"/>
    <w:basedOn w:val="DefaultParagraphFont"/>
    <w:uiPriority w:val="99"/>
    <w:unhideWhenUsed/>
    <w:rsid w:val="00BE26DA"/>
    <w:rPr>
      <w:rFonts w:ascii="Consolas" w:hAnsi="Consolas"/>
      <w:sz w:val="24"/>
      <w:szCs w:val="24"/>
    </w:rPr>
  </w:style>
  <w:style w:type="character" w:styleId="HTMLTypewriter">
    <w:name w:val="HTML Typewriter"/>
    <w:basedOn w:val="DefaultParagraphFont"/>
    <w:uiPriority w:val="99"/>
    <w:unhideWhenUsed/>
    <w:rsid w:val="00BE26DA"/>
    <w:rPr>
      <w:rFonts w:ascii="Consolas" w:hAnsi="Consolas"/>
      <w:sz w:val="20"/>
      <w:szCs w:val="20"/>
    </w:rPr>
  </w:style>
  <w:style w:type="character" w:styleId="HTMLVariable">
    <w:name w:val="HTML Variable"/>
    <w:basedOn w:val="DefaultParagraphFont"/>
    <w:uiPriority w:val="99"/>
    <w:unhideWhenUsed/>
    <w:rsid w:val="00BE26DA"/>
    <w:rPr>
      <w:i/>
      <w:iCs/>
    </w:rPr>
  </w:style>
  <w:style w:type="character" w:styleId="Hyperlink">
    <w:name w:val="Hyperlink"/>
    <w:basedOn w:val="DefaultParagraphFont"/>
    <w:uiPriority w:val="99"/>
    <w:unhideWhenUsed/>
    <w:rsid w:val="00BE26DA"/>
    <w:rPr>
      <w:color w:val="0000FF" w:themeColor="hyperlink"/>
      <w:u w:val="single"/>
    </w:rPr>
  </w:style>
  <w:style w:type="paragraph" w:styleId="Index1">
    <w:name w:val="index 1"/>
    <w:basedOn w:val="Normal"/>
    <w:next w:val="Normal"/>
    <w:autoRedefine/>
    <w:uiPriority w:val="99"/>
    <w:unhideWhenUsed/>
    <w:rsid w:val="00BE26DA"/>
    <w:pPr>
      <w:spacing w:after="0"/>
      <w:ind w:left="260" w:hanging="260"/>
    </w:pPr>
  </w:style>
  <w:style w:type="paragraph" w:styleId="Index2">
    <w:name w:val="index 2"/>
    <w:basedOn w:val="Normal"/>
    <w:next w:val="Normal"/>
    <w:autoRedefine/>
    <w:uiPriority w:val="99"/>
    <w:unhideWhenUsed/>
    <w:rsid w:val="00BE26DA"/>
    <w:pPr>
      <w:spacing w:after="0"/>
      <w:ind w:left="520" w:hanging="260"/>
    </w:pPr>
  </w:style>
  <w:style w:type="paragraph" w:styleId="Index3">
    <w:name w:val="index 3"/>
    <w:basedOn w:val="Normal"/>
    <w:next w:val="Normal"/>
    <w:autoRedefine/>
    <w:uiPriority w:val="99"/>
    <w:unhideWhenUsed/>
    <w:rsid w:val="00BE26DA"/>
    <w:pPr>
      <w:spacing w:after="0"/>
      <w:ind w:left="780" w:hanging="260"/>
    </w:pPr>
  </w:style>
  <w:style w:type="paragraph" w:styleId="Index4">
    <w:name w:val="index 4"/>
    <w:basedOn w:val="Normal"/>
    <w:next w:val="Normal"/>
    <w:autoRedefine/>
    <w:uiPriority w:val="99"/>
    <w:unhideWhenUsed/>
    <w:rsid w:val="00BE26DA"/>
    <w:pPr>
      <w:spacing w:after="0"/>
      <w:ind w:left="1040" w:hanging="260"/>
    </w:pPr>
  </w:style>
  <w:style w:type="paragraph" w:styleId="Index5">
    <w:name w:val="index 5"/>
    <w:basedOn w:val="Normal"/>
    <w:next w:val="Normal"/>
    <w:autoRedefine/>
    <w:uiPriority w:val="99"/>
    <w:unhideWhenUsed/>
    <w:rsid w:val="00BE26DA"/>
    <w:pPr>
      <w:spacing w:after="0"/>
      <w:ind w:left="1300" w:hanging="260"/>
    </w:pPr>
  </w:style>
  <w:style w:type="paragraph" w:styleId="Index6">
    <w:name w:val="index 6"/>
    <w:basedOn w:val="Normal"/>
    <w:next w:val="Normal"/>
    <w:autoRedefine/>
    <w:uiPriority w:val="99"/>
    <w:unhideWhenUsed/>
    <w:rsid w:val="00BE26DA"/>
    <w:pPr>
      <w:spacing w:after="0"/>
      <w:ind w:left="1560" w:hanging="260"/>
    </w:pPr>
  </w:style>
  <w:style w:type="paragraph" w:styleId="Index7">
    <w:name w:val="index 7"/>
    <w:basedOn w:val="Normal"/>
    <w:next w:val="Normal"/>
    <w:autoRedefine/>
    <w:uiPriority w:val="99"/>
    <w:unhideWhenUsed/>
    <w:rsid w:val="00BE26DA"/>
    <w:pPr>
      <w:spacing w:after="0"/>
      <w:ind w:left="1820" w:hanging="260"/>
    </w:pPr>
  </w:style>
  <w:style w:type="paragraph" w:styleId="Index8">
    <w:name w:val="index 8"/>
    <w:basedOn w:val="Normal"/>
    <w:next w:val="Normal"/>
    <w:autoRedefine/>
    <w:uiPriority w:val="99"/>
    <w:unhideWhenUsed/>
    <w:rsid w:val="00BE26DA"/>
    <w:pPr>
      <w:spacing w:after="0"/>
      <w:ind w:left="2080" w:hanging="260"/>
    </w:pPr>
  </w:style>
  <w:style w:type="paragraph" w:styleId="Index9">
    <w:name w:val="index 9"/>
    <w:basedOn w:val="Normal"/>
    <w:next w:val="Normal"/>
    <w:autoRedefine/>
    <w:uiPriority w:val="99"/>
    <w:unhideWhenUsed/>
    <w:rsid w:val="00BE26DA"/>
    <w:pPr>
      <w:spacing w:after="0"/>
      <w:ind w:left="2340" w:hanging="260"/>
    </w:pPr>
  </w:style>
  <w:style w:type="paragraph" w:styleId="IndexHeading">
    <w:name w:val="index heading"/>
    <w:basedOn w:val="Normal"/>
    <w:next w:val="Index1"/>
    <w:uiPriority w:val="99"/>
    <w:unhideWhenUsed/>
    <w:rsid w:val="00BE26DA"/>
    <w:rPr>
      <w:rFonts w:asciiTheme="majorHAnsi" w:eastAsiaTheme="majorEastAsia" w:hAnsiTheme="majorHAnsi" w:cstheme="majorBidi"/>
      <w:b/>
      <w:bCs/>
    </w:rPr>
  </w:style>
  <w:style w:type="character" w:styleId="IntenseEmphasis">
    <w:name w:val="Intense Emphasis"/>
    <w:basedOn w:val="DefaultParagraphFont"/>
    <w:uiPriority w:val="21"/>
    <w:unhideWhenUsed/>
    <w:rsid w:val="00BE26DA"/>
    <w:rPr>
      <w:b/>
      <w:bCs/>
      <w:i/>
      <w:iCs/>
      <w:color w:val="4F81BD" w:themeColor="accent1"/>
    </w:rPr>
  </w:style>
  <w:style w:type="paragraph" w:styleId="IntenseQuote">
    <w:name w:val="Intense Quote"/>
    <w:basedOn w:val="Normal"/>
    <w:next w:val="Normal"/>
    <w:link w:val="IntenseQuoteChar"/>
    <w:uiPriority w:val="30"/>
    <w:unhideWhenUsed/>
    <w:rsid w:val="00BE26DA"/>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BE26DA"/>
    <w:rPr>
      <w:rFonts w:ascii="Times New Roman" w:eastAsia="Times New Roman" w:hAnsi="Times New Roman" w:cs="Times New Roman"/>
      <w:b/>
      <w:bCs/>
      <w:i/>
      <w:iCs/>
      <w:color w:val="4F81BD" w:themeColor="accent1"/>
      <w:sz w:val="26"/>
      <w:szCs w:val="20"/>
    </w:rPr>
  </w:style>
  <w:style w:type="character" w:styleId="IntenseReference">
    <w:name w:val="Intense Reference"/>
    <w:basedOn w:val="DefaultParagraphFont"/>
    <w:uiPriority w:val="32"/>
    <w:unhideWhenUsed/>
    <w:rsid w:val="00BE26DA"/>
    <w:rPr>
      <w:b/>
      <w:bCs/>
      <w:smallCaps/>
      <w:color w:val="C0504D" w:themeColor="accent2"/>
      <w:spacing w:val="5"/>
      <w:u w:val="single"/>
    </w:rPr>
  </w:style>
  <w:style w:type="paragraph" w:styleId="List">
    <w:name w:val="List"/>
    <w:basedOn w:val="Normal"/>
    <w:uiPriority w:val="99"/>
    <w:unhideWhenUsed/>
    <w:rsid w:val="00BE26DA"/>
    <w:pPr>
      <w:ind w:left="360" w:hanging="360"/>
      <w:contextualSpacing/>
    </w:pPr>
  </w:style>
  <w:style w:type="paragraph" w:styleId="List2">
    <w:name w:val="List 2"/>
    <w:basedOn w:val="Normal"/>
    <w:uiPriority w:val="99"/>
    <w:unhideWhenUsed/>
    <w:rsid w:val="00BE26DA"/>
    <w:pPr>
      <w:ind w:left="720" w:hanging="360"/>
      <w:contextualSpacing/>
    </w:pPr>
  </w:style>
  <w:style w:type="paragraph" w:styleId="List3">
    <w:name w:val="List 3"/>
    <w:basedOn w:val="Normal"/>
    <w:uiPriority w:val="99"/>
    <w:unhideWhenUsed/>
    <w:rsid w:val="00BE26DA"/>
    <w:pPr>
      <w:ind w:left="1080" w:hanging="360"/>
      <w:contextualSpacing/>
    </w:pPr>
  </w:style>
  <w:style w:type="paragraph" w:styleId="List4">
    <w:name w:val="List 4"/>
    <w:basedOn w:val="Normal"/>
    <w:uiPriority w:val="99"/>
    <w:unhideWhenUsed/>
    <w:rsid w:val="00BE26DA"/>
    <w:pPr>
      <w:ind w:left="1440" w:hanging="360"/>
      <w:contextualSpacing/>
    </w:pPr>
  </w:style>
  <w:style w:type="paragraph" w:styleId="List5">
    <w:name w:val="List 5"/>
    <w:basedOn w:val="Normal"/>
    <w:uiPriority w:val="99"/>
    <w:unhideWhenUsed/>
    <w:rsid w:val="00BE26DA"/>
    <w:pPr>
      <w:ind w:left="1800" w:hanging="360"/>
      <w:contextualSpacing/>
    </w:pPr>
  </w:style>
  <w:style w:type="paragraph" w:styleId="ListBullet">
    <w:name w:val="List Bullet"/>
    <w:basedOn w:val="Normal"/>
    <w:uiPriority w:val="99"/>
    <w:unhideWhenUsed/>
    <w:rsid w:val="00BE26DA"/>
    <w:pPr>
      <w:numPr>
        <w:numId w:val="4"/>
      </w:numPr>
      <w:contextualSpacing/>
    </w:pPr>
  </w:style>
  <w:style w:type="paragraph" w:styleId="ListBullet2">
    <w:name w:val="List Bullet 2"/>
    <w:basedOn w:val="Normal"/>
    <w:uiPriority w:val="99"/>
    <w:unhideWhenUsed/>
    <w:rsid w:val="00BE26DA"/>
    <w:pPr>
      <w:numPr>
        <w:numId w:val="5"/>
      </w:numPr>
      <w:contextualSpacing/>
    </w:pPr>
  </w:style>
  <w:style w:type="paragraph" w:styleId="ListBullet3">
    <w:name w:val="List Bullet 3"/>
    <w:basedOn w:val="Normal"/>
    <w:uiPriority w:val="99"/>
    <w:unhideWhenUsed/>
    <w:rsid w:val="00BE26DA"/>
    <w:pPr>
      <w:numPr>
        <w:numId w:val="6"/>
      </w:numPr>
      <w:contextualSpacing/>
    </w:pPr>
  </w:style>
  <w:style w:type="paragraph" w:styleId="ListBullet4">
    <w:name w:val="List Bullet 4"/>
    <w:basedOn w:val="Normal"/>
    <w:uiPriority w:val="99"/>
    <w:unhideWhenUsed/>
    <w:rsid w:val="00BE26DA"/>
    <w:pPr>
      <w:numPr>
        <w:numId w:val="7"/>
      </w:numPr>
      <w:contextualSpacing/>
    </w:pPr>
  </w:style>
  <w:style w:type="paragraph" w:styleId="ListBullet5">
    <w:name w:val="List Bullet 5"/>
    <w:basedOn w:val="Normal"/>
    <w:uiPriority w:val="99"/>
    <w:unhideWhenUsed/>
    <w:rsid w:val="00BE26DA"/>
    <w:pPr>
      <w:numPr>
        <w:numId w:val="8"/>
      </w:numPr>
      <w:contextualSpacing/>
    </w:pPr>
  </w:style>
  <w:style w:type="paragraph" w:styleId="ListContinue">
    <w:name w:val="List Continue"/>
    <w:basedOn w:val="Normal"/>
    <w:uiPriority w:val="99"/>
    <w:unhideWhenUsed/>
    <w:rsid w:val="00BE26DA"/>
    <w:pPr>
      <w:ind w:left="360"/>
      <w:contextualSpacing/>
    </w:pPr>
  </w:style>
  <w:style w:type="paragraph" w:styleId="ListContinue2">
    <w:name w:val="List Continue 2"/>
    <w:basedOn w:val="Normal"/>
    <w:uiPriority w:val="99"/>
    <w:unhideWhenUsed/>
    <w:rsid w:val="00BE26DA"/>
    <w:pPr>
      <w:ind w:left="720"/>
      <w:contextualSpacing/>
    </w:pPr>
  </w:style>
  <w:style w:type="paragraph" w:styleId="ListContinue3">
    <w:name w:val="List Continue 3"/>
    <w:basedOn w:val="Normal"/>
    <w:uiPriority w:val="99"/>
    <w:unhideWhenUsed/>
    <w:rsid w:val="00BE26DA"/>
    <w:pPr>
      <w:ind w:left="1080"/>
      <w:contextualSpacing/>
    </w:pPr>
  </w:style>
  <w:style w:type="paragraph" w:styleId="ListContinue4">
    <w:name w:val="List Continue 4"/>
    <w:basedOn w:val="Normal"/>
    <w:uiPriority w:val="99"/>
    <w:unhideWhenUsed/>
    <w:rsid w:val="00BE26DA"/>
    <w:pPr>
      <w:ind w:left="1440"/>
      <w:contextualSpacing/>
    </w:pPr>
  </w:style>
  <w:style w:type="paragraph" w:styleId="ListContinue5">
    <w:name w:val="List Continue 5"/>
    <w:basedOn w:val="Normal"/>
    <w:uiPriority w:val="99"/>
    <w:unhideWhenUsed/>
    <w:rsid w:val="00BE26DA"/>
    <w:pPr>
      <w:ind w:left="1800"/>
      <w:contextualSpacing/>
    </w:pPr>
  </w:style>
  <w:style w:type="paragraph" w:styleId="ListNumber">
    <w:name w:val="List Number"/>
    <w:basedOn w:val="Normal"/>
    <w:uiPriority w:val="99"/>
    <w:unhideWhenUsed/>
    <w:rsid w:val="00BE26DA"/>
    <w:pPr>
      <w:numPr>
        <w:numId w:val="9"/>
      </w:numPr>
      <w:contextualSpacing/>
    </w:pPr>
  </w:style>
  <w:style w:type="paragraph" w:styleId="ListNumber2">
    <w:name w:val="List Number 2"/>
    <w:basedOn w:val="Normal"/>
    <w:uiPriority w:val="99"/>
    <w:unhideWhenUsed/>
    <w:rsid w:val="00BE26DA"/>
    <w:pPr>
      <w:numPr>
        <w:numId w:val="10"/>
      </w:numPr>
      <w:contextualSpacing/>
    </w:pPr>
  </w:style>
  <w:style w:type="paragraph" w:styleId="ListNumber3">
    <w:name w:val="List Number 3"/>
    <w:basedOn w:val="Normal"/>
    <w:uiPriority w:val="99"/>
    <w:unhideWhenUsed/>
    <w:rsid w:val="00BE26DA"/>
    <w:pPr>
      <w:numPr>
        <w:numId w:val="11"/>
      </w:numPr>
      <w:contextualSpacing/>
    </w:pPr>
  </w:style>
  <w:style w:type="paragraph" w:styleId="ListNumber4">
    <w:name w:val="List Number 4"/>
    <w:basedOn w:val="Normal"/>
    <w:uiPriority w:val="99"/>
    <w:unhideWhenUsed/>
    <w:rsid w:val="00BE26DA"/>
    <w:pPr>
      <w:numPr>
        <w:numId w:val="12"/>
      </w:numPr>
      <w:contextualSpacing/>
    </w:pPr>
  </w:style>
  <w:style w:type="paragraph" w:styleId="ListNumber5">
    <w:name w:val="List Number 5"/>
    <w:basedOn w:val="Normal"/>
    <w:uiPriority w:val="99"/>
    <w:unhideWhenUsed/>
    <w:rsid w:val="00BE26DA"/>
    <w:pPr>
      <w:numPr>
        <w:numId w:val="13"/>
      </w:numPr>
      <w:contextualSpacing/>
    </w:pPr>
  </w:style>
  <w:style w:type="paragraph" w:styleId="ListParagraph">
    <w:name w:val="List Paragraph"/>
    <w:basedOn w:val="Normal"/>
    <w:uiPriority w:val="34"/>
    <w:unhideWhenUsed/>
    <w:qFormat/>
    <w:rsid w:val="00BE26DA"/>
    <w:pPr>
      <w:ind w:left="720"/>
      <w:contextualSpacing/>
    </w:pPr>
  </w:style>
  <w:style w:type="paragraph" w:styleId="NoSpacing">
    <w:name w:val="No Spacing"/>
    <w:uiPriority w:val="1"/>
    <w:unhideWhenUsed/>
    <w:rsid w:val="00BE26DA"/>
    <w:pPr>
      <w:spacing w:after="0" w:line="240" w:lineRule="auto"/>
    </w:pPr>
    <w:rPr>
      <w:rFonts w:ascii="Times New Roman" w:eastAsia="Times New Roman" w:hAnsi="Times New Roman" w:cs="Times New Roman"/>
      <w:sz w:val="26"/>
      <w:szCs w:val="20"/>
    </w:rPr>
  </w:style>
  <w:style w:type="paragraph" w:styleId="NormalWeb">
    <w:name w:val="Normal (Web)"/>
    <w:basedOn w:val="Normal"/>
    <w:uiPriority w:val="99"/>
    <w:unhideWhenUsed/>
    <w:rsid w:val="00BE26DA"/>
    <w:rPr>
      <w:sz w:val="24"/>
      <w:szCs w:val="24"/>
    </w:rPr>
  </w:style>
  <w:style w:type="paragraph" w:styleId="NormalIndent">
    <w:name w:val="Normal Indent"/>
    <w:basedOn w:val="Normal"/>
    <w:uiPriority w:val="99"/>
    <w:unhideWhenUsed/>
    <w:rsid w:val="00BE26DA"/>
    <w:pPr>
      <w:ind w:left="720"/>
    </w:pPr>
  </w:style>
  <w:style w:type="paragraph" w:styleId="NoteHeading">
    <w:name w:val="Note Heading"/>
    <w:basedOn w:val="Normal"/>
    <w:next w:val="Normal"/>
    <w:link w:val="NoteHeadingChar"/>
    <w:uiPriority w:val="99"/>
    <w:unhideWhenUsed/>
    <w:rsid w:val="00BE26DA"/>
    <w:pPr>
      <w:spacing w:after="0"/>
    </w:pPr>
  </w:style>
  <w:style w:type="character" w:customStyle="1" w:styleId="NoteHeadingChar">
    <w:name w:val="Note Heading Char"/>
    <w:basedOn w:val="DefaultParagraphFont"/>
    <w:link w:val="NoteHeading"/>
    <w:uiPriority w:val="99"/>
    <w:rsid w:val="00BE26DA"/>
    <w:rPr>
      <w:rFonts w:ascii="Times New Roman" w:eastAsia="Times New Roman" w:hAnsi="Times New Roman" w:cs="Times New Roman"/>
      <w:sz w:val="26"/>
      <w:szCs w:val="20"/>
    </w:rPr>
  </w:style>
  <w:style w:type="paragraph" w:styleId="PlainText">
    <w:name w:val="Plain Text"/>
    <w:basedOn w:val="Normal"/>
    <w:link w:val="PlainTextChar"/>
    <w:uiPriority w:val="99"/>
    <w:unhideWhenUsed/>
    <w:rsid w:val="00BE26DA"/>
    <w:pPr>
      <w:spacing w:after="0"/>
    </w:pPr>
    <w:rPr>
      <w:rFonts w:ascii="Consolas" w:hAnsi="Consolas"/>
      <w:sz w:val="21"/>
      <w:szCs w:val="21"/>
    </w:rPr>
  </w:style>
  <w:style w:type="character" w:customStyle="1" w:styleId="PlainTextChar">
    <w:name w:val="Plain Text Char"/>
    <w:basedOn w:val="DefaultParagraphFont"/>
    <w:link w:val="PlainText"/>
    <w:uiPriority w:val="99"/>
    <w:rsid w:val="00BE26DA"/>
    <w:rPr>
      <w:rFonts w:ascii="Consolas" w:eastAsia="Times New Roman" w:hAnsi="Consolas" w:cs="Times New Roman"/>
      <w:sz w:val="21"/>
      <w:szCs w:val="21"/>
    </w:rPr>
  </w:style>
  <w:style w:type="paragraph" w:styleId="Quote">
    <w:name w:val="Quote"/>
    <w:basedOn w:val="Normal"/>
    <w:next w:val="Normal"/>
    <w:link w:val="QuoteChar"/>
    <w:uiPriority w:val="29"/>
    <w:unhideWhenUsed/>
    <w:rsid w:val="00BE26DA"/>
    <w:rPr>
      <w:i/>
      <w:iCs/>
      <w:color w:val="000000" w:themeColor="text1"/>
    </w:rPr>
  </w:style>
  <w:style w:type="character" w:customStyle="1" w:styleId="QuoteChar">
    <w:name w:val="Quote Char"/>
    <w:basedOn w:val="DefaultParagraphFont"/>
    <w:link w:val="Quote"/>
    <w:uiPriority w:val="29"/>
    <w:rsid w:val="00BE26DA"/>
    <w:rPr>
      <w:rFonts w:ascii="Times New Roman" w:eastAsia="Times New Roman" w:hAnsi="Times New Roman" w:cs="Times New Roman"/>
      <w:i/>
      <w:iCs/>
      <w:color w:val="000000" w:themeColor="text1"/>
      <w:sz w:val="26"/>
      <w:szCs w:val="20"/>
    </w:rPr>
  </w:style>
  <w:style w:type="paragraph" w:styleId="Salutation">
    <w:name w:val="Salutation"/>
    <w:basedOn w:val="Normal"/>
    <w:next w:val="Normal"/>
    <w:link w:val="SalutationChar"/>
    <w:uiPriority w:val="99"/>
    <w:unhideWhenUsed/>
    <w:rsid w:val="00BE26DA"/>
  </w:style>
  <w:style w:type="character" w:customStyle="1" w:styleId="SalutationChar">
    <w:name w:val="Salutation Char"/>
    <w:basedOn w:val="DefaultParagraphFont"/>
    <w:link w:val="Salutation"/>
    <w:uiPriority w:val="99"/>
    <w:rsid w:val="00BE26DA"/>
    <w:rPr>
      <w:rFonts w:ascii="Times New Roman" w:eastAsia="Times New Roman" w:hAnsi="Times New Roman" w:cs="Times New Roman"/>
      <w:sz w:val="26"/>
      <w:szCs w:val="20"/>
    </w:rPr>
  </w:style>
  <w:style w:type="paragraph" w:styleId="Signature">
    <w:name w:val="Signature"/>
    <w:basedOn w:val="Normal"/>
    <w:link w:val="SignatureChar"/>
    <w:uiPriority w:val="99"/>
    <w:unhideWhenUsed/>
    <w:rsid w:val="00BE26DA"/>
    <w:pPr>
      <w:spacing w:after="0"/>
      <w:ind w:left="4320"/>
    </w:pPr>
  </w:style>
  <w:style w:type="character" w:customStyle="1" w:styleId="SignatureChar">
    <w:name w:val="Signature Char"/>
    <w:basedOn w:val="DefaultParagraphFont"/>
    <w:link w:val="Signature"/>
    <w:uiPriority w:val="99"/>
    <w:rsid w:val="00BE26DA"/>
    <w:rPr>
      <w:rFonts w:ascii="Times New Roman" w:eastAsia="Times New Roman" w:hAnsi="Times New Roman" w:cs="Times New Roman"/>
      <w:sz w:val="26"/>
      <w:szCs w:val="20"/>
    </w:rPr>
  </w:style>
  <w:style w:type="character" w:styleId="Strong">
    <w:name w:val="Strong"/>
    <w:basedOn w:val="DefaultParagraphFont"/>
    <w:uiPriority w:val="22"/>
    <w:unhideWhenUsed/>
    <w:qFormat/>
    <w:rsid w:val="00BE26DA"/>
    <w:rPr>
      <w:b/>
      <w:bCs/>
    </w:rPr>
  </w:style>
  <w:style w:type="paragraph" w:styleId="Subtitle">
    <w:name w:val="Subtitle"/>
    <w:basedOn w:val="Normal"/>
    <w:next w:val="Normal"/>
    <w:link w:val="SubtitleChar"/>
    <w:uiPriority w:val="11"/>
    <w:unhideWhenUsed/>
    <w:rsid w:val="00BE26D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BE26DA"/>
    <w:rPr>
      <w:rFonts w:asciiTheme="majorHAnsi" w:eastAsiaTheme="majorEastAsia" w:hAnsiTheme="majorHAnsi" w:cstheme="majorBidi"/>
      <w:i/>
      <w:iCs/>
      <w:color w:val="4F81BD" w:themeColor="accent1"/>
      <w:spacing w:val="15"/>
      <w:sz w:val="24"/>
      <w:szCs w:val="24"/>
    </w:rPr>
  </w:style>
  <w:style w:type="character" w:styleId="SubtleEmphasis">
    <w:name w:val="Subtle Emphasis"/>
    <w:basedOn w:val="DefaultParagraphFont"/>
    <w:uiPriority w:val="19"/>
    <w:unhideWhenUsed/>
    <w:rsid w:val="00BE26DA"/>
    <w:rPr>
      <w:i/>
      <w:iCs/>
      <w:color w:val="808080" w:themeColor="text1" w:themeTint="7F"/>
    </w:rPr>
  </w:style>
  <w:style w:type="character" w:styleId="SubtleReference">
    <w:name w:val="Subtle Reference"/>
    <w:basedOn w:val="DefaultParagraphFont"/>
    <w:uiPriority w:val="31"/>
    <w:unhideWhenUsed/>
    <w:rsid w:val="00BE26DA"/>
    <w:rPr>
      <w:smallCaps/>
      <w:color w:val="C0504D" w:themeColor="accent2"/>
      <w:u w:val="single"/>
    </w:rPr>
  </w:style>
  <w:style w:type="paragraph" w:styleId="TableofAuthorities">
    <w:name w:val="table of authorities"/>
    <w:basedOn w:val="Normal"/>
    <w:next w:val="Normal"/>
    <w:uiPriority w:val="99"/>
    <w:unhideWhenUsed/>
    <w:rsid w:val="00BE26DA"/>
    <w:pPr>
      <w:spacing w:after="0"/>
      <w:ind w:left="260" w:hanging="260"/>
    </w:pPr>
  </w:style>
  <w:style w:type="paragraph" w:styleId="TableofFigures">
    <w:name w:val="table of figures"/>
    <w:basedOn w:val="Normal"/>
    <w:next w:val="Normal"/>
    <w:uiPriority w:val="99"/>
    <w:unhideWhenUsed/>
    <w:rsid w:val="00BE26DA"/>
    <w:pPr>
      <w:spacing w:after="0"/>
    </w:pPr>
  </w:style>
  <w:style w:type="paragraph" w:styleId="Title">
    <w:name w:val="Title"/>
    <w:basedOn w:val="Normal"/>
    <w:next w:val="Normal"/>
    <w:link w:val="TitleChar"/>
    <w:autoRedefine/>
    <w:uiPriority w:val="10"/>
    <w:unhideWhenUsed/>
    <w:rsid w:val="00474F70"/>
    <w:pPr>
      <w:jc w:val="center"/>
    </w:pPr>
    <w:rPr>
      <w:color w:val="1F66B1"/>
      <w:sz w:val="40"/>
      <w:szCs w:val="40"/>
    </w:rPr>
  </w:style>
  <w:style w:type="character" w:customStyle="1" w:styleId="TitleChar">
    <w:name w:val="Title Char"/>
    <w:basedOn w:val="DefaultParagraphFont"/>
    <w:link w:val="Title"/>
    <w:uiPriority w:val="10"/>
    <w:rsid w:val="00474F70"/>
    <w:rPr>
      <w:rFonts w:ascii="Georgia" w:eastAsia="Times New Roman" w:hAnsi="Georgia" w:cs="Times New Roman"/>
      <w:color w:val="1F66B1"/>
      <w:sz w:val="40"/>
      <w:szCs w:val="40"/>
      <w:lang w:val="en-AU"/>
    </w:rPr>
  </w:style>
  <w:style w:type="paragraph" w:styleId="TOAHeading">
    <w:name w:val="toa heading"/>
    <w:basedOn w:val="Normal"/>
    <w:next w:val="Normal"/>
    <w:uiPriority w:val="99"/>
    <w:unhideWhenUsed/>
    <w:rsid w:val="00BE26DA"/>
    <w:rPr>
      <w:rFonts w:asciiTheme="majorHAnsi" w:eastAsiaTheme="majorEastAsia" w:hAnsiTheme="majorHAnsi" w:cstheme="majorBidi"/>
      <w:b/>
      <w:bCs/>
      <w:sz w:val="24"/>
      <w:szCs w:val="24"/>
    </w:rPr>
  </w:style>
  <w:style w:type="paragraph" w:styleId="TOCHeading">
    <w:name w:val="TOC Heading"/>
    <w:basedOn w:val="Heading1"/>
    <w:next w:val="Normal"/>
    <w:uiPriority w:val="39"/>
    <w:semiHidden/>
    <w:unhideWhenUsed/>
    <w:rsid w:val="00BE26DA"/>
    <w:pPr>
      <w:keepNext/>
      <w:keepLines/>
      <w:pageBreakBefore w:val="0"/>
      <w:spacing w:before="480" w:after="0"/>
      <w:outlineLvl w:val="9"/>
    </w:pPr>
    <w:rPr>
      <w:rFonts w:asciiTheme="majorHAnsi" w:eastAsiaTheme="majorEastAsia" w:hAnsiTheme="majorHAnsi" w:cstheme="majorBidi"/>
      <w:b/>
      <w:bCs/>
      <w:color w:val="365F91" w:themeColor="accent1" w:themeShade="BF"/>
      <w:sz w:val="28"/>
      <w:szCs w:val="28"/>
    </w:rPr>
  </w:style>
  <w:style w:type="character" w:customStyle="1" w:styleId="22numberedparagraphChar">
    <w:name w:val="22 numbered paragraph Char"/>
    <w:basedOn w:val="DefaultParagraphFont"/>
    <w:link w:val="22numberedparagraph"/>
    <w:uiPriority w:val="11"/>
    <w:rsid w:val="00F00725"/>
    <w:rPr>
      <w:rFonts w:ascii="Arial" w:eastAsia="Times New Roman" w:hAnsi="Arial" w:cs="Times New Roman"/>
      <w:b/>
      <w:color w:val="002960"/>
      <w:sz w:val="24"/>
      <w:szCs w:val="20"/>
    </w:rPr>
  </w:style>
  <w:style w:type="character" w:customStyle="1" w:styleId="TitlePageClientChar">
    <w:name w:val="Title Page_Client Char"/>
    <w:basedOn w:val="DefaultParagraphFont"/>
    <w:link w:val="TitlePageClient"/>
    <w:rsid w:val="00AF3575"/>
    <w:rPr>
      <w:rFonts w:ascii="Arial" w:eastAsia="Times New Roman" w:hAnsi="Arial" w:cs="Times New Roman"/>
      <w:color w:val="000000"/>
      <w:sz w:val="28"/>
      <w:szCs w:val="20"/>
    </w:rPr>
  </w:style>
  <w:style w:type="character" w:customStyle="1" w:styleId="TitlePageDocumentChar">
    <w:name w:val="Title Page_Document Char"/>
    <w:basedOn w:val="DefaultParagraphFont"/>
    <w:link w:val="TitlePageDocument"/>
    <w:rsid w:val="00AF3575"/>
    <w:rPr>
      <w:rFonts w:ascii="Arial" w:eastAsia="Times New Roman" w:hAnsi="Arial" w:cs="Arial"/>
      <w:color w:val="000000"/>
      <w:sz w:val="26"/>
      <w:szCs w:val="20"/>
    </w:rPr>
  </w:style>
  <w:style w:type="paragraph" w:customStyle="1" w:styleId="TitlePageDisclaimer0">
    <w:name w:val="Title Page Disclaimer"/>
    <w:basedOn w:val="Normal"/>
    <w:link w:val="TitlePageDisclaimerChar"/>
    <w:rsid w:val="00AF3575"/>
    <w:pPr>
      <w:spacing w:before="0" w:after="0" w:line="240" w:lineRule="auto"/>
    </w:pPr>
    <w:rPr>
      <w:rFonts w:ascii="Arial" w:eastAsiaTheme="minorHAnsi" w:hAnsi="Arial" w:cstheme="minorBidi"/>
      <w:color w:val="000000" w:themeColor="text1"/>
      <w:sz w:val="18"/>
      <w:szCs w:val="22"/>
    </w:rPr>
  </w:style>
  <w:style w:type="character" w:customStyle="1" w:styleId="TitlePageDisclaimerChar">
    <w:name w:val="Title Page Disclaimer Char"/>
    <w:basedOn w:val="DefaultParagraphFont"/>
    <w:link w:val="TitlePageDisclaimer0"/>
    <w:rsid w:val="00AF3575"/>
    <w:rPr>
      <w:rFonts w:ascii="Arial" w:hAnsi="Arial"/>
      <w:color w:val="000000" w:themeColor="text1"/>
      <w:sz w:val="18"/>
    </w:rPr>
  </w:style>
  <w:style w:type="character" w:customStyle="1" w:styleId="TitlePageTitleChar">
    <w:name w:val="Title Page_Title Char"/>
    <w:basedOn w:val="DefaultParagraphFont"/>
    <w:link w:val="TitlePageTitle"/>
    <w:rsid w:val="00AF3575"/>
    <w:rPr>
      <w:rFonts w:ascii="Arial" w:eastAsia="Times New Roman" w:hAnsi="Arial" w:cs="Times New Roman"/>
      <w:color w:val="002960"/>
      <w:sz w:val="44"/>
      <w:szCs w:val="20"/>
    </w:rPr>
  </w:style>
  <w:style w:type="paragraph" w:customStyle="1" w:styleId="EndNoteBibliography">
    <w:name w:val="EndNote Bibliography"/>
    <w:basedOn w:val="Normal"/>
    <w:link w:val="EndNoteBibliographyChar"/>
    <w:rsid w:val="00A84616"/>
    <w:pPr>
      <w:spacing w:before="0" w:after="200" w:line="240" w:lineRule="auto"/>
      <w:jc w:val="both"/>
    </w:pPr>
    <w:rPr>
      <w:rFonts w:ascii="Times New Roman" w:eastAsiaTheme="minorHAnsi" w:hAnsi="Times New Roman"/>
      <w:noProof/>
      <w:sz w:val="26"/>
      <w:szCs w:val="22"/>
      <w:lang w:val="en-US"/>
    </w:rPr>
  </w:style>
  <w:style w:type="character" w:customStyle="1" w:styleId="EndNoteBibliographyChar">
    <w:name w:val="EndNote Bibliography Char"/>
    <w:basedOn w:val="DefaultParagraphFont"/>
    <w:link w:val="EndNoteBibliography"/>
    <w:rsid w:val="00A84616"/>
    <w:rPr>
      <w:rFonts w:ascii="Times New Roman" w:hAnsi="Times New Roman" w:cs="Times New Roman"/>
      <w:noProof/>
      <w:sz w:val="26"/>
    </w:rPr>
  </w:style>
  <w:style w:type="paragraph" w:customStyle="1" w:styleId="Default">
    <w:name w:val="Default"/>
    <w:rsid w:val="00F07B7F"/>
    <w:pPr>
      <w:autoSpaceDE w:val="0"/>
      <w:autoSpaceDN w:val="0"/>
      <w:adjustRightInd w:val="0"/>
      <w:spacing w:after="0" w:line="240" w:lineRule="auto"/>
    </w:pPr>
    <w:rPr>
      <w:rFonts w:ascii="Calibri" w:hAnsi="Calibri" w:cs="Calibri"/>
      <w:color w:val="000000"/>
      <w:sz w:val="24"/>
      <w:szCs w:val="24"/>
    </w:rPr>
  </w:style>
  <w:style w:type="paragraph" w:customStyle="1" w:styleId="70exhtblnormal">
    <w:name w:val="70 exh tbl normal"/>
    <w:basedOn w:val="Normal"/>
    <w:rsid w:val="00F80148"/>
    <w:pPr>
      <w:spacing w:before="60" w:line="240" w:lineRule="auto"/>
      <w:ind w:left="144" w:right="289"/>
    </w:pPr>
    <w:rPr>
      <w:rFonts w:ascii="Arial" w:hAnsi="Arial"/>
      <w:sz w:val="24"/>
      <w:lang w:val="en-US"/>
    </w:rPr>
  </w:style>
  <w:style w:type="table" w:styleId="LightList">
    <w:name w:val="Light List"/>
    <w:basedOn w:val="TableNormal"/>
    <w:uiPriority w:val="61"/>
    <w:rsid w:val="00C76F8C"/>
    <w:pPr>
      <w:spacing w:after="0" w:line="240" w:lineRule="auto"/>
    </w:pPr>
    <w:rPr>
      <w:lang w:val="en-AU"/>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EndNoteBibliographyTitle">
    <w:name w:val="EndNote Bibliography Title"/>
    <w:basedOn w:val="Normal"/>
    <w:link w:val="EndNoteBibliographyTitleChar"/>
    <w:rsid w:val="00013614"/>
    <w:pPr>
      <w:spacing w:after="0"/>
      <w:jc w:val="center"/>
    </w:pPr>
    <w:rPr>
      <w:rFonts w:ascii="Times New Roman" w:hAnsi="Times New Roman"/>
      <w:noProof/>
      <w:sz w:val="26"/>
      <w:lang w:val="en-US"/>
    </w:rPr>
  </w:style>
  <w:style w:type="character" w:customStyle="1" w:styleId="32chaptertitleChar">
    <w:name w:val="32 chapter title Char"/>
    <w:basedOn w:val="DefaultParagraphFont"/>
    <w:link w:val="32chaptertitle"/>
    <w:uiPriority w:val="1"/>
    <w:rsid w:val="008C484F"/>
    <w:rPr>
      <w:rFonts w:ascii="Georgia" w:eastAsia="Times New Roman" w:hAnsi="Georgia" w:cs="Times New Roman"/>
      <w:color w:val="1F66B1"/>
      <w:sz w:val="36"/>
      <w:szCs w:val="20"/>
      <w:lang w:val="en-AU"/>
    </w:rPr>
  </w:style>
  <w:style w:type="character" w:customStyle="1" w:styleId="EndNoteBibliographyTitleChar">
    <w:name w:val="EndNote Bibliography Title Char"/>
    <w:basedOn w:val="32chaptertitleChar"/>
    <w:link w:val="EndNoteBibliographyTitle"/>
    <w:rsid w:val="00013614"/>
    <w:rPr>
      <w:rFonts w:ascii="Times New Roman" w:eastAsia="Times New Roman" w:hAnsi="Times New Roman" w:cs="Times New Roman"/>
      <w:noProof/>
      <w:color w:val="009EE0"/>
      <w:sz w:val="26"/>
      <w:szCs w:val="20"/>
      <w:lang w:val="en-AU"/>
    </w:rPr>
  </w:style>
  <w:style w:type="character" w:customStyle="1" w:styleId="apple-converted-space">
    <w:name w:val="apple-converted-space"/>
    <w:basedOn w:val="DefaultParagraphFont"/>
    <w:rsid w:val="00F9678D"/>
  </w:style>
  <w:style w:type="paragraph" w:styleId="Revision">
    <w:name w:val="Revision"/>
    <w:hidden/>
    <w:uiPriority w:val="99"/>
    <w:semiHidden/>
    <w:rsid w:val="00AA4069"/>
    <w:pPr>
      <w:spacing w:after="0" w:line="240" w:lineRule="auto"/>
    </w:pPr>
    <w:rPr>
      <w:rFonts w:ascii="Times New Roman" w:eastAsia="Times New Roman" w:hAnsi="Times New Roman" w:cs="Times New Roman"/>
      <w:sz w:val="26"/>
      <w:szCs w:val="20"/>
      <w:lang w:val="en-AU"/>
    </w:rPr>
  </w:style>
  <w:style w:type="character" w:customStyle="1" w:styleId="highlight">
    <w:name w:val="highlight"/>
    <w:basedOn w:val="DefaultParagraphFont"/>
    <w:rsid w:val="00F52F0E"/>
  </w:style>
  <w:style w:type="paragraph" w:customStyle="1" w:styleId="TableNumber">
    <w:name w:val="Table Number"/>
    <w:basedOn w:val="60exhnormal"/>
    <w:uiPriority w:val="5"/>
    <w:qFormat/>
    <w:rsid w:val="00425BCC"/>
    <w:pPr>
      <w:keepNex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46626">
      <w:bodyDiv w:val="1"/>
      <w:marLeft w:val="0"/>
      <w:marRight w:val="0"/>
      <w:marTop w:val="0"/>
      <w:marBottom w:val="0"/>
      <w:divBdr>
        <w:top w:val="none" w:sz="0" w:space="0" w:color="auto"/>
        <w:left w:val="none" w:sz="0" w:space="0" w:color="auto"/>
        <w:bottom w:val="none" w:sz="0" w:space="0" w:color="auto"/>
        <w:right w:val="none" w:sz="0" w:space="0" w:color="auto"/>
      </w:divBdr>
    </w:div>
    <w:div w:id="19665543">
      <w:bodyDiv w:val="1"/>
      <w:marLeft w:val="0"/>
      <w:marRight w:val="0"/>
      <w:marTop w:val="0"/>
      <w:marBottom w:val="0"/>
      <w:divBdr>
        <w:top w:val="none" w:sz="0" w:space="0" w:color="auto"/>
        <w:left w:val="none" w:sz="0" w:space="0" w:color="auto"/>
        <w:bottom w:val="none" w:sz="0" w:space="0" w:color="auto"/>
        <w:right w:val="none" w:sz="0" w:space="0" w:color="auto"/>
      </w:divBdr>
    </w:div>
    <w:div w:id="31853128">
      <w:bodyDiv w:val="1"/>
      <w:marLeft w:val="0"/>
      <w:marRight w:val="0"/>
      <w:marTop w:val="0"/>
      <w:marBottom w:val="0"/>
      <w:divBdr>
        <w:top w:val="none" w:sz="0" w:space="0" w:color="auto"/>
        <w:left w:val="none" w:sz="0" w:space="0" w:color="auto"/>
        <w:bottom w:val="none" w:sz="0" w:space="0" w:color="auto"/>
        <w:right w:val="none" w:sz="0" w:space="0" w:color="auto"/>
      </w:divBdr>
    </w:div>
    <w:div w:id="42027358">
      <w:bodyDiv w:val="1"/>
      <w:marLeft w:val="0"/>
      <w:marRight w:val="0"/>
      <w:marTop w:val="0"/>
      <w:marBottom w:val="0"/>
      <w:divBdr>
        <w:top w:val="none" w:sz="0" w:space="0" w:color="auto"/>
        <w:left w:val="none" w:sz="0" w:space="0" w:color="auto"/>
        <w:bottom w:val="none" w:sz="0" w:space="0" w:color="auto"/>
        <w:right w:val="none" w:sz="0" w:space="0" w:color="auto"/>
      </w:divBdr>
      <w:divsChild>
        <w:div w:id="886066345">
          <w:marLeft w:val="547"/>
          <w:marRight w:val="0"/>
          <w:marTop w:val="38"/>
          <w:marBottom w:val="0"/>
          <w:divBdr>
            <w:top w:val="none" w:sz="0" w:space="0" w:color="auto"/>
            <w:left w:val="none" w:sz="0" w:space="0" w:color="auto"/>
            <w:bottom w:val="none" w:sz="0" w:space="0" w:color="auto"/>
            <w:right w:val="none" w:sz="0" w:space="0" w:color="auto"/>
          </w:divBdr>
        </w:div>
      </w:divsChild>
    </w:div>
    <w:div w:id="65349388">
      <w:bodyDiv w:val="1"/>
      <w:marLeft w:val="0"/>
      <w:marRight w:val="0"/>
      <w:marTop w:val="0"/>
      <w:marBottom w:val="0"/>
      <w:divBdr>
        <w:top w:val="none" w:sz="0" w:space="0" w:color="auto"/>
        <w:left w:val="none" w:sz="0" w:space="0" w:color="auto"/>
        <w:bottom w:val="none" w:sz="0" w:space="0" w:color="auto"/>
        <w:right w:val="none" w:sz="0" w:space="0" w:color="auto"/>
      </w:divBdr>
    </w:div>
    <w:div w:id="91634167">
      <w:bodyDiv w:val="1"/>
      <w:marLeft w:val="0"/>
      <w:marRight w:val="0"/>
      <w:marTop w:val="0"/>
      <w:marBottom w:val="0"/>
      <w:divBdr>
        <w:top w:val="none" w:sz="0" w:space="0" w:color="auto"/>
        <w:left w:val="none" w:sz="0" w:space="0" w:color="auto"/>
        <w:bottom w:val="none" w:sz="0" w:space="0" w:color="auto"/>
        <w:right w:val="none" w:sz="0" w:space="0" w:color="auto"/>
      </w:divBdr>
    </w:div>
    <w:div w:id="96220650">
      <w:bodyDiv w:val="1"/>
      <w:marLeft w:val="0"/>
      <w:marRight w:val="0"/>
      <w:marTop w:val="0"/>
      <w:marBottom w:val="0"/>
      <w:divBdr>
        <w:top w:val="none" w:sz="0" w:space="0" w:color="auto"/>
        <w:left w:val="none" w:sz="0" w:space="0" w:color="auto"/>
        <w:bottom w:val="none" w:sz="0" w:space="0" w:color="auto"/>
        <w:right w:val="none" w:sz="0" w:space="0" w:color="auto"/>
      </w:divBdr>
    </w:div>
    <w:div w:id="106505611">
      <w:bodyDiv w:val="1"/>
      <w:marLeft w:val="0"/>
      <w:marRight w:val="0"/>
      <w:marTop w:val="0"/>
      <w:marBottom w:val="0"/>
      <w:divBdr>
        <w:top w:val="none" w:sz="0" w:space="0" w:color="auto"/>
        <w:left w:val="none" w:sz="0" w:space="0" w:color="auto"/>
        <w:bottom w:val="none" w:sz="0" w:space="0" w:color="auto"/>
        <w:right w:val="none" w:sz="0" w:space="0" w:color="auto"/>
      </w:divBdr>
    </w:div>
    <w:div w:id="147019086">
      <w:bodyDiv w:val="1"/>
      <w:marLeft w:val="0"/>
      <w:marRight w:val="0"/>
      <w:marTop w:val="0"/>
      <w:marBottom w:val="0"/>
      <w:divBdr>
        <w:top w:val="none" w:sz="0" w:space="0" w:color="auto"/>
        <w:left w:val="none" w:sz="0" w:space="0" w:color="auto"/>
        <w:bottom w:val="none" w:sz="0" w:space="0" w:color="auto"/>
        <w:right w:val="none" w:sz="0" w:space="0" w:color="auto"/>
      </w:divBdr>
    </w:div>
    <w:div w:id="149563544">
      <w:bodyDiv w:val="1"/>
      <w:marLeft w:val="0"/>
      <w:marRight w:val="0"/>
      <w:marTop w:val="0"/>
      <w:marBottom w:val="0"/>
      <w:divBdr>
        <w:top w:val="none" w:sz="0" w:space="0" w:color="auto"/>
        <w:left w:val="none" w:sz="0" w:space="0" w:color="auto"/>
        <w:bottom w:val="none" w:sz="0" w:space="0" w:color="auto"/>
        <w:right w:val="none" w:sz="0" w:space="0" w:color="auto"/>
      </w:divBdr>
    </w:div>
    <w:div w:id="162664702">
      <w:bodyDiv w:val="1"/>
      <w:marLeft w:val="0"/>
      <w:marRight w:val="0"/>
      <w:marTop w:val="0"/>
      <w:marBottom w:val="0"/>
      <w:divBdr>
        <w:top w:val="none" w:sz="0" w:space="0" w:color="auto"/>
        <w:left w:val="none" w:sz="0" w:space="0" w:color="auto"/>
        <w:bottom w:val="none" w:sz="0" w:space="0" w:color="auto"/>
        <w:right w:val="none" w:sz="0" w:space="0" w:color="auto"/>
      </w:divBdr>
      <w:divsChild>
        <w:div w:id="90511514">
          <w:marLeft w:val="547"/>
          <w:marRight w:val="0"/>
          <w:marTop w:val="38"/>
          <w:marBottom w:val="0"/>
          <w:divBdr>
            <w:top w:val="none" w:sz="0" w:space="0" w:color="auto"/>
            <w:left w:val="none" w:sz="0" w:space="0" w:color="auto"/>
            <w:bottom w:val="none" w:sz="0" w:space="0" w:color="auto"/>
            <w:right w:val="none" w:sz="0" w:space="0" w:color="auto"/>
          </w:divBdr>
        </w:div>
        <w:div w:id="202525463">
          <w:marLeft w:val="547"/>
          <w:marRight w:val="0"/>
          <w:marTop w:val="38"/>
          <w:marBottom w:val="0"/>
          <w:divBdr>
            <w:top w:val="none" w:sz="0" w:space="0" w:color="auto"/>
            <w:left w:val="none" w:sz="0" w:space="0" w:color="auto"/>
            <w:bottom w:val="none" w:sz="0" w:space="0" w:color="auto"/>
            <w:right w:val="none" w:sz="0" w:space="0" w:color="auto"/>
          </w:divBdr>
        </w:div>
        <w:div w:id="400712634">
          <w:marLeft w:val="547"/>
          <w:marRight w:val="0"/>
          <w:marTop w:val="38"/>
          <w:marBottom w:val="0"/>
          <w:divBdr>
            <w:top w:val="none" w:sz="0" w:space="0" w:color="auto"/>
            <w:left w:val="none" w:sz="0" w:space="0" w:color="auto"/>
            <w:bottom w:val="none" w:sz="0" w:space="0" w:color="auto"/>
            <w:right w:val="none" w:sz="0" w:space="0" w:color="auto"/>
          </w:divBdr>
        </w:div>
        <w:div w:id="1773699052">
          <w:marLeft w:val="547"/>
          <w:marRight w:val="0"/>
          <w:marTop w:val="38"/>
          <w:marBottom w:val="0"/>
          <w:divBdr>
            <w:top w:val="none" w:sz="0" w:space="0" w:color="auto"/>
            <w:left w:val="none" w:sz="0" w:space="0" w:color="auto"/>
            <w:bottom w:val="none" w:sz="0" w:space="0" w:color="auto"/>
            <w:right w:val="none" w:sz="0" w:space="0" w:color="auto"/>
          </w:divBdr>
        </w:div>
        <w:div w:id="1902135031">
          <w:marLeft w:val="547"/>
          <w:marRight w:val="0"/>
          <w:marTop w:val="38"/>
          <w:marBottom w:val="0"/>
          <w:divBdr>
            <w:top w:val="none" w:sz="0" w:space="0" w:color="auto"/>
            <w:left w:val="none" w:sz="0" w:space="0" w:color="auto"/>
            <w:bottom w:val="none" w:sz="0" w:space="0" w:color="auto"/>
            <w:right w:val="none" w:sz="0" w:space="0" w:color="auto"/>
          </w:divBdr>
        </w:div>
      </w:divsChild>
    </w:div>
    <w:div w:id="167406625">
      <w:bodyDiv w:val="1"/>
      <w:marLeft w:val="0"/>
      <w:marRight w:val="0"/>
      <w:marTop w:val="0"/>
      <w:marBottom w:val="0"/>
      <w:divBdr>
        <w:top w:val="none" w:sz="0" w:space="0" w:color="auto"/>
        <w:left w:val="none" w:sz="0" w:space="0" w:color="auto"/>
        <w:bottom w:val="none" w:sz="0" w:space="0" w:color="auto"/>
        <w:right w:val="none" w:sz="0" w:space="0" w:color="auto"/>
      </w:divBdr>
    </w:div>
    <w:div w:id="176121061">
      <w:bodyDiv w:val="1"/>
      <w:marLeft w:val="0"/>
      <w:marRight w:val="0"/>
      <w:marTop w:val="0"/>
      <w:marBottom w:val="0"/>
      <w:divBdr>
        <w:top w:val="none" w:sz="0" w:space="0" w:color="auto"/>
        <w:left w:val="none" w:sz="0" w:space="0" w:color="auto"/>
        <w:bottom w:val="none" w:sz="0" w:space="0" w:color="auto"/>
        <w:right w:val="none" w:sz="0" w:space="0" w:color="auto"/>
      </w:divBdr>
    </w:div>
    <w:div w:id="207689109">
      <w:bodyDiv w:val="1"/>
      <w:marLeft w:val="0"/>
      <w:marRight w:val="0"/>
      <w:marTop w:val="0"/>
      <w:marBottom w:val="0"/>
      <w:divBdr>
        <w:top w:val="none" w:sz="0" w:space="0" w:color="auto"/>
        <w:left w:val="none" w:sz="0" w:space="0" w:color="auto"/>
        <w:bottom w:val="none" w:sz="0" w:space="0" w:color="auto"/>
        <w:right w:val="none" w:sz="0" w:space="0" w:color="auto"/>
      </w:divBdr>
    </w:div>
    <w:div w:id="219480627">
      <w:bodyDiv w:val="1"/>
      <w:marLeft w:val="0"/>
      <w:marRight w:val="0"/>
      <w:marTop w:val="0"/>
      <w:marBottom w:val="0"/>
      <w:divBdr>
        <w:top w:val="none" w:sz="0" w:space="0" w:color="auto"/>
        <w:left w:val="none" w:sz="0" w:space="0" w:color="auto"/>
        <w:bottom w:val="none" w:sz="0" w:space="0" w:color="auto"/>
        <w:right w:val="none" w:sz="0" w:space="0" w:color="auto"/>
      </w:divBdr>
    </w:div>
    <w:div w:id="223376009">
      <w:bodyDiv w:val="1"/>
      <w:marLeft w:val="0"/>
      <w:marRight w:val="0"/>
      <w:marTop w:val="0"/>
      <w:marBottom w:val="0"/>
      <w:divBdr>
        <w:top w:val="none" w:sz="0" w:space="0" w:color="auto"/>
        <w:left w:val="none" w:sz="0" w:space="0" w:color="auto"/>
        <w:bottom w:val="none" w:sz="0" w:space="0" w:color="auto"/>
        <w:right w:val="none" w:sz="0" w:space="0" w:color="auto"/>
      </w:divBdr>
    </w:div>
    <w:div w:id="234357973">
      <w:bodyDiv w:val="1"/>
      <w:marLeft w:val="0"/>
      <w:marRight w:val="0"/>
      <w:marTop w:val="0"/>
      <w:marBottom w:val="0"/>
      <w:divBdr>
        <w:top w:val="none" w:sz="0" w:space="0" w:color="auto"/>
        <w:left w:val="none" w:sz="0" w:space="0" w:color="auto"/>
        <w:bottom w:val="none" w:sz="0" w:space="0" w:color="auto"/>
        <w:right w:val="none" w:sz="0" w:space="0" w:color="auto"/>
      </w:divBdr>
    </w:div>
    <w:div w:id="237327020">
      <w:bodyDiv w:val="1"/>
      <w:marLeft w:val="0"/>
      <w:marRight w:val="0"/>
      <w:marTop w:val="0"/>
      <w:marBottom w:val="0"/>
      <w:divBdr>
        <w:top w:val="none" w:sz="0" w:space="0" w:color="auto"/>
        <w:left w:val="none" w:sz="0" w:space="0" w:color="auto"/>
        <w:bottom w:val="none" w:sz="0" w:space="0" w:color="auto"/>
        <w:right w:val="none" w:sz="0" w:space="0" w:color="auto"/>
      </w:divBdr>
    </w:div>
    <w:div w:id="240524924">
      <w:bodyDiv w:val="1"/>
      <w:marLeft w:val="0"/>
      <w:marRight w:val="0"/>
      <w:marTop w:val="0"/>
      <w:marBottom w:val="0"/>
      <w:divBdr>
        <w:top w:val="none" w:sz="0" w:space="0" w:color="auto"/>
        <w:left w:val="none" w:sz="0" w:space="0" w:color="auto"/>
        <w:bottom w:val="none" w:sz="0" w:space="0" w:color="auto"/>
        <w:right w:val="none" w:sz="0" w:space="0" w:color="auto"/>
      </w:divBdr>
      <w:divsChild>
        <w:div w:id="1963270587">
          <w:marLeft w:val="547"/>
          <w:marRight w:val="0"/>
          <w:marTop w:val="0"/>
          <w:marBottom w:val="0"/>
          <w:divBdr>
            <w:top w:val="none" w:sz="0" w:space="0" w:color="auto"/>
            <w:left w:val="none" w:sz="0" w:space="0" w:color="auto"/>
            <w:bottom w:val="none" w:sz="0" w:space="0" w:color="auto"/>
            <w:right w:val="none" w:sz="0" w:space="0" w:color="auto"/>
          </w:divBdr>
        </w:div>
      </w:divsChild>
    </w:div>
    <w:div w:id="245462149">
      <w:bodyDiv w:val="1"/>
      <w:marLeft w:val="0"/>
      <w:marRight w:val="0"/>
      <w:marTop w:val="0"/>
      <w:marBottom w:val="0"/>
      <w:divBdr>
        <w:top w:val="none" w:sz="0" w:space="0" w:color="auto"/>
        <w:left w:val="none" w:sz="0" w:space="0" w:color="auto"/>
        <w:bottom w:val="none" w:sz="0" w:space="0" w:color="auto"/>
        <w:right w:val="none" w:sz="0" w:space="0" w:color="auto"/>
      </w:divBdr>
    </w:div>
    <w:div w:id="267783033">
      <w:bodyDiv w:val="1"/>
      <w:marLeft w:val="0"/>
      <w:marRight w:val="0"/>
      <w:marTop w:val="0"/>
      <w:marBottom w:val="0"/>
      <w:divBdr>
        <w:top w:val="none" w:sz="0" w:space="0" w:color="auto"/>
        <w:left w:val="none" w:sz="0" w:space="0" w:color="auto"/>
        <w:bottom w:val="none" w:sz="0" w:space="0" w:color="auto"/>
        <w:right w:val="none" w:sz="0" w:space="0" w:color="auto"/>
      </w:divBdr>
    </w:div>
    <w:div w:id="278608479">
      <w:bodyDiv w:val="1"/>
      <w:marLeft w:val="0"/>
      <w:marRight w:val="0"/>
      <w:marTop w:val="0"/>
      <w:marBottom w:val="0"/>
      <w:divBdr>
        <w:top w:val="none" w:sz="0" w:space="0" w:color="auto"/>
        <w:left w:val="none" w:sz="0" w:space="0" w:color="auto"/>
        <w:bottom w:val="none" w:sz="0" w:space="0" w:color="auto"/>
        <w:right w:val="none" w:sz="0" w:space="0" w:color="auto"/>
      </w:divBdr>
    </w:div>
    <w:div w:id="285891003">
      <w:bodyDiv w:val="1"/>
      <w:marLeft w:val="0"/>
      <w:marRight w:val="0"/>
      <w:marTop w:val="0"/>
      <w:marBottom w:val="0"/>
      <w:divBdr>
        <w:top w:val="none" w:sz="0" w:space="0" w:color="auto"/>
        <w:left w:val="none" w:sz="0" w:space="0" w:color="auto"/>
        <w:bottom w:val="none" w:sz="0" w:space="0" w:color="auto"/>
        <w:right w:val="none" w:sz="0" w:space="0" w:color="auto"/>
      </w:divBdr>
    </w:div>
    <w:div w:id="291793311">
      <w:bodyDiv w:val="1"/>
      <w:marLeft w:val="0"/>
      <w:marRight w:val="0"/>
      <w:marTop w:val="0"/>
      <w:marBottom w:val="0"/>
      <w:divBdr>
        <w:top w:val="none" w:sz="0" w:space="0" w:color="auto"/>
        <w:left w:val="none" w:sz="0" w:space="0" w:color="auto"/>
        <w:bottom w:val="none" w:sz="0" w:space="0" w:color="auto"/>
        <w:right w:val="none" w:sz="0" w:space="0" w:color="auto"/>
      </w:divBdr>
    </w:div>
    <w:div w:id="305554416">
      <w:bodyDiv w:val="1"/>
      <w:marLeft w:val="0"/>
      <w:marRight w:val="0"/>
      <w:marTop w:val="0"/>
      <w:marBottom w:val="0"/>
      <w:divBdr>
        <w:top w:val="none" w:sz="0" w:space="0" w:color="auto"/>
        <w:left w:val="none" w:sz="0" w:space="0" w:color="auto"/>
        <w:bottom w:val="none" w:sz="0" w:space="0" w:color="auto"/>
        <w:right w:val="none" w:sz="0" w:space="0" w:color="auto"/>
      </w:divBdr>
    </w:div>
    <w:div w:id="306129243">
      <w:bodyDiv w:val="1"/>
      <w:marLeft w:val="0"/>
      <w:marRight w:val="0"/>
      <w:marTop w:val="0"/>
      <w:marBottom w:val="0"/>
      <w:divBdr>
        <w:top w:val="none" w:sz="0" w:space="0" w:color="auto"/>
        <w:left w:val="none" w:sz="0" w:space="0" w:color="auto"/>
        <w:bottom w:val="none" w:sz="0" w:space="0" w:color="auto"/>
        <w:right w:val="none" w:sz="0" w:space="0" w:color="auto"/>
      </w:divBdr>
    </w:div>
    <w:div w:id="354621920">
      <w:bodyDiv w:val="1"/>
      <w:marLeft w:val="0"/>
      <w:marRight w:val="0"/>
      <w:marTop w:val="0"/>
      <w:marBottom w:val="0"/>
      <w:divBdr>
        <w:top w:val="none" w:sz="0" w:space="0" w:color="auto"/>
        <w:left w:val="none" w:sz="0" w:space="0" w:color="auto"/>
        <w:bottom w:val="none" w:sz="0" w:space="0" w:color="auto"/>
        <w:right w:val="none" w:sz="0" w:space="0" w:color="auto"/>
      </w:divBdr>
    </w:div>
    <w:div w:id="354776003">
      <w:bodyDiv w:val="1"/>
      <w:marLeft w:val="0"/>
      <w:marRight w:val="0"/>
      <w:marTop w:val="0"/>
      <w:marBottom w:val="0"/>
      <w:divBdr>
        <w:top w:val="none" w:sz="0" w:space="0" w:color="auto"/>
        <w:left w:val="none" w:sz="0" w:space="0" w:color="auto"/>
        <w:bottom w:val="none" w:sz="0" w:space="0" w:color="auto"/>
        <w:right w:val="none" w:sz="0" w:space="0" w:color="auto"/>
      </w:divBdr>
    </w:div>
    <w:div w:id="359626612">
      <w:bodyDiv w:val="1"/>
      <w:marLeft w:val="0"/>
      <w:marRight w:val="0"/>
      <w:marTop w:val="0"/>
      <w:marBottom w:val="0"/>
      <w:divBdr>
        <w:top w:val="none" w:sz="0" w:space="0" w:color="auto"/>
        <w:left w:val="none" w:sz="0" w:space="0" w:color="auto"/>
        <w:bottom w:val="none" w:sz="0" w:space="0" w:color="auto"/>
        <w:right w:val="none" w:sz="0" w:space="0" w:color="auto"/>
      </w:divBdr>
    </w:div>
    <w:div w:id="361707464">
      <w:bodyDiv w:val="1"/>
      <w:marLeft w:val="0"/>
      <w:marRight w:val="0"/>
      <w:marTop w:val="0"/>
      <w:marBottom w:val="0"/>
      <w:divBdr>
        <w:top w:val="none" w:sz="0" w:space="0" w:color="auto"/>
        <w:left w:val="none" w:sz="0" w:space="0" w:color="auto"/>
        <w:bottom w:val="none" w:sz="0" w:space="0" w:color="auto"/>
        <w:right w:val="none" w:sz="0" w:space="0" w:color="auto"/>
      </w:divBdr>
    </w:div>
    <w:div w:id="374737674">
      <w:bodyDiv w:val="1"/>
      <w:marLeft w:val="0"/>
      <w:marRight w:val="0"/>
      <w:marTop w:val="0"/>
      <w:marBottom w:val="0"/>
      <w:divBdr>
        <w:top w:val="none" w:sz="0" w:space="0" w:color="auto"/>
        <w:left w:val="none" w:sz="0" w:space="0" w:color="auto"/>
        <w:bottom w:val="none" w:sz="0" w:space="0" w:color="auto"/>
        <w:right w:val="none" w:sz="0" w:space="0" w:color="auto"/>
      </w:divBdr>
    </w:div>
    <w:div w:id="377633662">
      <w:bodyDiv w:val="1"/>
      <w:marLeft w:val="0"/>
      <w:marRight w:val="0"/>
      <w:marTop w:val="0"/>
      <w:marBottom w:val="0"/>
      <w:divBdr>
        <w:top w:val="none" w:sz="0" w:space="0" w:color="auto"/>
        <w:left w:val="none" w:sz="0" w:space="0" w:color="auto"/>
        <w:bottom w:val="none" w:sz="0" w:space="0" w:color="auto"/>
        <w:right w:val="none" w:sz="0" w:space="0" w:color="auto"/>
      </w:divBdr>
    </w:div>
    <w:div w:id="377820478">
      <w:bodyDiv w:val="1"/>
      <w:marLeft w:val="0"/>
      <w:marRight w:val="0"/>
      <w:marTop w:val="0"/>
      <w:marBottom w:val="0"/>
      <w:divBdr>
        <w:top w:val="none" w:sz="0" w:space="0" w:color="auto"/>
        <w:left w:val="none" w:sz="0" w:space="0" w:color="auto"/>
        <w:bottom w:val="none" w:sz="0" w:space="0" w:color="auto"/>
        <w:right w:val="none" w:sz="0" w:space="0" w:color="auto"/>
      </w:divBdr>
    </w:div>
    <w:div w:id="380130946">
      <w:bodyDiv w:val="1"/>
      <w:marLeft w:val="0"/>
      <w:marRight w:val="0"/>
      <w:marTop w:val="0"/>
      <w:marBottom w:val="0"/>
      <w:divBdr>
        <w:top w:val="none" w:sz="0" w:space="0" w:color="auto"/>
        <w:left w:val="none" w:sz="0" w:space="0" w:color="auto"/>
        <w:bottom w:val="none" w:sz="0" w:space="0" w:color="auto"/>
        <w:right w:val="none" w:sz="0" w:space="0" w:color="auto"/>
      </w:divBdr>
    </w:div>
    <w:div w:id="380179966">
      <w:bodyDiv w:val="1"/>
      <w:marLeft w:val="0"/>
      <w:marRight w:val="0"/>
      <w:marTop w:val="0"/>
      <w:marBottom w:val="0"/>
      <w:divBdr>
        <w:top w:val="none" w:sz="0" w:space="0" w:color="auto"/>
        <w:left w:val="none" w:sz="0" w:space="0" w:color="auto"/>
        <w:bottom w:val="none" w:sz="0" w:space="0" w:color="auto"/>
        <w:right w:val="none" w:sz="0" w:space="0" w:color="auto"/>
      </w:divBdr>
    </w:div>
    <w:div w:id="394665576">
      <w:bodyDiv w:val="1"/>
      <w:marLeft w:val="0"/>
      <w:marRight w:val="0"/>
      <w:marTop w:val="0"/>
      <w:marBottom w:val="0"/>
      <w:divBdr>
        <w:top w:val="none" w:sz="0" w:space="0" w:color="auto"/>
        <w:left w:val="none" w:sz="0" w:space="0" w:color="auto"/>
        <w:bottom w:val="none" w:sz="0" w:space="0" w:color="auto"/>
        <w:right w:val="none" w:sz="0" w:space="0" w:color="auto"/>
      </w:divBdr>
    </w:div>
    <w:div w:id="413938549">
      <w:bodyDiv w:val="1"/>
      <w:marLeft w:val="0"/>
      <w:marRight w:val="0"/>
      <w:marTop w:val="0"/>
      <w:marBottom w:val="0"/>
      <w:divBdr>
        <w:top w:val="none" w:sz="0" w:space="0" w:color="auto"/>
        <w:left w:val="none" w:sz="0" w:space="0" w:color="auto"/>
        <w:bottom w:val="none" w:sz="0" w:space="0" w:color="auto"/>
        <w:right w:val="none" w:sz="0" w:space="0" w:color="auto"/>
      </w:divBdr>
    </w:div>
    <w:div w:id="459614064">
      <w:bodyDiv w:val="1"/>
      <w:marLeft w:val="0"/>
      <w:marRight w:val="0"/>
      <w:marTop w:val="0"/>
      <w:marBottom w:val="0"/>
      <w:divBdr>
        <w:top w:val="none" w:sz="0" w:space="0" w:color="auto"/>
        <w:left w:val="none" w:sz="0" w:space="0" w:color="auto"/>
        <w:bottom w:val="none" w:sz="0" w:space="0" w:color="auto"/>
        <w:right w:val="none" w:sz="0" w:space="0" w:color="auto"/>
      </w:divBdr>
    </w:div>
    <w:div w:id="476993829">
      <w:bodyDiv w:val="1"/>
      <w:marLeft w:val="0"/>
      <w:marRight w:val="0"/>
      <w:marTop w:val="0"/>
      <w:marBottom w:val="0"/>
      <w:divBdr>
        <w:top w:val="none" w:sz="0" w:space="0" w:color="auto"/>
        <w:left w:val="none" w:sz="0" w:space="0" w:color="auto"/>
        <w:bottom w:val="none" w:sz="0" w:space="0" w:color="auto"/>
        <w:right w:val="none" w:sz="0" w:space="0" w:color="auto"/>
      </w:divBdr>
      <w:divsChild>
        <w:div w:id="1698433812">
          <w:marLeft w:val="547"/>
          <w:marRight w:val="0"/>
          <w:marTop w:val="38"/>
          <w:marBottom w:val="0"/>
          <w:divBdr>
            <w:top w:val="none" w:sz="0" w:space="0" w:color="auto"/>
            <w:left w:val="none" w:sz="0" w:space="0" w:color="auto"/>
            <w:bottom w:val="none" w:sz="0" w:space="0" w:color="auto"/>
            <w:right w:val="none" w:sz="0" w:space="0" w:color="auto"/>
          </w:divBdr>
        </w:div>
      </w:divsChild>
    </w:div>
    <w:div w:id="478886277">
      <w:bodyDiv w:val="1"/>
      <w:marLeft w:val="0"/>
      <w:marRight w:val="0"/>
      <w:marTop w:val="0"/>
      <w:marBottom w:val="0"/>
      <w:divBdr>
        <w:top w:val="none" w:sz="0" w:space="0" w:color="auto"/>
        <w:left w:val="none" w:sz="0" w:space="0" w:color="auto"/>
        <w:bottom w:val="none" w:sz="0" w:space="0" w:color="auto"/>
        <w:right w:val="none" w:sz="0" w:space="0" w:color="auto"/>
      </w:divBdr>
    </w:div>
    <w:div w:id="481846364">
      <w:bodyDiv w:val="1"/>
      <w:marLeft w:val="0"/>
      <w:marRight w:val="0"/>
      <w:marTop w:val="0"/>
      <w:marBottom w:val="0"/>
      <w:divBdr>
        <w:top w:val="none" w:sz="0" w:space="0" w:color="auto"/>
        <w:left w:val="none" w:sz="0" w:space="0" w:color="auto"/>
        <w:bottom w:val="none" w:sz="0" w:space="0" w:color="auto"/>
        <w:right w:val="none" w:sz="0" w:space="0" w:color="auto"/>
      </w:divBdr>
    </w:div>
    <w:div w:id="495075078">
      <w:bodyDiv w:val="1"/>
      <w:marLeft w:val="0"/>
      <w:marRight w:val="0"/>
      <w:marTop w:val="0"/>
      <w:marBottom w:val="0"/>
      <w:divBdr>
        <w:top w:val="none" w:sz="0" w:space="0" w:color="auto"/>
        <w:left w:val="none" w:sz="0" w:space="0" w:color="auto"/>
        <w:bottom w:val="none" w:sz="0" w:space="0" w:color="auto"/>
        <w:right w:val="none" w:sz="0" w:space="0" w:color="auto"/>
      </w:divBdr>
    </w:div>
    <w:div w:id="519857057">
      <w:bodyDiv w:val="1"/>
      <w:marLeft w:val="0"/>
      <w:marRight w:val="0"/>
      <w:marTop w:val="0"/>
      <w:marBottom w:val="0"/>
      <w:divBdr>
        <w:top w:val="none" w:sz="0" w:space="0" w:color="auto"/>
        <w:left w:val="none" w:sz="0" w:space="0" w:color="auto"/>
        <w:bottom w:val="none" w:sz="0" w:space="0" w:color="auto"/>
        <w:right w:val="none" w:sz="0" w:space="0" w:color="auto"/>
      </w:divBdr>
    </w:div>
    <w:div w:id="563761727">
      <w:bodyDiv w:val="1"/>
      <w:marLeft w:val="0"/>
      <w:marRight w:val="0"/>
      <w:marTop w:val="0"/>
      <w:marBottom w:val="0"/>
      <w:divBdr>
        <w:top w:val="none" w:sz="0" w:space="0" w:color="auto"/>
        <w:left w:val="none" w:sz="0" w:space="0" w:color="auto"/>
        <w:bottom w:val="none" w:sz="0" w:space="0" w:color="auto"/>
        <w:right w:val="none" w:sz="0" w:space="0" w:color="auto"/>
      </w:divBdr>
    </w:div>
    <w:div w:id="585924210">
      <w:bodyDiv w:val="1"/>
      <w:marLeft w:val="0"/>
      <w:marRight w:val="0"/>
      <w:marTop w:val="0"/>
      <w:marBottom w:val="0"/>
      <w:divBdr>
        <w:top w:val="none" w:sz="0" w:space="0" w:color="auto"/>
        <w:left w:val="none" w:sz="0" w:space="0" w:color="auto"/>
        <w:bottom w:val="none" w:sz="0" w:space="0" w:color="auto"/>
        <w:right w:val="none" w:sz="0" w:space="0" w:color="auto"/>
      </w:divBdr>
    </w:div>
    <w:div w:id="590042250">
      <w:bodyDiv w:val="1"/>
      <w:marLeft w:val="0"/>
      <w:marRight w:val="0"/>
      <w:marTop w:val="0"/>
      <w:marBottom w:val="0"/>
      <w:divBdr>
        <w:top w:val="none" w:sz="0" w:space="0" w:color="auto"/>
        <w:left w:val="none" w:sz="0" w:space="0" w:color="auto"/>
        <w:bottom w:val="none" w:sz="0" w:space="0" w:color="auto"/>
        <w:right w:val="none" w:sz="0" w:space="0" w:color="auto"/>
      </w:divBdr>
    </w:div>
    <w:div w:id="607126151">
      <w:bodyDiv w:val="1"/>
      <w:marLeft w:val="0"/>
      <w:marRight w:val="0"/>
      <w:marTop w:val="0"/>
      <w:marBottom w:val="0"/>
      <w:divBdr>
        <w:top w:val="none" w:sz="0" w:space="0" w:color="auto"/>
        <w:left w:val="none" w:sz="0" w:space="0" w:color="auto"/>
        <w:bottom w:val="none" w:sz="0" w:space="0" w:color="auto"/>
        <w:right w:val="none" w:sz="0" w:space="0" w:color="auto"/>
      </w:divBdr>
    </w:div>
    <w:div w:id="623074471">
      <w:bodyDiv w:val="1"/>
      <w:marLeft w:val="0"/>
      <w:marRight w:val="0"/>
      <w:marTop w:val="0"/>
      <w:marBottom w:val="0"/>
      <w:divBdr>
        <w:top w:val="none" w:sz="0" w:space="0" w:color="auto"/>
        <w:left w:val="none" w:sz="0" w:space="0" w:color="auto"/>
        <w:bottom w:val="none" w:sz="0" w:space="0" w:color="auto"/>
        <w:right w:val="none" w:sz="0" w:space="0" w:color="auto"/>
      </w:divBdr>
    </w:div>
    <w:div w:id="631860116">
      <w:bodyDiv w:val="1"/>
      <w:marLeft w:val="0"/>
      <w:marRight w:val="0"/>
      <w:marTop w:val="0"/>
      <w:marBottom w:val="0"/>
      <w:divBdr>
        <w:top w:val="none" w:sz="0" w:space="0" w:color="auto"/>
        <w:left w:val="none" w:sz="0" w:space="0" w:color="auto"/>
        <w:bottom w:val="none" w:sz="0" w:space="0" w:color="auto"/>
        <w:right w:val="none" w:sz="0" w:space="0" w:color="auto"/>
      </w:divBdr>
      <w:divsChild>
        <w:div w:id="521676360">
          <w:marLeft w:val="547"/>
          <w:marRight w:val="0"/>
          <w:marTop w:val="38"/>
          <w:marBottom w:val="0"/>
          <w:divBdr>
            <w:top w:val="none" w:sz="0" w:space="0" w:color="auto"/>
            <w:left w:val="none" w:sz="0" w:space="0" w:color="auto"/>
            <w:bottom w:val="none" w:sz="0" w:space="0" w:color="auto"/>
            <w:right w:val="none" w:sz="0" w:space="0" w:color="auto"/>
          </w:divBdr>
        </w:div>
      </w:divsChild>
    </w:div>
    <w:div w:id="644237194">
      <w:bodyDiv w:val="1"/>
      <w:marLeft w:val="0"/>
      <w:marRight w:val="0"/>
      <w:marTop w:val="0"/>
      <w:marBottom w:val="0"/>
      <w:divBdr>
        <w:top w:val="none" w:sz="0" w:space="0" w:color="auto"/>
        <w:left w:val="none" w:sz="0" w:space="0" w:color="auto"/>
        <w:bottom w:val="none" w:sz="0" w:space="0" w:color="auto"/>
        <w:right w:val="none" w:sz="0" w:space="0" w:color="auto"/>
      </w:divBdr>
      <w:divsChild>
        <w:div w:id="1751534942">
          <w:marLeft w:val="547"/>
          <w:marRight w:val="0"/>
          <w:marTop w:val="144"/>
          <w:marBottom w:val="240"/>
          <w:divBdr>
            <w:top w:val="none" w:sz="0" w:space="0" w:color="auto"/>
            <w:left w:val="none" w:sz="0" w:space="0" w:color="auto"/>
            <w:bottom w:val="none" w:sz="0" w:space="0" w:color="auto"/>
            <w:right w:val="none" w:sz="0" w:space="0" w:color="auto"/>
          </w:divBdr>
        </w:div>
      </w:divsChild>
    </w:div>
    <w:div w:id="671106519">
      <w:bodyDiv w:val="1"/>
      <w:marLeft w:val="0"/>
      <w:marRight w:val="0"/>
      <w:marTop w:val="0"/>
      <w:marBottom w:val="0"/>
      <w:divBdr>
        <w:top w:val="none" w:sz="0" w:space="0" w:color="auto"/>
        <w:left w:val="none" w:sz="0" w:space="0" w:color="auto"/>
        <w:bottom w:val="none" w:sz="0" w:space="0" w:color="auto"/>
        <w:right w:val="none" w:sz="0" w:space="0" w:color="auto"/>
      </w:divBdr>
    </w:div>
    <w:div w:id="689528280">
      <w:bodyDiv w:val="1"/>
      <w:marLeft w:val="0"/>
      <w:marRight w:val="0"/>
      <w:marTop w:val="0"/>
      <w:marBottom w:val="0"/>
      <w:divBdr>
        <w:top w:val="none" w:sz="0" w:space="0" w:color="auto"/>
        <w:left w:val="none" w:sz="0" w:space="0" w:color="auto"/>
        <w:bottom w:val="none" w:sz="0" w:space="0" w:color="auto"/>
        <w:right w:val="none" w:sz="0" w:space="0" w:color="auto"/>
      </w:divBdr>
    </w:div>
    <w:div w:id="697201554">
      <w:bodyDiv w:val="1"/>
      <w:marLeft w:val="0"/>
      <w:marRight w:val="0"/>
      <w:marTop w:val="0"/>
      <w:marBottom w:val="0"/>
      <w:divBdr>
        <w:top w:val="none" w:sz="0" w:space="0" w:color="auto"/>
        <w:left w:val="none" w:sz="0" w:space="0" w:color="auto"/>
        <w:bottom w:val="none" w:sz="0" w:space="0" w:color="auto"/>
        <w:right w:val="none" w:sz="0" w:space="0" w:color="auto"/>
      </w:divBdr>
    </w:div>
    <w:div w:id="720710570">
      <w:bodyDiv w:val="1"/>
      <w:marLeft w:val="0"/>
      <w:marRight w:val="0"/>
      <w:marTop w:val="0"/>
      <w:marBottom w:val="0"/>
      <w:divBdr>
        <w:top w:val="none" w:sz="0" w:space="0" w:color="auto"/>
        <w:left w:val="none" w:sz="0" w:space="0" w:color="auto"/>
        <w:bottom w:val="none" w:sz="0" w:space="0" w:color="auto"/>
        <w:right w:val="none" w:sz="0" w:space="0" w:color="auto"/>
      </w:divBdr>
    </w:div>
    <w:div w:id="743718304">
      <w:bodyDiv w:val="1"/>
      <w:marLeft w:val="0"/>
      <w:marRight w:val="0"/>
      <w:marTop w:val="0"/>
      <w:marBottom w:val="0"/>
      <w:divBdr>
        <w:top w:val="none" w:sz="0" w:space="0" w:color="auto"/>
        <w:left w:val="none" w:sz="0" w:space="0" w:color="auto"/>
        <w:bottom w:val="none" w:sz="0" w:space="0" w:color="auto"/>
        <w:right w:val="none" w:sz="0" w:space="0" w:color="auto"/>
      </w:divBdr>
    </w:div>
    <w:div w:id="758986673">
      <w:bodyDiv w:val="1"/>
      <w:marLeft w:val="0"/>
      <w:marRight w:val="0"/>
      <w:marTop w:val="0"/>
      <w:marBottom w:val="0"/>
      <w:divBdr>
        <w:top w:val="none" w:sz="0" w:space="0" w:color="auto"/>
        <w:left w:val="none" w:sz="0" w:space="0" w:color="auto"/>
        <w:bottom w:val="none" w:sz="0" w:space="0" w:color="auto"/>
        <w:right w:val="none" w:sz="0" w:space="0" w:color="auto"/>
      </w:divBdr>
    </w:div>
    <w:div w:id="779226421">
      <w:bodyDiv w:val="1"/>
      <w:marLeft w:val="0"/>
      <w:marRight w:val="0"/>
      <w:marTop w:val="0"/>
      <w:marBottom w:val="0"/>
      <w:divBdr>
        <w:top w:val="none" w:sz="0" w:space="0" w:color="auto"/>
        <w:left w:val="none" w:sz="0" w:space="0" w:color="auto"/>
        <w:bottom w:val="none" w:sz="0" w:space="0" w:color="auto"/>
        <w:right w:val="none" w:sz="0" w:space="0" w:color="auto"/>
      </w:divBdr>
    </w:div>
    <w:div w:id="789278458">
      <w:bodyDiv w:val="1"/>
      <w:marLeft w:val="0"/>
      <w:marRight w:val="0"/>
      <w:marTop w:val="0"/>
      <w:marBottom w:val="0"/>
      <w:divBdr>
        <w:top w:val="none" w:sz="0" w:space="0" w:color="auto"/>
        <w:left w:val="none" w:sz="0" w:space="0" w:color="auto"/>
        <w:bottom w:val="none" w:sz="0" w:space="0" w:color="auto"/>
        <w:right w:val="none" w:sz="0" w:space="0" w:color="auto"/>
      </w:divBdr>
    </w:div>
    <w:div w:id="809249398">
      <w:bodyDiv w:val="1"/>
      <w:marLeft w:val="0"/>
      <w:marRight w:val="0"/>
      <w:marTop w:val="0"/>
      <w:marBottom w:val="0"/>
      <w:divBdr>
        <w:top w:val="none" w:sz="0" w:space="0" w:color="auto"/>
        <w:left w:val="none" w:sz="0" w:space="0" w:color="auto"/>
        <w:bottom w:val="none" w:sz="0" w:space="0" w:color="auto"/>
        <w:right w:val="none" w:sz="0" w:space="0" w:color="auto"/>
      </w:divBdr>
    </w:div>
    <w:div w:id="826018584">
      <w:bodyDiv w:val="1"/>
      <w:marLeft w:val="0"/>
      <w:marRight w:val="0"/>
      <w:marTop w:val="0"/>
      <w:marBottom w:val="0"/>
      <w:divBdr>
        <w:top w:val="none" w:sz="0" w:space="0" w:color="auto"/>
        <w:left w:val="none" w:sz="0" w:space="0" w:color="auto"/>
        <w:bottom w:val="none" w:sz="0" w:space="0" w:color="auto"/>
        <w:right w:val="none" w:sz="0" w:space="0" w:color="auto"/>
      </w:divBdr>
    </w:div>
    <w:div w:id="828862110">
      <w:bodyDiv w:val="1"/>
      <w:marLeft w:val="0"/>
      <w:marRight w:val="0"/>
      <w:marTop w:val="0"/>
      <w:marBottom w:val="0"/>
      <w:divBdr>
        <w:top w:val="none" w:sz="0" w:space="0" w:color="auto"/>
        <w:left w:val="none" w:sz="0" w:space="0" w:color="auto"/>
        <w:bottom w:val="none" w:sz="0" w:space="0" w:color="auto"/>
        <w:right w:val="none" w:sz="0" w:space="0" w:color="auto"/>
      </w:divBdr>
    </w:div>
    <w:div w:id="830026571">
      <w:bodyDiv w:val="1"/>
      <w:marLeft w:val="0"/>
      <w:marRight w:val="0"/>
      <w:marTop w:val="0"/>
      <w:marBottom w:val="0"/>
      <w:divBdr>
        <w:top w:val="none" w:sz="0" w:space="0" w:color="auto"/>
        <w:left w:val="none" w:sz="0" w:space="0" w:color="auto"/>
        <w:bottom w:val="none" w:sz="0" w:space="0" w:color="auto"/>
        <w:right w:val="none" w:sz="0" w:space="0" w:color="auto"/>
      </w:divBdr>
    </w:div>
    <w:div w:id="831675670">
      <w:bodyDiv w:val="1"/>
      <w:marLeft w:val="0"/>
      <w:marRight w:val="0"/>
      <w:marTop w:val="0"/>
      <w:marBottom w:val="0"/>
      <w:divBdr>
        <w:top w:val="none" w:sz="0" w:space="0" w:color="auto"/>
        <w:left w:val="none" w:sz="0" w:space="0" w:color="auto"/>
        <w:bottom w:val="none" w:sz="0" w:space="0" w:color="auto"/>
        <w:right w:val="none" w:sz="0" w:space="0" w:color="auto"/>
      </w:divBdr>
    </w:div>
    <w:div w:id="848326821">
      <w:bodyDiv w:val="1"/>
      <w:marLeft w:val="0"/>
      <w:marRight w:val="0"/>
      <w:marTop w:val="0"/>
      <w:marBottom w:val="0"/>
      <w:divBdr>
        <w:top w:val="none" w:sz="0" w:space="0" w:color="auto"/>
        <w:left w:val="none" w:sz="0" w:space="0" w:color="auto"/>
        <w:bottom w:val="none" w:sz="0" w:space="0" w:color="auto"/>
        <w:right w:val="none" w:sz="0" w:space="0" w:color="auto"/>
      </w:divBdr>
    </w:div>
    <w:div w:id="882134316">
      <w:bodyDiv w:val="1"/>
      <w:marLeft w:val="0"/>
      <w:marRight w:val="0"/>
      <w:marTop w:val="0"/>
      <w:marBottom w:val="0"/>
      <w:divBdr>
        <w:top w:val="none" w:sz="0" w:space="0" w:color="auto"/>
        <w:left w:val="none" w:sz="0" w:space="0" w:color="auto"/>
        <w:bottom w:val="none" w:sz="0" w:space="0" w:color="auto"/>
        <w:right w:val="none" w:sz="0" w:space="0" w:color="auto"/>
      </w:divBdr>
    </w:div>
    <w:div w:id="894438511">
      <w:bodyDiv w:val="1"/>
      <w:marLeft w:val="0"/>
      <w:marRight w:val="0"/>
      <w:marTop w:val="0"/>
      <w:marBottom w:val="0"/>
      <w:divBdr>
        <w:top w:val="none" w:sz="0" w:space="0" w:color="auto"/>
        <w:left w:val="none" w:sz="0" w:space="0" w:color="auto"/>
        <w:bottom w:val="none" w:sz="0" w:space="0" w:color="auto"/>
        <w:right w:val="none" w:sz="0" w:space="0" w:color="auto"/>
      </w:divBdr>
    </w:div>
    <w:div w:id="942346810">
      <w:bodyDiv w:val="1"/>
      <w:marLeft w:val="0"/>
      <w:marRight w:val="0"/>
      <w:marTop w:val="0"/>
      <w:marBottom w:val="0"/>
      <w:divBdr>
        <w:top w:val="none" w:sz="0" w:space="0" w:color="auto"/>
        <w:left w:val="none" w:sz="0" w:space="0" w:color="auto"/>
        <w:bottom w:val="none" w:sz="0" w:space="0" w:color="auto"/>
        <w:right w:val="none" w:sz="0" w:space="0" w:color="auto"/>
      </w:divBdr>
    </w:div>
    <w:div w:id="948897999">
      <w:bodyDiv w:val="1"/>
      <w:marLeft w:val="0"/>
      <w:marRight w:val="0"/>
      <w:marTop w:val="0"/>
      <w:marBottom w:val="0"/>
      <w:divBdr>
        <w:top w:val="none" w:sz="0" w:space="0" w:color="auto"/>
        <w:left w:val="none" w:sz="0" w:space="0" w:color="auto"/>
        <w:bottom w:val="none" w:sz="0" w:space="0" w:color="auto"/>
        <w:right w:val="none" w:sz="0" w:space="0" w:color="auto"/>
      </w:divBdr>
    </w:div>
    <w:div w:id="951742474">
      <w:bodyDiv w:val="1"/>
      <w:marLeft w:val="0"/>
      <w:marRight w:val="0"/>
      <w:marTop w:val="0"/>
      <w:marBottom w:val="0"/>
      <w:divBdr>
        <w:top w:val="none" w:sz="0" w:space="0" w:color="auto"/>
        <w:left w:val="none" w:sz="0" w:space="0" w:color="auto"/>
        <w:bottom w:val="none" w:sz="0" w:space="0" w:color="auto"/>
        <w:right w:val="none" w:sz="0" w:space="0" w:color="auto"/>
      </w:divBdr>
    </w:div>
    <w:div w:id="979073113">
      <w:bodyDiv w:val="1"/>
      <w:marLeft w:val="0"/>
      <w:marRight w:val="0"/>
      <w:marTop w:val="0"/>
      <w:marBottom w:val="0"/>
      <w:divBdr>
        <w:top w:val="none" w:sz="0" w:space="0" w:color="auto"/>
        <w:left w:val="none" w:sz="0" w:space="0" w:color="auto"/>
        <w:bottom w:val="none" w:sz="0" w:space="0" w:color="auto"/>
        <w:right w:val="none" w:sz="0" w:space="0" w:color="auto"/>
      </w:divBdr>
    </w:div>
    <w:div w:id="979652771">
      <w:bodyDiv w:val="1"/>
      <w:marLeft w:val="0"/>
      <w:marRight w:val="0"/>
      <w:marTop w:val="0"/>
      <w:marBottom w:val="0"/>
      <w:divBdr>
        <w:top w:val="none" w:sz="0" w:space="0" w:color="auto"/>
        <w:left w:val="none" w:sz="0" w:space="0" w:color="auto"/>
        <w:bottom w:val="none" w:sz="0" w:space="0" w:color="auto"/>
        <w:right w:val="none" w:sz="0" w:space="0" w:color="auto"/>
      </w:divBdr>
    </w:div>
    <w:div w:id="1037198738">
      <w:bodyDiv w:val="1"/>
      <w:marLeft w:val="0"/>
      <w:marRight w:val="0"/>
      <w:marTop w:val="0"/>
      <w:marBottom w:val="0"/>
      <w:divBdr>
        <w:top w:val="none" w:sz="0" w:space="0" w:color="auto"/>
        <w:left w:val="none" w:sz="0" w:space="0" w:color="auto"/>
        <w:bottom w:val="none" w:sz="0" w:space="0" w:color="auto"/>
        <w:right w:val="none" w:sz="0" w:space="0" w:color="auto"/>
      </w:divBdr>
    </w:div>
    <w:div w:id="1041175245">
      <w:bodyDiv w:val="1"/>
      <w:marLeft w:val="0"/>
      <w:marRight w:val="0"/>
      <w:marTop w:val="0"/>
      <w:marBottom w:val="0"/>
      <w:divBdr>
        <w:top w:val="none" w:sz="0" w:space="0" w:color="auto"/>
        <w:left w:val="none" w:sz="0" w:space="0" w:color="auto"/>
        <w:bottom w:val="none" w:sz="0" w:space="0" w:color="auto"/>
        <w:right w:val="none" w:sz="0" w:space="0" w:color="auto"/>
      </w:divBdr>
    </w:div>
    <w:div w:id="1071545335">
      <w:bodyDiv w:val="1"/>
      <w:marLeft w:val="0"/>
      <w:marRight w:val="0"/>
      <w:marTop w:val="0"/>
      <w:marBottom w:val="0"/>
      <w:divBdr>
        <w:top w:val="none" w:sz="0" w:space="0" w:color="auto"/>
        <w:left w:val="none" w:sz="0" w:space="0" w:color="auto"/>
        <w:bottom w:val="none" w:sz="0" w:space="0" w:color="auto"/>
        <w:right w:val="none" w:sz="0" w:space="0" w:color="auto"/>
      </w:divBdr>
    </w:div>
    <w:div w:id="1100226183">
      <w:bodyDiv w:val="1"/>
      <w:marLeft w:val="0"/>
      <w:marRight w:val="0"/>
      <w:marTop w:val="0"/>
      <w:marBottom w:val="0"/>
      <w:divBdr>
        <w:top w:val="none" w:sz="0" w:space="0" w:color="auto"/>
        <w:left w:val="none" w:sz="0" w:space="0" w:color="auto"/>
        <w:bottom w:val="none" w:sz="0" w:space="0" w:color="auto"/>
        <w:right w:val="none" w:sz="0" w:space="0" w:color="auto"/>
      </w:divBdr>
    </w:div>
    <w:div w:id="1114128555">
      <w:bodyDiv w:val="1"/>
      <w:marLeft w:val="0"/>
      <w:marRight w:val="0"/>
      <w:marTop w:val="0"/>
      <w:marBottom w:val="0"/>
      <w:divBdr>
        <w:top w:val="none" w:sz="0" w:space="0" w:color="auto"/>
        <w:left w:val="none" w:sz="0" w:space="0" w:color="auto"/>
        <w:bottom w:val="none" w:sz="0" w:space="0" w:color="auto"/>
        <w:right w:val="none" w:sz="0" w:space="0" w:color="auto"/>
      </w:divBdr>
    </w:div>
    <w:div w:id="1129787447">
      <w:bodyDiv w:val="1"/>
      <w:marLeft w:val="0"/>
      <w:marRight w:val="0"/>
      <w:marTop w:val="0"/>
      <w:marBottom w:val="0"/>
      <w:divBdr>
        <w:top w:val="none" w:sz="0" w:space="0" w:color="auto"/>
        <w:left w:val="none" w:sz="0" w:space="0" w:color="auto"/>
        <w:bottom w:val="none" w:sz="0" w:space="0" w:color="auto"/>
        <w:right w:val="none" w:sz="0" w:space="0" w:color="auto"/>
      </w:divBdr>
    </w:div>
    <w:div w:id="1154763370">
      <w:bodyDiv w:val="1"/>
      <w:marLeft w:val="0"/>
      <w:marRight w:val="0"/>
      <w:marTop w:val="0"/>
      <w:marBottom w:val="0"/>
      <w:divBdr>
        <w:top w:val="none" w:sz="0" w:space="0" w:color="auto"/>
        <w:left w:val="none" w:sz="0" w:space="0" w:color="auto"/>
        <w:bottom w:val="none" w:sz="0" w:space="0" w:color="auto"/>
        <w:right w:val="none" w:sz="0" w:space="0" w:color="auto"/>
      </w:divBdr>
    </w:div>
    <w:div w:id="1159081427">
      <w:bodyDiv w:val="1"/>
      <w:marLeft w:val="0"/>
      <w:marRight w:val="0"/>
      <w:marTop w:val="0"/>
      <w:marBottom w:val="0"/>
      <w:divBdr>
        <w:top w:val="none" w:sz="0" w:space="0" w:color="auto"/>
        <w:left w:val="none" w:sz="0" w:space="0" w:color="auto"/>
        <w:bottom w:val="none" w:sz="0" w:space="0" w:color="auto"/>
        <w:right w:val="none" w:sz="0" w:space="0" w:color="auto"/>
      </w:divBdr>
      <w:divsChild>
        <w:div w:id="25762096">
          <w:marLeft w:val="547"/>
          <w:marRight w:val="0"/>
          <w:marTop w:val="0"/>
          <w:marBottom w:val="0"/>
          <w:divBdr>
            <w:top w:val="none" w:sz="0" w:space="0" w:color="auto"/>
            <w:left w:val="none" w:sz="0" w:space="0" w:color="auto"/>
            <w:bottom w:val="none" w:sz="0" w:space="0" w:color="auto"/>
            <w:right w:val="none" w:sz="0" w:space="0" w:color="auto"/>
          </w:divBdr>
        </w:div>
      </w:divsChild>
    </w:div>
    <w:div w:id="1180118398">
      <w:bodyDiv w:val="1"/>
      <w:marLeft w:val="0"/>
      <w:marRight w:val="0"/>
      <w:marTop w:val="0"/>
      <w:marBottom w:val="0"/>
      <w:divBdr>
        <w:top w:val="none" w:sz="0" w:space="0" w:color="auto"/>
        <w:left w:val="none" w:sz="0" w:space="0" w:color="auto"/>
        <w:bottom w:val="none" w:sz="0" w:space="0" w:color="auto"/>
        <w:right w:val="none" w:sz="0" w:space="0" w:color="auto"/>
      </w:divBdr>
    </w:div>
    <w:div w:id="1211383310">
      <w:bodyDiv w:val="1"/>
      <w:marLeft w:val="0"/>
      <w:marRight w:val="0"/>
      <w:marTop w:val="0"/>
      <w:marBottom w:val="0"/>
      <w:divBdr>
        <w:top w:val="none" w:sz="0" w:space="0" w:color="auto"/>
        <w:left w:val="none" w:sz="0" w:space="0" w:color="auto"/>
        <w:bottom w:val="none" w:sz="0" w:space="0" w:color="auto"/>
        <w:right w:val="none" w:sz="0" w:space="0" w:color="auto"/>
      </w:divBdr>
    </w:div>
    <w:div w:id="1228342825">
      <w:bodyDiv w:val="1"/>
      <w:marLeft w:val="0"/>
      <w:marRight w:val="0"/>
      <w:marTop w:val="0"/>
      <w:marBottom w:val="0"/>
      <w:divBdr>
        <w:top w:val="none" w:sz="0" w:space="0" w:color="auto"/>
        <w:left w:val="none" w:sz="0" w:space="0" w:color="auto"/>
        <w:bottom w:val="none" w:sz="0" w:space="0" w:color="auto"/>
        <w:right w:val="none" w:sz="0" w:space="0" w:color="auto"/>
      </w:divBdr>
    </w:div>
    <w:div w:id="1236742093">
      <w:bodyDiv w:val="1"/>
      <w:marLeft w:val="0"/>
      <w:marRight w:val="0"/>
      <w:marTop w:val="0"/>
      <w:marBottom w:val="0"/>
      <w:divBdr>
        <w:top w:val="none" w:sz="0" w:space="0" w:color="auto"/>
        <w:left w:val="none" w:sz="0" w:space="0" w:color="auto"/>
        <w:bottom w:val="none" w:sz="0" w:space="0" w:color="auto"/>
        <w:right w:val="none" w:sz="0" w:space="0" w:color="auto"/>
      </w:divBdr>
    </w:div>
    <w:div w:id="1239367948">
      <w:bodyDiv w:val="1"/>
      <w:marLeft w:val="0"/>
      <w:marRight w:val="0"/>
      <w:marTop w:val="0"/>
      <w:marBottom w:val="0"/>
      <w:divBdr>
        <w:top w:val="none" w:sz="0" w:space="0" w:color="auto"/>
        <w:left w:val="none" w:sz="0" w:space="0" w:color="auto"/>
        <w:bottom w:val="none" w:sz="0" w:space="0" w:color="auto"/>
        <w:right w:val="none" w:sz="0" w:space="0" w:color="auto"/>
      </w:divBdr>
    </w:div>
    <w:div w:id="1240947768">
      <w:bodyDiv w:val="1"/>
      <w:marLeft w:val="0"/>
      <w:marRight w:val="0"/>
      <w:marTop w:val="0"/>
      <w:marBottom w:val="0"/>
      <w:divBdr>
        <w:top w:val="none" w:sz="0" w:space="0" w:color="auto"/>
        <w:left w:val="none" w:sz="0" w:space="0" w:color="auto"/>
        <w:bottom w:val="none" w:sz="0" w:space="0" w:color="auto"/>
        <w:right w:val="none" w:sz="0" w:space="0" w:color="auto"/>
      </w:divBdr>
    </w:div>
    <w:div w:id="1278951504">
      <w:bodyDiv w:val="1"/>
      <w:marLeft w:val="0"/>
      <w:marRight w:val="0"/>
      <w:marTop w:val="0"/>
      <w:marBottom w:val="0"/>
      <w:divBdr>
        <w:top w:val="none" w:sz="0" w:space="0" w:color="auto"/>
        <w:left w:val="none" w:sz="0" w:space="0" w:color="auto"/>
        <w:bottom w:val="none" w:sz="0" w:space="0" w:color="auto"/>
        <w:right w:val="none" w:sz="0" w:space="0" w:color="auto"/>
      </w:divBdr>
    </w:div>
    <w:div w:id="1316688627">
      <w:bodyDiv w:val="1"/>
      <w:marLeft w:val="0"/>
      <w:marRight w:val="0"/>
      <w:marTop w:val="0"/>
      <w:marBottom w:val="0"/>
      <w:divBdr>
        <w:top w:val="none" w:sz="0" w:space="0" w:color="auto"/>
        <w:left w:val="none" w:sz="0" w:space="0" w:color="auto"/>
        <w:bottom w:val="none" w:sz="0" w:space="0" w:color="auto"/>
        <w:right w:val="none" w:sz="0" w:space="0" w:color="auto"/>
      </w:divBdr>
    </w:div>
    <w:div w:id="1328556174">
      <w:bodyDiv w:val="1"/>
      <w:marLeft w:val="0"/>
      <w:marRight w:val="0"/>
      <w:marTop w:val="0"/>
      <w:marBottom w:val="0"/>
      <w:divBdr>
        <w:top w:val="none" w:sz="0" w:space="0" w:color="auto"/>
        <w:left w:val="none" w:sz="0" w:space="0" w:color="auto"/>
        <w:bottom w:val="none" w:sz="0" w:space="0" w:color="auto"/>
        <w:right w:val="none" w:sz="0" w:space="0" w:color="auto"/>
      </w:divBdr>
    </w:div>
    <w:div w:id="1373270006">
      <w:bodyDiv w:val="1"/>
      <w:marLeft w:val="0"/>
      <w:marRight w:val="0"/>
      <w:marTop w:val="0"/>
      <w:marBottom w:val="0"/>
      <w:divBdr>
        <w:top w:val="none" w:sz="0" w:space="0" w:color="auto"/>
        <w:left w:val="none" w:sz="0" w:space="0" w:color="auto"/>
        <w:bottom w:val="none" w:sz="0" w:space="0" w:color="auto"/>
        <w:right w:val="none" w:sz="0" w:space="0" w:color="auto"/>
      </w:divBdr>
    </w:div>
    <w:div w:id="1431051841">
      <w:bodyDiv w:val="1"/>
      <w:marLeft w:val="0"/>
      <w:marRight w:val="0"/>
      <w:marTop w:val="0"/>
      <w:marBottom w:val="0"/>
      <w:divBdr>
        <w:top w:val="none" w:sz="0" w:space="0" w:color="auto"/>
        <w:left w:val="none" w:sz="0" w:space="0" w:color="auto"/>
        <w:bottom w:val="none" w:sz="0" w:space="0" w:color="auto"/>
        <w:right w:val="none" w:sz="0" w:space="0" w:color="auto"/>
      </w:divBdr>
    </w:div>
    <w:div w:id="1438989687">
      <w:bodyDiv w:val="1"/>
      <w:marLeft w:val="0"/>
      <w:marRight w:val="0"/>
      <w:marTop w:val="0"/>
      <w:marBottom w:val="0"/>
      <w:divBdr>
        <w:top w:val="none" w:sz="0" w:space="0" w:color="auto"/>
        <w:left w:val="none" w:sz="0" w:space="0" w:color="auto"/>
        <w:bottom w:val="none" w:sz="0" w:space="0" w:color="auto"/>
        <w:right w:val="none" w:sz="0" w:space="0" w:color="auto"/>
      </w:divBdr>
    </w:div>
    <w:div w:id="1451436055">
      <w:bodyDiv w:val="1"/>
      <w:marLeft w:val="0"/>
      <w:marRight w:val="0"/>
      <w:marTop w:val="0"/>
      <w:marBottom w:val="0"/>
      <w:divBdr>
        <w:top w:val="none" w:sz="0" w:space="0" w:color="auto"/>
        <w:left w:val="none" w:sz="0" w:space="0" w:color="auto"/>
        <w:bottom w:val="none" w:sz="0" w:space="0" w:color="auto"/>
        <w:right w:val="none" w:sz="0" w:space="0" w:color="auto"/>
      </w:divBdr>
    </w:div>
    <w:div w:id="1460807742">
      <w:bodyDiv w:val="1"/>
      <w:marLeft w:val="0"/>
      <w:marRight w:val="0"/>
      <w:marTop w:val="0"/>
      <w:marBottom w:val="0"/>
      <w:divBdr>
        <w:top w:val="none" w:sz="0" w:space="0" w:color="auto"/>
        <w:left w:val="none" w:sz="0" w:space="0" w:color="auto"/>
        <w:bottom w:val="none" w:sz="0" w:space="0" w:color="auto"/>
        <w:right w:val="none" w:sz="0" w:space="0" w:color="auto"/>
      </w:divBdr>
    </w:div>
    <w:div w:id="1490633251">
      <w:bodyDiv w:val="1"/>
      <w:marLeft w:val="0"/>
      <w:marRight w:val="0"/>
      <w:marTop w:val="0"/>
      <w:marBottom w:val="0"/>
      <w:divBdr>
        <w:top w:val="none" w:sz="0" w:space="0" w:color="auto"/>
        <w:left w:val="none" w:sz="0" w:space="0" w:color="auto"/>
        <w:bottom w:val="none" w:sz="0" w:space="0" w:color="auto"/>
        <w:right w:val="none" w:sz="0" w:space="0" w:color="auto"/>
      </w:divBdr>
    </w:div>
    <w:div w:id="1510219642">
      <w:bodyDiv w:val="1"/>
      <w:marLeft w:val="0"/>
      <w:marRight w:val="0"/>
      <w:marTop w:val="0"/>
      <w:marBottom w:val="0"/>
      <w:divBdr>
        <w:top w:val="none" w:sz="0" w:space="0" w:color="auto"/>
        <w:left w:val="none" w:sz="0" w:space="0" w:color="auto"/>
        <w:bottom w:val="none" w:sz="0" w:space="0" w:color="auto"/>
        <w:right w:val="none" w:sz="0" w:space="0" w:color="auto"/>
      </w:divBdr>
    </w:div>
    <w:div w:id="1511332671">
      <w:bodyDiv w:val="1"/>
      <w:marLeft w:val="0"/>
      <w:marRight w:val="0"/>
      <w:marTop w:val="0"/>
      <w:marBottom w:val="0"/>
      <w:divBdr>
        <w:top w:val="none" w:sz="0" w:space="0" w:color="auto"/>
        <w:left w:val="none" w:sz="0" w:space="0" w:color="auto"/>
        <w:bottom w:val="none" w:sz="0" w:space="0" w:color="auto"/>
        <w:right w:val="none" w:sz="0" w:space="0" w:color="auto"/>
      </w:divBdr>
    </w:div>
    <w:div w:id="1522552848">
      <w:bodyDiv w:val="1"/>
      <w:marLeft w:val="0"/>
      <w:marRight w:val="0"/>
      <w:marTop w:val="0"/>
      <w:marBottom w:val="0"/>
      <w:divBdr>
        <w:top w:val="none" w:sz="0" w:space="0" w:color="auto"/>
        <w:left w:val="none" w:sz="0" w:space="0" w:color="auto"/>
        <w:bottom w:val="none" w:sz="0" w:space="0" w:color="auto"/>
        <w:right w:val="none" w:sz="0" w:space="0" w:color="auto"/>
      </w:divBdr>
    </w:div>
    <w:div w:id="1527018524">
      <w:bodyDiv w:val="1"/>
      <w:marLeft w:val="0"/>
      <w:marRight w:val="0"/>
      <w:marTop w:val="0"/>
      <w:marBottom w:val="0"/>
      <w:divBdr>
        <w:top w:val="none" w:sz="0" w:space="0" w:color="auto"/>
        <w:left w:val="none" w:sz="0" w:space="0" w:color="auto"/>
        <w:bottom w:val="none" w:sz="0" w:space="0" w:color="auto"/>
        <w:right w:val="none" w:sz="0" w:space="0" w:color="auto"/>
      </w:divBdr>
    </w:div>
    <w:div w:id="1528638045">
      <w:bodyDiv w:val="1"/>
      <w:marLeft w:val="0"/>
      <w:marRight w:val="0"/>
      <w:marTop w:val="0"/>
      <w:marBottom w:val="0"/>
      <w:divBdr>
        <w:top w:val="none" w:sz="0" w:space="0" w:color="auto"/>
        <w:left w:val="none" w:sz="0" w:space="0" w:color="auto"/>
        <w:bottom w:val="none" w:sz="0" w:space="0" w:color="auto"/>
        <w:right w:val="none" w:sz="0" w:space="0" w:color="auto"/>
      </w:divBdr>
    </w:div>
    <w:div w:id="1532919470">
      <w:bodyDiv w:val="1"/>
      <w:marLeft w:val="0"/>
      <w:marRight w:val="0"/>
      <w:marTop w:val="0"/>
      <w:marBottom w:val="0"/>
      <w:divBdr>
        <w:top w:val="none" w:sz="0" w:space="0" w:color="auto"/>
        <w:left w:val="none" w:sz="0" w:space="0" w:color="auto"/>
        <w:bottom w:val="none" w:sz="0" w:space="0" w:color="auto"/>
        <w:right w:val="none" w:sz="0" w:space="0" w:color="auto"/>
      </w:divBdr>
    </w:div>
    <w:div w:id="1549292691">
      <w:bodyDiv w:val="1"/>
      <w:marLeft w:val="0"/>
      <w:marRight w:val="0"/>
      <w:marTop w:val="0"/>
      <w:marBottom w:val="0"/>
      <w:divBdr>
        <w:top w:val="none" w:sz="0" w:space="0" w:color="auto"/>
        <w:left w:val="none" w:sz="0" w:space="0" w:color="auto"/>
        <w:bottom w:val="none" w:sz="0" w:space="0" w:color="auto"/>
        <w:right w:val="none" w:sz="0" w:space="0" w:color="auto"/>
      </w:divBdr>
    </w:div>
    <w:div w:id="1575823887">
      <w:bodyDiv w:val="1"/>
      <w:marLeft w:val="0"/>
      <w:marRight w:val="0"/>
      <w:marTop w:val="0"/>
      <w:marBottom w:val="0"/>
      <w:divBdr>
        <w:top w:val="none" w:sz="0" w:space="0" w:color="auto"/>
        <w:left w:val="none" w:sz="0" w:space="0" w:color="auto"/>
        <w:bottom w:val="none" w:sz="0" w:space="0" w:color="auto"/>
        <w:right w:val="none" w:sz="0" w:space="0" w:color="auto"/>
      </w:divBdr>
    </w:div>
    <w:div w:id="1639844950">
      <w:bodyDiv w:val="1"/>
      <w:marLeft w:val="0"/>
      <w:marRight w:val="0"/>
      <w:marTop w:val="0"/>
      <w:marBottom w:val="0"/>
      <w:divBdr>
        <w:top w:val="none" w:sz="0" w:space="0" w:color="auto"/>
        <w:left w:val="none" w:sz="0" w:space="0" w:color="auto"/>
        <w:bottom w:val="none" w:sz="0" w:space="0" w:color="auto"/>
        <w:right w:val="none" w:sz="0" w:space="0" w:color="auto"/>
      </w:divBdr>
    </w:div>
    <w:div w:id="1675572828">
      <w:bodyDiv w:val="1"/>
      <w:marLeft w:val="0"/>
      <w:marRight w:val="0"/>
      <w:marTop w:val="0"/>
      <w:marBottom w:val="0"/>
      <w:divBdr>
        <w:top w:val="none" w:sz="0" w:space="0" w:color="auto"/>
        <w:left w:val="none" w:sz="0" w:space="0" w:color="auto"/>
        <w:bottom w:val="none" w:sz="0" w:space="0" w:color="auto"/>
        <w:right w:val="none" w:sz="0" w:space="0" w:color="auto"/>
      </w:divBdr>
    </w:div>
    <w:div w:id="1710521571">
      <w:bodyDiv w:val="1"/>
      <w:marLeft w:val="0"/>
      <w:marRight w:val="0"/>
      <w:marTop w:val="0"/>
      <w:marBottom w:val="0"/>
      <w:divBdr>
        <w:top w:val="none" w:sz="0" w:space="0" w:color="auto"/>
        <w:left w:val="none" w:sz="0" w:space="0" w:color="auto"/>
        <w:bottom w:val="none" w:sz="0" w:space="0" w:color="auto"/>
        <w:right w:val="none" w:sz="0" w:space="0" w:color="auto"/>
      </w:divBdr>
    </w:div>
    <w:div w:id="1735737476">
      <w:bodyDiv w:val="1"/>
      <w:marLeft w:val="0"/>
      <w:marRight w:val="0"/>
      <w:marTop w:val="0"/>
      <w:marBottom w:val="0"/>
      <w:divBdr>
        <w:top w:val="none" w:sz="0" w:space="0" w:color="auto"/>
        <w:left w:val="none" w:sz="0" w:space="0" w:color="auto"/>
        <w:bottom w:val="none" w:sz="0" w:space="0" w:color="auto"/>
        <w:right w:val="none" w:sz="0" w:space="0" w:color="auto"/>
      </w:divBdr>
    </w:div>
    <w:div w:id="1769888950">
      <w:bodyDiv w:val="1"/>
      <w:marLeft w:val="0"/>
      <w:marRight w:val="0"/>
      <w:marTop w:val="0"/>
      <w:marBottom w:val="0"/>
      <w:divBdr>
        <w:top w:val="none" w:sz="0" w:space="0" w:color="auto"/>
        <w:left w:val="none" w:sz="0" w:space="0" w:color="auto"/>
        <w:bottom w:val="none" w:sz="0" w:space="0" w:color="auto"/>
        <w:right w:val="none" w:sz="0" w:space="0" w:color="auto"/>
      </w:divBdr>
    </w:div>
    <w:div w:id="1783304652">
      <w:bodyDiv w:val="1"/>
      <w:marLeft w:val="0"/>
      <w:marRight w:val="0"/>
      <w:marTop w:val="0"/>
      <w:marBottom w:val="0"/>
      <w:divBdr>
        <w:top w:val="none" w:sz="0" w:space="0" w:color="auto"/>
        <w:left w:val="none" w:sz="0" w:space="0" w:color="auto"/>
        <w:bottom w:val="none" w:sz="0" w:space="0" w:color="auto"/>
        <w:right w:val="none" w:sz="0" w:space="0" w:color="auto"/>
      </w:divBdr>
    </w:div>
    <w:div w:id="1818836498">
      <w:bodyDiv w:val="1"/>
      <w:marLeft w:val="0"/>
      <w:marRight w:val="0"/>
      <w:marTop w:val="0"/>
      <w:marBottom w:val="0"/>
      <w:divBdr>
        <w:top w:val="none" w:sz="0" w:space="0" w:color="auto"/>
        <w:left w:val="none" w:sz="0" w:space="0" w:color="auto"/>
        <w:bottom w:val="none" w:sz="0" w:space="0" w:color="auto"/>
        <w:right w:val="none" w:sz="0" w:space="0" w:color="auto"/>
      </w:divBdr>
    </w:div>
    <w:div w:id="1876503060">
      <w:bodyDiv w:val="1"/>
      <w:marLeft w:val="0"/>
      <w:marRight w:val="0"/>
      <w:marTop w:val="0"/>
      <w:marBottom w:val="0"/>
      <w:divBdr>
        <w:top w:val="none" w:sz="0" w:space="0" w:color="auto"/>
        <w:left w:val="none" w:sz="0" w:space="0" w:color="auto"/>
        <w:bottom w:val="none" w:sz="0" w:space="0" w:color="auto"/>
        <w:right w:val="none" w:sz="0" w:space="0" w:color="auto"/>
      </w:divBdr>
    </w:div>
    <w:div w:id="1899515409">
      <w:bodyDiv w:val="1"/>
      <w:marLeft w:val="0"/>
      <w:marRight w:val="0"/>
      <w:marTop w:val="0"/>
      <w:marBottom w:val="0"/>
      <w:divBdr>
        <w:top w:val="none" w:sz="0" w:space="0" w:color="auto"/>
        <w:left w:val="none" w:sz="0" w:space="0" w:color="auto"/>
        <w:bottom w:val="none" w:sz="0" w:space="0" w:color="auto"/>
        <w:right w:val="none" w:sz="0" w:space="0" w:color="auto"/>
      </w:divBdr>
    </w:div>
    <w:div w:id="1914315419">
      <w:bodyDiv w:val="1"/>
      <w:marLeft w:val="0"/>
      <w:marRight w:val="0"/>
      <w:marTop w:val="0"/>
      <w:marBottom w:val="0"/>
      <w:divBdr>
        <w:top w:val="none" w:sz="0" w:space="0" w:color="auto"/>
        <w:left w:val="none" w:sz="0" w:space="0" w:color="auto"/>
        <w:bottom w:val="none" w:sz="0" w:space="0" w:color="auto"/>
        <w:right w:val="none" w:sz="0" w:space="0" w:color="auto"/>
      </w:divBdr>
    </w:div>
    <w:div w:id="1920367030">
      <w:bodyDiv w:val="1"/>
      <w:marLeft w:val="0"/>
      <w:marRight w:val="0"/>
      <w:marTop w:val="0"/>
      <w:marBottom w:val="0"/>
      <w:divBdr>
        <w:top w:val="none" w:sz="0" w:space="0" w:color="auto"/>
        <w:left w:val="none" w:sz="0" w:space="0" w:color="auto"/>
        <w:bottom w:val="none" w:sz="0" w:space="0" w:color="auto"/>
        <w:right w:val="none" w:sz="0" w:space="0" w:color="auto"/>
      </w:divBdr>
    </w:div>
    <w:div w:id="2009021032">
      <w:bodyDiv w:val="1"/>
      <w:marLeft w:val="0"/>
      <w:marRight w:val="0"/>
      <w:marTop w:val="0"/>
      <w:marBottom w:val="0"/>
      <w:divBdr>
        <w:top w:val="none" w:sz="0" w:space="0" w:color="auto"/>
        <w:left w:val="none" w:sz="0" w:space="0" w:color="auto"/>
        <w:bottom w:val="none" w:sz="0" w:space="0" w:color="auto"/>
        <w:right w:val="none" w:sz="0" w:space="0" w:color="auto"/>
      </w:divBdr>
    </w:div>
    <w:div w:id="2055500690">
      <w:bodyDiv w:val="1"/>
      <w:marLeft w:val="0"/>
      <w:marRight w:val="0"/>
      <w:marTop w:val="0"/>
      <w:marBottom w:val="0"/>
      <w:divBdr>
        <w:top w:val="none" w:sz="0" w:space="0" w:color="auto"/>
        <w:left w:val="none" w:sz="0" w:space="0" w:color="auto"/>
        <w:bottom w:val="none" w:sz="0" w:space="0" w:color="auto"/>
        <w:right w:val="none" w:sz="0" w:space="0" w:color="auto"/>
      </w:divBdr>
    </w:div>
    <w:div w:id="2070420736">
      <w:bodyDiv w:val="1"/>
      <w:marLeft w:val="0"/>
      <w:marRight w:val="0"/>
      <w:marTop w:val="0"/>
      <w:marBottom w:val="0"/>
      <w:divBdr>
        <w:top w:val="none" w:sz="0" w:space="0" w:color="auto"/>
        <w:left w:val="none" w:sz="0" w:space="0" w:color="auto"/>
        <w:bottom w:val="none" w:sz="0" w:space="0" w:color="auto"/>
        <w:right w:val="none" w:sz="0" w:space="0" w:color="auto"/>
      </w:divBdr>
    </w:div>
    <w:div w:id="2112120082">
      <w:bodyDiv w:val="1"/>
      <w:marLeft w:val="0"/>
      <w:marRight w:val="0"/>
      <w:marTop w:val="0"/>
      <w:marBottom w:val="0"/>
      <w:divBdr>
        <w:top w:val="none" w:sz="0" w:space="0" w:color="auto"/>
        <w:left w:val="none" w:sz="0" w:space="0" w:color="auto"/>
        <w:bottom w:val="none" w:sz="0" w:space="0" w:color="auto"/>
        <w:right w:val="none" w:sz="0" w:space="0" w:color="auto"/>
      </w:divBdr>
    </w:div>
    <w:div w:id="2115050152">
      <w:bodyDiv w:val="1"/>
      <w:marLeft w:val="0"/>
      <w:marRight w:val="0"/>
      <w:marTop w:val="0"/>
      <w:marBottom w:val="0"/>
      <w:divBdr>
        <w:top w:val="none" w:sz="0" w:space="0" w:color="auto"/>
        <w:left w:val="none" w:sz="0" w:space="0" w:color="auto"/>
        <w:bottom w:val="none" w:sz="0" w:space="0" w:color="auto"/>
        <w:right w:val="none" w:sz="0" w:space="0" w:color="auto"/>
      </w:divBdr>
    </w:div>
    <w:div w:id="2141074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emf"/><Relationship Id="rId18" Type="http://schemas.openxmlformats.org/officeDocument/2006/relationships/image" Target="media/image7.emf"/><Relationship Id="rId26" Type="http://schemas.openxmlformats.org/officeDocument/2006/relationships/image" Target="media/image15.emf"/><Relationship Id="rId39" Type="http://schemas.openxmlformats.org/officeDocument/2006/relationships/image" Target="media/image27.emf"/><Relationship Id="rId3" Type="http://schemas.openxmlformats.org/officeDocument/2006/relationships/customXml" Target="../customXml/item3.xml"/><Relationship Id="rId21" Type="http://schemas.openxmlformats.org/officeDocument/2006/relationships/image" Target="media/image10.emf"/><Relationship Id="rId34" Type="http://schemas.openxmlformats.org/officeDocument/2006/relationships/image" Target="media/image22.emf"/><Relationship Id="rId42" Type="http://schemas.openxmlformats.org/officeDocument/2006/relationships/header" Target="header3.xml"/><Relationship Id="rId47" Type="http://schemas.openxmlformats.org/officeDocument/2006/relationships/image" Target="media/image33.emf"/><Relationship Id="rId50" Type="http://schemas.openxmlformats.org/officeDocument/2006/relationships/image" Target="media/image36.emf"/><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6.emf"/><Relationship Id="rId25" Type="http://schemas.openxmlformats.org/officeDocument/2006/relationships/image" Target="media/image14.emf"/><Relationship Id="rId33" Type="http://schemas.openxmlformats.org/officeDocument/2006/relationships/image" Target="media/image21.emf"/><Relationship Id="rId38" Type="http://schemas.openxmlformats.org/officeDocument/2006/relationships/image" Target="media/image26.emf"/><Relationship Id="rId46" Type="http://schemas.openxmlformats.org/officeDocument/2006/relationships/image" Target="media/image32.emf"/><Relationship Id="rId2" Type="http://schemas.openxmlformats.org/officeDocument/2006/relationships/customXml" Target="../customXml/item2.xml"/><Relationship Id="rId16" Type="http://schemas.openxmlformats.org/officeDocument/2006/relationships/image" Target="media/image5.emf"/><Relationship Id="rId20" Type="http://schemas.openxmlformats.org/officeDocument/2006/relationships/image" Target="media/image9.emf"/><Relationship Id="rId29" Type="http://schemas.openxmlformats.org/officeDocument/2006/relationships/header" Target="header1.xml"/><Relationship Id="rId41" Type="http://schemas.openxmlformats.org/officeDocument/2006/relationships/header" Target="header2.xm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13.emf"/><Relationship Id="rId32" Type="http://schemas.openxmlformats.org/officeDocument/2006/relationships/image" Target="media/image20.emf"/><Relationship Id="rId37" Type="http://schemas.openxmlformats.org/officeDocument/2006/relationships/image" Target="media/image25.emf"/><Relationship Id="rId40" Type="http://schemas.openxmlformats.org/officeDocument/2006/relationships/image" Target="media/image28.emf"/><Relationship Id="rId45" Type="http://schemas.openxmlformats.org/officeDocument/2006/relationships/image" Target="media/image31.emf"/><Relationship Id="rId53"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4.emf"/><Relationship Id="rId23" Type="http://schemas.openxmlformats.org/officeDocument/2006/relationships/image" Target="media/image12.emf"/><Relationship Id="rId28" Type="http://schemas.openxmlformats.org/officeDocument/2006/relationships/image" Target="media/image17.emf"/><Relationship Id="rId36" Type="http://schemas.openxmlformats.org/officeDocument/2006/relationships/image" Target="media/image24.emf"/><Relationship Id="rId49" Type="http://schemas.openxmlformats.org/officeDocument/2006/relationships/image" Target="media/image35.emf"/><Relationship Id="rId10" Type="http://schemas.openxmlformats.org/officeDocument/2006/relationships/endnotes" Target="endnotes.xml"/><Relationship Id="rId19" Type="http://schemas.openxmlformats.org/officeDocument/2006/relationships/image" Target="media/image8.emf"/><Relationship Id="rId31" Type="http://schemas.openxmlformats.org/officeDocument/2006/relationships/image" Target="media/image19.emf"/><Relationship Id="rId44" Type="http://schemas.openxmlformats.org/officeDocument/2006/relationships/image" Target="media/image30.emf"/><Relationship Id="rId52" Type="http://schemas.openxmlformats.org/officeDocument/2006/relationships/image" Target="media/image37.e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emf"/><Relationship Id="rId22" Type="http://schemas.openxmlformats.org/officeDocument/2006/relationships/image" Target="media/image11.emf"/><Relationship Id="rId27" Type="http://schemas.openxmlformats.org/officeDocument/2006/relationships/image" Target="media/image16.emf"/><Relationship Id="rId30" Type="http://schemas.openxmlformats.org/officeDocument/2006/relationships/image" Target="media/image18.emf"/><Relationship Id="rId35" Type="http://schemas.openxmlformats.org/officeDocument/2006/relationships/image" Target="media/image23.emf"/><Relationship Id="rId43" Type="http://schemas.openxmlformats.org/officeDocument/2006/relationships/image" Target="media/image29.emf"/><Relationship Id="rId48" Type="http://schemas.openxmlformats.org/officeDocument/2006/relationships/image" Target="media/image34.emf"/><Relationship Id="rId8" Type="http://schemas.openxmlformats.org/officeDocument/2006/relationships/webSettings" Target="webSettings.xml"/><Relationship Id="rId51" Type="http://schemas.openxmlformats.org/officeDocument/2006/relationships/header" Target="head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sa%20Maconie\AppData\Local\McK%20FirmFormat%20Templates\Templates\Proposal%20or%20Formal%20Documen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0627BD2E77EA4458DC41A270DF2E32B" ma:contentTypeVersion="1" ma:contentTypeDescription="Create a new document." ma:contentTypeScope="" ma:versionID="a49a350987d3017ff06728879aa26c00">
  <xsd:schema xmlns:xsd="http://www.w3.org/2001/XMLSchema" xmlns:xs="http://www.w3.org/2001/XMLSchema" xmlns:p="http://schemas.microsoft.com/office/2006/metadata/properties" targetNamespace="http://schemas.microsoft.com/office/2006/metadata/properties" ma:root="true" ma:fieldsID="8b4f31dbc100d48dbd7c8e4c9fb1875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831A01-59CC-4AE3-9D38-480ED0FB234C}">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FF22979B-4865-421A-BD1D-88C8B932A05E}">
  <ds:schemaRefs>
    <ds:schemaRef ds:uri="http://schemas.microsoft.com/sharepoint/v3/contenttype/forms"/>
  </ds:schemaRefs>
</ds:datastoreItem>
</file>

<file path=customXml/itemProps3.xml><?xml version="1.0" encoding="utf-8"?>
<ds:datastoreItem xmlns:ds="http://schemas.openxmlformats.org/officeDocument/2006/customXml" ds:itemID="{21C3BFC4-B8DD-4920-A2B3-77E589EAD8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13EF0313-DD59-4828-97C1-AB2ECE6F78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Proposal or Formal Document</Template>
  <TotalTime>0</TotalTime>
  <Pages>67</Pages>
  <Words>37014</Words>
  <Characters>210985</Characters>
  <Application>Microsoft Office Word</Application>
  <DocSecurity>0</DocSecurity>
  <Lines>1758</Lines>
  <Paragraphs>495</Paragraphs>
  <ScaleCrop>false</ScaleCrop>
  <HeadingPairs>
    <vt:vector size="2" baseType="variant">
      <vt:variant>
        <vt:lpstr>Title</vt:lpstr>
      </vt:variant>
      <vt:variant>
        <vt:i4>1</vt:i4>
      </vt:variant>
    </vt:vector>
  </HeadingPairs>
  <TitlesOfParts>
    <vt:vector size="1" baseType="lpstr">
      <vt:lpstr>Diabetes Care Project</vt:lpstr>
    </vt:vector>
  </TitlesOfParts>
  <Company>Corporate</Company>
  <LinksUpToDate>false</LinksUpToDate>
  <CharactersWithSpaces>247504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Diabetes Care Project</dc:title>
  <dc:creator>Department of Health</dc:creator>
  <cp:keywords>Proposal or Formal</cp:keywords>
  <cp:lastModifiedBy>Maschke, Elvia</cp:lastModifiedBy>
  <cp:revision>2</cp:revision>
  <cp:lastPrinted>2015-05-20T07:35:00Z</cp:lastPrinted>
  <dcterms:created xsi:type="dcterms:W3CDTF">2019-09-10T09:00:00Z</dcterms:created>
  <dcterms:modified xsi:type="dcterms:W3CDTF">2019-09-10T09:00:00Z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ser Name_1">
    <vt:lpwstr>matt@mdschiller.com.au@www.mendeley.com</vt:lpwstr>
  </property>
  <property fmtid="{D5CDD505-2E9C-101B-9397-08002B2CF9AE}" pid="4" name="Mendeley Citation Style_1">
    <vt:lpwstr>http://www.zotero.org/styles/american-medical-association</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16th edition (author-date)</vt:lpwstr>
  </property>
  <property fmtid="{D5CDD505-2E9C-101B-9397-08002B2CF9AE}" pid="15" name="Mendeley Recent Style Id 5_1">
    <vt:lpwstr>http://www.zotero.org/styles/harvard1</vt:lpwstr>
  </property>
  <property fmtid="{D5CDD505-2E9C-101B-9397-08002B2CF9AE}" pid="16" name="Mendeley Recent Style Name 5_1">
    <vt:lpwstr>Harvard Reference format 1 (author-date)</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7th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y fmtid="{D5CDD505-2E9C-101B-9397-08002B2CF9AE}" pid="25" name="_NewReviewCycle">
    <vt:lpwstr/>
  </property>
  <property fmtid="{D5CDD505-2E9C-101B-9397-08002B2CF9AE}" pid="26" name="ContentTypeId">
    <vt:lpwstr>0x010100E0627BD2E77EA4458DC41A270DF2E32B</vt:lpwstr>
  </property>
</Properties>
</file>