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AF984" w14:textId="0A1D6575" w:rsidR="0007433C" w:rsidRDefault="0007433C" w:rsidP="000F737F">
      <w:pPr>
        <w:tabs>
          <w:tab w:val="left" w:pos="6246"/>
        </w:tabs>
      </w:pPr>
      <w:bookmarkStart w:id="0" w:name="_Hlk532982474"/>
      <w:bookmarkStart w:id="1" w:name="_GoBack"/>
      <w:bookmarkEnd w:id="1"/>
    </w:p>
    <w:p w14:paraId="27E32C4C" w14:textId="77777777" w:rsidR="0007433C" w:rsidRDefault="0007433C">
      <w:pPr>
        <w:spacing w:after="160"/>
      </w:pPr>
    </w:p>
    <w:sdt>
      <w:sdtPr>
        <w:rPr>
          <w:rFonts w:eastAsia="Times New Roman" w:cs="Times New Roman"/>
          <w:color w:val="2E368F" w:themeColor="text2"/>
          <w:sz w:val="84"/>
          <w:szCs w:val="19"/>
          <w:lang w:eastAsia="en-AU"/>
        </w:rPr>
        <w:id w:val="803730555"/>
        <w:docPartObj>
          <w:docPartGallery w:val="Cover Pages"/>
          <w:docPartUnique/>
        </w:docPartObj>
      </w:sdtPr>
      <w:sdtEndPr>
        <w:rPr>
          <w:rFonts w:cs="Segoe UI"/>
          <w:b/>
          <w:color w:val="00264D"/>
          <w:sz w:val="44"/>
          <w:szCs w:val="36"/>
        </w:rPr>
      </w:sdtEndPr>
      <w:sdtContent>
        <w:p w14:paraId="5127364D" w14:textId="77777777" w:rsidR="0007433C" w:rsidRDefault="0007433C" w:rsidP="00A9621C"/>
        <w:p w14:paraId="685B07E1" w14:textId="77777777" w:rsidR="00C53B58" w:rsidRDefault="00C53B58" w:rsidP="00A9621C"/>
        <w:p w14:paraId="074A2FC3" w14:textId="77777777" w:rsidR="00C53B58" w:rsidRDefault="00C53B58" w:rsidP="00A9621C"/>
        <w:p w14:paraId="69D15F5A" w14:textId="77777777" w:rsidR="00A9621C" w:rsidRPr="00A9621C" w:rsidRDefault="00BB07C8" w:rsidP="00117A8C">
          <w:pPr>
            <w:pStyle w:val="Covertitle"/>
            <w:spacing w:line="240" w:lineRule="auto"/>
            <w:rPr>
              <w:rFonts w:cs="Segoe UI"/>
              <w:b/>
              <w:color w:val="00264D"/>
              <w:sz w:val="36"/>
              <w:szCs w:val="36"/>
            </w:rPr>
          </w:pPr>
          <w:r w:rsidRPr="00A9621C">
            <w:rPr>
              <w:rFonts w:cs="Segoe UI"/>
              <w:b/>
              <w:color w:val="00264D"/>
              <w:sz w:val="36"/>
              <w:szCs w:val="36"/>
            </w:rPr>
            <w:t>Evaluation of the BreastScreen Australia program’s expansion of the target age for active recruitment to include women aged 70 – 74 years</w:t>
          </w:r>
        </w:p>
        <w:p w14:paraId="67DA58F9" w14:textId="77777777" w:rsidR="00A9621C" w:rsidRDefault="00A9621C" w:rsidP="00117A8C">
          <w:pPr>
            <w:pStyle w:val="Covertitle"/>
            <w:spacing w:line="240" w:lineRule="auto"/>
            <w:rPr>
              <w:rFonts w:cs="Segoe UI"/>
              <w:b/>
              <w:color w:val="00264D"/>
              <w:sz w:val="44"/>
              <w:szCs w:val="36"/>
            </w:rPr>
          </w:pPr>
        </w:p>
        <w:p w14:paraId="44170A55" w14:textId="2043E5FA" w:rsidR="0007433C" w:rsidRPr="00117A8C" w:rsidRDefault="00595384" w:rsidP="00117A8C">
          <w:pPr>
            <w:pStyle w:val="Covertitle"/>
            <w:spacing w:line="240" w:lineRule="auto"/>
            <w:rPr>
              <w:rFonts w:cs="Segoe UI"/>
              <w:b/>
              <w:color w:val="00264D" w:themeColor="background2"/>
              <w:sz w:val="44"/>
              <w:szCs w:val="36"/>
            </w:rPr>
          </w:pPr>
          <w:r>
            <w:rPr>
              <w:rFonts w:cs="Segoe UI"/>
              <w:b/>
              <w:color w:val="00264D"/>
              <w:sz w:val="44"/>
              <w:szCs w:val="36"/>
            </w:rPr>
            <w:t>Evaluation Plan</w:t>
          </w:r>
          <w:r w:rsidR="005E2CA0">
            <w:rPr>
              <w:rFonts w:cs="Segoe UI"/>
              <w:b/>
              <w:color w:val="00264D"/>
              <w:sz w:val="44"/>
              <w:szCs w:val="36"/>
            </w:rPr>
            <w:t xml:space="preserve"> Summary</w:t>
          </w:r>
        </w:p>
      </w:sdtContent>
    </w:sdt>
    <w:p w14:paraId="42F42516" w14:textId="44ED72C2" w:rsidR="0007433C" w:rsidRPr="000A0A4F" w:rsidRDefault="005E2CA0" w:rsidP="0007433C">
      <w:pPr>
        <w:pStyle w:val="CoverPage-Client"/>
        <w:spacing w:before="360"/>
        <w:rPr>
          <w:rFonts w:cs="Segoe UI"/>
          <w:color w:val="F8981D" w:themeColor="accent3"/>
        </w:rPr>
      </w:pPr>
      <w:r>
        <w:rPr>
          <w:rStyle w:val="CoverPage-ClientChar"/>
          <w:rFonts w:cs="Segoe UI"/>
          <w:color w:val="F8981D" w:themeColor="accent3"/>
        </w:rPr>
        <w:t>Australian Government</w:t>
      </w:r>
      <w:r w:rsidR="0007433C">
        <w:rPr>
          <w:rStyle w:val="CoverPage-ClientChar"/>
          <w:rFonts w:cs="Segoe UI"/>
          <w:color w:val="F8981D" w:themeColor="accent3"/>
        </w:rPr>
        <w:t xml:space="preserve"> </w:t>
      </w:r>
      <w:r w:rsidR="0007433C" w:rsidRPr="000A0A4F">
        <w:rPr>
          <w:rStyle w:val="CoverPage-ClientChar"/>
          <w:rFonts w:cs="Segoe UI"/>
          <w:color w:val="F8981D" w:themeColor="accent3"/>
        </w:rPr>
        <w:t>Department of Health</w:t>
      </w:r>
    </w:p>
    <w:p w14:paraId="12E8D3D1" w14:textId="77777777" w:rsidR="000B6F8F" w:rsidRDefault="002123E7" w:rsidP="0007433C">
      <w:pPr>
        <w:pStyle w:val="CoverPage-Date"/>
        <w:spacing w:before="240"/>
        <w:rPr>
          <w:rStyle w:val="CoverPage-DateChar"/>
          <w:rFonts w:cs="Segoe UI"/>
          <w:sz w:val="20"/>
          <w:szCs w:val="20"/>
        </w:rPr>
      </w:pPr>
      <w:r>
        <w:rPr>
          <w:rStyle w:val="CoverPage-DateChar"/>
          <w:sz w:val="20"/>
        </w:rPr>
        <w:t xml:space="preserve">21 November </w:t>
      </w:r>
      <w:r w:rsidR="0007433C" w:rsidRPr="00BD21AF">
        <w:rPr>
          <w:rStyle w:val="CoverPage-DateChar"/>
          <w:rFonts w:cs="Segoe UI"/>
          <w:sz w:val="20"/>
          <w:szCs w:val="20"/>
        </w:rPr>
        <w:t>2018</w:t>
      </w:r>
    </w:p>
    <w:p w14:paraId="42AC8DFD" w14:textId="77777777" w:rsidR="0007433C" w:rsidRDefault="0007433C" w:rsidP="0007433C">
      <w:pPr>
        <w:spacing w:after="160"/>
      </w:pPr>
      <w:r>
        <w:br w:type="page"/>
      </w:r>
    </w:p>
    <w:p w14:paraId="4BEADBB0" w14:textId="77777777" w:rsidR="00EB3FDA" w:rsidRDefault="00EB3FDA" w:rsidP="00EB3FDA">
      <w:pPr>
        <w:spacing w:after="13000"/>
      </w:pPr>
      <w:r w:rsidRPr="000A0A4F">
        <w:lastRenderedPageBreak/>
        <w:t>This page is intentionally blank.</w:t>
      </w:r>
    </w:p>
    <w:p w14:paraId="70D00211" w14:textId="160D8E40" w:rsidR="00EB3FDA" w:rsidRPr="000A0A4F" w:rsidRDefault="00160BCC" w:rsidP="00501290">
      <w:pPr>
        <w:sectPr w:rsidR="00EB3FDA" w:rsidRPr="000A0A4F" w:rsidSect="00060A3F">
          <w:headerReference w:type="default" r:id="rId12"/>
          <w:footerReference w:type="default" r:id="rId13"/>
          <w:headerReference w:type="first" r:id="rId14"/>
          <w:footerReference w:type="first" r:id="rId15"/>
          <w:type w:val="continuous"/>
          <w:pgSz w:w="11907" w:h="16839" w:code="9"/>
          <w:pgMar w:top="1440" w:right="1440" w:bottom="1440" w:left="1440" w:header="737" w:footer="567" w:gutter="0"/>
          <w:pgNumType w:fmt="lowerRoman" w:start="1"/>
          <w:cols w:space="720"/>
          <w:titlePg/>
          <w:docGrid w:linePitch="360"/>
        </w:sectPr>
      </w:pPr>
      <w:r w:rsidRPr="000A0A4F">
        <w:rPr>
          <w:noProof/>
          <w:lang w:eastAsia="en-AU"/>
        </w:rPr>
        <mc:AlternateContent>
          <mc:Choice Requires="wps">
            <w:drawing>
              <wp:inline distT="0" distB="0" distL="0" distR="0" wp14:anchorId="24F0E068" wp14:editId="58277A9A">
                <wp:extent cx="1720215" cy="313055"/>
                <wp:effectExtent l="0" t="0" r="0" b="0"/>
                <wp:docPr id="820" name="Text Box 820"/>
                <wp:cNvGraphicFramePr/>
                <a:graphic xmlns:a="http://schemas.openxmlformats.org/drawingml/2006/main">
                  <a:graphicData uri="http://schemas.microsoft.com/office/word/2010/wordprocessingShape">
                    <wps:wsp>
                      <wps:cNvSpPr txBox="1"/>
                      <wps:spPr>
                        <a:xfrm>
                          <a:off x="0" y="0"/>
                          <a:ext cx="172021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CBB55" w14:textId="77777777" w:rsidR="005669B6" w:rsidRPr="00FD4AB1" w:rsidRDefault="005669B6" w:rsidP="00FD4AB1">
                            <w:pPr>
                              <w:rPr>
                                <w:color w:val="A5A5A5"/>
                              </w:rPr>
                            </w:pPr>
                            <w:r w:rsidRPr="00FD4AB1">
                              <w:rPr>
                                <w:color w:val="A5A5A5"/>
                              </w:rPr>
                              <w:t>© Nous Group</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shapetype w14:anchorId="24F0E068" id="_x0000_t202" coordsize="21600,21600" o:spt="202" path="m,l,21600r21600,l21600,xe">
                <v:stroke joinstyle="miter"/>
                <v:path gradientshapeok="t" o:connecttype="rect"/>
              </v:shapetype>
              <v:shape id="Text Box 820" o:spid="_x0000_s1026" type="#_x0000_t202" style="width:135.45pt;height: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" fillcolor="white [3201]" stroked="f" strokeweight=".5pt">
                <v:textbox inset="0">
                  <w:txbxContent>
                    <w:p w14:paraId="465CBB55" w14:textId="77777777" w:rsidR="005669B6" w:rsidRPr="00FD4AB1" w:rsidRDefault="005669B6" w:rsidP="00FD4AB1">
                      <w:pPr>
                        <w:rPr>
                          <w:color w:val="A5A5A5"/>
                        </w:rPr>
                      </w:pPr>
                      <w:r w:rsidRPr="00FD4AB1">
                        <w:rPr>
                          <w:color w:val="A5A5A5"/>
                        </w:rPr>
                        <w:t>© Nous Group</w:t>
                      </w:r>
                    </w:p>
                  </w:txbxContent>
                </v:textbox>
                <w10:anchorlock/>
              </v:shape>
            </w:pict>
          </mc:Fallback>
        </mc:AlternateContent>
      </w:r>
    </w:p>
    <w:p w14:paraId="0B9644DD" w14:textId="77777777" w:rsidR="00E33039" w:rsidRPr="00E33039" w:rsidRDefault="00E33039" w:rsidP="00EB3FDA">
      <w:pPr>
        <w:pBdr>
          <w:top w:val="single" w:sz="4" w:space="1" w:color="auto"/>
          <w:left w:val="single" w:sz="4" w:space="4" w:color="auto"/>
          <w:bottom w:val="single" w:sz="4" w:space="1" w:color="auto"/>
          <w:right w:val="single" w:sz="4" w:space="4" w:color="auto"/>
        </w:pBdr>
        <w:spacing w:before="6000"/>
        <w:jc w:val="center"/>
        <w:rPr>
          <w:i/>
          <w:lang w:eastAsia="en-AU"/>
        </w:rPr>
      </w:pPr>
      <w:r w:rsidRPr="00E33039">
        <w:rPr>
          <w:i/>
          <w:lang w:eastAsia="en-AU"/>
        </w:rPr>
        <w:lastRenderedPageBreak/>
        <w:t xml:space="preserve">Nous acknowledges the Aboriginal and Torres Strait Islander peoples as the First Australians and the traditional custodians of the states and territories of Australia. We pay our respects to the elders past, present and future in maintaining the culture, country and their spiritual connection to the land. Nous acknowledges that there is no single Australian Aboriginal and Torres Strait Islander culture or group and recognises the diversity of communities and cultures throughout Australia.  In this document we will be respectfully using the term Indigenous people or Aboriginal and Torres Strait </w:t>
      </w:r>
      <w:r w:rsidR="00D35800">
        <w:rPr>
          <w:i/>
          <w:lang w:eastAsia="en-AU"/>
        </w:rPr>
        <w:t>I</w:t>
      </w:r>
      <w:r w:rsidRPr="00E33039">
        <w:rPr>
          <w:i/>
          <w:lang w:eastAsia="en-AU"/>
        </w:rPr>
        <w:t>slander people.</w:t>
      </w:r>
    </w:p>
    <w:p w14:paraId="1EDC8397" w14:textId="77777777" w:rsidR="00E33039" w:rsidRPr="00E33039" w:rsidRDefault="00E33039" w:rsidP="00E33039">
      <w:pPr>
        <w:pBdr>
          <w:top w:val="single" w:sz="4" w:space="1" w:color="auto"/>
          <w:left w:val="single" w:sz="4" w:space="4" w:color="auto"/>
          <w:bottom w:val="single" w:sz="4" w:space="1" w:color="auto"/>
          <w:right w:val="single" w:sz="4" w:space="4" w:color="auto"/>
        </w:pBdr>
        <w:jc w:val="center"/>
        <w:rPr>
          <w:i/>
          <w:lang w:eastAsia="en-AU"/>
        </w:rPr>
      </w:pPr>
    </w:p>
    <w:p w14:paraId="0CB10DA4" w14:textId="77777777" w:rsidR="00DB37A2" w:rsidRPr="00347E60" w:rsidRDefault="00347E60" w:rsidP="00347E60">
      <w:pPr>
        <w:rPr>
          <w:color w:val="FFFFFF" w:themeColor="background1"/>
        </w:rPr>
      </w:pPr>
      <w:r>
        <w:rPr>
          <w:i/>
          <w:color w:val="FFFFFF" w:themeColor="background1"/>
        </w:rPr>
        <w:t xml:space="preserve"> Torres Strait islander p</w:t>
      </w:r>
    </w:p>
    <w:p w14:paraId="7F651657" w14:textId="77777777" w:rsidR="00AD4AED" w:rsidRDefault="00AD4AED">
      <w:pPr>
        <w:spacing w:after="160"/>
        <w:rPr>
          <w:rFonts w:eastAsia="Times New Roman" w:cs="Segoe UI"/>
          <w:b/>
          <w:color w:val="00264D"/>
          <w:sz w:val="36"/>
          <w:szCs w:val="36"/>
          <w:lang w:eastAsia="en-AU"/>
        </w:rPr>
      </w:pPr>
      <w:r>
        <w:br w:type="page"/>
      </w:r>
    </w:p>
    <w:p w14:paraId="64171448" w14:textId="77777777" w:rsidR="00347E60" w:rsidRDefault="00CF7BA0" w:rsidP="006C24C3">
      <w:pPr>
        <w:pStyle w:val="ContentsHeading"/>
        <w:spacing w:after="0"/>
      </w:pPr>
      <w:r w:rsidRPr="000A0A4F">
        <w:lastRenderedPageBreak/>
        <w:t>Contents</w:t>
      </w:r>
    </w:p>
    <w:p w14:paraId="6471FC60" w14:textId="77777777" w:rsidR="00CF7BA0" w:rsidRPr="000A0A4F" w:rsidRDefault="00CF7BA0" w:rsidP="00347E60"/>
    <w:p w14:paraId="3FD3202C" w14:textId="3A18198E" w:rsidR="00723BB2" w:rsidRDefault="00D56820">
      <w:pPr>
        <w:pStyle w:val="TOC1"/>
        <w:rPr>
          <w:rFonts w:asciiTheme="minorHAnsi" w:eastAsiaTheme="minorEastAsia" w:hAnsiTheme="minorHAnsi"/>
          <w:sz w:val="22"/>
          <w:lang w:val="en-AU" w:eastAsia="en-AU"/>
        </w:rPr>
      </w:pPr>
      <w:r w:rsidRPr="000A0A4F">
        <w:rPr>
          <w:lang w:eastAsia="en-AU"/>
        </w:rPr>
        <w:fldChar w:fldCharType="begin"/>
      </w:r>
      <w:r w:rsidRPr="000A0A4F">
        <w:rPr>
          <w:lang w:eastAsia="en-AU"/>
        </w:rPr>
        <w:instrText xml:space="preserve"> TOC \o "1-2" \h \z \u </w:instrText>
      </w:r>
      <w:r w:rsidRPr="000A0A4F">
        <w:rPr>
          <w:lang w:eastAsia="en-AU"/>
        </w:rPr>
        <w:fldChar w:fldCharType="separate"/>
      </w:r>
      <w:hyperlink w:anchor="_Toc530577368" w:history="1">
        <w:r w:rsidR="00723BB2" w:rsidRPr="00E31E40">
          <w:rPr>
            <w:rStyle w:val="Hyperlink"/>
          </w:rPr>
          <w:t>1</w:t>
        </w:r>
        <w:r w:rsidR="00723BB2">
          <w:rPr>
            <w:rFonts w:asciiTheme="minorHAnsi" w:eastAsiaTheme="minorEastAsia" w:hAnsiTheme="minorHAnsi"/>
            <w:sz w:val="22"/>
            <w:lang w:val="en-AU" w:eastAsia="en-AU"/>
          </w:rPr>
          <w:tab/>
        </w:r>
        <w:r w:rsidR="00723BB2" w:rsidRPr="00E31E40">
          <w:rPr>
            <w:rStyle w:val="Hyperlink"/>
          </w:rPr>
          <w:t>Introduction</w:t>
        </w:r>
        <w:r w:rsidR="00723BB2">
          <w:rPr>
            <w:webHidden/>
          </w:rPr>
          <w:tab/>
        </w:r>
        <w:r w:rsidR="00723BB2">
          <w:rPr>
            <w:webHidden/>
          </w:rPr>
          <w:fldChar w:fldCharType="begin"/>
        </w:r>
        <w:r w:rsidR="00723BB2">
          <w:rPr>
            <w:webHidden/>
          </w:rPr>
          <w:instrText xml:space="preserve"> PAGEREF _Toc530577368 \h </w:instrText>
        </w:r>
        <w:r w:rsidR="00723BB2">
          <w:rPr>
            <w:webHidden/>
          </w:rPr>
        </w:r>
        <w:r w:rsidR="00723BB2">
          <w:rPr>
            <w:webHidden/>
          </w:rPr>
          <w:fldChar w:fldCharType="separate"/>
        </w:r>
        <w:r w:rsidR="000C023C">
          <w:rPr>
            <w:webHidden/>
          </w:rPr>
          <w:t>2</w:t>
        </w:r>
        <w:r w:rsidR="00723BB2">
          <w:rPr>
            <w:webHidden/>
          </w:rPr>
          <w:fldChar w:fldCharType="end"/>
        </w:r>
      </w:hyperlink>
    </w:p>
    <w:p w14:paraId="21861FD6" w14:textId="0B4E1256" w:rsidR="00723BB2" w:rsidRDefault="002970E2">
      <w:pPr>
        <w:pStyle w:val="TOC1"/>
        <w:rPr>
          <w:rFonts w:asciiTheme="minorHAnsi" w:eastAsiaTheme="minorEastAsia" w:hAnsiTheme="minorHAnsi"/>
          <w:sz w:val="22"/>
          <w:lang w:val="en-AU" w:eastAsia="en-AU"/>
        </w:rPr>
      </w:pPr>
      <w:hyperlink w:anchor="_Toc530577369" w:history="1">
        <w:r w:rsidR="00723BB2" w:rsidRPr="00E31E40">
          <w:rPr>
            <w:rStyle w:val="Hyperlink"/>
          </w:rPr>
          <w:t>2</w:t>
        </w:r>
        <w:r w:rsidR="00723BB2">
          <w:rPr>
            <w:rFonts w:asciiTheme="minorHAnsi" w:eastAsiaTheme="minorEastAsia" w:hAnsiTheme="minorHAnsi"/>
            <w:sz w:val="22"/>
            <w:lang w:val="en-AU" w:eastAsia="en-AU"/>
          </w:rPr>
          <w:tab/>
        </w:r>
        <w:r w:rsidR="00723BB2" w:rsidRPr="00E31E40">
          <w:rPr>
            <w:rStyle w:val="Hyperlink"/>
          </w:rPr>
          <w:t>Evaluation framework</w:t>
        </w:r>
        <w:r w:rsidR="00723BB2">
          <w:rPr>
            <w:webHidden/>
          </w:rPr>
          <w:tab/>
        </w:r>
        <w:r w:rsidR="00723BB2">
          <w:rPr>
            <w:webHidden/>
          </w:rPr>
          <w:fldChar w:fldCharType="begin"/>
        </w:r>
        <w:r w:rsidR="00723BB2">
          <w:rPr>
            <w:webHidden/>
          </w:rPr>
          <w:instrText xml:space="preserve"> PAGEREF _Toc530577369 \h </w:instrText>
        </w:r>
        <w:r w:rsidR="00723BB2">
          <w:rPr>
            <w:webHidden/>
          </w:rPr>
        </w:r>
        <w:r w:rsidR="00723BB2">
          <w:rPr>
            <w:webHidden/>
          </w:rPr>
          <w:fldChar w:fldCharType="separate"/>
        </w:r>
        <w:r w:rsidR="000C023C">
          <w:rPr>
            <w:webHidden/>
          </w:rPr>
          <w:t>2</w:t>
        </w:r>
        <w:r w:rsidR="00723BB2">
          <w:rPr>
            <w:webHidden/>
          </w:rPr>
          <w:fldChar w:fldCharType="end"/>
        </w:r>
      </w:hyperlink>
    </w:p>
    <w:p w14:paraId="31802524" w14:textId="34562199" w:rsidR="00723BB2" w:rsidRDefault="002970E2">
      <w:pPr>
        <w:pStyle w:val="TOC2"/>
        <w:rPr>
          <w:rFonts w:asciiTheme="minorHAnsi" w:eastAsiaTheme="minorEastAsia" w:hAnsiTheme="minorHAnsi"/>
          <w:noProof/>
          <w:sz w:val="22"/>
          <w:lang w:val="en-AU" w:eastAsia="en-AU"/>
        </w:rPr>
      </w:pPr>
      <w:hyperlink w:anchor="_Toc530577370" w:history="1">
        <w:r w:rsidR="00723BB2" w:rsidRPr="00E31E40">
          <w:rPr>
            <w:rStyle w:val="Hyperlink"/>
            <w:noProof/>
            <w14:scene3d>
              <w14:camera w14:prst="orthographicFront"/>
              <w14:lightRig w14:rig="threePt" w14:dir="t">
                <w14:rot w14:lat="0" w14:lon="0" w14:rev="0"/>
              </w14:lightRig>
            </w14:scene3d>
          </w:rPr>
          <w:t>2.1</w:t>
        </w:r>
        <w:r w:rsidR="00723BB2">
          <w:rPr>
            <w:rFonts w:asciiTheme="minorHAnsi" w:eastAsiaTheme="minorEastAsia" w:hAnsiTheme="minorHAnsi"/>
            <w:noProof/>
            <w:sz w:val="22"/>
            <w:lang w:val="en-AU" w:eastAsia="en-AU"/>
          </w:rPr>
          <w:tab/>
        </w:r>
        <w:r w:rsidR="00723BB2" w:rsidRPr="00E31E40">
          <w:rPr>
            <w:rStyle w:val="Hyperlink"/>
            <w:noProof/>
          </w:rPr>
          <w:t>Purpose and scope</w:t>
        </w:r>
        <w:r w:rsidR="00723BB2">
          <w:rPr>
            <w:noProof/>
            <w:webHidden/>
          </w:rPr>
          <w:tab/>
        </w:r>
        <w:r w:rsidR="00723BB2">
          <w:rPr>
            <w:noProof/>
            <w:webHidden/>
          </w:rPr>
          <w:fldChar w:fldCharType="begin"/>
        </w:r>
        <w:r w:rsidR="00723BB2">
          <w:rPr>
            <w:noProof/>
            <w:webHidden/>
          </w:rPr>
          <w:instrText xml:space="preserve"> PAGEREF _Toc530577370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1C1DAC19" w14:textId="138C35F2" w:rsidR="00723BB2" w:rsidRDefault="002970E2">
      <w:pPr>
        <w:pStyle w:val="TOC2"/>
        <w:rPr>
          <w:rFonts w:asciiTheme="minorHAnsi" w:eastAsiaTheme="minorEastAsia" w:hAnsiTheme="minorHAnsi"/>
          <w:noProof/>
          <w:sz w:val="22"/>
          <w:lang w:val="en-AU" w:eastAsia="en-AU"/>
        </w:rPr>
      </w:pPr>
      <w:hyperlink w:anchor="_Toc530577371" w:history="1">
        <w:r w:rsidR="00723BB2" w:rsidRPr="00E31E40">
          <w:rPr>
            <w:rStyle w:val="Hyperlink"/>
            <w:noProof/>
            <w14:scene3d>
              <w14:camera w14:prst="orthographicFront"/>
              <w14:lightRig w14:rig="threePt" w14:dir="t">
                <w14:rot w14:lat="0" w14:lon="0" w14:rev="0"/>
              </w14:lightRig>
            </w14:scene3d>
          </w:rPr>
          <w:t>2.2</w:t>
        </w:r>
        <w:r w:rsidR="00723BB2">
          <w:rPr>
            <w:rFonts w:asciiTheme="minorHAnsi" w:eastAsiaTheme="minorEastAsia" w:hAnsiTheme="minorHAnsi"/>
            <w:noProof/>
            <w:sz w:val="22"/>
            <w:lang w:val="en-AU" w:eastAsia="en-AU"/>
          </w:rPr>
          <w:tab/>
        </w:r>
        <w:r w:rsidR="00723BB2" w:rsidRPr="00E31E40">
          <w:rPr>
            <w:rStyle w:val="Hyperlink"/>
            <w:noProof/>
          </w:rPr>
          <w:t>Evaluation type and principles</w:t>
        </w:r>
        <w:r w:rsidR="00723BB2">
          <w:rPr>
            <w:noProof/>
            <w:webHidden/>
          </w:rPr>
          <w:tab/>
        </w:r>
        <w:r w:rsidR="00723BB2">
          <w:rPr>
            <w:noProof/>
            <w:webHidden/>
          </w:rPr>
          <w:fldChar w:fldCharType="begin"/>
        </w:r>
        <w:r w:rsidR="00723BB2">
          <w:rPr>
            <w:noProof/>
            <w:webHidden/>
          </w:rPr>
          <w:instrText xml:space="preserve"> PAGEREF _Toc530577371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396002A4" w14:textId="26E5F017" w:rsidR="00723BB2" w:rsidRDefault="002970E2">
      <w:pPr>
        <w:pStyle w:val="TOC2"/>
        <w:rPr>
          <w:rFonts w:asciiTheme="minorHAnsi" w:eastAsiaTheme="minorEastAsia" w:hAnsiTheme="minorHAnsi"/>
          <w:noProof/>
          <w:sz w:val="22"/>
          <w:lang w:val="en-AU" w:eastAsia="en-AU"/>
        </w:rPr>
      </w:pPr>
      <w:hyperlink w:anchor="_Toc530577372" w:history="1">
        <w:r w:rsidR="00723BB2" w:rsidRPr="00E31E40">
          <w:rPr>
            <w:rStyle w:val="Hyperlink"/>
            <w:noProof/>
            <w14:scene3d>
              <w14:camera w14:prst="orthographicFront"/>
              <w14:lightRig w14:rig="threePt" w14:dir="t">
                <w14:rot w14:lat="0" w14:lon="0" w14:rev="0"/>
              </w14:lightRig>
            </w14:scene3d>
          </w:rPr>
          <w:t>2.3</w:t>
        </w:r>
        <w:r w:rsidR="00723BB2">
          <w:rPr>
            <w:rFonts w:asciiTheme="minorHAnsi" w:eastAsiaTheme="minorEastAsia" w:hAnsiTheme="minorHAnsi"/>
            <w:noProof/>
            <w:sz w:val="22"/>
            <w:lang w:val="en-AU" w:eastAsia="en-AU"/>
          </w:rPr>
          <w:tab/>
        </w:r>
        <w:r w:rsidR="00723BB2" w:rsidRPr="00E31E40">
          <w:rPr>
            <w:rStyle w:val="Hyperlink"/>
            <w:noProof/>
          </w:rPr>
          <w:t>Program logic</w:t>
        </w:r>
        <w:r w:rsidR="00723BB2">
          <w:rPr>
            <w:noProof/>
            <w:webHidden/>
          </w:rPr>
          <w:tab/>
        </w:r>
        <w:r w:rsidR="00723BB2">
          <w:rPr>
            <w:noProof/>
            <w:webHidden/>
          </w:rPr>
          <w:fldChar w:fldCharType="begin"/>
        </w:r>
        <w:r w:rsidR="00723BB2">
          <w:rPr>
            <w:noProof/>
            <w:webHidden/>
          </w:rPr>
          <w:instrText xml:space="preserve"> PAGEREF _Toc530577372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335212F6" w14:textId="345E05BD" w:rsidR="00723BB2" w:rsidRDefault="002970E2">
      <w:pPr>
        <w:pStyle w:val="TOC1"/>
        <w:rPr>
          <w:rFonts w:asciiTheme="minorHAnsi" w:eastAsiaTheme="minorEastAsia" w:hAnsiTheme="minorHAnsi"/>
          <w:sz w:val="22"/>
          <w:lang w:val="en-AU" w:eastAsia="en-AU"/>
        </w:rPr>
      </w:pPr>
      <w:hyperlink w:anchor="_Toc530577373" w:history="1">
        <w:r w:rsidR="00723BB2" w:rsidRPr="00E31E40">
          <w:rPr>
            <w:rStyle w:val="Hyperlink"/>
          </w:rPr>
          <w:t>3</w:t>
        </w:r>
        <w:r w:rsidR="00723BB2">
          <w:rPr>
            <w:rFonts w:asciiTheme="minorHAnsi" w:eastAsiaTheme="minorEastAsia" w:hAnsiTheme="minorHAnsi"/>
            <w:sz w:val="22"/>
            <w:lang w:val="en-AU" w:eastAsia="en-AU"/>
          </w:rPr>
          <w:tab/>
        </w:r>
        <w:r w:rsidR="00723BB2" w:rsidRPr="00E31E40">
          <w:rPr>
            <w:rStyle w:val="Hyperlink"/>
          </w:rPr>
          <w:t>Key lines of enquiry</w:t>
        </w:r>
        <w:r w:rsidR="00723BB2">
          <w:rPr>
            <w:webHidden/>
          </w:rPr>
          <w:tab/>
        </w:r>
        <w:r w:rsidR="00723BB2">
          <w:rPr>
            <w:webHidden/>
          </w:rPr>
          <w:fldChar w:fldCharType="begin"/>
        </w:r>
        <w:r w:rsidR="00723BB2">
          <w:rPr>
            <w:webHidden/>
          </w:rPr>
          <w:instrText xml:space="preserve"> PAGEREF _Toc530577373 \h </w:instrText>
        </w:r>
        <w:r w:rsidR="00723BB2">
          <w:rPr>
            <w:webHidden/>
          </w:rPr>
        </w:r>
        <w:r w:rsidR="00723BB2">
          <w:rPr>
            <w:webHidden/>
          </w:rPr>
          <w:fldChar w:fldCharType="separate"/>
        </w:r>
        <w:r w:rsidR="000C023C">
          <w:rPr>
            <w:webHidden/>
          </w:rPr>
          <w:t>2</w:t>
        </w:r>
        <w:r w:rsidR="00723BB2">
          <w:rPr>
            <w:webHidden/>
          </w:rPr>
          <w:fldChar w:fldCharType="end"/>
        </w:r>
      </w:hyperlink>
    </w:p>
    <w:p w14:paraId="6EAE48D9" w14:textId="56EF36E1" w:rsidR="00723BB2" w:rsidRDefault="002970E2">
      <w:pPr>
        <w:pStyle w:val="TOC1"/>
        <w:rPr>
          <w:rFonts w:asciiTheme="minorHAnsi" w:eastAsiaTheme="minorEastAsia" w:hAnsiTheme="minorHAnsi"/>
          <w:sz w:val="22"/>
          <w:lang w:val="en-AU" w:eastAsia="en-AU"/>
        </w:rPr>
      </w:pPr>
      <w:hyperlink w:anchor="_Toc530577374" w:history="1">
        <w:r w:rsidR="00723BB2" w:rsidRPr="00E31E40">
          <w:rPr>
            <w:rStyle w:val="Hyperlink"/>
          </w:rPr>
          <w:t>4</w:t>
        </w:r>
        <w:r w:rsidR="00723BB2">
          <w:rPr>
            <w:rFonts w:asciiTheme="minorHAnsi" w:eastAsiaTheme="minorEastAsia" w:hAnsiTheme="minorHAnsi"/>
            <w:sz w:val="22"/>
            <w:lang w:val="en-AU" w:eastAsia="en-AU"/>
          </w:rPr>
          <w:tab/>
        </w:r>
        <w:r w:rsidR="00723BB2" w:rsidRPr="00E31E40">
          <w:rPr>
            <w:rStyle w:val="Hyperlink"/>
          </w:rPr>
          <w:t>Evaluation methodology</w:t>
        </w:r>
        <w:r w:rsidR="00723BB2">
          <w:rPr>
            <w:webHidden/>
          </w:rPr>
          <w:tab/>
        </w:r>
        <w:r w:rsidR="00723BB2">
          <w:rPr>
            <w:webHidden/>
          </w:rPr>
          <w:fldChar w:fldCharType="begin"/>
        </w:r>
        <w:r w:rsidR="00723BB2">
          <w:rPr>
            <w:webHidden/>
          </w:rPr>
          <w:instrText xml:space="preserve"> PAGEREF _Toc530577374 \h </w:instrText>
        </w:r>
        <w:r w:rsidR="00723BB2">
          <w:rPr>
            <w:webHidden/>
          </w:rPr>
        </w:r>
        <w:r w:rsidR="00723BB2">
          <w:rPr>
            <w:webHidden/>
          </w:rPr>
          <w:fldChar w:fldCharType="separate"/>
        </w:r>
        <w:r w:rsidR="000C023C">
          <w:rPr>
            <w:webHidden/>
          </w:rPr>
          <w:t>2</w:t>
        </w:r>
        <w:r w:rsidR="00723BB2">
          <w:rPr>
            <w:webHidden/>
          </w:rPr>
          <w:fldChar w:fldCharType="end"/>
        </w:r>
      </w:hyperlink>
    </w:p>
    <w:p w14:paraId="2F2D92BC" w14:textId="0D6AF99C" w:rsidR="00723BB2" w:rsidRDefault="002970E2">
      <w:pPr>
        <w:pStyle w:val="TOC1"/>
        <w:rPr>
          <w:rFonts w:asciiTheme="minorHAnsi" w:eastAsiaTheme="minorEastAsia" w:hAnsiTheme="minorHAnsi"/>
          <w:sz w:val="22"/>
          <w:lang w:val="en-AU" w:eastAsia="en-AU"/>
        </w:rPr>
      </w:pPr>
      <w:hyperlink w:anchor="_Toc530577375" w:history="1">
        <w:r w:rsidR="00723BB2" w:rsidRPr="00E31E40">
          <w:rPr>
            <w:rStyle w:val="Hyperlink"/>
          </w:rPr>
          <w:t>5</w:t>
        </w:r>
        <w:r w:rsidR="00723BB2">
          <w:rPr>
            <w:rFonts w:asciiTheme="minorHAnsi" w:eastAsiaTheme="minorEastAsia" w:hAnsiTheme="minorHAnsi"/>
            <w:sz w:val="22"/>
            <w:lang w:val="en-AU" w:eastAsia="en-AU"/>
          </w:rPr>
          <w:tab/>
        </w:r>
        <w:r w:rsidR="00723BB2" w:rsidRPr="00E31E40">
          <w:rPr>
            <w:rStyle w:val="Hyperlink"/>
          </w:rPr>
          <w:t>Data collection and analysis</w:t>
        </w:r>
        <w:r w:rsidR="00723BB2">
          <w:rPr>
            <w:webHidden/>
          </w:rPr>
          <w:tab/>
        </w:r>
        <w:r w:rsidR="00723BB2">
          <w:rPr>
            <w:webHidden/>
          </w:rPr>
          <w:fldChar w:fldCharType="begin"/>
        </w:r>
        <w:r w:rsidR="00723BB2">
          <w:rPr>
            <w:webHidden/>
          </w:rPr>
          <w:instrText xml:space="preserve"> PAGEREF _Toc530577375 \h </w:instrText>
        </w:r>
        <w:r w:rsidR="00723BB2">
          <w:rPr>
            <w:webHidden/>
          </w:rPr>
        </w:r>
        <w:r w:rsidR="00723BB2">
          <w:rPr>
            <w:webHidden/>
          </w:rPr>
          <w:fldChar w:fldCharType="separate"/>
        </w:r>
        <w:r w:rsidR="000C023C">
          <w:rPr>
            <w:webHidden/>
          </w:rPr>
          <w:t>2</w:t>
        </w:r>
        <w:r w:rsidR="00723BB2">
          <w:rPr>
            <w:webHidden/>
          </w:rPr>
          <w:fldChar w:fldCharType="end"/>
        </w:r>
      </w:hyperlink>
    </w:p>
    <w:p w14:paraId="02631157" w14:textId="1E0EF06D" w:rsidR="00723BB2" w:rsidRDefault="002970E2">
      <w:pPr>
        <w:pStyle w:val="TOC2"/>
        <w:rPr>
          <w:rFonts w:asciiTheme="minorHAnsi" w:eastAsiaTheme="minorEastAsia" w:hAnsiTheme="minorHAnsi"/>
          <w:noProof/>
          <w:sz w:val="22"/>
          <w:lang w:val="en-AU" w:eastAsia="en-AU"/>
        </w:rPr>
      </w:pPr>
      <w:hyperlink w:anchor="_Toc530577376" w:history="1">
        <w:r w:rsidR="00723BB2" w:rsidRPr="00E31E40">
          <w:rPr>
            <w:rStyle w:val="Hyperlink"/>
            <w:noProof/>
            <w14:scene3d>
              <w14:camera w14:prst="orthographicFront"/>
              <w14:lightRig w14:rig="threePt" w14:dir="t">
                <w14:rot w14:lat="0" w14:lon="0" w14:rev="0"/>
              </w14:lightRig>
            </w14:scene3d>
          </w:rPr>
          <w:t>5.1</w:t>
        </w:r>
        <w:r w:rsidR="00723BB2">
          <w:rPr>
            <w:rFonts w:asciiTheme="minorHAnsi" w:eastAsiaTheme="minorEastAsia" w:hAnsiTheme="minorHAnsi"/>
            <w:noProof/>
            <w:sz w:val="22"/>
            <w:lang w:val="en-AU" w:eastAsia="en-AU"/>
          </w:rPr>
          <w:tab/>
        </w:r>
        <w:r w:rsidR="00723BB2" w:rsidRPr="00E31E40">
          <w:rPr>
            <w:rStyle w:val="Hyperlink"/>
            <w:noProof/>
          </w:rPr>
          <w:t>Desktop research</w:t>
        </w:r>
        <w:r w:rsidR="00723BB2">
          <w:rPr>
            <w:noProof/>
            <w:webHidden/>
          </w:rPr>
          <w:tab/>
        </w:r>
        <w:r w:rsidR="00723BB2">
          <w:rPr>
            <w:noProof/>
            <w:webHidden/>
          </w:rPr>
          <w:fldChar w:fldCharType="begin"/>
        </w:r>
        <w:r w:rsidR="00723BB2">
          <w:rPr>
            <w:noProof/>
            <w:webHidden/>
          </w:rPr>
          <w:instrText xml:space="preserve"> PAGEREF _Toc530577376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2D9CDE52" w14:textId="74E7DF0E" w:rsidR="00723BB2" w:rsidRDefault="002970E2">
      <w:pPr>
        <w:pStyle w:val="TOC2"/>
        <w:rPr>
          <w:rFonts w:asciiTheme="minorHAnsi" w:eastAsiaTheme="minorEastAsia" w:hAnsiTheme="minorHAnsi"/>
          <w:noProof/>
          <w:sz w:val="22"/>
          <w:lang w:val="en-AU" w:eastAsia="en-AU"/>
        </w:rPr>
      </w:pPr>
      <w:hyperlink w:anchor="_Toc530577377" w:history="1">
        <w:r w:rsidR="00723BB2" w:rsidRPr="00E31E40">
          <w:rPr>
            <w:rStyle w:val="Hyperlink"/>
            <w:noProof/>
            <w14:scene3d>
              <w14:camera w14:prst="orthographicFront"/>
              <w14:lightRig w14:rig="threePt" w14:dir="t">
                <w14:rot w14:lat="0" w14:lon="0" w14:rev="0"/>
              </w14:lightRig>
            </w14:scene3d>
          </w:rPr>
          <w:t>5.2</w:t>
        </w:r>
        <w:r w:rsidR="00723BB2">
          <w:rPr>
            <w:rFonts w:asciiTheme="minorHAnsi" w:eastAsiaTheme="minorEastAsia" w:hAnsiTheme="minorHAnsi"/>
            <w:noProof/>
            <w:sz w:val="22"/>
            <w:lang w:val="en-AU" w:eastAsia="en-AU"/>
          </w:rPr>
          <w:tab/>
        </w:r>
        <w:r w:rsidR="00723BB2" w:rsidRPr="00E31E40">
          <w:rPr>
            <w:rStyle w:val="Hyperlink"/>
            <w:noProof/>
          </w:rPr>
          <w:t>Stakeholder consultations</w:t>
        </w:r>
        <w:r w:rsidR="00723BB2">
          <w:rPr>
            <w:noProof/>
            <w:webHidden/>
          </w:rPr>
          <w:tab/>
        </w:r>
        <w:r w:rsidR="00723BB2">
          <w:rPr>
            <w:noProof/>
            <w:webHidden/>
          </w:rPr>
          <w:fldChar w:fldCharType="begin"/>
        </w:r>
        <w:r w:rsidR="00723BB2">
          <w:rPr>
            <w:noProof/>
            <w:webHidden/>
          </w:rPr>
          <w:instrText xml:space="preserve"> PAGEREF _Toc530577377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7609AD9B" w14:textId="057171DC" w:rsidR="00723BB2" w:rsidRDefault="002970E2">
      <w:pPr>
        <w:pStyle w:val="TOC2"/>
        <w:rPr>
          <w:rFonts w:asciiTheme="minorHAnsi" w:eastAsiaTheme="minorEastAsia" w:hAnsiTheme="minorHAnsi"/>
          <w:noProof/>
          <w:sz w:val="22"/>
          <w:lang w:val="en-AU" w:eastAsia="en-AU"/>
        </w:rPr>
      </w:pPr>
      <w:hyperlink w:anchor="_Toc530577378" w:history="1">
        <w:r w:rsidR="00723BB2" w:rsidRPr="00E31E40">
          <w:rPr>
            <w:rStyle w:val="Hyperlink"/>
            <w:noProof/>
            <w14:scene3d>
              <w14:camera w14:prst="orthographicFront"/>
              <w14:lightRig w14:rig="threePt" w14:dir="t">
                <w14:rot w14:lat="0" w14:lon="0" w14:rev="0"/>
              </w14:lightRig>
            </w14:scene3d>
          </w:rPr>
          <w:t>5.3</w:t>
        </w:r>
        <w:r w:rsidR="00723BB2">
          <w:rPr>
            <w:rFonts w:asciiTheme="minorHAnsi" w:eastAsiaTheme="minorEastAsia" w:hAnsiTheme="minorHAnsi"/>
            <w:noProof/>
            <w:sz w:val="22"/>
            <w:lang w:val="en-AU" w:eastAsia="en-AU"/>
          </w:rPr>
          <w:tab/>
        </w:r>
        <w:r w:rsidR="00723BB2" w:rsidRPr="00E31E40">
          <w:rPr>
            <w:rStyle w:val="Hyperlink"/>
            <w:noProof/>
          </w:rPr>
          <w:t>Stakeholder surveys</w:t>
        </w:r>
        <w:r w:rsidR="00723BB2">
          <w:rPr>
            <w:noProof/>
            <w:webHidden/>
          </w:rPr>
          <w:tab/>
        </w:r>
        <w:r w:rsidR="00723BB2">
          <w:rPr>
            <w:noProof/>
            <w:webHidden/>
          </w:rPr>
          <w:fldChar w:fldCharType="begin"/>
        </w:r>
        <w:r w:rsidR="00723BB2">
          <w:rPr>
            <w:noProof/>
            <w:webHidden/>
          </w:rPr>
          <w:instrText xml:space="preserve"> PAGEREF _Toc530577378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6C55FE87" w14:textId="1A2914FC" w:rsidR="00723BB2" w:rsidRDefault="002970E2">
      <w:pPr>
        <w:pStyle w:val="TOC2"/>
        <w:rPr>
          <w:rFonts w:asciiTheme="minorHAnsi" w:eastAsiaTheme="minorEastAsia" w:hAnsiTheme="minorHAnsi"/>
          <w:noProof/>
          <w:sz w:val="22"/>
          <w:lang w:val="en-AU" w:eastAsia="en-AU"/>
        </w:rPr>
      </w:pPr>
      <w:hyperlink w:anchor="_Toc530577379" w:history="1">
        <w:r w:rsidR="00723BB2" w:rsidRPr="00E31E40">
          <w:rPr>
            <w:rStyle w:val="Hyperlink"/>
            <w:noProof/>
            <w14:scene3d>
              <w14:camera w14:prst="orthographicFront"/>
              <w14:lightRig w14:rig="threePt" w14:dir="t">
                <w14:rot w14:lat="0" w14:lon="0" w14:rev="0"/>
              </w14:lightRig>
            </w14:scene3d>
          </w:rPr>
          <w:t>5.4</w:t>
        </w:r>
        <w:r w:rsidR="00723BB2">
          <w:rPr>
            <w:rFonts w:asciiTheme="minorHAnsi" w:eastAsiaTheme="minorEastAsia" w:hAnsiTheme="minorHAnsi"/>
            <w:noProof/>
            <w:sz w:val="22"/>
            <w:lang w:val="en-AU" w:eastAsia="en-AU"/>
          </w:rPr>
          <w:tab/>
        </w:r>
        <w:r w:rsidR="00723BB2" w:rsidRPr="00E31E40">
          <w:rPr>
            <w:rStyle w:val="Hyperlink"/>
            <w:noProof/>
          </w:rPr>
          <w:t>Existing population, program and other relevant data</w:t>
        </w:r>
        <w:r w:rsidR="00723BB2">
          <w:rPr>
            <w:noProof/>
            <w:webHidden/>
          </w:rPr>
          <w:tab/>
        </w:r>
        <w:r w:rsidR="00723BB2">
          <w:rPr>
            <w:noProof/>
            <w:webHidden/>
          </w:rPr>
          <w:fldChar w:fldCharType="begin"/>
        </w:r>
        <w:r w:rsidR="00723BB2">
          <w:rPr>
            <w:noProof/>
            <w:webHidden/>
          </w:rPr>
          <w:instrText xml:space="preserve"> PAGEREF _Toc530577379 \h </w:instrText>
        </w:r>
        <w:r w:rsidR="00723BB2">
          <w:rPr>
            <w:noProof/>
            <w:webHidden/>
          </w:rPr>
        </w:r>
        <w:r w:rsidR="00723BB2">
          <w:rPr>
            <w:noProof/>
            <w:webHidden/>
          </w:rPr>
          <w:fldChar w:fldCharType="separate"/>
        </w:r>
        <w:r w:rsidR="000C023C">
          <w:rPr>
            <w:noProof/>
            <w:webHidden/>
          </w:rPr>
          <w:t>2</w:t>
        </w:r>
        <w:r w:rsidR="00723BB2">
          <w:rPr>
            <w:noProof/>
            <w:webHidden/>
          </w:rPr>
          <w:fldChar w:fldCharType="end"/>
        </w:r>
      </w:hyperlink>
    </w:p>
    <w:p w14:paraId="3A127E8C" w14:textId="45AF943B" w:rsidR="00723BB2" w:rsidRDefault="002970E2">
      <w:pPr>
        <w:pStyle w:val="TOC1"/>
        <w:rPr>
          <w:rFonts w:asciiTheme="minorHAnsi" w:eastAsiaTheme="minorEastAsia" w:hAnsiTheme="minorHAnsi"/>
          <w:sz w:val="22"/>
          <w:lang w:val="en-AU" w:eastAsia="en-AU"/>
        </w:rPr>
      </w:pPr>
      <w:hyperlink w:anchor="_Toc530577380" w:history="1">
        <w:r w:rsidR="00723BB2" w:rsidRPr="00E31E40">
          <w:rPr>
            <w:rStyle w:val="Hyperlink"/>
          </w:rPr>
          <w:t>6</w:t>
        </w:r>
        <w:r w:rsidR="00723BB2">
          <w:rPr>
            <w:rFonts w:asciiTheme="minorHAnsi" w:eastAsiaTheme="minorEastAsia" w:hAnsiTheme="minorHAnsi"/>
            <w:sz w:val="22"/>
            <w:lang w:val="en-AU" w:eastAsia="en-AU"/>
          </w:rPr>
          <w:tab/>
        </w:r>
        <w:r w:rsidR="00723BB2" w:rsidRPr="00E31E40">
          <w:rPr>
            <w:rStyle w:val="Hyperlink"/>
          </w:rPr>
          <w:t>Conclusion</w:t>
        </w:r>
        <w:r w:rsidR="00723BB2">
          <w:rPr>
            <w:webHidden/>
          </w:rPr>
          <w:tab/>
        </w:r>
        <w:r w:rsidR="00723BB2">
          <w:rPr>
            <w:webHidden/>
          </w:rPr>
          <w:fldChar w:fldCharType="begin"/>
        </w:r>
        <w:r w:rsidR="00723BB2">
          <w:rPr>
            <w:webHidden/>
          </w:rPr>
          <w:instrText xml:space="preserve"> PAGEREF _Toc530577380 \h </w:instrText>
        </w:r>
        <w:r w:rsidR="00723BB2">
          <w:rPr>
            <w:webHidden/>
          </w:rPr>
        </w:r>
        <w:r w:rsidR="00723BB2">
          <w:rPr>
            <w:webHidden/>
          </w:rPr>
          <w:fldChar w:fldCharType="separate"/>
        </w:r>
        <w:r w:rsidR="000C023C">
          <w:rPr>
            <w:webHidden/>
          </w:rPr>
          <w:t>2</w:t>
        </w:r>
        <w:r w:rsidR="00723BB2">
          <w:rPr>
            <w:webHidden/>
          </w:rPr>
          <w:fldChar w:fldCharType="end"/>
        </w:r>
      </w:hyperlink>
    </w:p>
    <w:p w14:paraId="113F251C" w14:textId="64AC44AA" w:rsidR="000D5CE3" w:rsidRPr="000A0A4F" w:rsidRDefault="00D56820" w:rsidP="000D5CE3">
      <w:pPr>
        <w:rPr>
          <w:lang w:eastAsia="en-AU"/>
        </w:rPr>
      </w:pPr>
      <w:r w:rsidRPr="000A0A4F">
        <w:rPr>
          <w:lang w:eastAsia="en-AU"/>
        </w:rPr>
        <w:fldChar w:fldCharType="end"/>
      </w:r>
    </w:p>
    <w:p w14:paraId="3E7F6748" w14:textId="77777777" w:rsidR="00010FC3" w:rsidRPr="000A0A4F" w:rsidRDefault="00010FC3" w:rsidP="00A52D78">
      <w:pPr>
        <w:pStyle w:val="Bullet"/>
        <w:ind w:left="0" w:firstLine="0"/>
        <w:sectPr w:rsidR="00010FC3" w:rsidRPr="000A0A4F" w:rsidSect="00060A3F">
          <w:headerReference w:type="default" r:id="rId16"/>
          <w:type w:val="continuous"/>
          <w:pgSz w:w="11907" w:h="16839" w:code="9"/>
          <w:pgMar w:top="1440" w:right="1440" w:bottom="1440" w:left="1440" w:header="720" w:footer="720" w:gutter="0"/>
          <w:pgNumType w:fmt="lowerRoman"/>
          <w:cols w:space="720"/>
          <w:titlePg/>
          <w:docGrid w:linePitch="360"/>
        </w:sectPr>
      </w:pPr>
    </w:p>
    <w:p w14:paraId="38AA1344" w14:textId="77777777" w:rsidR="00461BB8" w:rsidRDefault="00461BB8">
      <w:pPr>
        <w:spacing w:after="160"/>
        <w:rPr>
          <w:rFonts w:eastAsia="Times New Roman" w:cs="Times New Roman"/>
          <w:b/>
          <w:color w:val="00264D"/>
          <w:sz w:val="36"/>
          <w:szCs w:val="19"/>
          <w:lang w:eastAsia="en-AU"/>
        </w:rPr>
      </w:pPr>
      <w:bookmarkStart w:id="2" w:name="_Toc508896196"/>
      <w:bookmarkStart w:id="3" w:name="_Toc508898458"/>
      <w:bookmarkStart w:id="4" w:name="_Toc508915712"/>
      <w:bookmarkStart w:id="5" w:name="_Toc508963941"/>
      <w:bookmarkStart w:id="6" w:name="_Toc508966323"/>
      <w:r>
        <w:br w:type="page"/>
      </w:r>
    </w:p>
    <w:p w14:paraId="6FB1F6EF" w14:textId="77777777" w:rsidR="00DC3444" w:rsidRDefault="00756727" w:rsidP="00ED4F8E">
      <w:pPr>
        <w:pStyle w:val="Heading3"/>
        <w:numPr>
          <w:ilvl w:val="0"/>
          <w:numId w:val="0"/>
        </w:numPr>
        <w:ind w:left="720" w:hanging="720"/>
      </w:pPr>
      <w:bookmarkStart w:id="7" w:name="_Toc508975673"/>
      <w:bookmarkStart w:id="8" w:name="_Toc508976596"/>
      <w:bookmarkStart w:id="9" w:name="_Toc511383614"/>
      <w:bookmarkStart w:id="10" w:name="_Toc511383799"/>
      <w:bookmarkStart w:id="11" w:name="_Toc511393456"/>
      <w:bookmarkStart w:id="12" w:name="_Toc511656727"/>
      <w:bookmarkStart w:id="13" w:name="_Toc511656879"/>
      <w:bookmarkStart w:id="14" w:name="_Toc511661668"/>
      <w:bookmarkStart w:id="15" w:name="_Toc511725362"/>
      <w:bookmarkStart w:id="16" w:name="_Toc511728135"/>
      <w:bookmarkStart w:id="17" w:name="_Toc511733317"/>
      <w:bookmarkStart w:id="18" w:name="_Toc511739398"/>
      <w:bookmarkStart w:id="19" w:name="_Toc511743395"/>
      <w:bookmarkStart w:id="20" w:name="_Toc511809595"/>
      <w:bookmarkStart w:id="21" w:name="_Toc511809815"/>
      <w:bookmarkStart w:id="22" w:name="_Toc511896761"/>
      <w:bookmarkStart w:id="23" w:name="_Toc511899597"/>
      <w:bookmarkStart w:id="24" w:name="_Toc511904351"/>
      <w:bookmarkStart w:id="25" w:name="_Toc511908869"/>
      <w:r w:rsidRPr="00DC3444">
        <w:lastRenderedPageBreak/>
        <w:t>Glossary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bl>
      <w:tblPr>
        <w:tblStyle w:val="TableGrid"/>
        <w:tblW w:w="0" w:type="auto"/>
        <w:tblLook w:val="04A0" w:firstRow="1" w:lastRow="0" w:firstColumn="1" w:lastColumn="0" w:noHBand="0" w:noVBand="1"/>
        <w:tblCaption w:val="Glossary"/>
        <w:tblDescription w:val="Aboriginal and Torres Strait Islander: Refers to a person who identifies as an Aboriginal and/or Torres Strait Islander and is accepted as such by the community with which he or she lives.&#10;&#10;Ductal carcinoma in situ (DCIS): Ductal carcinoma in situ is the presence of abnormal cells inside a milk duct in the breast. DCIS is considered the earliest form of breast cancer. DCIS is non-invasive, meaning it hasn't spread out of the milk duct to invade other parts of the breast.&#10;&#10;Higher risk women: A collective term used to refer to women at a higher risk of breast cancer – for example, women with family history, women with a past history of breast cancer or ductal carcinoma in situ or women with symptoms.&#10;&#10;Program manager: Program managers are responsible for management of all Program functions at the jurisdictional level and ensure that service delivery is client-focused, efficient and of the highest standard. The role includes financial performance, statutory compliance of service delivery and management of human resources. &#10;"/>
      </w:tblPr>
      <w:tblGrid>
        <w:gridCol w:w="1766"/>
        <w:gridCol w:w="7261"/>
      </w:tblGrid>
      <w:tr w:rsidR="00DC3444" w14:paraId="1068D9A9" w14:textId="77777777" w:rsidTr="005669B6">
        <w:trPr>
          <w:cnfStyle w:val="100000000000" w:firstRow="1" w:lastRow="0" w:firstColumn="0" w:lastColumn="0" w:oddVBand="0" w:evenVBand="0" w:oddHBand="0" w:evenHBand="0" w:firstRowFirstColumn="0" w:firstRowLastColumn="0" w:lastRowFirstColumn="0" w:lastRowLastColumn="0"/>
          <w:tblHeader/>
        </w:trPr>
        <w:tc>
          <w:tcPr>
            <w:tcW w:w="1766" w:type="dxa"/>
            <w:tcBorders>
              <w:top w:val="single" w:sz="4" w:space="0" w:color="FFFFFF" w:themeColor="background1"/>
              <w:left w:val="single" w:sz="4" w:space="0" w:color="FFFFFF" w:themeColor="background1"/>
              <w:bottom w:val="single" w:sz="8" w:space="0" w:color="EDEDE8" w:themeColor="accent5"/>
            </w:tcBorders>
            <w:shd w:val="clear" w:color="auto" w:fill="00264D" w:themeFill="background2"/>
          </w:tcPr>
          <w:p w14:paraId="195B29DC" w14:textId="77777777" w:rsidR="00DC3444" w:rsidRPr="00FD13FB" w:rsidRDefault="00DC3444" w:rsidP="00DC3444">
            <w:pPr>
              <w:rPr>
                <w:rFonts w:ascii="Segoe UI Semibold" w:hAnsi="Segoe UI Semibold"/>
                <w:color w:val="FFFFFF" w:themeColor="background1"/>
                <w:sz w:val="17"/>
                <w:szCs w:val="17"/>
              </w:rPr>
            </w:pPr>
            <w:r w:rsidRPr="00FD13FB">
              <w:rPr>
                <w:rFonts w:ascii="Segoe UI Semibold" w:hAnsi="Segoe UI Semibold"/>
                <w:color w:val="FFFFFF" w:themeColor="background1"/>
                <w:sz w:val="17"/>
                <w:szCs w:val="17"/>
              </w:rPr>
              <w:t>Item</w:t>
            </w:r>
          </w:p>
        </w:tc>
        <w:tc>
          <w:tcPr>
            <w:tcW w:w="7261" w:type="dxa"/>
            <w:tcBorders>
              <w:top w:val="single" w:sz="4" w:space="0" w:color="FFFFFF" w:themeColor="background1"/>
              <w:bottom w:val="single" w:sz="8" w:space="0" w:color="EDEDE8" w:themeColor="accent5"/>
              <w:right w:val="single" w:sz="4" w:space="0" w:color="FFFFFF" w:themeColor="background1"/>
            </w:tcBorders>
            <w:shd w:val="clear" w:color="auto" w:fill="00264D" w:themeFill="background2"/>
          </w:tcPr>
          <w:p w14:paraId="59619A49" w14:textId="77777777" w:rsidR="00DC3444" w:rsidRPr="00FD13FB" w:rsidRDefault="00DC3444" w:rsidP="00DC3444">
            <w:pPr>
              <w:rPr>
                <w:rFonts w:ascii="Segoe UI Semibold" w:hAnsi="Segoe UI Semibold"/>
                <w:color w:val="FFFFFF" w:themeColor="background1"/>
                <w:sz w:val="17"/>
                <w:szCs w:val="17"/>
              </w:rPr>
            </w:pPr>
            <w:r w:rsidRPr="00FD13FB">
              <w:rPr>
                <w:rFonts w:ascii="Segoe UI Semibold" w:hAnsi="Segoe UI Semibold"/>
                <w:color w:val="FFFFFF" w:themeColor="background1"/>
                <w:sz w:val="17"/>
                <w:szCs w:val="17"/>
              </w:rPr>
              <w:t>Description</w:t>
            </w:r>
          </w:p>
        </w:tc>
      </w:tr>
      <w:tr w:rsidR="00181132" w14:paraId="14C348AF" w14:textId="77777777" w:rsidTr="0090688F">
        <w:tc>
          <w:tcPr>
            <w:tcW w:w="1766" w:type="dxa"/>
            <w:tcBorders>
              <w:top w:val="single" w:sz="8" w:space="0" w:color="EDEDE8" w:themeColor="accent5"/>
              <w:left w:val="single" w:sz="4" w:space="0" w:color="FFFFFF" w:themeColor="background1"/>
            </w:tcBorders>
            <w:vAlign w:val="center"/>
          </w:tcPr>
          <w:p w14:paraId="2172D488" w14:textId="77777777" w:rsidR="00181132" w:rsidRPr="00ED4F8E" w:rsidRDefault="00181132" w:rsidP="00254C74">
            <w:r w:rsidRPr="00ED4F8E">
              <w:t>Aboriginal and Torres Strait Islander</w:t>
            </w:r>
          </w:p>
        </w:tc>
        <w:tc>
          <w:tcPr>
            <w:tcW w:w="7261" w:type="dxa"/>
            <w:tcBorders>
              <w:top w:val="single" w:sz="8" w:space="0" w:color="EDEDE8" w:themeColor="accent5"/>
              <w:right w:val="single" w:sz="4" w:space="0" w:color="FFFFFF" w:themeColor="background1"/>
            </w:tcBorders>
            <w:vAlign w:val="center"/>
          </w:tcPr>
          <w:p w14:paraId="4D50185B" w14:textId="77777777" w:rsidR="00181132" w:rsidRPr="00ED4F8E" w:rsidRDefault="00181132" w:rsidP="00254C74">
            <w:r w:rsidRPr="00ED4F8E">
              <w:t>Refers to a person who identifies as an Aboriginal and/or Torres Strait Islander and is accepted as such by the community with which he or she lives</w:t>
            </w:r>
            <w:r w:rsidR="00153F5B" w:rsidRPr="00ED4F8E">
              <w:t>.</w:t>
            </w:r>
            <w:r w:rsidRPr="00ED4F8E">
              <w:rPr>
                <w:rStyle w:val="FootnoteReference"/>
                <w:rFonts w:cs="Segoe UI"/>
                <w:sz w:val="16"/>
                <w:szCs w:val="16"/>
              </w:rPr>
              <w:footnoteReference w:id="2"/>
            </w:r>
          </w:p>
        </w:tc>
      </w:tr>
      <w:tr w:rsidR="00FF0AD2" w14:paraId="7EC23B7B" w14:textId="77777777" w:rsidTr="0090688F">
        <w:tc>
          <w:tcPr>
            <w:tcW w:w="1766" w:type="dxa"/>
            <w:tcBorders>
              <w:top w:val="single" w:sz="8" w:space="0" w:color="EDEDE8" w:themeColor="accent5"/>
              <w:left w:val="single" w:sz="4" w:space="0" w:color="FFFFFF" w:themeColor="background1"/>
            </w:tcBorders>
            <w:vAlign w:val="center"/>
          </w:tcPr>
          <w:p w14:paraId="139921E4" w14:textId="77777777" w:rsidR="00FF0AD2" w:rsidRPr="00ED4F8E" w:rsidRDefault="00FF0AD2" w:rsidP="00254C74">
            <w:r w:rsidRPr="00ED4F8E">
              <w:t>Ductal carcinoma in situ (DCIS)</w:t>
            </w:r>
          </w:p>
        </w:tc>
        <w:tc>
          <w:tcPr>
            <w:tcW w:w="7261" w:type="dxa"/>
            <w:tcBorders>
              <w:top w:val="single" w:sz="8" w:space="0" w:color="EDEDE8" w:themeColor="accent5"/>
              <w:right w:val="single" w:sz="4" w:space="0" w:color="FFFFFF" w:themeColor="background1"/>
            </w:tcBorders>
            <w:vAlign w:val="center"/>
          </w:tcPr>
          <w:p w14:paraId="74B5D53B" w14:textId="77777777" w:rsidR="00FF0AD2" w:rsidRPr="00ED4F8E" w:rsidRDefault="00FF0AD2" w:rsidP="00254C74">
            <w:r w:rsidRPr="00ED4F8E">
              <w:t xml:space="preserve">Ductal carcinoma in situ is the presence of abnormal cells inside a milk duct in the breast. DCIS is considered the earliest form of breast cancer. DCIS is </w:t>
            </w:r>
            <w:r w:rsidR="00684850" w:rsidRPr="00ED4F8E">
              <w:t>non-invasive</w:t>
            </w:r>
            <w:r w:rsidRPr="00ED4F8E">
              <w:t>, meaning it hasn't spread out of the milk duct to invade other parts of the breast.</w:t>
            </w:r>
          </w:p>
        </w:tc>
      </w:tr>
      <w:tr w:rsidR="00FF3739" w14:paraId="4A2DE053" w14:textId="77777777" w:rsidTr="0090688F">
        <w:tc>
          <w:tcPr>
            <w:tcW w:w="1766" w:type="dxa"/>
            <w:tcBorders>
              <w:top w:val="single" w:sz="8" w:space="0" w:color="EDEDE8" w:themeColor="accent5"/>
              <w:left w:val="single" w:sz="4" w:space="0" w:color="FFFFFF" w:themeColor="background1"/>
            </w:tcBorders>
            <w:vAlign w:val="center"/>
          </w:tcPr>
          <w:p w14:paraId="7C70D20B" w14:textId="77777777" w:rsidR="00FF3739" w:rsidRPr="00ED4F8E" w:rsidRDefault="00FF3739" w:rsidP="00254C74">
            <w:r w:rsidRPr="00ED4F8E">
              <w:t>Higher risk women</w:t>
            </w:r>
          </w:p>
        </w:tc>
        <w:tc>
          <w:tcPr>
            <w:tcW w:w="7261" w:type="dxa"/>
            <w:tcBorders>
              <w:top w:val="single" w:sz="8" w:space="0" w:color="EDEDE8" w:themeColor="accent5"/>
              <w:right w:val="single" w:sz="4" w:space="0" w:color="FFFFFF" w:themeColor="background1"/>
            </w:tcBorders>
            <w:vAlign w:val="center"/>
          </w:tcPr>
          <w:p w14:paraId="0F36F3A6" w14:textId="59B6EADF" w:rsidR="00FF3739" w:rsidRPr="00ED4F8E" w:rsidRDefault="00FF3739" w:rsidP="00254C74">
            <w:r w:rsidRPr="00ED4F8E">
              <w:t xml:space="preserve">A collective term used to refer to women at a higher risk of breast cancer – </w:t>
            </w:r>
            <w:r w:rsidR="00E33039" w:rsidRPr="00ED4F8E">
              <w:t xml:space="preserve">for example, </w:t>
            </w:r>
            <w:r w:rsidRPr="00ED4F8E">
              <w:t xml:space="preserve">women with family history, women with a past history of breast cancer or </w:t>
            </w:r>
            <w:r w:rsidR="00B17EEF">
              <w:t>d</w:t>
            </w:r>
            <w:r w:rsidR="00B17EEF" w:rsidRPr="00B17EEF">
              <w:t xml:space="preserve">uctal carcinoma in situ </w:t>
            </w:r>
            <w:r w:rsidRPr="00ED4F8E">
              <w:t>or women with symptoms.</w:t>
            </w:r>
          </w:p>
        </w:tc>
      </w:tr>
      <w:tr w:rsidR="00FF0AD2" w14:paraId="42E5F083" w14:textId="77777777" w:rsidTr="0090688F">
        <w:tc>
          <w:tcPr>
            <w:tcW w:w="1766" w:type="dxa"/>
            <w:tcBorders>
              <w:top w:val="single" w:sz="8" w:space="0" w:color="EDEDE8" w:themeColor="accent5"/>
              <w:left w:val="single" w:sz="4" w:space="0" w:color="FFFFFF" w:themeColor="background1"/>
              <w:bottom w:val="single" w:sz="4" w:space="0" w:color="FFFFFF" w:themeColor="background1"/>
            </w:tcBorders>
          </w:tcPr>
          <w:p w14:paraId="5D03B2C2" w14:textId="77777777" w:rsidR="00FF0AD2" w:rsidRPr="00ED4F8E" w:rsidRDefault="00FF0AD2" w:rsidP="00254C74">
            <w:r w:rsidRPr="00ED4F8E">
              <w:t>Program manager</w:t>
            </w:r>
          </w:p>
        </w:tc>
        <w:tc>
          <w:tcPr>
            <w:tcW w:w="7261" w:type="dxa"/>
            <w:tcBorders>
              <w:top w:val="single" w:sz="8" w:space="0" w:color="EDEDE8" w:themeColor="accent5"/>
              <w:bottom w:val="single" w:sz="4" w:space="0" w:color="FFFFFF" w:themeColor="background1"/>
              <w:right w:val="single" w:sz="4" w:space="0" w:color="FFFFFF" w:themeColor="background1"/>
            </w:tcBorders>
          </w:tcPr>
          <w:p w14:paraId="71ED97D0" w14:textId="77777777" w:rsidR="00FF0AD2" w:rsidRPr="00ED4F8E" w:rsidRDefault="00FF0AD2" w:rsidP="00254C74">
            <w:r w:rsidRPr="00ED4F8E">
              <w:t>Program managers are responsible for management of all Program functions at the jurisdictional level and ensure that service delivery is client-focused, efficient and of the highest standard. The role includes financial performance, statutory compliance of service delivery and management of human resources.</w:t>
            </w:r>
            <w:r w:rsidR="0072071F" w:rsidRPr="00ED4F8E">
              <w:rPr>
                <w:rStyle w:val="FootnoteReference"/>
                <w:rFonts w:cs="Segoe UI"/>
                <w:sz w:val="16"/>
                <w:szCs w:val="16"/>
              </w:rPr>
              <w:footnoteReference w:id="3"/>
            </w:r>
          </w:p>
        </w:tc>
      </w:tr>
    </w:tbl>
    <w:p w14:paraId="3B577487" w14:textId="77777777" w:rsidR="00461BB8" w:rsidRDefault="00574B07" w:rsidP="00ED4F8E">
      <w:pPr>
        <w:pStyle w:val="Heading3"/>
        <w:numPr>
          <w:ilvl w:val="0"/>
          <w:numId w:val="0"/>
        </w:numPr>
        <w:ind w:left="720" w:hanging="720"/>
      </w:pPr>
      <w:bookmarkStart w:id="26" w:name="_Toc511809596"/>
      <w:bookmarkStart w:id="27" w:name="_Toc511809816"/>
      <w:bookmarkStart w:id="28" w:name="_Toc511896762"/>
      <w:bookmarkStart w:id="29" w:name="_Toc511899598"/>
      <w:bookmarkStart w:id="30" w:name="_Toc511904352"/>
      <w:bookmarkStart w:id="31" w:name="_Toc511908870"/>
      <w:r w:rsidRPr="00A755A3">
        <w:t>Acronyms</w:t>
      </w:r>
      <w:bookmarkEnd w:id="26"/>
      <w:bookmarkEnd w:id="27"/>
      <w:bookmarkEnd w:id="28"/>
      <w:bookmarkEnd w:id="29"/>
      <w:bookmarkEnd w:id="30"/>
      <w:bookmarkEnd w:id="31"/>
      <w:r w:rsidRPr="00A755A3">
        <w:t xml:space="preserve"> </w:t>
      </w:r>
    </w:p>
    <w:tbl>
      <w:tblPr>
        <w:tblStyle w:val="TableGrid"/>
        <w:tblW w:w="0" w:type="auto"/>
        <w:tblLook w:val="04A0" w:firstRow="1" w:lastRow="0" w:firstColumn="1" w:lastColumn="0" w:noHBand="0" w:noVBand="1"/>
        <w:tblCaption w:val="Acronyms"/>
        <w:tblDescription w:val="ABS: Australian Bureau of Statistics&#10;AIHW: Australian Institute of Health and Welfare&#10;AMS: Aboriginal Medical Service&#10;ICR: International comparator review&#10;KLE: Key Lines of Enquiry&#10;PHN: Primary Health Network&#10;RA: Remoteness areas&#10;BSTRG: Department of Health BreastScreen Technical Reference Group&#10;"/>
      </w:tblPr>
      <w:tblGrid>
        <w:gridCol w:w="1760"/>
        <w:gridCol w:w="7267"/>
      </w:tblGrid>
      <w:tr w:rsidR="00964397" w14:paraId="79DF19A1" w14:textId="77777777" w:rsidTr="005669B6">
        <w:trPr>
          <w:cnfStyle w:val="100000000000" w:firstRow="1" w:lastRow="0" w:firstColumn="0" w:lastColumn="0" w:oddVBand="0" w:evenVBand="0" w:oddHBand="0" w:evenHBand="0" w:firstRowFirstColumn="0" w:firstRowLastColumn="0" w:lastRowFirstColumn="0" w:lastRowLastColumn="0"/>
          <w:tblHeader/>
        </w:trPr>
        <w:tc>
          <w:tcPr>
            <w:tcW w:w="1760" w:type="dxa"/>
            <w:tcBorders>
              <w:top w:val="single" w:sz="4" w:space="0" w:color="FFFFFF" w:themeColor="background1"/>
              <w:left w:val="single" w:sz="4" w:space="0" w:color="FFFFFF" w:themeColor="background1"/>
              <w:bottom w:val="single" w:sz="8" w:space="0" w:color="EDEDE8" w:themeColor="accent5"/>
            </w:tcBorders>
            <w:shd w:val="clear" w:color="auto" w:fill="00264D" w:themeFill="background2"/>
          </w:tcPr>
          <w:p w14:paraId="251E37FC" w14:textId="77777777" w:rsidR="00964397" w:rsidRPr="00FD13FB" w:rsidRDefault="00964397" w:rsidP="0021106F">
            <w:pPr>
              <w:rPr>
                <w:rFonts w:ascii="Segoe UI Semibold" w:hAnsi="Segoe UI Semibold"/>
                <w:color w:val="FFFFFF" w:themeColor="background1"/>
                <w:sz w:val="17"/>
                <w:szCs w:val="17"/>
              </w:rPr>
            </w:pPr>
            <w:r w:rsidRPr="00FD13FB">
              <w:rPr>
                <w:rFonts w:ascii="Segoe UI Semibold" w:hAnsi="Segoe UI Semibold"/>
                <w:color w:val="FFFFFF" w:themeColor="background1"/>
                <w:sz w:val="17"/>
                <w:szCs w:val="17"/>
              </w:rPr>
              <w:t>Item</w:t>
            </w:r>
          </w:p>
        </w:tc>
        <w:tc>
          <w:tcPr>
            <w:tcW w:w="7267" w:type="dxa"/>
            <w:tcBorders>
              <w:top w:val="single" w:sz="4" w:space="0" w:color="FFFFFF" w:themeColor="background1"/>
              <w:bottom w:val="single" w:sz="8" w:space="0" w:color="EDEDE8" w:themeColor="accent5"/>
              <w:right w:val="single" w:sz="4" w:space="0" w:color="FFFFFF" w:themeColor="background1"/>
            </w:tcBorders>
            <w:shd w:val="clear" w:color="auto" w:fill="00264D" w:themeFill="background2"/>
          </w:tcPr>
          <w:p w14:paraId="13568954" w14:textId="77777777" w:rsidR="00964397" w:rsidRPr="00FD13FB" w:rsidRDefault="00964397" w:rsidP="0021106F">
            <w:pPr>
              <w:rPr>
                <w:rFonts w:ascii="Segoe UI Semibold" w:hAnsi="Segoe UI Semibold"/>
                <w:color w:val="FFFFFF" w:themeColor="background1"/>
                <w:sz w:val="17"/>
                <w:szCs w:val="17"/>
              </w:rPr>
            </w:pPr>
            <w:r w:rsidRPr="00FD13FB">
              <w:rPr>
                <w:rFonts w:ascii="Segoe UI Semibold" w:hAnsi="Segoe UI Semibold"/>
                <w:color w:val="FFFFFF" w:themeColor="background1"/>
                <w:sz w:val="17"/>
                <w:szCs w:val="17"/>
              </w:rPr>
              <w:t>Description</w:t>
            </w:r>
          </w:p>
        </w:tc>
      </w:tr>
      <w:tr w:rsidR="00964397" w14:paraId="12ED736F" w14:textId="77777777" w:rsidTr="0090688F">
        <w:tc>
          <w:tcPr>
            <w:tcW w:w="1760" w:type="dxa"/>
            <w:tcBorders>
              <w:top w:val="single" w:sz="8" w:space="0" w:color="EDEDE8" w:themeColor="accent5"/>
              <w:left w:val="single" w:sz="4" w:space="0" w:color="FFFFFF" w:themeColor="background1"/>
            </w:tcBorders>
            <w:vAlign w:val="center"/>
          </w:tcPr>
          <w:p w14:paraId="7EE72594" w14:textId="77777777" w:rsidR="00964397" w:rsidRPr="00ED4F8E" w:rsidRDefault="00964397" w:rsidP="00254C74">
            <w:r w:rsidRPr="00ED4F8E">
              <w:t>ABS</w:t>
            </w:r>
          </w:p>
        </w:tc>
        <w:tc>
          <w:tcPr>
            <w:tcW w:w="7267" w:type="dxa"/>
            <w:tcBorders>
              <w:top w:val="single" w:sz="8" w:space="0" w:color="EDEDE8" w:themeColor="accent5"/>
              <w:right w:val="single" w:sz="4" w:space="0" w:color="FFFFFF" w:themeColor="background1"/>
            </w:tcBorders>
            <w:vAlign w:val="center"/>
          </w:tcPr>
          <w:p w14:paraId="049994C8" w14:textId="77777777" w:rsidR="00964397" w:rsidRPr="00ED4F8E" w:rsidRDefault="00964397" w:rsidP="00254C74">
            <w:r w:rsidRPr="00ED4F8E">
              <w:t>Australian Bureau of Statistics</w:t>
            </w:r>
          </w:p>
        </w:tc>
      </w:tr>
      <w:tr w:rsidR="00574B07" w14:paraId="0D5F6A33" w14:textId="77777777" w:rsidTr="0090688F">
        <w:tc>
          <w:tcPr>
            <w:tcW w:w="1760" w:type="dxa"/>
            <w:tcBorders>
              <w:top w:val="single" w:sz="8" w:space="0" w:color="EDEDE8" w:themeColor="accent5"/>
              <w:left w:val="single" w:sz="4" w:space="0" w:color="FFFFFF" w:themeColor="background1"/>
            </w:tcBorders>
            <w:vAlign w:val="center"/>
          </w:tcPr>
          <w:p w14:paraId="16B696D0" w14:textId="77777777" w:rsidR="00574B07" w:rsidRPr="00ED4F8E" w:rsidRDefault="00574B07" w:rsidP="00254C74">
            <w:r w:rsidRPr="00ED4F8E">
              <w:t>AIHW</w:t>
            </w:r>
          </w:p>
        </w:tc>
        <w:tc>
          <w:tcPr>
            <w:tcW w:w="7267" w:type="dxa"/>
            <w:tcBorders>
              <w:top w:val="single" w:sz="8" w:space="0" w:color="EDEDE8" w:themeColor="accent5"/>
              <w:right w:val="single" w:sz="4" w:space="0" w:color="FFFFFF" w:themeColor="background1"/>
            </w:tcBorders>
            <w:vAlign w:val="center"/>
          </w:tcPr>
          <w:p w14:paraId="75C478E9" w14:textId="77777777" w:rsidR="00574B07" w:rsidRPr="00ED4F8E" w:rsidRDefault="00574B07" w:rsidP="00254C74">
            <w:r w:rsidRPr="00ED4F8E">
              <w:t>Australian Institute of Health and Welfare</w:t>
            </w:r>
          </w:p>
        </w:tc>
      </w:tr>
      <w:tr w:rsidR="000024FD" w14:paraId="5B9912E9" w14:textId="77777777" w:rsidTr="0090688F">
        <w:tc>
          <w:tcPr>
            <w:tcW w:w="1760" w:type="dxa"/>
            <w:tcBorders>
              <w:top w:val="single" w:sz="8" w:space="0" w:color="EDEDE8" w:themeColor="accent5"/>
              <w:left w:val="single" w:sz="4" w:space="0" w:color="FFFFFF" w:themeColor="background1"/>
            </w:tcBorders>
            <w:vAlign w:val="center"/>
          </w:tcPr>
          <w:p w14:paraId="2079DB34" w14:textId="77777777" w:rsidR="000024FD" w:rsidRPr="00ED4F8E" w:rsidRDefault="000024FD" w:rsidP="00254C74">
            <w:r w:rsidRPr="00ED4F8E">
              <w:t>AMS</w:t>
            </w:r>
          </w:p>
        </w:tc>
        <w:tc>
          <w:tcPr>
            <w:tcW w:w="7267" w:type="dxa"/>
            <w:tcBorders>
              <w:top w:val="single" w:sz="8" w:space="0" w:color="EDEDE8" w:themeColor="accent5"/>
              <w:right w:val="single" w:sz="4" w:space="0" w:color="FFFFFF" w:themeColor="background1"/>
            </w:tcBorders>
            <w:vAlign w:val="center"/>
          </w:tcPr>
          <w:p w14:paraId="7DDB27F6" w14:textId="77777777" w:rsidR="000024FD" w:rsidRPr="00ED4F8E" w:rsidRDefault="000024FD" w:rsidP="00254C74">
            <w:r w:rsidRPr="00ED4F8E">
              <w:t>Aboriginal Medical Service</w:t>
            </w:r>
          </w:p>
        </w:tc>
      </w:tr>
      <w:tr w:rsidR="0012409D" w14:paraId="3B93C680" w14:textId="77777777" w:rsidTr="0090688F">
        <w:tc>
          <w:tcPr>
            <w:tcW w:w="1760" w:type="dxa"/>
            <w:tcBorders>
              <w:top w:val="single" w:sz="8" w:space="0" w:color="EDEDE8" w:themeColor="accent5"/>
              <w:left w:val="single" w:sz="4" w:space="0" w:color="FFFFFF" w:themeColor="background1"/>
            </w:tcBorders>
            <w:vAlign w:val="center"/>
          </w:tcPr>
          <w:p w14:paraId="6A253C66" w14:textId="77777777" w:rsidR="0012409D" w:rsidRPr="00ED4F8E" w:rsidRDefault="0012409D" w:rsidP="00254C74">
            <w:r w:rsidRPr="00ED4F8E">
              <w:t>ICR</w:t>
            </w:r>
          </w:p>
        </w:tc>
        <w:tc>
          <w:tcPr>
            <w:tcW w:w="7267" w:type="dxa"/>
            <w:tcBorders>
              <w:top w:val="single" w:sz="8" w:space="0" w:color="EDEDE8" w:themeColor="accent5"/>
              <w:right w:val="single" w:sz="4" w:space="0" w:color="FFFFFF" w:themeColor="background1"/>
            </w:tcBorders>
            <w:vAlign w:val="center"/>
          </w:tcPr>
          <w:p w14:paraId="318AF989" w14:textId="77777777" w:rsidR="0012409D" w:rsidRPr="00ED4F8E" w:rsidRDefault="00431064" w:rsidP="00254C74">
            <w:r w:rsidRPr="00ED4F8E">
              <w:t>International comparator review</w:t>
            </w:r>
          </w:p>
        </w:tc>
      </w:tr>
      <w:tr w:rsidR="004776E0" w14:paraId="0C405C5A" w14:textId="77777777" w:rsidTr="0090688F">
        <w:tc>
          <w:tcPr>
            <w:tcW w:w="1760" w:type="dxa"/>
            <w:tcBorders>
              <w:top w:val="single" w:sz="8" w:space="0" w:color="EDEDE8" w:themeColor="accent5"/>
              <w:left w:val="single" w:sz="4" w:space="0" w:color="FFFFFF" w:themeColor="background1"/>
            </w:tcBorders>
            <w:vAlign w:val="center"/>
          </w:tcPr>
          <w:p w14:paraId="6FCA67B8" w14:textId="77777777" w:rsidR="004776E0" w:rsidRPr="00ED4F8E" w:rsidRDefault="004776E0" w:rsidP="00254C74">
            <w:r w:rsidRPr="00ED4F8E">
              <w:t>KLE</w:t>
            </w:r>
          </w:p>
        </w:tc>
        <w:tc>
          <w:tcPr>
            <w:tcW w:w="7267" w:type="dxa"/>
            <w:tcBorders>
              <w:top w:val="single" w:sz="8" w:space="0" w:color="EDEDE8" w:themeColor="accent5"/>
              <w:right w:val="single" w:sz="4" w:space="0" w:color="FFFFFF" w:themeColor="background1"/>
            </w:tcBorders>
            <w:vAlign w:val="center"/>
          </w:tcPr>
          <w:p w14:paraId="42FA028B" w14:textId="77777777" w:rsidR="004776E0" w:rsidRPr="00ED4F8E" w:rsidRDefault="009727DD" w:rsidP="00254C74">
            <w:r w:rsidRPr="00ED4F8E">
              <w:t>Key Line</w:t>
            </w:r>
            <w:r w:rsidR="00684850" w:rsidRPr="00ED4F8E">
              <w:t>s</w:t>
            </w:r>
            <w:r w:rsidRPr="00ED4F8E">
              <w:t xml:space="preserve"> of Enquiry</w:t>
            </w:r>
          </w:p>
        </w:tc>
      </w:tr>
      <w:tr w:rsidR="000024FD" w14:paraId="0298FFEF" w14:textId="77777777" w:rsidTr="0090688F">
        <w:tc>
          <w:tcPr>
            <w:tcW w:w="1760" w:type="dxa"/>
            <w:tcBorders>
              <w:top w:val="single" w:sz="8" w:space="0" w:color="EDEDE8" w:themeColor="accent5"/>
              <w:left w:val="single" w:sz="4" w:space="0" w:color="FFFFFF" w:themeColor="background1"/>
            </w:tcBorders>
            <w:vAlign w:val="center"/>
          </w:tcPr>
          <w:p w14:paraId="2C1D7BDF" w14:textId="77777777" w:rsidR="000024FD" w:rsidRPr="00ED4F8E" w:rsidRDefault="000024FD" w:rsidP="00254C74">
            <w:r w:rsidRPr="00ED4F8E">
              <w:t>PHN</w:t>
            </w:r>
          </w:p>
        </w:tc>
        <w:tc>
          <w:tcPr>
            <w:tcW w:w="7267" w:type="dxa"/>
            <w:tcBorders>
              <w:top w:val="single" w:sz="8" w:space="0" w:color="EDEDE8" w:themeColor="accent5"/>
              <w:right w:val="single" w:sz="4" w:space="0" w:color="FFFFFF" w:themeColor="background1"/>
            </w:tcBorders>
            <w:vAlign w:val="center"/>
          </w:tcPr>
          <w:p w14:paraId="0225E398" w14:textId="77777777" w:rsidR="000024FD" w:rsidRPr="00ED4F8E" w:rsidRDefault="000024FD" w:rsidP="00254C74">
            <w:r w:rsidRPr="00ED4F8E">
              <w:t>Primary Health Network</w:t>
            </w:r>
          </w:p>
        </w:tc>
      </w:tr>
      <w:tr w:rsidR="009C026C" w14:paraId="63C8D4E4" w14:textId="77777777" w:rsidTr="0090688F">
        <w:tc>
          <w:tcPr>
            <w:tcW w:w="1760" w:type="dxa"/>
            <w:tcBorders>
              <w:top w:val="single" w:sz="8" w:space="0" w:color="EDEDE8" w:themeColor="accent5"/>
              <w:left w:val="single" w:sz="4" w:space="0" w:color="FFFFFF" w:themeColor="background1"/>
            </w:tcBorders>
            <w:vAlign w:val="center"/>
          </w:tcPr>
          <w:p w14:paraId="429F32C4" w14:textId="77777777" w:rsidR="009C026C" w:rsidRPr="00ED4F8E" w:rsidRDefault="009C026C" w:rsidP="00254C74">
            <w:r w:rsidRPr="00ED4F8E">
              <w:t>RA</w:t>
            </w:r>
          </w:p>
        </w:tc>
        <w:tc>
          <w:tcPr>
            <w:tcW w:w="7267" w:type="dxa"/>
            <w:tcBorders>
              <w:top w:val="single" w:sz="8" w:space="0" w:color="EDEDE8" w:themeColor="accent5"/>
              <w:right w:val="single" w:sz="4" w:space="0" w:color="FFFFFF" w:themeColor="background1"/>
            </w:tcBorders>
            <w:vAlign w:val="center"/>
          </w:tcPr>
          <w:p w14:paraId="706B69DA" w14:textId="77777777" w:rsidR="009C026C" w:rsidRPr="00ED4F8E" w:rsidRDefault="009C026C" w:rsidP="00254C74">
            <w:r w:rsidRPr="00ED4F8E">
              <w:t>Remoteness areas</w:t>
            </w:r>
          </w:p>
        </w:tc>
      </w:tr>
      <w:tr w:rsidR="008A6718" w14:paraId="42038E61" w14:textId="77777777" w:rsidTr="0090688F">
        <w:tc>
          <w:tcPr>
            <w:tcW w:w="1760" w:type="dxa"/>
            <w:tcBorders>
              <w:top w:val="single" w:sz="8" w:space="0" w:color="EDEDE8" w:themeColor="accent5"/>
              <w:left w:val="single" w:sz="4" w:space="0" w:color="FFFFFF" w:themeColor="background1"/>
              <w:bottom w:val="single" w:sz="4" w:space="0" w:color="FFFFFF" w:themeColor="background1"/>
            </w:tcBorders>
            <w:vAlign w:val="center"/>
          </w:tcPr>
          <w:p w14:paraId="43DE4650" w14:textId="77777777" w:rsidR="008A6718" w:rsidRPr="00ED4F8E" w:rsidRDefault="00717095" w:rsidP="00254C74">
            <w:r w:rsidRPr="00ED4F8E">
              <w:t>BS</w:t>
            </w:r>
            <w:r w:rsidR="008A6718" w:rsidRPr="00ED4F8E">
              <w:t>TRG</w:t>
            </w:r>
          </w:p>
        </w:tc>
        <w:tc>
          <w:tcPr>
            <w:tcW w:w="7267" w:type="dxa"/>
            <w:tcBorders>
              <w:top w:val="single" w:sz="8" w:space="0" w:color="EDEDE8" w:themeColor="accent5"/>
              <w:bottom w:val="single" w:sz="4" w:space="0" w:color="FFFFFF" w:themeColor="background1"/>
              <w:right w:val="single" w:sz="4" w:space="0" w:color="FFFFFF" w:themeColor="background1"/>
            </w:tcBorders>
            <w:vAlign w:val="center"/>
          </w:tcPr>
          <w:p w14:paraId="413C5131" w14:textId="77777777" w:rsidR="008A6718" w:rsidRPr="00ED4F8E" w:rsidRDefault="008A6718" w:rsidP="00254C74">
            <w:r w:rsidRPr="00ED4F8E">
              <w:t xml:space="preserve">Department of Health </w:t>
            </w:r>
            <w:r w:rsidR="00717095" w:rsidRPr="00ED4F8E">
              <w:t xml:space="preserve">BreastScreen </w:t>
            </w:r>
            <w:r w:rsidRPr="00ED4F8E">
              <w:t>Technical Reference Group</w:t>
            </w:r>
          </w:p>
        </w:tc>
      </w:tr>
    </w:tbl>
    <w:p w14:paraId="62463F97" w14:textId="77777777" w:rsidR="00964397" w:rsidRDefault="00964397" w:rsidP="00DC3444">
      <w:pPr>
        <w:sectPr w:rsidR="00964397" w:rsidSect="00461BB8">
          <w:type w:val="continuous"/>
          <w:pgSz w:w="11907" w:h="16839" w:code="9"/>
          <w:pgMar w:top="1440" w:right="1440" w:bottom="1440" w:left="1440" w:header="720" w:footer="645" w:gutter="0"/>
          <w:pgNumType w:fmt="lowerRoman"/>
          <w:cols w:space="720"/>
          <w:docGrid w:linePitch="360"/>
        </w:sectPr>
      </w:pPr>
    </w:p>
    <w:p w14:paraId="43F64EA2" w14:textId="4C584653" w:rsidR="00756727" w:rsidRPr="0090501A" w:rsidRDefault="00345A68" w:rsidP="0090501A">
      <w:pPr>
        <w:pStyle w:val="Heading1"/>
      </w:pPr>
      <w:bookmarkStart w:id="32" w:name="_Toc530577368"/>
      <w:r>
        <w:lastRenderedPageBreak/>
        <w:t>Introduction</w:t>
      </w:r>
      <w:bookmarkEnd w:id="32"/>
    </w:p>
    <w:p w14:paraId="15099618" w14:textId="472E15ED" w:rsidR="000F64A9" w:rsidRDefault="000F64A9" w:rsidP="009F4642">
      <w:pPr>
        <w:spacing w:line="360" w:lineRule="auto"/>
        <w:rPr>
          <w:lang w:eastAsia="en-AU"/>
        </w:rPr>
      </w:pPr>
      <w:bookmarkStart w:id="33" w:name="_Toc508896198"/>
      <w:bookmarkStart w:id="34" w:name="_Toc508898460"/>
      <w:bookmarkStart w:id="35" w:name="_Toc508915714"/>
      <w:bookmarkStart w:id="36" w:name="_Toc508963943"/>
      <w:bookmarkStart w:id="37" w:name="_Toc508966325"/>
      <w:bookmarkStart w:id="38" w:name="_Toc508975675"/>
      <w:bookmarkStart w:id="39" w:name="_Toc508976598"/>
      <w:bookmarkStart w:id="40" w:name="_Toc511383616"/>
      <w:bookmarkStart w:id="41" w:name="_Toc511383801"/>
      <w:bookmarkStart w:id="42" w:name="_Toc511393458"/>
      <w:bookmarkStart w:id="43" w:name="_Toc511656729"/>
      <w:bookmarkStart w:id="44" w:name="_Toc511656881"/>
      <w:bookmarkStart w:id="45" w:name="_Toc511661670"/>
      <w:bookmarkStart w:id="46" w:name="_Toc511725364"/>
      <w:bookmarkStart w:id="47" w:name="_Toc511728137"/>
      <w:bookmarkStart w:id="48" w:name="_Toc511733319"/>
      <w:bookmarkStart w:id="49" w:name="_Toc511739400"/>
      <w:bookmarkStart w:id="50" w:name="_Toc511743397"/>
      <w:bookmarkStart w:id="51" w:name="_Toc511809598"/>
      <w:bookmarkStart w:id="52" w:name="_Toc511809818"/>
      <w:r w:rsidRPr="000F64A9">
        <w:t>This</w:t>
      </w:r>
      <w:r>
        <w:t xml:space="preserve"> </w:t>
      </w:r>
      <w:r>
        <w:rPr>
          <w:lang w:eastAsia="en-AU"/>
        </w:rPr>
        <w:t>document</w:t>
      </w:r>
      <w:r>
        <w:t xml:space="preserve"> summarises the plan for the </w:t>
      </w:r>
      <w:r w:rsidRPr="000F64A9">
        <w:rPr>
          <w:i/>
        </w:rPr>
        <w:t>Evaluation of the BreastScreen Australia program’s expansion of the target age for active recruitment to include women aged 70 – 74 years</w:t>
      </w:r>
      <w:r>
        <w:t xml:space="preserve">. </w:t>
      </w:r>
      <w:r w:rsidRPr="005B649C">
        <w:rPr>
          <w:lang w:eastAsia="en-AU"/>
        </w:rPr>
        <w:t xml:space="preserve">This Evaluation Plan </w:t>
      </w:r>
      <w:r>
        <w:rPr>
          <w:lang w:eastAsia="en-AU"/>
        </w:rPr>
        <w:t xml:space="preserve">Summary </w:t>
      </w:r>
      <w:r w:rsidRPr="005B649C">
        <w:rPr>
          <w:lang w:eastAsia="en-AU"/>
        </w:rPr>
        <w:t xml:space="preserve">outlines </w:t>
      </w:r>
      <w:r>
        <w:rPr>
          <w:lang w:eastAsia="en-AU"/>
        </w:rPr>
        <w:t>the conceptual framework for the evaluation, key lines of enquiry and evaluation questions that will guide the evaluation process from 2018 - 2021.</w:t>
      </w:r>
    </w:p>
    <w:p w14:paraId="55A2A153" w14:textId="5C1E5232" w:rsidR="006A00BF" w:rsidRPr="000F737F" w:rsidRDefault="006A00BF"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Background and context</w:t>
      </w:r>
    </w:p>
    <w:p w14:paraId="30DA35D2" w14:textId="7CDD6CC4" w:rsidR="006A00BF" w:rsidRDefault="004936D7" w:rsidP="009F4642">
      <w:pPr>
        <w:spacing w:after="160" w:line="360" w:lineRule="auto"/>
        <w:rPr>
          <w:lang w:eastAsia="en-AU"/>
        </w:rPr>
      </w:pPr>
      <w:r>
        <w:rPr>
          <w:lang w:eastAsia="en-AU"/>
        </w:rPr>
        <w:t>The BreastScreen Australia Program has played a pivotal role in reducing breast cancer mortality and morbidity for Australian women through population-based screening</w:t>
      </w:r>
      <w:r w:rsidR="009435EC">
        <w:rPr>
          <w:lang w:eastAsia="en-AU"/>
        </w:rPr>
        <w:t>, detection and early diagnosis.</w:t>
      </w:r>
      <w:r>
        <w:rPr>
          <w:lang w:eastAsia="en-AU"/>
        </w:rPr>
        <w:t xml:space="preserve"> </w:t>
      </w:r>
      <w:r w:rsidR="006A00BF">
        <w:t>Globally, early detection to improve breast cancer outcomes and survival remains the cornerstone of breast cancer control. Organised national screening programs for breast cancer are active in several countries including</w:t>
      </w:r>
      <w:r w:rsidR="006A00BF" w:rsidRPr="00E16AAD">
        <w:t xml:space="preserve"> </w:t>
      </w:r>
      <w:r w:rsidR="006A00BF">
        <w:t xml:space="preserve">Canada, Denmark, England, France, Ireland, Japan, Republic of Korea, New Zealand, Sweden, and The Netherlands. </w:t>
      </w:r>
    </w:p>
    <w:p w14:paraId="5B3388BF" w14:textId="2DA6B4BA" w:rsidR="004936D7" w:rsidRDefault="004936D7" w:rsidP="009F4642">
      <w:pPr>
        <w:spacing w:line="360" w:lineRule="auto"/>
        <w:rPr>
          <w:lang w:eastAsia="en-AU"/>
        </w:rPr>
      </w:pPr>
      <w:r>
        <w:rPr>
          <w:lang w:eastAsia="en-AU"/>
        </w:rPr>
        <w:t xml:space="preserve">From 2013-14, the target age range for screening </w:t>
      </w:r>
      <w:r w:rsidR="006A00BF">
        <w:rPr>
          <w:lang w:eastAsia="en-AU"/>
        </w:rPr>
        <w:t xml:space="preserve">in Australia </w:t>
      </w:r>
      <w:r>
        <w:rPr>
          <w:lang w:eastAsia="en-AU"/>
        </w:rPr>
        <w:t>was expanded to include women aged 70-74 years</w:t>
      </w:r>
      <w:r w:rsidR="00503767">
        <w:rPr>
          <w:lang w:eastAsia="en-AU"/>
        </w:rPr>
        <w:t xml:space="preserve"> (</w:t>
      </w:r>
      <w:r w:rsidR="00503767">
        <w:t>aligned with the 2009 BreastScreen Australia Evaluation</w:t>
      </w:r>
      <w:r w:rsidR="00503767">
        <w:rPr>
          <w:rStyle w:val="FootnoteReference"/>
        </w:rPr>
        <w:footnoteReference w:id="4"/>
      </w:r>
      <w:r w:rsidR="00503767">
        <w:t xml:space="preserve"> recommendations)</w:t>
      </w:r>
      <w:r>
        <w:rPr>
          <w:lang w:eastAsia="en-AU"/>
        </w:rPr>
        <w:t xml:space="preserve">. Program expansion was supported by initial Commonwealth funding of $55.7 </w:t>
      </w:r>
      <w:r w:rsidRPr="005B649C">
        <w:rPr>
          <w:lang w:eastAsia="en-AU"/>
        </w:rPr>
        <w:t>million over four years</w:t>
      </w:r>
      <w:r>
        <w:rPr>
          <w:lang w:eastAsia="en-AU"/>
        </w:rPr>
        <w:t xml:space="preserve">, from 2013-17. A recent further commitment of $64.3 million will continue funding </w:t>
      </w:r>
      <w:r w:rsidR="006A00BF">
        <w:rPr>
          <w:lang w:eastAsia="en-AU"/>
        </w:rPr>
        <w:t>program expansion to June 2021.</w:t>
      </w:r>
    </w:p>
    <w:p w14:paraId="44276243" w14:textId="77777777" w:rsidR="000F64A9" w:rsidRPr="005B649C" w:rsidRDefault="000F64A9" w:rsidP="009F4642">
      <w:pPr>
        <w:spacing w:line="360" w:lineRule="auto"/>
        <w:rPr>
          <w:lang w:eastAsia="en-AU"/>
        </w:rPr>
      </w:pPr>
      <w:r>
        <w:rPr>
          <w:lang w:eastAsia="en-AU"/>
        </w:rPr>
        <w:t>As part of the further funding commitment, t</w:t>
      </w:r>
      <w:r w:rsidRPr="005B649C">
        <w:rPr>
          <w:lang w:eastAsia="en-AU"/>
        </w:rPr>
        <w:t>he Department has engaged Nous Group (Nous) to evaluate the implementation and early impact of the</w:t>
      </w:r>
      <w:r w:rsidRPr="00B36335">
        <w:rPr>
          <w:lang w:eastAsia="en-AU"/>
        </w:rPr>
        <w:t xml:space="preserve"> </w:t>
      </w:r>
      <w:r>
        <w:rPr>
          <w:lang w:eastAsia="en-AU"/>
        </w:rPr>
        <w:t>BreastScreen Australia’s program</w:t>
      </w:r>
      <w:r w:rsidRPr="005B649C">
        <w:rPr>
          <w:lang w:eastAsia="en-AU"/>
        </w:rPr>
        <w:t xml:space="preserve"> </w:t>
      </w:r>
      <w:r>
        <w:rPr>
          <w:lang w:eastAsia="en-AU"/>
        </w:rPr>
        <w:t>expansion</w:t>
      </w:r>
      <w:r w:rsidRPr="00BB07C8">
        <w:t xml:space="preserve"> </w:t>
      </w:r>
      <w:r w:rsidRPr="00BB07C8">
        <w:rPr>
          <w:lang w:eastAsia="en-AU"/>
        </w:rPr>
        <w:t>of the target age for active recruitment to include women aged 70 – 74 years</w:t>
      </w:r>
      <w:r>
        <w:rPr>
          <w:lang w:eastAsia="en-AU"/>
        </w:rPr>
        <w:t xml:space="preserve">. The evaluation will focus on </w:t>
      </w:r>
      <w:r w:rsidRPr="005B649C">
        <w:rPr>
          <w:lang w:eastAsia="en-AU"/>
        </w:rPr>
        <w:t>screening participation rates</w:t>
      </w:r>
      <w:r>
        <w:rPr>
          <w:lang w:eastAsia="en-AU"/>
        </w:rPr>
        <w:t>, and clients’ and stakeholders’ experiences</w:t>
      </w:r>
      <w:r w:rsidRPr="005B649C">
        <w:rPr>
          <w:lang w:eastAsia="en-AU"/>
        </w:rPr>
        <w:t xml:space="preserve">.  The evaluation findings will provide important evidence to guide improvements to future program delivery planning and funding </w:t>
      </w:r>
      <w:r>
        <w:rPr>
          <w:lang w:eastAsia="en-AU"/>
        </w:rPr>
        <w:t>beyond the current program funding commitment.</w:t>
      </w:r>
    </w:p>
    <w:p w14:paraId="6F701B3C" w14:textId="4DCF98B9" w:rsidR="006A00BF" w:rsidRDefault="006A00BF" w:rsidP="009F4642">
      <w:pPr>
        <w:spacing w:line="360" w:lineRule="auto"/>
      </w:pPr>
      <w:r>
        <w:t>Implementation data to date indicates overall participation rates in the BreastScreen Australia program have increased in aged 70-74 years across Australia. However, participation in breast screening is influenced by income, education level, age, health, access to health and screening services, age, residential geography, cultural background, knowledge and/or worry about breast cancer and screening.</w:t>
      </w:r>
      <w:r>
        <w:rPr>
          <w:rStyle w:val="FootnoteReference"/>
          <w:lang w:eastAsia="en-AU"/>
        </w:rPr>
        <w:footnoteReference w:id="5"/>
      </w:r>
      <w:r>
        <w:t xml:space="preserve"> In Australia, barriers to participation are enhanced for particular sub-groups, including women from non-English speaking </w:t>
      </w:r>
      <w:r>
        <w:lastRenderedPageBreak/>
        <w:t>backgrounds (especially those who have newly arrived to Australia), Indigenous women, women living in remote areas (particularly in the Northern Territory), and women with disabilities.</w:t>
      </w:r>
      <w:r>
        <w:rPr>
          <w:rStyle w:val="FootnoteReference"/>
        </w:rPr>
        <w:footnoteReference w:id="6"/>
      </w:r>
    </w:p>
    <w:p w14:paraId="29B43C52" w14:textId="5C6C1D5D" w:rsidR="00447309" w:rsidRDefault="00C67124" w:rsidP="009F4642">
      <w:pPr>
        <w:spacing w:line="360" w:lineRule="auto"/>
      </w:pPr>
      <w:r>
        <w:t>In addition to this evaluation, t</w:t>
      </w:r>
      <w:r w:rsidR="00447309">
        <w:t xml:space="preserve">here </w:t>
      </w:r>
      <w:r w:rsidR="000F64A9">
        <w:rPr>
          <w:lang w:eastAsia="en-AU"/>
        </w:rPr>
        <w:t>t</w:t>
      </w:r>
      <w:r w:rsidR="000F64A9" w:rsidRPr="005B649C">
        <w:rPr>
          <w:lang w:eastAsia="en-AU"/>
        </w:rPr>
        <w:t>he Department of Health (the Department</w:t>
      </w:r>
      <w:r w:rsidR="000F64A9">
        <w:t xml:space="preserve">) has </w:t>
      </w:r>
      <w:r w:rsidR="00447309">
        <w:t xml:space="preserve">initiated projects and evaluations </w:t>
      </w:r>
      <w:r w:rsidR="000F64A9">
        <w:t>(</w:t>
      </w:r>
      <w:r w:rsidR="00447309">
        <w:t>underway or in train</w:t>
      </w:r>
      <w:r w:rsidR="000F64A9">
        <w:t>)</w:t>
      </w:r>
      <w:r w:rsidR="00447309">
        <w:t xml:space="preserve"> for the BreastScreen Australia program including: </w:t>
      </w:r>
    </w:p>
    <w:p w14:paraId="027AD508" w14:textId="2EE11A6D" w:rsidR="00447309" w:rsidRDefault="00447309" w:rsidP="009F4642">
      <w:pPr>
        <w:pStyle w:val="Bullet"/>
        <w:spacing w:line="360" w:lineRule="auto"/>
      </w:pPr>
      <w:r>
        <w:t>an evaluation of the national accreditation system by the University of South Australia</w:t>
      </w:r>
    </w:p>
    <w:p w14:paraId="3D4B5312" w14:textId="77777777" w:rsidR="00447309" w:rsidRDefault="00447309" w:rsidP="009F4642">
      <w:pPr>
        <w:pStyle w:val="Bullet"/>
        <w:spacing w:line="360" w:lineRule="auto"/>
      </w:pPr>
      <w:r>
        <w:t>a project to review and manage screening in women aged 75 and over</w:t>
      </w:r>
    </w:p>
    <w:p w14:paraId="0DBEB81B" w14:textId="77777777" w:rsidR="00447309" w:rsidRDefault="00447309" w:rsidP="009F4642">
      <w:pPr>
        <w:pStyle w:val="Bullet"/>
        <w:spacing w:line="360" w:lineRule="auto"/>
      </w:pPr>
      <w:r>
        <w:t>a project to review annual screening</w:t>
      </w:r>
    </w:p>
    <w:p w14:paraId="6808FFA6" w14:textId="7B523A9C" w:rsidR="00447309" w:rsidRDefault="00447309" w:rsidP="009F4642">
      <w:pPr>
        <w:pStyle w:val="Bullet"/>
        <w:spacing w:line="360" w:lineRule="auto"/>
      </w:pPr>
      <w:r>
        <w:t>development of technical standards for tomo synthesis in BreastScreen Australia.</w:t>
      </w:r>
    </w:p>
    <w:p w14:paraId="527138A8" w14:textId="79325095" w:rsidR="000F64A9" w:rsidRPr="000F737F" w:rsidRDefault="000F64A9"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Evaluation approach</w:t>
      </w:r>
      <w:r w:rsidR="00000AE3" w:rsidRPr="000F737F">
        <w:rPr>
          <w:rFonts w:ascii="Segoe UI" w:hAnsi="Segoe UI" w:cs="Segoe UI"/>
          <w:b/>
          <w:i/>
          <w:sz w:val="19"/>
        </w:rPr>
        <w:t xml:space="preserve"> and considerations</w:t>
      </w:r>
    </w:p>
    <w:p w14:paraId="0DA355ED" w14:textId="77777777" w:rsidR="004936D7" w:rsidRDefault="004936D7" w:rsidP="009F4642">
      <w:pPr>
        <w:spacing w:line="360" w:lineRule="auto"/>
        <w:rPr>
          <w:lang w:eastAsia="en-AU"/>
        </w:rPr>
      </w:pPr>
      <w:r>
        <w:rPr>
          <w:lang w:eastAsia="en-AU"/>
        </w:rPr>
        <w:t xml:space="preserve">Program expansion is now well advanced in each jurisdiction, with completion of the first phase of implementation achieved in 2016-17. Nous’ evaluation will equally consider the implementation progress and lessons learnt </w:t>
      </w:r>
      <w:r w:rsidR="009435EC">
        <w:rPr>
          <w:lang w:eastAsia="en-AU"/>
        </w:rPr>
        <w:t xml:space="preserve">in </w:t>
      </w:r>
      <w:r>
        <w:rPr>
          <w:lang w:eastAsia="en-AU"/>
        </w:rPr>
        <w:t>phase one, alongside the tracking of future progress</w:t>
      </w:r>
      <w:r w:rsidR="001375A9">
        <w:rPr>
          <w:lang w:eastAsia="en-AU"/>
        </w:rPr>
        <w:t xml:space="preserve"> from 2018-19</w:t>
      </w:r>
      <w:r>
        <w:rPr>
          <w:lang w:eastAsia="en-AU"/>
        </w:rPr>
        <w:t xml:space="preserve"> to 2021.</w:t>
      </w:r>
    </w:p>
    <w:p w14:paraId="4E242C21" w14:textId="324E4A2F" w:rsidR="004936D7" w:rsidRDefault="004936D7" w:rsidP="009F4642">
      <w:pPr>
        <w:spacing w:line="360" w:lineRule="auto"/>
        <w:rPr>
          <w:lang w:eastAsia="en-AU"/>
        </w:rPr>
      </w:pPr>
      <w:r>
        <w:rPr>
          <w:lang w:eastAsia="en-AU"/>
        </w:rPr>
        <w:t xml:space="preserve">A key challenge, and opportunity, for the evaluation relates to the diversity of operating models and contextual factors across jurisdictions. Implementation of program expansion has been shaped by differing local needs and priorities in each State and Territory. While program diversity creates analytical complexity, it also offers great potential to </w:t>
      </w:r>
      <w:r w:rsidR="00000AE3">
        <w:rPr>
          <w:lang w:eastAsia="en-AU"/>
        </w:rPr>
        <w:t>compare</w:t>
      </w:r>
      <w:r>
        <w:rPr>
          <w:lang w:eastAsia="en-AU"/>
        </w:rPr>
        <w:t xml:space="preserve"> differing approaches to the shared issues associated with implementation. For example, there is potential to explore different approaches to raising awareness and understanding in culturally and linguistically </w:t>
      </w:r>
      <w:r w:rsidR="007A4FC9">
        <w:rPr>
          <w:lang w:eastAsia="en-AU"/>
        </w:rPr>
        <w:t xml:space="preserve">diverse (CALD) </w:t>
      </w:r>
      <w:r w:rsidR="000D63FE">
        <w:rPr>
          <w:lang w:eastAsia="en-AU"/>
        </w:rPr>
        <w:t>women or</w:t>
      </w:r>
      <w:r>
        <w:rPr>
          <w:lang w:eastAsia="en-AU"/>
        </w:rPr>
        <w:t xml:space="preserve"> addressing access issues in geographically challenging locations. Equally, there is potential draw on the international evidence from population-based screening programs to compare the design and implementation of program expansion in the Australian context.</w:t>
      </w:r>
    </w:p>
    <w:p w14:paraId="5CBDCF52" w14:textId="77777777" w:rsidR="004936D7" w:rsidRDefault="004936D7" w:rsidP="009F4642">
      <w:pPr>
        <w:spacing w:line="360" w:lineRule="auto"/>
        <w:rPr>
          <w:lang w:eastAsia="en-AU"/>
        </w:rPr>
      </w:pPr>
      <w:r>
        <w:rPr>
          <w:lang w:eastAsia="en-AU"/>
        </w:rPr>
        <w:t>Nous’ e</w:t>
      </w:r>
      <w:r w:rsidRPr="005B649C">
        <w:rPr>
          <w:lang w:eastAsia="en-AU"/>
        </w:rPr>
        <w:t>valuation approach will test the theory of chang</w:t>
      </w:r>
      <w:r>
        <w:rPr>
          <w:lang w:eastAsia="en-AU"/>
        </w:rPr>
        <w:t xml:space="preserve">e that an investment in targeted awareness-raising and increased screening </w:t>
      </w:r>
      <w:r w:rsidR="001375A9">
        <w:rPr>
          <w:lang w:eastAsia="en-AU"/>
        </w:rPr>
        <w:t>eligibility</w:t>
      </w:r>
      <w:r>
        <w:rPr>
          <w:lang w:eastAsia="en-AU"/>
        </w:rPr>
        <w:t xml:space="preserve"> will increase participation rates and cancer detection in women aged </w:t>
      </w:r>
      <w:r w:rsidR="000D63FE">
        <w:rPr>
          <w:lang w:eastAsia="en-AU"/>
        </w:rPr>
        <w:br/>
      </w:r>
      <w:r>
        <w:rPr>
          <w:lang w:eastAsia="en-AU"/>
        </w:rPr>
        <w:t>70-74 years. D</w:t>
      </w:r>
      <w:r w:rsidRPr="005B649C">
        <w:rPr>
          <w:lang w:eastAsia="en-AU"/>
        </w:rPr>
        <w:t>rawing on a program l</w:t>
      </w:r>
      <w:r>
        <w:rPr>
          <w:lang w:eastAsia="en-AU"/>
        </w:rPr>
        <w:t>ogic model, the evaluation will explore both formative (implementation) and summative (impact) aspects of the program expansion. Evaluation questions are organised under three key lines of enquiry</w:t>
      </w:r>
      <w:r w:rsidR="007A4FC9">
        <w:rPr>
          <w:lang w:eastAsia="en-AU"/>
        </w:rPr>
        <w:t xml:space="preserve"> (KLE)</w:t>
      </w:r>
      <w:r>
        <w:rPr>
          <w:lang w:eastAsia="en-AU"/>
        </w:rPr>
        <w:t>:</w:t>
      </w:r>
    </w:p>
    <w:p w14:paraId="78C754C0" w14:textId="77777777" w:rsidR="004936D7" w:rsidRDefault="004936D7" w:rsidP="009F4642">
      <w:pPr>
        <w:pStyle w:val="ListParagraph"/>
        <w:numPr>
          <w:ilvl w:val="0"/>
          <w:numId w:val="17"/>
        </w:numPr>
        <w:spacing w:line="360" w:lineRule="auto"/>
        <w:rPr>
          <w:lang w:eastAsia="en-AU"/>
        </w:rPr>
      </w:pPr>
      <w:r>
        <w:rPr>
          <w:lang w:eastAsia="en-AU"/>
        </w:rPr>
        <w:t>How effective were the implementation processes and activities?</w:t>
      </w:r>
    </w:p>
    <w:p w14:paraId="120B5365" w14:textId="77777777" w:rsidR="004936D7" w:rsidRDefault="004936D7" w:rsidP="009F4642">
      <w:pPr>
        <w:pStyle w:val="ListParagraph"/>
        <w:numPr>
          <w:ilvl w:val="0"/>
          <w:numId w:val="17"/>
        </w:numPr>
        <w:spacing w:line="360" w:lineRule="auto"/>
        <w:rPr>
          <w:lang w:eastAsia="en-AU"/>
        </w:rPr>
      </w:pPr>
      <w:r>
        <w:rPr>
          <w:lang w:eastAsia="en-AU"/>
        </w:rPr>
        <w:t>How has program expansion impacted screening participation in the target group? What barriers or enablers to participation have been encountered?</w:t>
      </w:r>
    </w:p>
    <w:p w14:paraId="578B1717" w14:textId="77777777" w:rsidR="004936D7" w:rsidRDefault="004936D7" w:rsidP="009F4642">
      <w:pPr>
        <w:pStyle w:val="ListParagraph"/>
        <w:numPr>
          <w:ilvl w:val="0"/>
          <w:numId w:val="17"/>
        </w:numPr>
        <w:spacing w:line="360" w:lineRule="auto"/>
        <w:rPr>
          <w:lang w:eastAsia="en-AU"/>
        </w:rPr>
      </w:pPr>
      <w:r>
        <w:rPr>
          <w:lang w:eastAsia="en-AU"/>
        </w:rPr>
        <w:t>What opportunities are available to improve and sustain the program expansion?</w:t>
      </w:r>
    </w:p>
    <w:p w14:paraId="0E01BF8D" w14:textId="77B915A5" w:rsidR="004936D7" w:rsidRDefault="004936D7" w:rsidP="009F4642">
      <w:pPr>
        <w:spacing w:line="360" w:lineRule="auto"/>
        <w:rPr>
          <w:lang w:eastAsia="en-AU"/>
        </w:rPr>
      </w:pPr>
      <w:r w:rsidRPr="00604BF4">
        <w:rPr>
          <w:lang w:eastAsia="en-AU"/>
        </w:rPr>
        <w:lastRenderedPageBreak/>
        <w:t xml:space="preserve">Each </w:t>
      </w:r>
      <w:r w:rsidR="007A4FC9">
        <w:rPr>
          <w:lang w:eastAsia="en-AU"/>
        </w:rPr>
        <w:t>KLE</w:t>
      </w:r>
      <w:r>
        <w:rPr>
          <w:lang w:eastAsia="en-AU"/>
        </w:rPr>
        <w:t xml:space="preserve"> is</w:t>
      </w:r>
      <w:r w:rsidRPr="00604BF4">
        <w:rPr>
          <w:lang w:eastAsia="en-AU"/>
        </w:rPr>
        <w:t xml:space="preserve"> supported by a </w:t>
      </w:r>
      <w:r>
        <w:rPr>
          <w:lang w:eastAsia="en-AU"/>
        </w:rPr>
        <w:t xml:space="preserve">suite </w:t>
      </w:r>
      <w:r w:rsidRPr="00604BF4">
        <w:rPr>
          <w:lang w:eastAsia="en-AU"/>
        </w:rPr>
        <w:t>of research</w:t>
      </w:r>
      <w:r>
        <w:rPr>
          <w:lang w:eastAsia="en-AU"/>
        </w:rPr>
        <w:t xml:space="preserve"> questions that probe aspects of program access equity, effectiveness and efficiency</w:t>
      </w:r>
      <w:r w:rsidR="009435EC">
        <w:rPr>
          <w:lang w:eastAsia="en-AU"/>
        </w:rPr>
        <w:t>,</w:t>
      </w:r>
      <w:r>
        <w:rPr>
          <w:lang w:eastAsia="en-AU"/>
        </w:rPr>
        <w:t xml:space="preserve"> associated with expansion of the target age group. Exploring the awareness, understanding and experiences of program expansion for </w:t>
      </w:r>
      <w:r w:rsidR="007A4FC9">
        <w:rPr>
          <w:lang w:eastAsia="en-AU"/>
        </w:rPr>
        <w:t xml:space="preserve">Aboriginal and Torres Strait Islander </w:t>
      </w:r>
      <w:r>
        <w:rPr>
          <w:lang w:eastAsia="en-AU"/>
        </w:rPr>
        <w:t xml:space="preserve">women </w:t>
      </w:r>
      <w:r w:rsidR="007A4FC9">
        <w:rPr>
          <w:lang w:eastAsia="en-AU"/>
        </w:rPr>
        <w:t xml:space="preserve">and </w:t>
      </w:r>
      <w:r>
        <w:rPr>
          <w:lang w:eastAsia="en-AU"/>
        </w:rPr>
        <w:t xml:space="preserve">women from </w:t>
      </w:r>
      <w:r w:rsidR="00A32B73">
        <w:rPr>
          <w:lang w:eastAsia="en-AU"/>
        </w:rPr>
        <w:t xml:space="preserve">culturally and linguistically diverse </w:t>
      </w:r>
      <w:r w:rsidR="007A4FC9">
        <w:rPr>
          <w:lang w:eastAsia="en-AU"/>
        </w:rPr>
        <w:t>backgrounds</w:t>
      </w:r>
      <w:r>
        <w:rPr>
          <w:lang w:eastAsia="en-AU"/>
        </w:rPr>
        <w:t xml:space="preserve"> is a cross-cutting research theme that spans all </w:t>
      </w:r>
      <w:r w:rsidR="007765A1">
        <w:rPr>
          <w:lang w:eastAsia="en-AU"/>
        </w:rPr>
        <w:t>KLE</w:t>
      </w:r>
      <w:r>
        <w:rPr>
          <w:lang w:eastAsia="en-AU"/>
        </w:rPr>
        <w:t>.</w:t>
      </w:r>
    </w:p>
    <w:p w14:paraId="741E30CD" w14:textId="77777777" w:rsidR="004936D7" w:rsidRDefault="004936D7" w:rsidP="009F4642">
      <w:pPr>
        <w:spacing w:line="360" w:lineRule="auto"/>
        <w:rPr>
          <w:lang w:eastAsia="en-AU"/>
        </w:rPr>
      </w:pPr>
      <w:r>
        <w:rPr>
          <w:lang w:eastAsia="en-AU"/>
        </w:rPr>
        <w:t>The evaluation scope focuses specifically on impacts associated with screening program participation. Issues concerning diagnostic accuracy of screening and the clinical management of screening results in women aged 70-74 are outside the scope of this evaluation. The Department is presently considering commissioning additional research activities to explore these issues in parallel with this evaluation.</w:t>
      </w:r>
    </w:p>
    <w:p w14:paraId="56CDFEE0" w14:textId="12A26843" w:rsidR="00447309" w:rsidRPr="000F737F" w:rsidRDefault="00447309"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Evaluation methodology</w:t>
      </w:r>
    </w:p>
    <w:p w14:paraId="45432B99" w14:textId="5231AD30" w:rsidR="004936D7" w:rsidRPr="00192FBA" w:rsidRDefault="007765A1" w:rsidP="009F4642">
      <w:pPr>
        <w:spacing w:line="360" w:lineRule="auto"/>
      </w:pPr>
      <w:r>
        <w:t>The</w:t>
      </w:r>
      <w:r w:rsidR="004936D7">
        <w:t xml:space="preserve"> evaluation methodology spans four stages, each with a distinctive focus:</w:t>
      </w:r>
    </w:p>
    <w:p w14:paraId="3CEC61A0" w14:textId="690CBAC4" w:rsidR="004936D7" w:rsidRDefault="004936D7" w:rsidP="009F4642">
      <w:pPr>
        <w:pStyle w:val="Bullet"/>
        <w:numPr>
          <w:ilvl w:val="0"/>
          <w:numId w:val="1"/>
        </w:numPr>
        <w:spacing w:line="360" w:lineRule="auto"/>
      </w:pPr>
      <w:r w:rsidRPr="00192FBA">
        <w:rPr>
          <w:b/>
        </w:rPr>
        <w:t>Stage 1:</w:t>
      </w:r>
      <w:r w:rsidRPr="00192FBA">
        <w:t xml:space="preserve"> </w:t>
      </w:r>
      <w:r>
        <w:t>(</w:t>
      </w:r>
      <w:r w:rsidR="001C5507">
        <w:t>January</w:t>
      </w:r>
      <w:r>
        <w:t xml:space="preserve"> 2018 – </w:t>
      </w:r>
      <w:r w:rsidR="001C5507">
        <w:t>September</w:t>
      </w:r>
      <w:r>
        <w:t xml:space="preserve"> 2018) will deliver the </w:t>
      </w:r>
      <w:r w:rsidRPr="00896487">
        <w:rPr>
          <w:i/>
        </w:rPr>
        <w:t>Evaluation Design</w:t>
      </w:r>
      <w:r>
        <w:t>, establishing a clear framework</w:t>
      </w:r>
      <w:r w:rsidR="009435EC">
        <w:t xml:space="preserve"> and methodology for analysis. During this stage, e</w:t>
      </w:r>
      <w:r>
        <w:t xml:space="preserve">valuation governance and consultation structures will be established. Approval from the </w:t>
      </w:r>
      <w:r w:rsidR="00117A8C">
        <w:t>Australian</w:t>
      </w:r>
      <w:r>
        <w:t xml:space="preserve"> </w:t>
      </w:r>
      <w:r w:rsidR="00117A8C">
        <w:t xml:space="preserve">Institute of Health and Welfare (AIHW) </w:t>
      </w:r>
      <w:r>
        <w:t xml:space="preserve">Health Human Research Ethics Committee </w:t>
      </w:r>
      <w:r w:rsidR="00000AE3">
        <w:t>was successfully</w:t>
      </w:r>
      <w:r>
        <w:t xml:space="preserve"> sought during this stage.</w:t>
      </w:r>
      <w:r w:rsidR="007765A1">
        <w:t xml:space="preserve"> </w:t>
      </w:r>
    </w:p>
    <w:p w14:paraId="536A172F" w14:textId="201A3DC2" w:rsidR="004936D7" w:rsidRPr="00192FBA" w:rsidRDefault="004936D7" w:rsidP="009F4642">
      <w:pPr>
        <w:pStyle w:val="Bullet"/>
        <w:numPr>
          <w:ilvl w:val="0"/>
          <w:numId w:val="1"/>
        </w:numPr>
        <w:spacing w:line="360" w:lineRule="auto"/>
      </w:pPr>
      <w:r w:rsidRPr="00192FBA">
        <w:rPr>
          <w:b/>
        </w:rPr>
        <w:t>Stage 2:</w:t>
      </w:r>
      <w:r w:rsidRPr="00192FBA">
        <w:t xml:space="preserve"> </w:t>
      </w:r>
      <w:r>
        <w:t>(</w:t>
      </w:r>
      <w:r w:rsidR="001C5507">
        <w:t>September</w:t>
      </w:r>
      <w:r>
        <w:t xml:space="preserve"> 2018 – A</w:t>
      </w:r>
      <w:r w:rsidR="0010020F">
        <w:t>ugust</w:t>
      </w:r>
      <w:r>
        <w:t xml:space="preserve"> 2019) will </w:t>
      </w:r>
      <w:r>
        <w:rPr>
          <w:i/>
        </w:rPr>
        <w:t>Analyse Current Progress</w:t>
      </w:r>
      <w:r>
        <w:t>, focusing on program design, implementation since commencement in 2013. A desktop, international comparator review will be conducted as part of this stage, comparing and contrasting the program expansion in Australia with other population-based screening programs around the world.</w:t>
      </w:r>
    </w:p>
    <w:p w14:paraId="28083AAC" w14:textId="77777777" w:rsidR="004936D7" w:rsidRDefault="004936D7" w:rsidP="009F4642">
      <w:pPr>
        <w:pStyle w:val="Bullet"/>
        <w:numPr>
          <w:ilvl w:val="0"/>
          <w:numId w:val="1"/>
        </w:numPr>
        <w:spacing w:line="360" w:lineRule="auto"/>
      </w:pPr>
      <w:r>
        <w:rPr>
          <w:b/>
        </w:rPr>
        <w:t>Stage 3</w:t>
      </w:r>
      <w:r w:rsidR="004B4DF0">
        <w:rPr>
          <w:b/>
        </w:rPr>
        <w:t>:</w:t>
      </w:r>
      <w:r>
        <w:rPr>
          <w:b/>
        </w:rPr>
        <w:t xml:space="preserve"> </w:t>
      </w:r>
      <w:r>
        <w:t>(</w:t>
      </w:r>
      <w:r w:rsidR="0010020F">
        <w:t>August</w:t>
      </w:r>
      <w:r>
        <w:t xml:space="preserve"> 2019 – </w:t>
      </w:r>
      <w:r w:rsidR="0010020F">
        <w:t>August</w:t>
      </w:r>
      <w:r>
        <w:t xml:space="preserve"> 2020) will </w:t>
      </w:r>
      <w:r>
        <w:rPr>
          <w:i/>
        </w:rPr>
        <w:t>Monitor Improvement and Early I</w:t>
      </w:r>
      <w:r w:rsidRPr="005642AF">
        <w:rPr>
          <w:i/>
        </w:rPr>
        <w:t>mpact</w:t>
      </w:r>
      <w:r>
        <w:rPr>
          <w:i/>
        </w:rPr>
        <w:t>,</w:t>
      </w:r>
      <w:r w:rsidR="004B4DF0">
        <w:rPr>
          <w:i/>
        </w:rPr>
        <w:t xml:space="preserve"> </w:t>
      </w:r>
      <w:r>
        <w:t>will track the progress of improvements</w:t>
      </w:r>
      <w:r w:rsidR="004B4DF0">
        <w:t xml:space="preserve"> to the program, identified in S</w:t>
      </w:r>
      <w:r>
        <w:t>tage 2. The experiences of women aged 70-74 will also be explored in this stage of the evaluation, considering both participants and non-participants.</w:t>
      </w:r>
    </w:p>
    <w:p w14:paraId="5EBF8EBB" w14:textId="77777777" w:rsidR="004936D7" w:rsidRPr="00192FBA" w:rsidRDefault="004936D7" w:rsidP="009F4642">
      <w:pPr>
        <w:pStyle w:val="Bullet"/>
        <w:numPr>
          <w:ilvl w:val="0"/>
          <w:numId w:val="1"/>
        </w:numPr>
        <w:spacing w:line="360" w:lineRule="auto"/>
      </w:pPr>
      <w:r w:rsidRPr="00192FBA">
        <w:rPr>
          <w:b/>
        </w:rPr>
        <w:t>Stage 4:</w:t>
      </w:r>
      <w:r w:rsidRPr="00192FBA">
        <w:t xml:space="preserve"> </w:t>
      </w:r>
      <w:r>
        <w:t>(</w:t>
      </w:r>
      <w:r w:rsidR="0010020F">
        <w:t xml:space="preserve">September </w:t>
      </w:r>
      <w:r>
        <w:t xml:space="preserve">2020 – </w:t>
      </w:r>
      <w:r w:rsidR="0010020F">
        <w:t>June</w:t>
      </w:r>
      <w:r>
        <w:t xml:space="preserve"> 2021) will </w:t>
      </w:r>
      <w:r w:rsidRPr="00385577">
        <w:rPr>
          <w:i/>
        </w:rPr>
        <w:t xml:space="preserve">Deliver </w:t>
      </w:r>
      <w:r>
        <w:rPr>
          <w:i/>
        </w:rPr>
        <w:t>the Final Report and R</w:t>
      </w:r>
      <w:r w:rsidRPr="00385577">
        <w:rPr>
          <w:i/>
        </w:rPr>
        <w:t>ecommendations</w:t>
      </w:r>
      <w:r w:rsidRPr="00192FBA">
        <w:t xml:space="preserve"> </w:t>
      </w:r>
      <w:r>
        <w:t>drawing together and building upon the interim findings and recommendations from Stages 2 and 3. The final report will include the recommendations for future program sustainability and funding.</w:t>
      </w:r>
    </w:p>
    <w:p w14:paraId="75D38940" w14:textId="77777777" w:rsidR="004936D7" w:rsidRDefault="004936D7" w:rsidP="009F4642">
      <w:pPr>
        <w:spacing w:line="360" w:lineRule="auto"/>
        <w:rPr>
          <w:lang w:eastAsia="en-AU"/>
        </w:rPr>
      </w:pPr>
      <w:r>
        <w:rPr>
          <w:lang w:eastAsia="en-AU"/>
        </w:rPr>
        <w:t>Regular Departmental and key stakeholder dialogue, progress updates and interim reporting is a feature of the evaluation methodology. This approach will enable testing and validation of findings together with early identification and implementation of opportunities for program improvement. Three substantial interim re</w:t>
      </w:r>
      <w:r w:rsidR="004B4DF0">
        <w:rPr>
          <w:lang w:eastAsia="en-AU"/>
        </w:rPr>
        <w:t>ports will be delivered across S</w:t>
      </w:r>
      <w:r>
        <w:rPr>
          <w:lang w:eastAsia="en-AU"/>
        </w:rPr>
        <w:t xml:space="preserve">tages 2 and 3, supporting a ‘no surprises’ approach that will build a shared view of the evaluation findings and future program options well in advance of the Final Evaluation Report. </w:t>
      </w:r>
      <w:r w:rsidR="00AF41CE">
        <w:rPr>
          <w:lang w:eastAsia="en-AU"/>
        </w:rPr>
        <w:t xml:space="preserve">These interim reports will provide valuable information on Nous’ preliminary findings to support funding decisions </w:t>
      </w:r>
      <w:r w:rsidR="00717095">
        <w:rPr>
          <w:lang w:eastAsia="en-AU"/>
        </w:rPr>
        <w:t>and planning</w:t>
      </w:r>
      <w:r w:rsidR="00AF41CE">
        <w:rPr>
          <w:lang w:eastAsia="en-AU"/>
        </w:rPr>
        <w:t xml:space="preserve"> leading up to June 2021. </w:t>
      </w:r>
    </w:p>
    <w:p w14:paraId="592BE6FC" w14:textId="4B66884F" w:rsidR="00447309" w:rsidRDefault="004936D7" w:rsidP="009F4642">
      <w:pPr>
        <w:spacing w:line="360" w:lineRule="auto"/>
      </w:pPr>
      <w:r>
        <w:lastRenderedPageBreak/>
        <w:t xml:space="preserve">Mixed methods data collection and analysis will be an iterative, cyclical process spanning Stages 2-4 of the evaluation. The BreastScreen Australia program offers a rich array of data sources with which to triangulate the evaluation findings. </w:t>
      </w:r>
      <w:r w:rsidR="007765A1">
        <w:t>The</w:t>
      </w:r>
      <w:r>
        <w:t xml:space="preserve"> analysis will draw on the published and grey literature concerning Australian and international screening programs; nationally collected program and population health data and individual jurisdictional data. Existing evidence will be complemented by primary collection of stakeholder consultation data, including surveys and interviews with</w:t>
      </w:r>
      <w:r w:rsidR="00562CB5">
        <w:t xml:space="preserve"> women in the target age group.</w:t>
      </w:r>
    </w:p>
    <w:p w14:paraId="09E0BACD" w14:textId="7CDE065D" w:rsidR="00447309" w:rsidRPr="000F737F" w:rsidRDefault="00562CB5"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Evaluation governance and oversight</w:t>
      </w:r>
    </w:p>
    <w:p w14:paraId="330CBF0F" w14:textId="044944CA" w:rsidR="004936D7" w:rsidRDefault="004936D7" w:rsidP="009F4642">
      <w:pPr>
        <w:spacing w:line="360" w:lineRule="auto"/>
        <w:rPr>
          <w:lang w:eastAsia="en-AU"/>
        </w:rPr>
      </w:pPr>
      <w:r>
        <w:rPr>
          <w:lang w:eastAsia="en-AU"/>
        </w:rPr>
        <w:t>A comprehensive evaluation governance structure has been established to ensure</w:t>
      </w:r>
      <w:r w:rsidRPr="00673ABF">
        <w:rPr>
          <w:lang w:eastAsia="en-AU"/>
        </w:rPr>
        <w:t xml:space="preserve"> delivery of high quality </w:t>
      </w:r>
      <w:r>
        <w:rPr>
          <w:lang w:eastAsia="en-AU"/>
        </w:rPr>
        <w:t>analysis, appropriate stakeholder consultation and practical, evidence-based recommendations.</w:t>
      </w:r>
      <w:r w:rsidR="00F31DEB">
        <w:rPr>
          <w:lang w:eastAsia="en-AU"/>
        </w:rPr>
        <w:t xml:space="preserve"> T</w:t>
      </w:r>
      <w:r>
        <w:rPr>
          <w:lang w:eastAsia="en-AU"/>
        </w:rPr>
        <w:t>he governance structure provides for overall oversight and monitoring of the evaluation by the Department of Health, with expert guidance and advice from the BreastScreen Australia</w:t>
      </w:r>
      <w:r w:rsidR="007765A1">
        <w:rPr>
          <w:lang w:eastAsia="en-AU"/>
        </w:rPr>
        <w:t xml:space="preserve"> </w:t>
      </w:r>
      <w:r>
        <w:rPr>
          <w:lang w:eastAsia="en-AU"/>
        </w:rPr>
        <w:t>Technical Reference Group</w:t>
      </w:r>
      <w:r w:rsidR="007765A1">
        <w:rPr>
          <w:lang w:eastAsia="en-AU"/>
        </w:rPr>
        <w:t xml:space="preserve"> (</w:t>
      </w:r>
      <w:r w:rsidR="00795C83">
        <w:rPr>
          <w:lang w:eastAsia="en-AU"/>
        </w:rPr>
        <w:t>BS</w:t>
      </w:r>
      <w:r w:rsidR="00795C83" w:rsidRPr="00B349DD">
        <w:rPr>
          <w:lang w:eastAsia="en-AU"/>
        </w:rPr>
        <w:t>TRG</w:t>
      </w:r>
      <w:r w:rsidR="007765A1">
        <w:rPr>
          <w:lang w:eastAsia="en-AU"/>
        </w:rPr>
        <w:t>)</w:t>
      </w:r>
      <w:r>
        <w:rPr>
          <w:lang w:eastAsia="en-AU"/>
        </w:rPr>
        <w:t xml:space="preserve">. As a key stakeholder for the evaluation, jurisdictional involvement will be achieved through regular consultation with Program Managers, including their review and feedback on evaluation deliverables, commencing with this </w:t>
      </w:r>
      <w:r w:rsidR="00117A8C">
        <w:rPr>
          <w:lang w:eastAsia="en-AU"/>
        </w:rPr>
        <w:t xml:space="preserve">Evaluation </w:t>
      </w:r>
      <w:r>
        <w:rPr>
          <w:lang w:eastAsia="en-AU"/>
        </w:rPr>
        <w:t>Plan.</w:t>
      </w:r>
    </w:p>
    <w:p w14:paraId="2082DEE7" w14:textId="42263AC3" w:rsidR="00485F25" w:rsidRDefault="004936D7" w:rsidP="009F4642">
      <w:pPr>
        <w:spacing w:line="360" w:lineRule="auto"/>
        <w:rPr>
          <w:lang w:eastAsia="en-AU"/>
        </w:rPr>
      </w:pPr>
      <w:r>
        <w:rPr>
          <w:lang w:eastAsia="en-AU"/>
        </w:rPr>
        <w:t xml:space="preserve">Oversight of ethical conduct is central </w:t>
      </w:r>
      <w:r w:rsidR="0089178B">
        <w:rPr>
          <w:lang w:eastAsia="en-AU"/>
        </w:rPr>
        <w:t xml:space="preserve">to </w:t>
      </w:r>
      <w:r>
        <w:rPr>
          <w:lang w:eastAsia="en-AU"/>
        </w:rPr>
        <w:t xml:space="preserve">good evaluation governance. Nous will ensure the design and conduct of the evaluation is consistent </w:t>
      </w:r>
      <w:r w:rsidRPr="005A5D0F">
        <w:t xml:space="preserve">with National Health and Medical Research Council (NHMRC) advice and the </w:t>
      </w:r>
      <w:r w:rsidRPr="005A5D0F">
        <w:rPr>
          <w:i/>
        </w:rPr>
        <w:t>Guidelines for the Ethical Conduct of Evaluations</w:t>
      </w:r>
      <w:r w:rsidRPr="005A5D0F">
        <w:t xml:space="preserve"> published by the Australasian Evaluation Society (2000). </w:t>
      </w:r>
      <w:r w:rsidR="00427007">
        <w:t>Ethics a</w:t>
      </w:r>
      <w:r>
        <w:rPr>
          <w:lang w:eastAsia="en-AU"/>
        </w:rPr>
        <w:t xml:space="preserve">pproval of the evaluation </w:t>
      </w:r>
      <w:r w:rsidR="00427007">
        <w:rPr>
          <w:lang w:eastAsia="en-AU"/>
        </w:rPr>
        <w:t xml:space="preserve">has been secured through the </w:t>
      </w:r>
      <w:r w:rsidR="00117A8C">
        <w:rPr>
          <w:lang w:eastAsia="en-AU"/>
        </w:rPr>
        <w:t>AIHW</w:t>
      </w:r>
      <w:r>
        <w:rPr>
          <w:lang w:eastAsia="en-AU"/>
        </w:rPr>
        <w:t xml:space="preserve"> Human Research Ethics Committee, prior to commencement.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3E5B8F8" w14:textId="24F36F5A" w:rsidR="00B21D30" w:rsidRPr="000F737F" w:rsidRDefault="00B21D30"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Stakeholder groups</w:t>
      </w:r>
    </w:p>
    <w:p w14:paraId="4F8F4AA1" w14:textId="1415B9BA" w:rsidR="00F31DEB" w:rsidRDefault="00F31DEB" w:rsidP="009F4642">
      <w:pPr>
        <w:spacing w:line="360" w:lineRule="auto"/>
        <w:rPr>
          <w:lang w:eastAsia="en-AU"/>
        </w:rPr>
      </w:pPr>
      <w:r>
        <w:rPr>
          <w:lang w:eastAsia="en-AU"/>
        </w:rPr>
        <w:t>Various groups of stakeholders will be engaged across the course of this evaluation:</w:t>
      </w:r>
    </w:p>
    <w:p w14:paraId="472EE060" w14:textId="16EA89FC" w:rsidR="00F31DEB" w:rsidRPr="007E68C2" w:rsidRDefault="00F31DEB" w:rsidP="009F4642">
      <w:pPr>
        <w:pStyle w:val="Bullet"/>
        <w:numPr>
          <w:ilvl w:val="0"/>
          <w:numId w:val="1"/>
        </w:numPr>
        <w:spacing w:line="360" w:lineRule="auto"/>
        <w:rPr>
          <w:rFonts w:cs="Segoe UI"/>
        </w:rPr>
      </w:pPr>
      <w:r w:rsidRPr="007E68C2">
        <w:rPr>
          <w:rFonts w:cs="Segoe UI"/>
        </w:rPr>
        <w:t>The Department –</w:t>
      </w:r>
      <w:r w:rsidR="00F5146C">
        <w:rPr>
          <w:rFonts w:cs="Segoe UI"/>
        </w:rPr>
        <w:t xml:space="preserve"> </w:t>
      </w:r>
      <w:r w:rsidRPr="007E68C2">
        <w:rPr>
          <w:rFonts w:cs="Segoe UI"/>
        </w:rPr>
        <w:t>Department Project Team and other representatives as agreed with the Department</w:t>
      </w:r>
    </w:p>
    <w:p w14:paraId="6C628D34" w14:textId="77777777" w:rsidR="00F31DEB" w:rsidRPr="007E68C2" w:rsidRDefault="00F31DEB" w:rsidP="009F4642">
      <w:pPr>
        <w:pStyle w:val="Bullet"/>
        <w:numPr>
          <w:ilvl w:val="0"/>
          <w:numId w:val="1"/>
        </w:numPr>
        <w:spacing w:line="360" w:lineRule="auto"/>
        <w:rPr>
          <w:rFonts w:cs="Segoe UI"/>
        </w:rPr>
      </w:pPr>
      <w:r w:rsidRPr="007E68C2">
        <w:rPr>
          <w:rFonts w:cs="Segoe UI"/>
        </w:rPr>
        <w:t xml:space="preserve">BreastScreen Australia Technical Reference Group </w:t>
      </w:r>
    </w:p>
    <w:p w14:paraId="1BCFE4ED" w14:textId="77777777" w:rsidR="00F31DEB" w:rsidRPr="007E68C2" w:rsidRDefault="00F31DEB" w:rsidP="009F4642">
      <w:pPr>
        <w:pStyle w:val="Bullet"/>
        <w:numPr>
          <w:ilvl w:val="0"/>
          <w:numId w:val="1"/>
        </w:numPr>
        <w:spacing w:line="360" w:lineRule="auto"/>
        <w:rPr>
          <w:rFonts w:cs="Segoe UI"/>
        </w:rPr>
      </w:pPr>
      <w:r w:rsidRPr="007E68C2">
        <w:rPr>
          <w:rFonts w:cs="Segoe UI"/>
        </w:rPr>
        <w:t>State and Territory Governments – representatives from State and Territory Governments as relevant</w:t>
      </w:r>
    </w:p>
    <w:p w14:paraId="118E1445" w14:textId="77777777" w:rsidR="00F31DEB" w:rsidRPr="007E68C2" w:rsidRDefault="00F31DEB" w:rsidP="009F4642">
      <w:pPr>
        <w:pStyle w:val="Bullet"/>
        <w:numPr>
          <w:ilvl w:val="0"/>
          <w:numId w:val="1"/>
        </w:numPr>
        <w:spacing w:line="360" w:lineRule="auto"/>
        <w:rPr>
          <w:rFonts w:cs="Segoe UI"/>
        </w:rPr>
      </w:pPr>
      <w:r w:rsidRPr="007E68C2">
        <w:rPr>
          <w:rFonts w:cs="Segoe UI"/>
        </w:rPr>
        <w:t xml:space="preserve">State and Territory Program Managers </w:t>
      </w:r>
    </w:p>
    <w:p w14:paraId="12AC4913" w14:textId="4FD5801F" w:rsidR="00F31DEB" w:rsidRPr="007E68C2" w:rsidRDefault="00F31DEB" w:rsidP="009F4642">
      <w:pPr>
        <w:pStyle w:val="Bullet"/>
        <w:numPr>
          <w:ilvl w:val="0"/>
          <w:numId w:val="1"/>
        </w:numPr>
        <w:spacing w:line="360" w:lineRule="auto"/>
        <w:rPr>
          <w:rFonts w:cs="Segoe UI"/>
        </w:rPr>
      </w:pPr>
      <w:r w:rsidRPr="007E68C2">
        <w:rPr>
          <w:rFonts w:cs="Segoe UI"/>
        </w:rPr>
        <w:t xml:space="preserve">Service providers staff in each jurisdiction – this includes clinical and administrative staff </w:t>
      </w:r>
      <w:r w:rsidRPr="007E68C2">
        <w:rPr>
          <w:rFonts w:cs="Segoe UI"/>
        </w:rPr>
        <w:br/>
        <w:t>e.g. radiologists, surgeons, me</w:t>
      </w:r>
      <w:r w:rsidR="00A63FBD">
        <w:rPr>
          <w:rFonts w:cs="Segoe UI"/>
        </w:rPr>
        <w:t>dical officers, radiographers, s</w:t>
      </w:r>
      <w:r w:rsidRPr="007E68C2">
        <w:rPr>
          <w:rFonts w:cs="Segoe UI"/>
        </w:rPr>
        <w:t>onographers, health promotion/ administrative staff, data management staff, counsellors and nurses</w:t>
      </w:r>
    </w:p>
    <w:p w14:paraId="767C259B" w14:textId="77777777" w:rsidR="00F31DEB" w:rsidRPr="007E68C2" w:rsidRDefault="00F31DEB" w:rsidP="009F4642">
      <w:pPr>
        <w:pStyle w:val="Bullet"/>
        <w:numPr>
          <w:ilvl w:val="0"/>
          <w:numId w:val="1"/>
        </w:numPr>
        <w:spacing w:line="360" w:lineRule="auto"/>
        <w:rPr>
          <w:rFonts w:cs="Segoe UI"/>
        </w:rPr>
      </w:pPr>
      <w:r w:rsidRPr="007E68C2">
        <w:rPr>
          <w:rFonts w:cs="Segoe UI"/>
        </w:rPr>
        <w:t>BreastScreen Australia clients in the target age group – a sample of women who have participated in the program aged 70-74 years</w:t>
      </w:r>
    </w:p>
    <w:p w14:paraId="13BBA4FF" w14:textId="77777777" w:rsidR="00F31DEB" w:rsidRPr="007E68C2" w:rsidRDefault="00F31DEB" w:rsidP="009F4642">
      <w:pPr>
        <w:pStyle w:val="Bullet"/>
        <w:numPr>
          <w:ilvl w:val="0"/>
          <w:numId w:val="1"/>
        </w:numPr>
        <w:spacing w:line="360" w:lineRule="auto"/>
        <w:rPr>
          <w:rFonts w:cs="Segoe UI"/>
        </w:rPr>
      </w:pPr>
      <w:r w:rsidRPr="007E68C2">
        <w:rPr>
          <w:rFonts w:cs="Segoe UI"/>
        </w:rPr>
        <w:t>Women aged over 70 years – a sample of women in the general population</w:t>
      </w:r>
    </w:p>
    <w:p w14:paraId="20B57D84" w14:textId="77777777" w:rsidR="00F31DEB" w:rsidRPr="007E68C2" w:rsidRDefault="00F31DEB" w:rsidP="009F4642">
      <w:pPr>
        <w:pStyle w:val="Bullet"/>
        <w:numPr>
          <w:ilvl w:val="0"/>
          <w:numId w:val="1"/>
        </w:numPr>
        <w:spacing w:line="360" w:lineRule="auto"/>
        <w:rPr>
          <w:rFonts w:cs="Segoe UI"/>
        </w:rPr>
      </w:pPr>
      <w:r w:rsidRPr="007E68C2">
        <w:rPr>
          <w:rFonts w:cs="Segoe UI"/>
        </w:rPr>
        <w:lastRenderedPageBreak/>
        <w:t>Consumer groups – groups of consumers, including Breast Cancer Network Australia’s research group</w:t>
      </w:r>
    </w:p>
    <w:p w14:paraId="6D9CF13D" w14:textId="77777777" w:rsidR="00F31DEB" w:rsidRPr="007E68C2" w:rsidRDefault="00F31DEB" w:rsidP="009F4642">
      <w:pPr>
        <w:pStyle w:val="Bullet"/>
        <w:numPr>
          <w:ilvl w:val="0"/>
          <w:numId w:val="1"/>
        </w:numPr>
        <w:spacing w:line="360" w:lineRule="auto"/>
        <w:rPr>
          <w:rFonts w:cs="Segoe UI"/>
        </w:rPr>
      </w:pPr>
      <w:r w:rsidRPr="007E68C2">
        <w:rPr>
          <w:rFonts w:cs="Segoe UI"/>
        </w:rPr>
        <w:t>Peak bodies – for example Cancer Australia and Cancer Council</w:t>
      </w:r>
    </w:p>
    <w:p w14:paraId="6577C6A1" w14:textId="25D068E2" w:rsidR="00485F25" w:rsidRPr="00562CB5" w:rsidRDefault="00F31DEB" w:rsidP="009F4642">
      <w:pPr>
        <w:pStyle w:val="Bullet"/>
        <w:numPr>
          <w:ilvl w:val="0"/>
          <w:numId w:val="1"/>
        </w:numPr>
        <w:spacing w:line="360" w:lineRule="auto"/>
        <w:rPr>
          <w:rFonts w:cs="Segoe UI"/>
        </w:rPr>
      </w:pPr>
      <w:r w:rsidRPr="007E68C2">
        <w:rPr>
          <w:rFonts w:cs="Segoe UI"/>
        </w:rPr>
        <w:t>Primary Health Networks, Aboriginal Medical Services and the Colleges – a sample of PHNs, AMSs and relevant colleges across all jurisdictions including the Royal Australian and New Zealand College of Radiologists and the Australian Society of Medical Imaging and Radiation Therapy.</w:t>
      </w:r>
    </w:p>
    <w:p w14:paraId="2062C301" w14:textId="26C3DBC0" w:rsidR="002C6F7A" w:rsidRPr="000F737F" w:rsidRDefault="002C6F7A" w:rsidP="000F737F">
      <w:pPr>
        <w:pStyle w:val="Heading2"/>
        <w:numPr>
          <w:ilvl w:val="0"/>
          <w:numId w:val="0"/>
        </w:numPr>
        <w:ind w:left="576" w:hanging="576"/>
        <w:rPr>
          <w:rFonts w:ascii="Segoe UI" w:hAnsi="Segoe UI" w:cs="Segoe UI"/>
          <w:b/>
          <w:i/>
          <w:sz w:val="19"/>
        </w:rPr>
      </w:pPr>
      <w:r w:rsidRPr="000F737F">
        <w:rPr>
          <w:rFonts w:ascii="Segoe UI" w:hAnsi="Segoe UI" w:cs="Segoe UI"/>
          <w:b/>
          <w:i/>
          <w:sz w:val="19"/>
        </w:rPr>
        <w:t>Key issues and unintended c</w:t>
      </w:r>
      <w:r w:rsidR="007E68C2" w:rsidRPr="000F737F">
        <w:rPr>
          <w:rFonts w:ascii="Segoe UI" w:hAnsi="Segoe UI" w:cs="Segoe UI"/>
          <w:b/>
          <w:i/>
          <w:sz w:val="19"/>
        </w:rPr>
        <w:t>onsequences of breast screening</w:t>
      </w:r>
    </w:p>
    <w:p w14:paraId="07DFC4EC" w14:textId="77777777" w:rsidR="002C6F7A" w:rsidRDefault="003B6B4E" w:rsidP="009F4642">
      <w:pPr>
        <w:pStyle w:val="Bullet"/>
        <w:numPr>
          <w:ilvl w:val="0"/>
          <w:numId w:val="0"/>
        </w:numPr>
        <w:spacing w:line="360" w:lineRule="auto"/>
      </w:pPr>
      <w:r>
        <w:t>K</w:t>
      </w:r>
      <w:r w:rsidR="002C6F7A">
        <w:t xml:space="preserve">ey issues and unintended consequences of breast screening programs identified by </w:t>
      </w:r>
      <w:r w:rsidR="00E34AEE">
        <w:t>the International Agency for Research on Cancer (</w:t>
      </w:r>
      <w:r w:rsidR="002C6F7A">
        <w:t>IARC</w:t>
      </w:r>
      <w:r w:rsidR="00E34AEE">
        <w:t>)</w:t>
      </w:r>
      <w:r w:rsidR="002C6F7A">
        <w:rPr>
          <w:rStyle w:val="FootnoteReference"/>
        </w:rPr>
        <w:footnoteReference w:id="7"/>
      </w:r>
      <w:r w:rsidR="002C6F7A">
        <w:t xml:space="preserve"> are applicable to the Australian context and will be considered during the current evaluation</w:t>
      </w:r>
      <w:r w:rsidR="00801715">
        <w:t>.</w:t>
      </w:r>
      <w:r w:rsidR="002C6F7A">
        <w:t xml:space="preserve"> The</w:t>
      </w:r>
      <w:r w:rsidR="00617EE7">
        <w:t>se</w:t>
      </w:r>
      <w:r w:rsidR="002C6F7A">
        <w:t xml:space="preserve"> include: </w:t>
      </w:r>
    </w:p>
    <w:p w14:paraId="2E92571F" w14:textId="77777777" w:rsidR="002C6F7A" w:rsidRPr="00065ABD" w:rsidRDefault="002C6F7A" w:rsidP="009F4642">
      <w:pPr>
        <w:pStyle w:val="Bullet"/>
        <w:spacing w:line="360" w:lineRule="auto"/>
      </w:pPr>
      <w:r>
        <w:rPr>
          <w:rFonts w:ascii="Segoe UI Semibold" w:hAnsi="Segoe UI Semibold" w:cs="Segoe UI Semibold"/>
        </w:rPr>
        <w:t xml:space="preserve">False positive rates: </w:t>
      </w:r>
      <w:r w:rsidR="0054715A" w:rsidRPr="0054715A">
        <w:rPr>
          <w:rFonts w:cs="Segoe UI"/>
        </w:rPr>
        <w:t>Although</w:t>
      </w:r>
      <w:r w:rsidR="0054715A" w:rsidRPr="0054715A">
        <w:rPr>
          <w:rFonts w:ascii="Segoe UI Semibold" w:hAnsi="Segoe UI Semibold" w:cs="Segoe UI Semibold"/>
        </w:rPr>
        <w:t xml:space="preserve"> </w:t>
      </w:r>
      <w:r w:rsidR="0054715A" w:rsidRPr="00261622">
        <w:rPr>
          <w:rFonts w:cs="Segoe UI"/>
        </w:rPr>
        <w:t>a</w:t>
      </w:r>
      <w:r w:rsidRPr="00261622">
        <w:rPr>
          <w:rFonts w:cs="Segoe UI"/>
        </w:rPr>
        <w:t>bnormalities</w:t>
      </w:r>
      <w:r>
        <w:rPr>
          <w:rFonts w:cs="Segoe UI"/>
        </w:rPr>
        <w:t xml:space="preserve"> </w:t>
      </w:r>
      <w:r w:rsidR="00803FDB">
        <w:rPr>
          <w:rFonts w:cs="Segoe UI"/>
        </w:rPr>
        <w:t xml:space="preserve">might </w:t>
      </w:r>
      <w:r>
        <w:rPr>
          <w:rFonts w:cs="Segoe UI"/>
        </w:rPr>
        <w:t>be detected through screening</w:t>
      </w:r>
      <w:r w:rsidR="0054715A">
        <w:rPr>
          <w:rFonts w:cs="Segoe UI"/>
        </w:rPr>
        <w:t xml:space="preserve">, </w:t>
      </w:r>
      <w:r>
        <w:rPr>
          <w:rFonts w:cs="Segoe UI"/>
        </w:rPr>
        <w:t xml:space="preserve">investigations may </w:t>
      </w:r>
      <w:r w:rsidR="00803FDB">
        <w:rPr>
          <w:rFonts w:cs="Segoe UI"/>
        </w:rPr>
        <w:t>show no cancer</w:t>
      </w:r>
      <w:r>
        <w:rPr>
          <w:rFonts w:cs="Segoe UI"/>
        </w:rPr>
        <w:t>. This may result in unnecessary invasive procedures and exposure to radiation.</w:t>
      </w:r>
    </w:p>
    <w:p w14:paraId="3F24FB61" w14:textId="77777777" w:rsidR="002C6F7A" w:rsidRPr="00065ABD" w:rsidRDefault="002C6F7A" w:rsidP="009F4642">
      <w:pPr>
        <w:pStyle w:val="Bullet"/>
        <w:spacing w:line="360" w:lineRule="auto"/>
      </w:pPr>
      <w:r>
        <w:rPr>
          <w:rFonts w:ascii="Segoe UI Semibold" w:hAnsi="Segoe UI Semibold" w:cs="Segoe UI Semibold"/>
        </w:rPr>
        <w:t xml:space="preserve">Over-diagnosis: </w:t>
      </w:r>
      <w:r>
        <w:rPr>
          <w:rFonts w:cs="Segoe UI"/>
        </w:rPr>
        <w:t>Breast cancer diagnosed by screening may not have otherwise been diag</w:t>
      </w:r>
      <w:r w:rsidR="0054715A">
        <w:rPr>
          <w:rFonts w:cs="Segoe UI"/>
        </w:rPr>
        <w:t>nosed during a woman’s lifetime.</w:t>
      </w:r>
      <w:r>
        <w:rPr>
          <w:rFonts w:cs="Segoe UI"/>
        </w:rPr>
        <w:t xml:space="preserve"> </w:t>
      </w:r>
      <w:r w:rsidR="0054715A">
        <w:rPr>
          <w:rFonts w:cs="Segoe UI"/>
        </w:rPr>
        <w:t>T</w:t>
      </w:r>
      <w:r>
        <w:rPr>
          <w:rFonts w:cs="Segoe UI"/>
        </w:rPr>
        <w:t>his includes all instances where cancers detected through screening might never have progressed to become symptomatic during a woman’s life.</w:t>
      </w:r>
      <w:r>
        <w:rPr>
          <w:rStyle w:val="FootnoteReference"/>
          <w:rFonts w:cs="Segoe UI"/>
        </w:rPr>
        <w:footnoteReference w:id="8"/>
      </w:r>
      <w:r>
        <w:rPr>
          <w:rFonts w:cs="Segoe UI"/>
        </w:rPr>
        <w:t xml:space="preserve"> </w:t>
      </w:r>
    </w:p>
    <w:p w14:paraId="08CC9E25" w14:textId="7699BF02" w:rsidR="002C6F7A" w:rsidRPr="00065ABD" w:rsidRDefault="002C6F7A" w:rsidP="009F4642">
      <w:pPr>
        <w:pStyle w:val="Bullet"/>
        <w:spacing w:line="360" w:lineRule="auto"/>
      </w:pPr>
      <w:r>
        <w:rPr>
          <w:rFonts w:ascii="Segoe UI Semibold" w:hAnsi="Segoe UI Semibold" w:cs="Segoe UI Semibold"/>
        </w:rPr>
        <w:t xml:space="preserve">Over-treatment: </w:t>
      </w:r>
      <w:r w:rsidR="00D32B73">
        <w:rPr>
          <w:rFonts w:cs="Segoe UI"/>
        </w:rPr>
        <w:t xml:space="preserve">Except in rare cases, </w:t>
      </w:r>
      <w:r>
        <w:rPr>
          <w:rFonts w:cs="Segoe UI"/>
        </w:rPr>
        <w:t>over-diagnosed breast cancer cases are over</w:t>
      </w:r>
      <w:r w:rsidR="00C14108">
        <w:rPr>
          <w:rFonts w:cs="Segoe UI"/>
        </w:rPr>
        <w:t>-</w:t>
      </w:r>
      <w:r>
        <w:rPr>
          <w:rFonts w:cs="Segoe UI"/>
        </w:rPr>
        <w:t xml:space="preserve">treated. </w:t>
      </w:r>
      <w:r w:rsidR="0054715A">
        <w:rPr>
          <w:rFonts w:cs="Segoe UI"/>
        </w:rPr>
        <w:t>Although b</w:t>
      </w:r>
      <w:r>
        <w:rPr>
          <w:rFonts w:cs="Segoe UI"/>
        </w:rPr>
        <w:t>reast cancer care has moved positively from aggressive surgery to breast-conserving treatment, carcinoma in situ is still considered a major area of over-treatment.</w:t>
      </w:r>
    </w:p>
    <w:p w14:paraId="2CDBA61E" w14:textId="77777777" w:rsidR="00DB4AB8" w:rsidRPr="00065ABD" w:rsidRDefault="002C6F7A" w:rsidP="009F4642">
      <w:pPr>
        <w:pStyle w:val="Bullet"/>
        <w:spacing w:line="360" w:lineRule="auto"/>
      </w:pPr>
      <w:r>
        <w:rPr>
          <w:rFonts w:ascii="Segoe UI Semibold" w:hAnsi="Segoe UI Semibold" w:cs="Segoe UI Semibold"/>
        </w:rPr>
        <w:t xml:space="preserve">Risk of breast cancer induced by radiation: </w:t>
      </w:r>
      <w:r>
        <w:rPr>
          <w:rFonts w:cs="Segoe UI"/>
        </w:rPr>
        <w:t xml:space="preserve">Exposure of the breast to ionising radiation may induce breast cancers. </w:t>
      </w:r>
      <w:r w:rsidR="00DB4AB8" w:rsidRPr="00654E51">
        <w:rPr>
          <w:rFonts w:cs="Segoe UI"/>
        </w:rPr>
        <w:t>Therefore, the balance of benefits and risks must consider the number of cancers caused by screening with mammography; however due to the small number of expected cases it is not possible to estimate such a number.</w:t>
      </w:r>
    </w:p>
    <w:p w14:paraId="01809AFA" w14:textId="77777777" w:rsidR="002C6F7A" w:rsidRPr="00065ABD" w:rsidRDefault="002C6F7A" w:rsidP="009F4642">
      <w:pPr>
        <w:pStyle w:val="Bullet"/>
        <w:spacing w:line="360" w:lineRule="auto"/>
      </w:pPr>
      <w:r>
        <w:rPr>
          <w:rFonts w:ascii="Segoe UI Semibold" w:hAnsi="Segoe UI Semibold" w:cs="Segoe UI Semibold"/>
        </w:rPr>
        <w:t xml:space="preserve">Psychological consequences of screening: </w:t>
      </w:r>
      <w:r>
        <w:rPr>
          <w:rFonts w:cs="Segoe UI"/>
        </w:rPr>
        <w:t>Participation in breast cancer screening can have psychological or psychosocial consequences for women. This includes the impacts of a</w:t>
      </w:r>
      <w:r w:rsidR="00E82262">
        <w:rPr>
          <w:rFonts w:cs="Segoe UI"/>
        </w:rPr>
        <w:t>n</w:t>
      </w:r>
      <w:r>
        <w:rPr>
          <w:rFonts w:cs="Segoe UI"/>
        </w:rPr>
        <w:t xml:space="preserve"> invitation to screening, a negative result, diagnosis of breast cancer, and the impact of a false-positive result on further participation. </w:t>
      </w:r>
    </w:p>
    <w:p w14:paraId="3DC626A3" w14:textId="77777777" w:rsidR="002C6F7A" w:rsidRDefault="002C6F7A" w:rsidP="009F4642">
      <w:pPr>
        <w:pStyle w:val="Bullet"/>
        <w:spacing w:line="360" w:lineRule="auto"/>
      </w:pPr>
      <w:r w:rsidRPr="000420CE">
        <w:rPr>
          <w:rFonts w:ascii="Segoe UI Semibold" w:hAnsi="Segoe UI Semibold" w:cs="Segoe UI Semibold"/>
        </w:rPr>
        <w:t xml:space="preserve">Cost-effectiveness and balance of harms and benefits: </w:t>
      </w:r>
      <w:r>
        <w:rPr>
          <w:rFonts w:cs="Segoe UI"/>
        </w:rPr>
        <w:t xml:space="preserve">Decisions about the implementation of health care interventions are partially based on cost-effectiveness analyses. Costs that should be considered include costs associated with the organisation of the program (including invitations and screening), </w:t>
      </w:r>
      <w:r w:rsidR="00D6195B">
        <w:rPr>
          <w:rFonts w:cs="Segoe UI"/>
        </w:rPr>
        <w:t xml:space="preserve">interval cancers, </w:t>
      </w:r>
      <w:r>
        <w:rPr>
          <w:rFonts w:cs="Segoe UI"/>
        </w:rPr>
        <w:t xml:space="preserve">diagnostic work up and additional treatment costs. </w:t>
      </w:r>
    </w:p>
    <w:p w14:paraId="4D6DE967" w14:textId="77777777" w:rsidR="00AE45CF" w:rsidRDefault="00000AE3" w:rsidP="009F4642">
      <w:pPr>
        <w:spacing w:line="360" w:lineRule="auto"/>
      </w:pPr>
      <w:r>
        <w:lastRenderedPageBreak/>
        <w:t>The following sections of this document outline the key elements of the evaluation in more detail.</w:t>
      </w:r>
    </w:p>
    <w:p w14:paraId="75C50F6F" w14:textId="2AE92645" w:rsidR="000C5EDF" w:rsidRDefault="000C5EDF" w:rsidP="009F4642">
      <w:pPr>
        <w:spacing w:line="360" w:lineRule="auto"/>
      </w:pPr>
      <w:r>
        <w:br w:type="page"/>
      </w:r>
    </w:p>
    <w:p w14:paraId="23EE00EC" w14:textId="77777777" w:rsidR="00756727" w:rsidRDefault="00E26E57" w:rsidP="00756727">
      <w:pPr>
        <w:pStyle w:val="Heading1"/>
      </w:pPr>
      <w:bookmarkStart w:id="53" w:name="_Ref508894439"/>
      <w:bookmarkStart w:id="54" w:name="_Toc508896200"/>
      <w:bookmarkStart w:id="55" w:name="_Toc508898462"/>
      <w:bookmarkStart w:id="56" w:name="_Toc508915716"/>
      <w:bookmarkStart w:id="57" w:name="_Toc508975677"/>
      <w:bookmarkStart w:id="58" w:name="_Toc508976600"/>
      <w:bookmarkStart w:id="59" w:name="_Ref510703766"/>
      <w:bookmarkStart w:id="60" w:name="_Toc511383620"/>
      <w:bookmarkStart w:id="61" w:name="_Toc511383805"/>
      <w:bookmarkStart w:id="62" w:name="_Toc511393462"/>
      <w:bookmarkStart w:id="63" w:name="_Toc511656733"/>
      <w:bookmarkStart w:id="64" w:name="_Toc511656885"/>
      <w:bookmarkStart w:id="65" w:name="_Toc511661674"/>
      <w:bookmarkStart w:id="66" w:name="_Toc511725368"/>
      <w:bookmarkStart w:id="67" w:name="_Toc511728141"/>
      <w:bookmarkStart w:id="68" w:name="_Toc511733323"/>
      <w:bookmarkStart w:id="69" w:name="_Toc511739404"/>
      <w:bookmarkStart w:id="70" w:name="_Toc511743401"/>
      <w:bookmarkStart w:id="71" w:name="_Toc511809602"/>
      <w:bookmarkStart w:id="72" w:name="_Toc511809822"/>
      <w:bookmarkStart w:id="73" w:name="_Toc511896766"/>
      <w:bookmarkStart w:id="74" w:name="_Toc511899602"/>
      <w:bookmarkStart w:id="75" w:name="_Toc511904356"/>
      <w:bookmarkStart w:id="76" w:name="_Toc511908874"/>
      <w:bookmarkStart w:id="77" w:name="_Toc530577369"/>
      <w:bookmarkStart w:id="78" w:name="_Toc508966327"/>
      <w:bookmarkStart w:id="79" w:name="_Toc508963945"/>
      <w:r>
        <w:lastRenderedPageBreak/>
        <w:t xml:space="preserve">Evaluation </w:t>
      </w:r>
      <w:bookmarkEnd w:id="53"/>
      <w:bookmarkEnd w:id="54"/>
      <w:bookmarkEnd w:id="55"/>
      <w:bookmarkEnd w:id="56"/>
      <w:bookmarkEnd w:id="57"/>
      <w:bookmarkEnd w:id="58"/>
      <w:bookmarkEnd w:id="59"/>
      <w:bookmarkEnd w:id="60"/>
      <w:bookmarkEnd w:id="61"/>
      <w:bookmarkEnd w:id="62"/>
      <w:bookmarkEnd w:id="63"/>
      <w:bookmarkEnd w:id="64"/>
      <w:bookmarkEnd w:id="65"/>
      <w:r w:rsidR="00262438">
        <w:t>framework</w:t>
      </w:r>
      <w:bookmarkEnd w:id="66"/>
      <w:bookmarkEnd w:id="67"/>
      <w:bookmarkEnd w:id="68"/>
      <w:bookmarkEnd w:id="69"/>
      <w:bookmarkEnd w:id="70"/>
      <w:bookmarkEnd w:id="71"/>
      <w:bookmarkEnd w:id="72"/>
      <w:bookmarkEnd w:id="73"/>
      <w:bookmarkEnd w:id="74"/>
      <w:bookmarkEnd w:id="75"/>
      <w:bookmarkEnd w:id="76"/>
      <w:bookmarkEnd w:id="77"/>
    </w:p>
    <w:bookmarkEnd w:id="78"/>
    <w:bookmarkEnd w:id="79"/>
    <w:p w14:paraId="7CA63147" w14:textId="07A99EBF" w:rsidR="00E26E57" w:rsidRPr="00B94595" w:rsidRDefault="00B94595" w:rsidP="009F4642">
      <w:pPr>
        <w:spacing w:line="360" w:lineRule="auto"/>
        <w:rPr>
          <w:lang w:eastAsia="en-AU"/>
        </w:rPr>
      </w:pPr>
      <w:r w:rsidRPr="00B94595">
        <w:rPr>
          <w:lang w:eastAsia="en-AU"/>
        </w:rPr>
        <w:t xml:space="preserve">This section outlines the </w:t>
      </w:r>
      <w:r w:rsidR="00B046AF">
        <w:rPr>
          <w:lang w:eastAsia="en-AU"/>
        </w:rPr>
        <w:t>overall evaluation approach</w:t>
      </w:r>
      <w:r w:rsidRPr="00B94595">
        <w:rPr>
          <w:lang w:eastAsia="en-AU"/>
        </w:rPr>
        <w:t xml:space="preserve">, including the </w:t>
      </w:r>
      <w:r w:rsidR="00447151">
        <w:rPr>
          <w:lang w:eastAsia="en-AU"/>
        </w:rPr>
        <w:t xml:space="preserve">purpose, </w:t>
      </w:r>
      <w:r w:rsidR="00875165">
        <w:rPr>
          <w:lang w:eastAsia="en-AU"/>
        </w:rPr>
        <w:t xml:space="preserve">scope, </w:t>
      </w:r>
      <w:r w:rsidR="00447151">
        <w:rPr>
          <w:lang w:eastAsia="en-AU"/>
        </w:rPr>
        <w:t xml:space="preserve">type of evaluation, </w:t>
      </w:r>
      <w:r w:rsidR="00B046AF">
        <w:rPr>
          <w:lang w:eastAsia="en-AU"/>
        </w:rPr>
        <w:t xml:space="preserve">and </w:t>
      </w:r>
      <w:r w:rsidR="00000AE3">
        <w:rPr>
          <w:lang w:eastAsia="en-AU"/>
        </w:rPr>
        <w:t>program logic model.</w:t>
      </w:r>
    </w:p>
    <w:p w14:paraId="0EBD5EF1" w14:textId="77777777" w:rsidR="00756727" w:rsidRDefault="00756727" w:rsidP="006D3FB8">
      <w:pPr>
        <w:pStyle w:val="Heading2"/>
      </w:pPr>
      <w:bookmarkStart w:id="80" w:name="_Toc508963946"/>
      <w:bookmarkStart w:id="81" w:name="_Toc508966328"/>
      <w:bookmarkStart w:id="82" w:name="_Toc508975678"/>
      <w:bookmarkStart w:id="83" w:name="_Toc508976601"/>
      <w:bookmarkStart w:id="84" w:name="_Toc511383621"/>
      <w:bookmarkStart w:id="85" w:name="_Toc511383806"/>
      <w:bookmarkStart w:id="86" w:name="_Toc511393463"/>
      <w:bookmarkStart w:id="87" w:name="_Toc511656734"/>
      <w:bookmarkStart w:id="88" w:name="_Toc511656886"/>
      <w:bookmarkStart w:id="89" w:name="_Toc511661675"/>
      <w:bookmarkStart w:id="90" w:name="_Toc511725369"/>
      <w:bookmarkStart w:id="91" w:name="_Toc511728142"/>
      <w:bookmarkStart w:id="92" w:name="_Toc511733324"/>
      <w:bookmarkStart w:id="93" w:name="_Toc511739405"/>
      <w:bookmarkStart w:id="94" w:name="_Toc511743402"/>
      <w:bookmarkStart w:id="95" w:name="_Toc511809603"/>
      <w:bookmarkStart w:id="96" w:name="_Toc511809823"/>
      <w:bookmarkStart w:id="97" w:name="_Toc511896767"/>
      <w:bookmarkStart w:id="98" w:name="_Toc511899603"/>
      <w:bookmarkStart w:id="99" w:name="_Toc511904357"/>
      <w:bookmarkStart w:id="100" w:name="_Toc511908875"/>
      <w:bookmarkStart w:id="101" w:name="_Toc530577370"/>
      <w:bookmarkStart w:id="102" w:name="_Toc508896201"/>
      <w:bookmarkStart w:id="103" w:name="_Toc508898463"/>
      <w:bookmarkStart w:id="104" w:name="_Toc508915717"/>
      <w:r>
        <w:t xml:space="preserve">Purpose </w:t>
      </w:r>
      <w:r w:rsidR="00875165">
        <w:t>and scope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 xml:space="preserve"> </w:t>
      </w:r>
      <w:bookmarkEnd w:id="102"/>
      <w:bookmarkEnd w:id="103"/>
      <w:bookmarkEnd w:id="104"/>
    </w:p>
    <w:p w14:paraId="11EFF7A1" w14:textId="77777777" w:rsidR="00447151" w:rsidRDefault="00875165" w:rsidP="009F4642">
      <w:pPr>
        <w:spacing w:line="360" w:lineRule="auto"/>
        <w:rPr>
          <w:lang w:eastAsia="en-AU"/>
        </w:rPr>
      </w:pPr>
      <w:r>
        <w:rPr>
          <w:lang w:eastAsia="en-AU"/>
        </w:rPr>
        <w:t xml:space="preserve">BreastScreen Australia’s </w:t>
      </w:r>
      <w:r>
        <w:t xml:space="preserve">expansion of the target age to include women aged 70-74 was </w:t>
      </w:r>
      <w:r w:rsidR="00F90995">
        <w:t>intended to increase</w:t>
      </w:r>
      <w:r>
        <w:t xml:space="preserve"> </w:t>
      </w:r>
      <w:r w:rsidR="00516AD3">
        <w:t>early detection</w:t>
      </w:r>
      <w:r w:rsidR="00F90995">
        <w:t xml:space="preserve"> and detection</w:t>
      </w:r>
      <w:r>
        <w:t xml:space="preserve"> for older Australian women</w:t>
      </w:r>
      <w:r w:rsidR="00F90995">
        <w:t xml:space="preserve"> through increased participation</w:t>
      </w:r>
      <w:r w:rsidR="00FE7BF2">
        <w:t xml:space="preserve"> whilst not affecting the existing target population.</w:t>
      </w:r>
      <w:r>
        <w:t xml:space="preserve"> </w:t>
      </w:r>
      <w:bookmarkStart w:id="105" w:name="_Hlk518476704"/>
      <w:r w:rsidR="00A815BD" w:rsidDel="00447151">
        <w:rPr>
          <w:lang w:eastAsia="en-AU"/>
        </w:rPr>
        <w:t>The e</w:t>
      </w:r>
      <w:r w:rsidR="00E26E57" w:rsidRPr="001C5A55" w:rsidDel="00447151">
        <w:rPr>
          <w:lang w:eastAsia="en-AU"/>
        </w:rPr>
        <w:t xml:space="preserve">valuation </w:t>
      </w:r>
      <w:r w:rsidR="00E26E57" w:rsidRPr="001C5A55">
        <w:rPr>
          <w:lang w:eastAsia="en-AU"/>
        </w:rPr>
        <w:t>has the following objectives:</w:t>
      </w:r>
    </w:p>
    <w:p w14:paraId="3DFB982E" w14:textId="77777777" w:rsidR="00447151" w:rsidRDefault="00CE38C0" w:rsidP="009F4642">
      <w:pPr>
        <w:pStyle w:val="Bullet"/>
        <w:spacing w:line="360" w:lineRule="auto"/>
      </w:pPr>
      <w:r>
        <w:t>t</w:t>
      </w:r>
      <w:r w:rsidR="00875165">
        <w:t>o</w:t>
      </w:r>
      <w:r w:rsidR="00E26E57" w:rsidRPr="001C5A55">
        <w:t xml:space="preserve"> assess the effectiveness of the implementation of the program expansion</w:t>
      </w:r>
    </w:p>
    <w:p w14:paraId="7809FB7E" w14:textId="77777777" w:rsidR="00875165" w:rsidRDefault="00CE38C0" w:rsidP="009F4642">
      <w:pPr>
        <w:pStyle w:val="Bullet"/>
        <w:spacing w:line="360" w:lineRule="auto"/>
      </w:pPr>
      <w:r>
        <w:t>t</w:t>
      </w:r>
      <w:r w:rsidR="00875165">
        <w:t>o</w:t>
      </w:r>
      <w:r w:rsidR="00E26E57" w:rsidRPr="001C5A55">
        <w:t xml:space="preserve"> assess the initial impact of the </w:t>
      </w:r>
      <w:r w:rsidR="00875165">
        <w:t xml:space="preserve">program </w:t>
      </w:r>
      <w:r w:rsidR="00E26E57" w:rsidRPr="001C5A55">
        <w:t xml:space="preserve">expansion on screening </w:t>
      </w:r>
      <w:r w:rsidR="00875165">
        <w:t>participation</w:t>
      </w:r>
      <w:r w:rsidR="00875165" w:rsidRPr="001C5A55">
        <w:t xml:space="preserve"> rates</w:t>
      </w:r>
      <w:r w:rsidR="00E26E57" w:rsidRPr="001C5A55">
        <w:t xml:space="preserve"> in women aged 70-74 years</w:t>
      </w:r>
      <w:r w:rsidR="00875165">
        <w:t>, and</w:t>
      </w:r>
    </w:p>
    <w:p w14:paraId="3202085C" w14:textId="77777777" w:rsidR="00E26E57" w:rsidRDefault="00CE38C0" w:rsidP="009F4642">
      <w:pPr>
        <w:pStyle w:val="Bullet"/>
        <w:spacing w:line="360" w:lineRule="auto"/>
      </w:pPr>
      <w:r>
        <w:t>t</w:t>
      </w:r>
      <w:r w:rsidR="00875165">
        <w:t>o identify opportunities to improve or strengthen screening participation rates</w:t>
      </w:r>
      <w:r w:rsidR="00E26E57" w:rsidRPr="001C5A55">
        <w:t xml:space="preserve"> in women aged 70-74 years.  </w:t>
      </w:r>
    </w:p>
    <w:bookmarkEnd w:id="105"/>
    <w:p w14:paraId="1307875E" w14:textId="2846F7E7" w:rsidR="000F7263" w:rsidRDefault="00323632" w:rsidP="009F4642">
      <w:pPr>
        <w:spacing w:line="360" w:lineRule="auto"/>
        <w:rPr>
          <w:lang w:eastAsia="en-AU"/>
        </w:rPr>
      </w:pPr>
      <w:r>
        <w:rPr>
          <w:lang w:eastAsia="en-AU"/>
        </w:rPr>
        <w:t>Th</w:t>
      </w:r>
      <w:r w:rsidR="00172D69">
        <w:rPr>
          <w:lang w:eastAsia="en-AU"/>
        </w:rPr>
        <w:t>e</w:t>
      </w:r>
      <w:r>
        <w:rPr>
          <w:lang w:eastAsia="en-AU"/>
        </w:rPr>
        <w:t xml:space="preserve"> evaluation has a clear scope, as outlined in </w:t>
      </w:r>
      <w:r w:rsidR="000F7263">
        <w:rPr>
          <w:lang w:eastAsia="en-AU"/>
        </w:rPr>
        <w:fldChar w:fldCharType="begin"/>
      </w:r>
      <w:r w:rsidR="000F7263">
        <w:rPr>
          <w:lang w:eastAsia="en-AU"/>
        </w:rPr>
        <w:instrText xml:space="preserve"> REF _Ref508873615 \h </w:instrText>
      </w:r>
      <w:r w:rsidR="009F4642">
        <w:rPr>
          <w:lang w:eastAsia="en-AU"/>
        </w:rPr>
        <w:instrText xml:space="preserve"> \* MERGEFORMAT </w:instrText>
      </w:r>
      <w:r w:rsidR="000F7263">
        <w:rPr>
          <w:lang w:eastAsia="en-AU"/>
        </w:rPr>
      </w:r>
      <w:r w:rsidR="000F7263">
        <w:rPr>
          <w:lang w:eastAsia="en-AU"/>
        </w:rPr>
        <w:fldChar w:fldCharType="separate"/>
      </w:r>
      <w:r w:rsidR="000C023C">
        <w:t xml:space="preserve">Table </w:t>
      </w:r>
      <w:r w:rsidR="000C023C">
        <w:rPr>
          <w:noProof/>
        </w:rPr>
        <w:t>1</w:t>
      </w:r>
      <w:r w:rsidR="000F7263">
        <w:rPr>
          <w:lang w:eastAsia="en-AU"/>
        </w:rPr>
        <w:fldChar w:fldCharType="end"/>
      </w:r>
      <w:r w:rsidR="000F7263">
        <w:rPr>
          <w:lang w:eastAsia="en-AU"/>
        </w:rPr>
        <w:t xml:space="preserve"> below.</w:t>
      </w:r>
    </w:p>
    <w:p w14:paraId="22E0E1BD" w14:textId="75938F27" w:rsidR="000F7263" w:rsidRDefault="000F7263" w:rsidP="00975171">
      <w:pPr>
        <w:pStyle w:val="Caption"/>
      </w:pPr>
      <w:bookmarkStart w:id="106" w:name="_Ref508873615"/>
      <w:r>
        <w:t xml:space="preserve">Table </w:t>
      </w:r>
      <w:r>
        <w:fldChar w:fldCharType="begin"/>
      </w:r>
      <w:r>
        <w:instrText xml:space="preserve"> SEQ Table \* ARABIC </w:instrText>
      </w:r>
      <w:r>
        <w:fldChar w:fldCharType="separate"/>
      </w:r>
      <w:r w:rsidR="000C023C">
        <w:rPr>
          <w:noProof/>
        </w:rPr>
        <w:t>1</w:t>
      </w:r>
      <w:r>
        <w:fldChar w:fldCharType="end"/>
      </w:r>
      <w:bookmarkEnd w:id="106"/>
      <w:r w:rsidR="00CB4910">
        <w:t xml:space="preserve"> |</w:t>
      </w:r>
      <w:r>
        <w:t xml:space="preserve"> Scope of th</w:t>
      </w:r>
      <w:r w:rsidR="00172D69">
        <w:t>e</w:t>
      </w:r>
      <w:r>
        <w:t xml:space="preserve"> evaluation</w:t>
      </w:r>
    </w:p>
    <w:tbl>
      <w:tblPr>
        <w:tblStyle w:val="NOUSSideTabl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Caption w:val="Scope of the evaluation"/>
        <w:tblDescription w:val="In scope aspects of the evaluation: 1) BreastScreen Australia’s current and previous (i.e. prior to the expansion) service delivery model.&#10;Out of scope aspects of the evaluation: 1) BreastScreen Australia’s accreditation and quality improvement processes&#10;2) Assessment and management of women at higher risk of breast cancer&#10;3) The clinical appropriateness of the BreastScreen Australia program in general &#10;4) Alternative service-delivery models for the BreastScreen Australia program&#10;5) Exclusion of long-term outcomes (e.g. mortality) due to the timing and retrospective nature of the evaluation &#10;Any context or related activity&#10;6) The 2009 Evaluation of the BreastScreen Australia Program’s Final Report will provide context to the expansion of the target age to women aged 70-74.&#10;7) The Department will commission a complementary study into clinical effectiveness of population breast screening for women aged 70 to 74 years, including the short-term clinical outcomes of the expansion (up to two years).&#10;8) Nous’ role will be to incorporate and integrate the outcomes of the clinical effectiveness review to the broader evaluation, interim finding reports and final evaluation report. Nous will meet with the University of Sydney and the Department during the second half of 2018 to agree the scope and approach to integrate the clinical component of the evaluation.   &#10;"/>
      </w:tblPr>
      <w:tblGrid>
        <w:gridCol w:w="1926"/>
        <w:gridCol w:w="7271"/>
      </w:tblGrid>
      <w:tr w:rsidR="001E0073" w14:paraId="2BB93636" w14:textId="77777777" w:rsidTr="005669B6">
        <w:trPr>
          <w:tblHeader/>
        </w:trPr>
        <w:tc>
          <w:tcPr>
            <w:cnfStyle w:val="001000000000" w:firstRow="0" w:lastRow="0" w:firstColumn="1" w:lastColumn="0" w:oddVBand="0" w:evenVBand="0" w:oddHBand="0" w:evenHBand="0" w:firstRowFirstColumn="0" w:firstRowLastColumn="0" w:lastRowFirstColumn="0" w:lastRowLastColumn="0"/>
            <w:tcW w:w="19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264D" w:themeFill="background2"/>
          </w:tcPr>
          <w:p w14:paraId="2840D92B" w14:textId="77777777" w:rsidR="001E0073" w:rsidRPr="001E0073" w:rsidRDefault="001E0073" w:rsidP="001E0073">
            <w:pPr>
              <w:jc w:val="left"/>
              <w:rPr>
                <w:rFonts w:ascii="Segoe UI Semibold" w:hAnsi="Segoe UI Semibold"/>
                <w:color w:val="FFFFFF" w:themeColor="background1"/>
                <w:sz w:val="17"/>
                <w:szCs w:val="17"/>
              </w:rPr>
            </w:pPr>
            <w:r w:rsidRPr="001E0073">
              <w:rPr>
                <w:rFonts w:ascii="Segoe UI Semibold" w:hAnsi="Segoe UI Semibold"/>
                <w:color w:val="FFFFFF" w:themeColor="background1"/>
                <w:sz w:val="17"/>
                <w:szCs w:val="17"/>
              </w:rPr>
              <w:t>In scope aspects of the evaluation</w:t>
            </w:r>
          </w:p>
        </w:tc>
        <w:tc>
          <w:tcPr>
            <w:tcW w:w="7286" w:type="dxa"/>
          </w:tcPr>
          <w:p w14:paraId="5AD8015D" w14:textId="77777777" w:rsidR="001E0073" w:rsidRP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 xml:space="preserve">BreastScreen Australia’s current and previous </w:t>
            </w:r>
            <w:r w:rsidR="00262438">
              <w:rPr>
                <w:szCs w:val="17"/>
              </w:rPr>
              <w:t xml:space="preserve">(i.e. prior to the expansion) </w:t>
            </w:r>
            <w:r w:rsidRPr="001E0073">
              <w:rPr>
                <w:szCs w:val="17"/>
              </w:rPr>
              <w:t>service delivery model</w:t>
            </w:r>
          </w:p>
        </w:tc>
      </w:tr>
      <w:tr w:rsidR="001E0073" w14:paraId="0669100F" w14:textId="77777777" w:rsidTr="005669B6">
        <w:trPr>
          <w:tblHeader/>
        </w:trPr>
        <w:tc>
          <w:tcPr>
            <w:cnfStyle w:val="001000000000" w:firstRow="0" w:lastRow="0" w:firstColumn="1" w:lastColumn="0" w:oddVBand="0" w:evenVBand="0" w:oddHBand="0" w:evenHBand="0" w:firstRowFirstColumn="0" w:firstRowLastColumn="0" w:lastRowFirstColumn="0" w:lastRowLastColumn="0"/>
            <w:tcW w:w="1928" w:type="dxa"/>
            <w:tcBorders>
              <w:left w:val="none" w:sz="0" w:space="0" w:color="auto"/>
              <w:bottom w:val="none" w:sz="0" w:space="0" w:color="auto"/>
              <w:right w:val="none" w:sz="0" w:space="0" w:color="auto"/>
              <w:tl2br w:val="none" w:sz="0" w:space="0" w:color="auto"/>
              <w:tr2bl w:val="none" w:sz="0" w:space="0" w:color="auto"/>
            </w:tcBorders>
            <w:shd w:val="clear" w:color="auto" w:fill="00264D" w:themeFill="background2"/>
          </w:tcPr>
          <w:p w14:paraId="7B617EE5" w14:textId="77777777" w:rsidR="001E0073" w:rsidRPr="001E0073" w:rsidRDefault="001E0073" w:rsidP="001E0073">
            <w:pPr>
              <w:jc w:val="left"/>
              <w:rPr>
                <w:rFonts w:ascii="Segoe UI Semibold" w:hAnsi="Segoe UI Semibold"/>
                <w:color w:val="FFFFFF" w:themeColor="background1"/>
                <w:sz w:val="17"/>
                <w:szCs w:val="17"/>
              </w:rPr>
            </w:pPr>
            <w:r w:rsidRPr="001E0073">
              <w:rPr>
                <w:rFonts w:ascii="Segoe UI Semibold" w:hAnsi="Segoe UI Semibold"/>
                <w:color w:val="FFFFFF" w:themeColor="background1"/>
                <w:sz w:val="17"/>
                <w:szCs w:val="17"/>
              </w:rPr>
              <w:t>Out of scope aspects of the evaluation</w:t>
            </w:r>
          </w:p>
        </w:tc>
        <w:tc>
          <w:tcPr>
            <w:tcW w:w="7286" w:type="dxa"/>
          </w:tcPr>
          <w:p w14:paraId="664E09C1" w14:textId="77777777" w:rsidR="001E0073" w:rsidRP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BreastScreen Australia</w:t>
            </w:r>
            <w:r w:rsidR="000A7A59">
              <w:rPr>
                <w:szCs w:val="17"/>
              </w:rPr>
              <w:t>’s</w:t>
            </w:r>
            <w:r w:rsidRPr="001E0073">
              <w:rPr>
                <w:szCs w:val="17"/>
              </w:rPr>
              <w:t xml:space="preserve"> accreditation and quality improvement processes</w:t>
            </w:r>
          </w:p>
          <w:p w14:paraId="5AD926F9" w14:textId="77777777" w:rsidR="001E0073" w:rsidRP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Assessment and management of women at higher risk of breast cancer</w:t>
            </w:r>
          </w:p>
          <w:p w14:paraId="57B913F2" w14:textId="77777777" w:rsidR="001E0073" w:rsidRP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 xml:space="preserve">The clinical appropriateness of the BreastScreen Australia program in general </w:t>
            </w:r>
          </w:p>
          <w:p w14:paraId="723EFD8F" w14:textId="77777777" w:rsid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Alternative service-delivery models for the BreastScreen Australia program</w:t>
            </w:r>
          </w:p>
          <w:p w14:paraId="75923E33" w14:textId="77777777" w:rsidR="00262438" w:rsidRPr="001E0073" w:rsidRDefault="00DE2F9B"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DE2F9B">
              <w:rPr>
                <w:szCs w:val="17"/>
              </w:rPr>
              <w:t>Exclusion of long</w:t>
            </w:r>
            <w:r w:rsidR="00262438">
              <w:rPr>
                <w:szCs w:val="17"/>
              </w:rPr>
              <w:t>-term outcomes</w:t>
            </w:r>
            <w:r w:rsidR="0035385D">
              <w:rPr>
                <w:szCs w:val="17"/>
              </w:rPr>
              <w:t xml:space="preserve"> (e.g. mortality)</w:t>
            </w:r>
            <w:r>
              <w:rPr>
                <w:szCs w:val="17"/>
              </w:rPr>
              <w:t xml:space="preserve"> </w:t>
            </w:r>
            <w:r w:rsidR="00262438">
              <w:rPr>
                <w:szCs w:val="17"/>
              </w:rPr>
              <w:t xml:space="preserve">due to the timing </w:t>
            </w:r>
            <w:r w:rsidRPr="00DE2F9B">
              <w:rPr>
                <w:szCs w:val="17"/>
              </w:rPr>
              <w:t xml:space="preserve">and retrospective nature </w:t>
            </w:r>
            <w:r w:rsidR="00262438">
              <w:rPr>
                <w:szCs w:val="17"/>
              </w:rPr>
              <w:t>of the evaluation</w:t>
            </w:r>
            <w:r w:rsidRPr="00DE2F9B">
              <w:rPr>
                <w:szCs w:val="17"/>
              </w:rPr>
              <w:t xml:space="preserve"> </w:t>
            </w:r>
          </w:p>
        </w:tc>
      </w:tr>
      <w:tr w:rsidR="001E0073" w14:paraId="34E23F35" w14:textId="77777777" w:rsidTr="005669B6">
        <w:trPr>
          <w:tblHeader/>
        </w:trPr>
        <w:tc>
          <w:tcPr>
            <w:cnfStyle w:val="001000000000" w:firstRow="0" w:lastRow="0" w:firstColumn="1" w:lastColumn="0" w:oddVBand="0" w:evenVBand="0" w:oddHBand="0" w:evenHBand="0" w:firstRowFirstColumn="0" w:firstRowLastColumn="0" w:lastRowFirstColumn="0" w:lastRowLastColumn="0"/>
            <w:tcW w:w="1928" w:type="dxa"/>
            <w:tcBorders>
              <w:left w:val="none" w:sz="0" w:space="0" w:color="auto"/>
              <w:bottom w:val="none" w:sz="0" w:space="0" w:color="auto"/>
              <w:right w:val="none" w:sz="0" w:space="0" w:color="auto"/>
              <w:tl2br w:val="none" w:sz="0" w:space="0" w:color="auto"/>
              <w:tr2bl w:val="none" w:sz="0" w:space="0" w:color="auto"/>
            </w:tcBorders>
            <w:shd w:val="clear" w:color="auto" w:fill="00264D" w:themeFill="background2"/>
          </w:tcPr>
          <w:p w14:paraId="0799C7B9" w14:textId="5D66BE09" w:rsidR="001E0073" w:rsidRPr="001E0073" w:rsidRDefault="001E0073" w:rsidP="001E0073">
            <w:pPr>
              <w:jc w:val="left"/>
              <w:rPr>
                <w:rFonts w:ascii="Segoe UI Semibold" w:hAnsi="Segoe UI Semibold"/>
                <w:color w:val="FFFFFF" w:themeColor="background1"/>
                <w:sz w:val="17"/>
                <w:szCs w:val="17"/>
              </w:rPr>
            </w:pPr>
            <w:r w:rsidRPr="001E0073">
              <w:rPr>
                <w:rFonts w:ascii="Segoe UI Semibold" w:hAnsi="Segoe UI Semibold"/>
                <w:color w:val="FFFFFF" w:themeColor="background1"/>
                <w:sz w:val="17"/>
                <w:szCs w:val="17"/>
              </w:rPr>
              <w:t xml:space="preserve">Any context or related activity </w:t>
            </w:r>
          </w:p>
        </w:tc>
        <w:tc>
          <w:tcPr>
            <w:tcW w:w="7286" w:type="dxa"/>
          </w:tcPr>
          <w:p w14:paraId="318FC77E" w14:textId="77777777" w:rsidR="001E0073" w:rsidRDefault="001E0073" w:rsidP="001E0073">
            <w:pPr>
              <w:pStyle w:val="TableNBullet"/>
              <w:cnfStyle w:val="000000000000" w:firstRow="0" w:lastRow="0" w:firstColumn="0" w:lastColumn="0" w:oddVBand="0" w:evenVBand="0" w:oddHBand="0" w:evenHBand="0" w:firstRowFirstColumn="0" w:firstRowLastColumn="0" w:lastRowFirstColumn="0" w:lastRowLastColumn="0"/>
              <w:rPr>
                <w:szCs w:val="17"/>
              </w:rPr>
            </w:pPr>
            <w:r w:rsidRPr="001E0073">
              <w:rPr>
                <w:szCs w:val="17"/>
              </w:rPr>
              <w:t>The 2009 Evaluation of the BreastScreen Australia Program’s Final Report will provide context to the expansion of the target age to women aged 70-74</w:t>
            </w:r>
            <w:r w:rsidR="001B038B">
              <w:rPr>
                <w:szCs w:val="17"/>
              </w:rPr>
              <w:t>.</w:t>
            </w:r>
          </w:p>
          <w:p w14:paraId="58032634" w14:textId="77777777" w:rsidR="00723BB2" w:rsidRDefault="006635AA" w:rsidP="00F64D5A">
            <w:pPr>
              <w:pStyle w:val="TableNBullet"/>
              <w:cnfStyle w:val="000000000000" w:firstRow="0" w:lastRow="0" w:firstColumn="0" w:lastColumn="0" w:oddVBand="0" w:evenVBand="0" w:oddHBand="0" w:evenHBand="0" w:firstRowFirstColumn="0" w:firstRowLastColumn="0" w:lastRowFirstColumn="0" w:lastRowLastColumn="0"/>
              <w:rPr>
                <w:szCs w:val="17"/>
              </w:rPr>
            </w:pPr>
            <w:r w:rsidRPr="006635AA">
              <w:rPr>
                <w:szCs w:val="17"/>
              </w:rPr>
              <w:t xml:space="preserve">The Department </w:t>
            </w:r>
            <w:r w:rsidR="00F64D5A">
              <w:rPr>
                <w:szCs w:val="17"/>
              </w:rPr>
              <w:t>will commission a complementary study into clinical effectiveness of population breast screening for women aged 70 to 74 years, including the short-term clinical outcomes of the expansion (up to two years)</w:t>
            </w:r>
            <w:r w:rsidR="00723BB2">
              <w:rPr>
                <w:szCs w:val="17"/>
              </w:rPr>
              <w:t>.</w:t>
            </w:r>
          </w:p>
          <w:p w14:paraId="73E50AF5" w14:textId="5AACA6CA" w:rsidR="001E0073" w:rsidRPr="001E0073" w:rsidRDefault="00795C83" w:rsidP="00F64D5A">
            <w:pPr>
              <w:pStyle w:val="TableNBullet"/>
              <w:cnfStyle w:val="000000000000" w:firstRow="0" w:lastRow="0" w:firstColumn="0" w:lastColumn="0" w:oddVBand="0" w:evenVBand="0" w:oddHBand="0" w:evenHBand="0" w:firstRowFirstColumn="0" w:firstRowLastColumn="0" w:lastRowFirstColumn="0" w:lastRowLastColumn="0"/>
              <w:rPr>
                <w:szCs w:val="17"/>
              </w:rPr>
            </w:pPr>
            <w:r>
              <w:rPr>
                <w:szCs w:val="17"/>
              </w:rPr>
              <w:t>Nous’ role will be to incorporate and integrate the outcomes of t</w:t>
            </w:r>
            <w:r w:rsidR="00723BB2">
              <w:rPr>
                <w:szCs w:val="17"/>
              </w:rPr>
              <w:t xml:space="preserve">he clinical effectiveness </w:t>
            </w:r>
            <w:r>
              <w:rPr>
                <w:szCs w:val="17"/>
              </w:rPr>
              <w:t xml:space="preserve">review to the broader evaluation, interim finding reports and final evaluation report. </w:t>
            </w:r>
            <w:r w:rsidR="00EC1ABC">
              <w:rPr>
                <w:szCs w:val="17"/>
              </w:rPr>
              <w:t xml:space="preserve">Nous will meet with the University of Sydney and the Department during the second half of 2018 to </w:t>
            </w:r>
            <w:r w:rsidR="00D30653">
              <w:rPr>
                <w:szCs w:val="17"/>
              </w:rPr>
              <w:t>agree the scope and approach to integrate the clini</w:t>
            </w:r>
            <w:r w:rsidR="0090501A">
              <w:rPr>
                <w:szCs w:val="17"/>
              </w:rPr>
              <w:t>cal component of the evaluation</w:t>
            </w:r>
            <w:r w:rsidR="00D30653">
              <w:rPr>
                <w:szCs w:val="17"/>
              </w:rPr>
              <w:t xml:space="preserve">.  </w:t>
            </w:r>
            <w:r w:rsidR="005371C2">
              <w:rPr>
                <w:szCs w:val="17"/>
              </w:rPr>
              <w:t xml:space="preserve"> </w:t>
            </w:r>
          </w:p>
        </w:tc>
      </w:tr>
    </w:tbl>
    <w:p w14:paraId="669FA4CD" w14:textId="77777777" w:rsidR="00CE5E6F" w:rsidRDefault="00CE5E6F" w:rsidP="00756727">
      <w:pPr>
        <w:pStyle w:val="Heading2"/>
      </w:pPr>
      <w:bookmarkStart w:id="107" w:name="_Toc511383622"/>
      <w:bookmarkStart w:id="108" w:name="_Toc511383807"/>
      <w:bookmarkStart w:id="109" w:name="_Toc511393464"/>
      <w:bookmarkStart w:id="110" w:name="_Toc511656735"/>
      <w:bookmarkStart w:id="111" w:name="_Toc511656887"/>
      <w:bookmarkStart w:id="112" w:name="_Toc511661676"/>
      <w:bookmarkStart w:id="113" w:name="_Toc511725370"/>
      <w:bookmarkStart w:id="114" w:name="_Toc511728143"/>
      <w:bookmarkStart w:id="115" w:name="_Toc511733325"/>
      <w:bookmarkStart w:id="116" w:name="_Toc511739406"/>
      <w:bookmarkStart w:id="117" w:name="_Toc511743403"/>
      <w:bookmarkStart w:id="118" w:name="_Toc511809604"/>
      <w:bookmarkStart w:id="119" w:name="_Toc511809824"/>
      <w:bookmarkStart w:id="120" w:name="_Toc511896768"/>
      <w:bookmarkStart w:id="121" w:name="_Toc511899604"/>
      <w:bookmarkStart w:id="122" w:name="_Toc511904358"/>
      <w:bookmarkStart w:id="123" w:name="_Toc511908876"/>
      <w:bookmarkStart w:id="124" w:name="_Toc530577371"/>
      <w:bookmarkStart w:id="125" w:name="_Toc508896202"/>
      <w:bookmarkStart w:id="126" w:name="_Toc508898464"/>
      <w:bookmarkStart w:id="127" w:name="_Toc508915718"/>
      <w:bookmarkStart w:id="128" w:name="_Toc508963947"/>
      <w:bookmarkStart w:id="129" w:name="_Toc508966329"/>
      <w:bookmarkStart w:id="130" w:name="_Toc508975679"/>
      <w:bookmarkStart w:id="131" w:name="_Toc508976602"/>
      <w:r>
        <w:lastRenderedPageBreak/>
        <w:t xml:space="preserve">Evaluation </w:t>
      </w:r>
      <w:bookmarkEnd w:id="107"/>
      <w:bookmarkEnd w:id="108"/>
      <w:bookmarkEnd w:id="109"/>
      <w:r w:rsidR="00262438">
        <w:t>type and principles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bookmarkEnd w:id="126"/>
    <w:bookmarkEnd w:id="127"/>
    <w:bookmarkEnd w:id="128"/>
    <w:bookmarkEnd w:id="129"/>
    <w:bookmarkEnd w:id="130"/>
    <w:bookmarkEnd w:id="131"/>
    <w:p w14:paraId="3E88AB47" w14:textId="77777777" w:rsidR="006068CA" w:rsidRDefault="00F90995" w:rsidP="009F4642">
      <w:pPr>
        <w:spacing w:line="360" w:lineRule="auto"/>
        <w:rPr>
          <w:lang w:eastAsia="en-AU"/>
        </w:rPr>
      </w:pPr>
      <w:r>
        <w:rPr>
          <w:lang w:eastAsia="en-AU"/>
        </w:rPr>
        <w:t xml:space="preserve">The evaluation will focus on </w:t>
      </w:r>
      <w:r w:rsidR="00284497">
        <w:rPr>
          <w:lang w:eastAsia="en-AU"/>
        </w:rPr>
        <w:t xml:space="preserve">identifying </w:t>
      </w:r>
      <w:r>
        <w:rPr>
          <w:lang w:eastAsia="en-AU"/>
        </w:rPr>
        <w:t>ongoing improvements to the program and short-term outcomes. To enable this, the evaluation</w:t>
      </w:r>
      <w:r w:rsidR="006068CA">
        <w:rPr>
          <w:lang w:eastAsia="en-AU"/>
        </w:rPr>
        <w:t xml:space="preserve"> will incorporate</w:t>
      </w:r>
      <w:r>
        <w:rPr>
          <w:lang w:eastAsia="en-AU"/>
        </w:rPr>
        <w:t xml:space="preserve"> formative and summative elements, </w:t>
      </w:r>
      <w:r w:rsidR="00341783">
        <w:rPr>
          <w:lang w:eastAsia="en-AU"/>
        </w:rPr>
        <w:t>described below</w:t>
      </w:r>
      <w:r w:rsidR="00CE38C0">
        <w:rPr>
          <w:lang w:eastAsia="en-AU"/>
        </w:rPr>
        <w:t>.</w:t>
      </w:r>
    </w:p>
    <w:p w14:paraId="1C1F88EE" w14:textId="77777777" w:rsidR="006068CA" w:rsidRPr="006068CA" w:rsidRDefault="00F90995" w:rsidP="009F4642">
      <w:pPr>
        <w:pStyle w:val="Bullet"/>
        <w:spacing w:line="360" w:lineRule="auto"/>
        <w:rPr>
          <w:rFonts w:ascii="Segoe UI Semibold" w:hAnsi="Segoe UI Semibold"/>
        </w:rPr>
      </w:pPr>
      <w:r>
        <w:rPr>
          <w:rFonts w:ascii="Segoe UI Semibold" w:hAnsi="Segoe UI Semibold"/>
        </w:rPr>
        <w:t>Formative</w:t>
      </w:r>
      <w:r w:rsidR="006068CA">
        <w:rPr>
          <w:rFonts w:ascii="Segoe UI Semibold" w:hAnsi="Segoe UI Semibold"/>
        </w:rPr>
        <w:t xml:space="preserve">: </w:t>
      </w:r>
      <w:r>
        <w:rPr>
          <w:rFonts w:cs="Segoe UI"/>
        </w:rPr>
        <w:t xml:space="preserve">initial phase of the </w:t>
      </w:r>
      <w:r w:rsidR="006068CA">
        <w:rPr>
          <w:rFonts w:cs="Segoe UI"/>
        </w:rPr>
        <w:t>evaluation</w:t>
      </w:r>
      <w:r>
        <w:rPr>
          <w:rFonts w:cs="Segoe UI"/>
        </w:rPr>
        <w:t>. This will enable</w:t>
      </w:r>
      <w:r w:rsidR="006068CA">
        <w:rPr>
          <w:rFonts w:cs="Segoe UI"/>
        </w:rPr>
        <w:t xml:space="preserve"> </w:t>
      </w:r>
      <w:r w:rsidR="00341783">
        <w:rPr>
          <w:rFonts w:cs="Segoe UI"/>
        </w:rPr>
        <w:t>an</w:t>
      </w:r>
      <w:r w:rsidR="006068CA">
        <w:rPr>
          <w:rFonts w:cs="Segoe UI"/>
        </w:rPr>
        <w:t xml:space="preserve"> understa</w:t>
      </w:r>
      <w:r>
        <w:rPr>
          <w:rFonts w:cs="Segoe UI"/>
        </w:rPr>
        <w:t>nding of change over time</w:t>
      </w:r>
      <w:r w:rsidR="006068CA">
        <w:rPr>
          <w:rFonts w:cs="Segoe UI"/>
        </w:rPr>
        <w:t xml:space="preserve"> and identification of further opportunities to improve </w:t>
      </w:r>
      <w:r w:rsidR="00341783">
        <w:rPr>
          <w:rFonts w:cs="Segoe UI"/>
        </w:rPr>
        <w:t xml:space="preserve">evaluation </w:t>
      </w:r>
      <w:r w:rsidR="006068CA">
        <w:rPr>
          <w:rFonts w:cs="Segoe UI"/>
        </w:rPr>
        <w:t xml:space="preserve">activities as the </w:t>
      </w:r>
      <w:r w:rsidR="00341783">
        <w:rPr>
          <w:rFonts w:cs="Segoe UI"/>
        </w:rPr>
        <w:t xml:space="preserve">project </w:t>
      </w:r>
      <w:r w:rsidR="006068CA">
        <w:rPr>
          <w:rFonts w:cs="Segoe UI"/>
        </w:rPr>
        <w:t xml:space="preserve">continues into </w:t>
      </w:r>
      <w:r w:rsidR="009410BB">
        <w:rPr>
          <w:rFonts w:cs="Segoe UI"/>
        </w:rPr>
        <w:t>later stages</w:t>
      </w:r>
      <w:r w:rsidR="006068CA">
        <w:rPr>
          <w:rFonts w:cs="Segoe UI"/>
        </w:rPr>
        <w:t xml:space="preserve">.  </w:t>
      </w:r>
    </w:p>
    <w:p w14:paraId="00D4C68A" w14:textId="77777777" w:rsidR="00201D1A" w:rsidRPr="006068CA" w:rsidRDefault="006068CA" w:rsidP="009F4642">
      <w:pPr>
        <w:pStyle w:val="Bullet"/>
        <w:spacing w:line="360" w:lineRule="auto"/>
        <w:rPr>
          <w:rFonts w:ascii="Segoe UI Semibold" w:hAnsi="Segoe UI Semibold"/>
        </w:rPr>
      </w:pPr>
      <w:r w:rsidRPr="006068CA">
        <w:rPr>
          <w:rFonts w:ascii="Segoe UI Semibold" w:hAnsi="Segoe UI Semibold" w:cs="Segoe UI"/>
        </w:rPr>
        <w:t>Summative</w:t>
      </w:r>
      <w:r>
        <w:rPr>
          <w:rFonts w:ascii="Segoe UI Semibold" w:hAnsi="Segoe UI Semibold"/>
        </w:rPr>
        <w:t xml:space="preserve">: </w:t>
      </w:r>
      <w:r w:rsidR="00F90995" w:rsidRPr="00F90995">
        <w:rPr>
          <w:rFonts w:cs="Segoe UI"/>
        </w:rPr>
        <w:t xml:space="preserve">secondary </w:t>
      </w:r>
      <w:r w:rsidR="00F90995">
        <w:rPr>
          <w:rFonts w:cs="Segoe UI"/>
        </w:rPr>
        <w:t xml:space="preserve">phase of the </w:t>
      </w:r>
      <w:r>
        <w:rPr>
          <w:rFonts w:cs="Segoe UI"/>
        </w:rPr>
        <w:t>evaluation</w:t>
      </w:r>
      <w:r w:rsidR="00F90995">
        <w:rPr>
          <w:rFonts w:cs="Segoe UI"/>
        </w:rPr>
        <w:t>.</w:t>
      </w:r>
      <w:r>
        <w:rPr>
          <w:rFonts w:cs="Segoe UI"/>
        </w:rPr>
        <w:t xml:space="preserve"> This will review the </w:t>
      </w:r>
      <w:r w:rsidR="00F90995">
        <w:rPr>
          <w:rFonts w:cs="Segoe UI"/>
        </w:rPr>
        <w:t xml:space="preserve">overall effectiveness of the expansion, including the </w:t>
      </w:r>
      <w:r>
        <w:rPr>
          <w:rFonts w:cs="Segoe UI"/>
        </w:rPr>
        <w:t>s</w:t>
      </w:r>
      <w:r w:rsidR="00F90995">
        <w:rPr>
          <w:rFonts w:cs="Segoe UI"/>
        </w:rPr>
        <w:t>hort-term outcomes.</w:t>
      </w:r>
    </w:p>
    <w:p w14:paraId="63497570" w14:textId="77777777" w:rsidR="006068CA" w:rsidRDefault="006068CA" w:rsidP="009F4642">
      <w:pPr>
        <w:spacing w:line="360" w:lineRule="auto"/>
        <w:rPr>
          <w:lang w:eastAsia="en-AU"/>
        </w:rPr>
      </w:pPr>
      <w:r>
        <w:rPr>
          <w:lang w:eastAsia="en-AU"/>
        </w:rPr>
        <w:t xml:space="preserve">The overarching principles for the </w:t>
      </w:r>
      <w:r w:rsidR="00341783">
        <w:rPr>
          <w:lang w:eastAsia="en-AU"/>
        </w:rPr>
        <w:t xml:space="preserve">evaluation </w:t>
      </w:r>
      <w:r>
        <w:rPr>
          <w:lang w:eastAsia="en-AU"/>
        </w:rPr>
        <w:t>project are:</w:t>
      </w:r>
    </w:p>
    <w:p w14:paraId="142B2687" w14:textId="1BD145C1" w:rsidR="006068CA" w:rsidRPr="006068CA" w:rsidRDefault="006068CA" w:rsidP="009F4642">
      <w:pPr>
        <w:pStyle w:val="Bullet"/>
        <w:spacing w:line="360" w:lineRule="auto"/>
        <w:rPr>
          <w:rFonts w:ascii="Segoe UI Semibold" w:hAnsi="Segoe UI Semibold"/>
        </w:rPr>
      </w:pPr>
      <w:r>
        <w:rPr>
          <w:rFonts w:ascii="Segoe UI Semibold" w:hAnsi="Segoe UI Semibold"/>
        </w:rPr>
        <w:t>Balanced</w:t>
      </w:r>
      <w:r w:rsidR="00A56538">
        <w:rPr>
          <w:rFonts w:ascii="Segoe UI Semibold" w:hAnsi="Segoe UI Semibold"/>
        </w:rPr>
        <w:t xml:space="preserve"> </w:t>
      </w:r>
      <w:r w:rsidR="00A56538" w:rsidRPr="00A56538">
        <w:rPr>
          <w:rFonts w:cs="Segoe UI"/>
        </w:rPr>
        <w:t>–</w:t>
      </w:r>
      <w:r>
        <w:rPr>
          <w:rFonts w:ascii="Segoe UI Semibold" w:hAnsi="Segoe UI Semibold"/>
        </w:rPr>
        <w:t xml:space="preserve"> </w:t>
      </w:r>
      <w:r w:rsidR="0055637E">
        <w:rPr>
          <w:rFonts w:cs="Segoe UI"/>
        </w:rPr>
        <w:t xml:space="preserve">for </w:t>
      </w:r>
      <w:r>
        <w:rPr>
          <w:rFonts w:cs="Segoe UI"/>
        </w:rPr>
        <w:t>feasibility, appropriateness and rigour</w:t>
      </w:r>
      <w:r w:rsidR="00CB4CEA">
        <w:rPr>
          <w:rFonts w:cs="Segoe UI"/>
        </w:rPr>
        <w:t>.</w:t>
      </w:r>
    </w:p>
    <w:p w14:paraId="5671BE8A" w14:textId="38CFE28B" w:rsidR="006068CA" w:rsidRPr="00A56538" w:rsidRDefault="00A56538" w:rsidP="009F4642">
      <w:pPr>
        <w:pStyle w:val="Bullet"/>
        <w:spacing w:line="360" w:lineRule="auto"/>
        <w:rPr>
          <w:rFonts w:ascii="Segoe UI Semibold" w:hAnsi="Segoe UI Semibold"/>
        </w:rPr>
      </w:pPr>
      <w:r>
        <w:rPr>
          <w:rFonts w:ascii="Segoe UI Semibold" w:hAnsi="Segoe UI Semibold"/>
        </w:rPr>
        <w:t xml:space="preserve">Leverage service provider and clinical experience </w:t>
      </w:r>
      <w:r w:rsidRPr="00A56538">
        <w:rPr>
          <w:rFonts w:cs="Segoe UI"/>
        </w:rPr>
        <w:t>–</w:t>
      </w:r>
      <w:r w:rsidR="0055637E">
        <w:rPr>
          <w:rFonts w:cs="Segoe UI"/>
        </w:rPr>
        <w:t xml:space="preserve"> </w:t>
      </w:r>
      <w:r>
        <w:rPr>
          <w:rFonts w:cs="Segoe UI"/>
        </w:rPr>
        <w:t>ensure evaluation activities reflect an understanding of day-to-day practice and recommendatio</w:t>
      </w:r>
      <w:r w:rsidR="0055637E">
        <w:rPr>
          <w:rFonts w:cs="Segoe UI"/>
        </w:rPr>
        <w:t>ns are feasible and appropriate.</w:t>
      </w:r>
    </w:p>
    <w:p w14:paraId="64A7A87F" w14:textId="466DC68B" w:rsidR="00A56538" w:rsidRPr="00A56538" w:rsidRDefault="00A56538" w:rsidP="009F4642">
      <w:pPr>
        <w:pStyle w:val="Bullet"/>
        <w:spacing w:line="360" w:lineRule="auto"/>
        <w:rPr>
          <w:rFonts w:ascii="Segoe UI Semibold" w:hAnsi="Segoe UI Semibold"/>
        </w:rPr>
      </w:pPr>
      <w:r>
        <w:rPr>
          <w:rFonts w:ascii="Segoe UI Semibold" w:hAnsi="Segoe UI Semibold"/>
        </w:rPr>
        <w:t>Efficiency</w:t>
      </w:r>
      <w:r w:rsidRPr="00A56538">
        <w:rPr>
          <w:rFonts w:cs="Segoe UI"/>
        </w:rPr>
        <w:t xml:space="preserve"> –</w:t>
      </w:r>
      <w:r w:rsidR="0055637E">
        <w:rPr>
          <w:rFonts w:cs="Segoe UI"/>
        </w:rPr>
        <w:t xml:space="preserve"> </w:t>
      </w:r>
      <w:r w:rsidR="00CB4CEA">
        <w:rPr>
          <w:rFonts w:cs="Segoe UI"/>
        </w:rPr>
        <w:t>make best use of existing data.</w:t>
      </w:r>
    </w:p>
    <w:p w14:paraId="0EF7ED5A" w14:textId="7C669CA2" w:rsidR="00A56538" w:rsidRPr="00A56538" w:rsidRDefault="00A56538" w:rsidP="009F4642">
      <w:pPr>
        <w:pStyle w:val="Bullet"/>
        <w:spacing w:line="360" w:lineRule="auto"/>
        <w:rPr>
          <w:rFonts w:ascii="Segoe UI Semibold" w:hAnsi="Segoe UI Semibold"/>
        </w:rPr>
      </w:pPr>
      <w:r w:rsidRPr="00A56538">
        <w:rPr>
          <w:rFonts w:ascii="Segoe UI Semibold" w:hAnsi="Segoe UI Semibold" w:cs="Segoe UI"/>
        </w:rPr>
        <w:t>Engagement</w:t>
      </w:r>
      <w:r>
        <w:rPr>
          <w:rFonts w:cs="Segoe UI"/>
        </w:rPr>
        <w:t xml:space="preserve"> –</w:t>
      </w:r>
      <w:r w:rsidR="00CB4CEA">
        <w:rPr>
          <w:rFonts w:cs="Segoe UI"/>
        </w:rPr>
        <w:t xml:space="preserve"> </w:t>
      </w:r>
      <w:r>
        <w:rPr>
          <w:rFonts w:cs="Segoe UI"/>
        </w:rPr>
        <w:t>include sustained engagement with key stakeholders</w:t>
      </w:r>
      <w:r w:rsidR="00CB4CEA">
        <w:rPr>
          <w:rFonts w:cs="Segoe UI"/>
        </w:rPr>
        <w:t xml:space="preserve">, including </w:t>
      </w:r>
      <w:r>
        <w:rPr>
          <w:rFonts w:cs="Segoe UI"/>
        </w:rPr>
        <w:t>BreastScreen Australia’s clients</w:t>
      </w:r>
      <w:r w:rsidR="00CB4CEA">
        <w:rPr>
          <w:rFonts w:cs="Segoe UI"/>
        </w:rPr>
        <w:t>.</w:t>
      </w:r>
    </w:p>
    <w:p w14:paraId="585947AC" w14:textId="6B20DBFF" w:rsidR="00A56538" w:rsidRPr="00CE5E6F" w:rsidRDefault="00A56538" w:rsidP="009F4642">
      <w:pPr>
        <w:pStyle w:val="Bullet"/>
        <w:spacing w:line="360" w:lineRule="auto"/>
        <w:rPr>
          <w:rFonts w:ascii="Segoe UI Semibold" w:hAnsi="Segoe UI Semibold"/>
        </w:rPr>
      </w:pPr>
      <w:r w:rsidRPr="00A56538">
        <w:rPr>
          <w:rFonts w:ascii="Segoe UI Semibold" w:hAnsi="Segoe UI Semibold" w:cs="Segoe UI"/>
        </w:rPr>
        <w:t>Dignity</w:t>
      </w:r>
      <w:r>
        <w:rPr>
          <w:rFonts w:cs="Segoe UI"/>
        </w:rPr>
        <w:t xml:space="preserve"> –</w:t>
      </w:r>
      <w:r w:rsidR="00CB4CEA">
        <w:rPr>
          <w:rFonts w:cs="Segoe UI"/>
        </w:rPr>
        <w:t xml:space="preserve"> respect</w:t>
      </w:r>
      <w:r>
        <w:rPr>
          <w:rFonts w:cs="Segoe UI"/>
        </w:rPr>
        <w:t xml:space="preserve"> the rights, privacy, dignity, entitlements and knowledge of different stakeholder groups.</w:t>
      </w:r>
    </w:p>
    <w:p w14:paraId="741F713D" w14:textId="59FEBE29" w:rsidR="00FE7BF2" w:rsidRPr="00CE5E6F" w:rsidRDefault="00A95166" w:rsidP="009F4642">
      <w:pPr>
        <w:pStyle w:val="Bullet"/>
        <w:spacing w:line="360" w:lineRule="auto"/>
        <w:rPr>
          <w:rFonts w:ascii="Segoe UI Semibold" w:hAnsi="Segoe UI Semibold"/>
        </w:rPr>
      </w:pPr>
      <w:r w:rsidRPr="00A95166">
        <w:rPr>
          <w:rFonts w:ascii="Segoe UI Semibold" w:hAnsi="Segoe UI Semibold"/>
        </w:rPr>
        <w:t>Unintended</w:t>
      </w:r>
      <w:r w:rsidR="00FE7BF2" w:rsidRPr="00A95166">
        <w:rPr>
          <w:rFonts w:ascii="Segoe UI Semibold" w:hAnsi="Segoe UI Semibold"/>
        </w:rPr>
        <w:t xml:space="preserve"> consequences</w:t>
      </w:r>
      <w:r w:rsidR="00FE7BF2">
        <w:rPr>
          <w:rFonts w:ascii="Segoe UI Semibold" w:hAnsi="Segoe UI Semibold"/>
        </w:rPr>
        <w:t xml:space="preserve"> </w:t>
      </w:r>
      <w:r w:rsidR="00FE7BF2" w:rsidRPr="001610E0">
        <w:rPr>
          <w:rFonts w:cs="Segoe UI"/>
        </w:rPr>
        <w:t>–</w:t>
      </w:r>
      <w:r w:rsidR="00CB4CEA">
        <w:rPr>
          <w:rFonts w:cs="Segoe UI"/>
        </w:rPr>
        <w:t xml:space="preserve"> </w:t>
      </w:r>
      <w:r w:rsidR="00FE7BF2" w:rsidRPr="001610E0">
        <w:rPr>
          <w:rFonts w:cs="Segoe UI"/>
        </w:rPr>
        <w:t>consider negative consequences of the expansion including considering changes to participation in 50-69 year olds and the impact of the funding structure on States and Territories.</w:t>
      </w:r>
      <w:r w:rsidR="00FE7BF2">
        <w:rPr>
          <w:rFonts w:ascii="Segoe UI Semibold" w:hAnsi="Segoe UI Semibold"/>
        </w:rPr>
        <w:t xml:space="preserve"> </w:t>
      </w:r>
    </w:p>
    <w:p w14:paraId="7548369B" w14:textId="77777777" w:rsidR="00756727" w:rsidRDefault="00756727" w:rsidP="00756727">
      <w:pPr>
        <w:pStyle w:val="Heading2"/>
      </w:pPr>
      <w:bookmarkStart w:id="132" w:name="_Toc508896205"/>
      <w:bookmarkStart w:id="133" w:name="_Toc508898467"/>
      <w:bookmarkStart w:id="134" w:name="_Toc508915721"/>
      <w:bookmarkStart w:id="135" w:name="_Toc508963950"/>
      <w:bookmarkStart w:id="136" w:name="_Toc508966331"/>
      <w:bookmarkStart w:id="137" w:name="_Toc508975681"/>
      <w:bookmarkStart w:id="138" w:name="_Toc508976604"/>
      <w:bookmarkStart w:id="139" w:name="_Toc511383623"/>
      <w:bookmarkStart w:id="140" w:name="_Toc511383808"/>
      <w:bookmarkStart w:id="141" w:name="_Toc511393465"/>
      <w:bookmarkStart w:id="142" w:name="_Toc511656736"/>
      <w:bookmarkStart w:id="143" w:name="_Toc511656888"/>
      <w:bookmarkStart w:id="144" w:name="_Toc511661677"/>
      <w:bookmarkStart w:id="145" w:name="_Toc511725371"/>
      <w:bookmarkStart w:id="146" w:name="_Toc511728144"/>
      <w:bookmarkStart w:id="147" w:name="_Toc511733326"/>
      <w:bookmarkStart w:id="148" w:name="_Toc511739407"/>
      <w:bookmarkStart w:id="149" w:name="_Toc511743404"/>
      <w:bookmarkStart w:id="150" w:name="_Toc511809605"/>
      <w:bookmarkStart w:id="151" w:name="_Toc511809825"/>
      <w:bookmarkStart w:id="152" w:name="_Toc511896769"/>
      <w:bookmarkStart w:id="153" w:name="_Toc511899605"/>
      <w:bookmarkStart w:id="154" w:name="_Toc511904359"/>
      <w:bookmarkStart w:id="155" w:name="_Toc511908877"/>
      <w:bookmarkStart w:id="156" w:name="_Toc530577372"/>
      <w:r>
        <w:t>Program logic</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E63C57A" w14:textId="77777777" w:rsidR="00EE1936" w:rsidRDefault="009410BB" w:rsidP="009F4642">
      <w:pPr>
        <w:spacing w:line="360" w:lineRule="auto"/>
        <w:rPr>
          <w:lang w:eastAsia="en-AU"/>
        </w:rPr>
      </w:pPr>
      <w:r>
        <w:rPr>
          <w:lang w:eastAsia="en-AU"/>
        </w:rPr>
        <w:t>The</w:t>
      </w:r>
      <w:r w:rsidR="00EE1936">
        <w:rPr>
          <w:lang w:eastAsia="en-AU"/>
        </w:rPr>
        <w:t xml:space="preserve"> evaluation will be guided by a program logic model. The program logic model articulates the relationship between desired outcomes, and the required inputs, activities and outputs</w:t>
      </w:r>
      <w:r w:rsidR="00262438">
        <w:rPr>
          <w:lang w:eastAsia="en-AU"/>
        </w:rPr>
        <w:t>.</w:t>
      </w:r>
      <w:r w:rsidR="00A830F9">
        <w:rPr>
          <w:lang w:eastAsia="en-AU"/>
        </w:rPr>
        <w:t xml:space="preserve"> These relationships, and the underlying assumptions that support the theory of change, will be tested throughout the evaluation.</w:t>
      </w:r>
      <w:r w:rsidR="0035385D">
        <w:rPr>
          <w:lang w:eastAsia="en-AU"/>
        </w:rPr>
        <w:t xml:space="preserve"> </w:t>
      </w:r>
    </w:p>
    <w:p w14:paraId="049BCC30" w14:textId="63A19AB8" w:rsidR="004A2210" w:rsidRDefault="00CA34F6" w:rsidP="009F4642">
      <w:pPr>
        <w:spacing w:line="360" w:lineRule="auto"/>
        <w:rPr>
          <w:lang w:eastAsia="en-AU"/>
        </w:rPr>
        <w:sectPr w:rsidR="004A2210" w:rsidSect="004A0D08">
          <w:headerReference w:type="default" r:id="rId17"/>
          <w:footerReference w:type="default" r:id="rId18"/>
          <w:pgSz w:w="11907" w:h="16839" w:code="9"/>
          <w:pgMar w:top="1440" w:right="1440" w:bottom="1440" w:left="1440" w:header="720" w:footer="645" w:gutter="0"/>
          <w:pgNumType w:start="1"/>
          <w:cols w:space="720"/>
          <w:docGrid w:linePitch="360"/>
        </w:sectPr>
      </w:pPr>
      <w:r>
        <w:rPr>
          <w:lang w:eastAsia="en-AU"/>
        </w:rPr>
        <w:t>The program logic</w:t>
      </w:r>
      <w:r w:rsidR="00C018B0">
        <w:rPr>
          <w:lang w:eastAsia="en-AU"/>
        </w:rPr>
        <w:t xml:space="preserve"> guiding the evaluation</w:t>
      </w:r>
      <w:r>
        <w:rPr>
          <w:lang w:eastAsia="en-AU"/>
        </w:rPr>
        <w:t xml:space="preserve"> is provided in </w:t>
      </w:r>
      <w:r w:rsidR="00D0205F">
        <w:rPr>
          <w:lang w:eastAsia="en-AU"/>
        </w:rPr>
        <w:fldChar w:fldCharType="begin"/>
      </w:r>
      <w:r w:rsidR="00D0205F">
        <w:rPr>
          <w:lang w:eastAsia="en-AU"/>
        </w:rPr>
        <w:instrText xml:space="preserve"> REF _Ref508888442 \h </w:instrText>
      </w:r>
      <w:r w:rsidR="009F4642">
        <w:rPr>
          <w:lang w:eastAsia="en-AU"/>
        </w:rPr>
        <w:instrText xml:space="preserve"> \* MERGEFORMAT </w:instrText>
      </w:r>
      <w:r w:rsidR="00D0205F">
        <w:rPr>
          <w:lang w:eastAsia="en-AU"/>
        </w:rPr>
      </w:r>
      <w:r w:rsidR="00D0205F">
        <w:rPr>
          <w:lang w:eastAsia="en-AU"/>
        </w:rPr>
        <w:fldChar w:fldCharType="separate"/>
      </w:r>
      <w:r w:rsidR="000C023C">
        <w:t xml:space="preserve">Figure </w:t>
      </w:r>
      <w:r w:rsidR="000C023C">
        <w:rPr>
          <w:noProof/>
        </w:rPr>
        <w:t>1</w:t>
      </w:r>
      <w:r w:rsidR="00D0205F">
        <w:rPr>
          <w:lang w:eastAsia="en-AU"/>
        </w:rPr>
        <w:fldChar w:fldCharType="end"/>
      </w:r>
      <w:r>
        <w:rPr>
          <w:lang w:eastAsia="en-AU"/>
        </w:rPr>
        <w:t>.</w:t>
      </w:r>
      <w:r w:rsidR="0035385D">
        <w:rPr>
          <w:lang w:eastAsia="en-AU"/>
        </w:rPr>
        <w:t xml:space="preserve"> </w:t>
      </w:r>
      <w:bookmarkStart w:id="157" w:name="_Ref508876145"/>
      <w:r w:rsidR="0035385D">
        <w:rPr>
          <w:lang w:eastAsia="en-AU"/>
        </w:rPr>
        <w:t xml:space="preserve">While long-term outcomes are noted in the program logic theory of change, they are out-of-scope for the evaluation as noted in </w:t>
      </w:r>
      <w:r w:rsidR="0035385D">
        <w:rPr>
          <w:lang w:eastAsia="en-AU"/>
        </w:rPr>
        <w:fldChar w:fldCharType="begin"/>
      </w:r>
      <w:r w:rsidR="0035385D">
        <w:rPr>
          <w:lang w:eastAsia="en-AU"/>
        </w:rPr>
        <w:instrText xml:space="preserve"> REF _Ref508873615 \h </w:instrText>
      </w:r>
      <w:r w:rsidR="009F4642">
        <w:rPr>
          <w:lang w:eastAsia="en-AU"/>
        </w:rPr>
        <w:instrText xml:space="preserve"> \* MERGEFORMAT </w:instrText>
      </w:r>
      <w:r w:rsidR="0035385D">
        <w:rPr>
          <w:lang w:eastAsia="en-AU"/>
        </w:rPr>
      </w:r>
      <w:r w:rsidR="0035385D">
        <w:rPr>
          <w:lang w:eastAsia="en-AU"/>
        </w:rPr>
        <w:fldChar w:fldCharType="separate"/>
      </w:r>
      <w:r w:rsidR="000C023C">
        <w:t xml:space="preserve">Table </w:t>
      </w:r>
      <w:r w:rsidR="000C023C">
        <w:rPr>
          <w:noProof/>
        </w:rPr>
        <w:t>1</w:t>
      </w:r>
      <w:r w:rsidR="0035385D">
        <w:rPr>
          <w:lang w:eastAsia="en-AU"/>
        </w:rPr>
        <w:fldChar w:fldCharType="end"/>
      </w:r>
      <w:r w:rsidR="0035385D">
        <w:rPr>
          <w:lang w:eastAsia="en-AU"/>
        </w:rPr>
        <w:t>.</w:t>
      </w:r>
    </w:p>
    <w:p w14:paraId="67F51272" w14:textId="215409FE" w:rsidR="00301BA7" w:rsidRDefault="004A2210" w:rsidP="00295D4C">
      <w:pPr>
        <w:pStyle w:val="Caption"/>
      </w:pPr>
      <w:bookmarkStart w:id="158" w:name="_Ref508888442"/>
      <w:r>
        <w:lastRenderedPageBreak/>
        <w:t xml:space="preserve">Figure </w:t>
      </w:r>
      <w:r w:rsidR="0044084A">
        <w:fldChar w:fldCharType="begin"/>
      </w:r>
      <w:r w:rsidR="0044084A">
        <w:instrText xml:space="preserve"> SEQ Figure \* ARABIC </w:instrText>
      </w:r>
      <w:r w:rsidR="0044084A">
        <w:fldChar w:fldCharType="separate"/>
      </w:r>
      <w:r w:rsidR="000C023C">
        <w:rPr>
          <w:noProof/>
        </w:rPr>
        <w:t>1</w:t>
      </w:r>
      <w:r w:rsidR="0044084A">
        <w:fldChar w:fldCharType="end"/>
      </w:r>
      <w:bookmarkEnd w:id="158"/>
      <w:r>
        <w:t xml:space="preserve"> | Program logic for the evaluation</w:t>
      </w:r>
    </w:p>
    <w:p w14:paraId="3FD1846B" w14:textId="77777777" w:rsidR="00301BA7" w:rsidRPr="00301BA7" w:rsidRDefault="00295D4C" w:rsidP="00295D4C">
      <w:pPr>
        <w:jc w:val="center"/>
        <w:sectPr w:rsidR="00301BA7" w:rsidRPr="00301BA7" w:rsidSect="00847665">
          <w:pgSz w:w="16839" w:h="11907" w:orient="landscape" w:code="9"/>
          <w:pgMar w:top="851" w:right="1440" w:bottom="1134" w:left="1440" w:header="720" w:footer="645" w:gutter="0"/>
          <w:cols w:space="720"/>
          <w:docGrid w:linePitch="360"/>
        </w:sectPr>
      </w:pPr>
      <w:r>
        <w:rPr>
          <w:noProof/>
          <w:lang w:eastAsia="en-AU"/>
        </w:rPr>
        <w:drawing>
          <wp:inline distT="0" distB="0" distL="0" distR="0" wp14:anchorId="3E80BD8A" wp14:editId="729AFC94">
            <wp:extent cx="7970996" cy="5712031"/>
            <wp:effectExtent l="0" t="0" r="0" b="3175"/>
            <wp:docPr id="2" name="Picture 2" descr="Detailed diagram describing the program logic for the evaluation. It includes: 1) theory of change 2) inputs, 3) activities, 4) outputs, 5) short- and medium-term outcomes, 6) long-term outcomes, 7) assumptions underpinning the theory of change and program logic, and 8) risks or potential unintended conseq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70996" cy="5712031"/>
                    </a:xfrm>
                    <a:prstGeom prst="rect">
                      <a:avLst/>
                    </a:prstGeom>
                    <a:noFill/>
                  </pic:spPr>
                </pic:pic>
              </a:graphicData>
            </a:graphic>
          </wp:inline>
        </w:drawing>
      </w:r>
    </w:p>
    <w:p w14:paraId="63D1D104" w14:textId="124441C3" w:rsidR="0049076F" w:rsidRPr="00604BF4" w:rsidRDefault="0049076F" w:rsidP="00B046AF">
      <w:pPr>
        <w:pStyle w:val="Heading1"/>
      </w:pPr>
      <w:bookmarkStart w:id="159" w:name="_Ref511724618"/>
      <w:bookmarkStart w:id="160" w:name="_Ref511724938"/>
      <w:bookmarkStart w:id="161" w:name="_Ref511725002"/>
      <w:bookmarkStart w:id="162" w:name="_Toc511725372"/>
      <w:bookmarkStart w:id="163" w:name="_Toc511728145"/>
      <w:bookmarkStart w:id="164" w:name="_Toc511733327"/>
      <w:bookmarkStart w:id="165" w:name="_Toc511739408"/>
      <w:bookmarkStart w:id="166" w:name="_Toc511743405"/>
      <w:bookmarkStart w:id="167" w:name="_Toc511809606"/>
      <w:bookmarkStart w:id="168" w:name="_Toc511809826"/>
      <w:bookmarkStart w:id="169" w:name="_Toc511896770"/>
      <w:bookmarkStart w:id="170" w:name="_Toc511899606"/>
      <w:bookmarkStart w:id="171" w:name="_Toc511904360"/>
      <w:bookmarkStart w:id="172" w:name="_Toc511908878"/>
      <w:bookmarkStart w:id="173" w:name="_Toc530577373"/>
      <w:bookmarkStart w:id="174" w:name="_Ref510511008"/>
      <w:bookmarkStart w:id="175" w:name="_Ref511106575"/>
      <w:bookmarkStart w:id="176" w:name="_Toc511383624"/>
      <w:bookmarkStart w:id="177" w:name="_Toc511383809"/>
      <w:bookmarkStart w:id="178" w:name="_Toc511393466"/>
      <w:bookmarkStart w:id="179" w:name="_Toc511656737"/>
      <w:bookmarkStart w:id="180" w:name="_Toc511656889"/>
      <w:bookmarkStart w:id="181" w:name="_Toc511661678"/>
      <w:bookmarkStart w:id="182" w:name="_Ref511723469"/>
      <w:bookmarkStart w:id="183" w:name="_Ref511723492"/>
      <w:bookmarkEnd w:id="157"/>
      <w:r w:rsidRPr="00604BF4">
        <w:lastRenderedPageBreak/>
        <w:t>Key lines of enquiry</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604BF4">
        <w:t xml:space="preserve"> </w:t>
      </w:r>
      <w:bookmarkEnd w:id="174"/>
      <w:bookmarkEnd w:id="175"/>
      <w:bookmarkEnd w:id="176"/>
      <w:bookmarkEnd w:id="177"/>
      <w:bookmarkEnd w:id="178"/>
      <w:bookmarkEnd w:id="179"/>
      <w:bookmarkEnd w:id="180"/>
      <w:bookmarkEnd w:id="181"/>
      <w:bookmarkEnd w:id="182"/>
      <w:bookmarkEnd w:id="183"/>
    </w:p>
    <w:p w14:paraId="034C5F9F" w14:textId="718DD259" w:rsidR="0044084A" w:rsidRDefault="00604BF4" w:rsidP="009F4642">
      <w:pPr>
        <w:spacing w:line="360" w:lineRule="auto"/>
        <w:rPr>
          <w:lang w:eastAsia="en-AU"/>
        </w:rPr>
      </w:pPr>
      <w:r w:rsidRPr="00604BF4">
        <w:rPr>
          <w:lang w:eastAsia="en-AU"/>
        </w:rPr>
        <w:t>Three</w:t>
      </w:r>
      <w:r w:rsidR="0049076F" w:rsidRPr="00604BF4">
        <w:rPr>
          <w:lang w:eastAsia="en-AU"/>
        </w:rPr>
        <w:t xml:space="preserve"> key lines of enquiry will guide and structure evaluation activities. </w:t>
      </w:r>
      <w:r w:rsidR="0044084A">
        <w:rPr>
          <w:lang w:eastAsia="en-AU"/>
        </w:rPr>
        <w:t xml:space="preserve">These have been mapped to the elements of the program logic, as shown in </w:t>
      </w:r>
      <w:r w:rsidR="0044084A">
        <w:rPr>
          <w:lang w:eastAsia="en-AU"/>
        </w:rPr>
        <w:fldChar w:fldCharType="begin"/>
      </w:r>
      <w:r w:rsidR="0044084A">
        <w:rPr>
          <w:lang w:eastAsia="en-AU"/>
        </w:rPr>
        <w:instrText xml:space="preserve"> REF _Ref514913427 \h </w:instrText>
      </w:r>
      <w:r w:rsidR="009F4642">
        <w:rPr>
          <w:lang w:eastAsia="en-AU"/>
        </w:rPr>
        <w:instrText xml:space="preserve"> \* MERGEFORMAT </w:instrText>
      </w:r>
      <w:r w:rsidR="0044084A">
        <w:rPr>
          <w:lang w:eastAsia="en-AU"/>
        </w:rPr>
      </w:r>
      <w:r w:rsidR="0044084A">
        <w:rPr>
          <w:lang w:eastAsia="en-AU"/>
        </w:rPr>
        <w:fldChar w:fldCharType="separate"/>
      </w:r>
      <w:r w:rsidR="000C023C">
        <w:t xml:space="preserve">Figure </w:t>
      </w:r>
      <w:r w:rsidR="000C023C">
        <w:rPr>
          <w:noProof/>
        </w:rPr>
        <w:t>2</w:t>
      </w:r>
      <w:r w:rsidR="0044084A">
        <w:rPr>
          <w:lang w:eastAsia="en-AU"/>
        </w:rPr>
        <w:fldChar w:fldCharType="end"/>
      </w:r>
      <w:r w:rsidR="0044084A">
        <w:rPr>
          <w:lang w:eastAsia="en-AU"/>
        </w:rPr>
        <w:t xml:space="preserve"> below.</w:t>
      </w:r>
    </w:p>
    <w:p w14:paraId="23FD1015" w14:textId="3E349B01" w:rsidR="0044084A" w:rsidRDefault="0044084A" w:rsidP="0044084A">
      <w:pPr>
        <w:pStyle w:val="Caption"/>
      </w:pPr>
      <w:bookmarkStart w:id="184" w:name="_Ref514913427"/>
      <w:r>
        <w:t xml:space="preserve">Figure </w:t>
      </w:r>
      <w:r>
        <w:fldChar w:fldCharType="begin"/>
      </w:r>
      <w:r>
        <w:instrText xml:space="preserve"> SEQ Figure \* ARABIC </w:instrText>
      </w:r>
      <w:r>
        <w:fldChar w:fldCharType="separate"/>
      </w:r>
      <w:r w:rsidR="000C023C">
        <w:rPr>
          <w:noProof/>
        </w:rPr>
        <w:t>2</w:t>
      </w:r>
      <w:r>
        <w:fldChar w:fldCharType="end"/>
      </w:r>
      <w:bookmarkEnd w:id="184"/>
      <w:r>
        <w:t xml:space="preserve"> | Alignment of the program logic and </w:t>
      </w:r>
      <w:r w:rsidR="006A6F56">
        <w:t>the key lines of enquiry</w:t>
      </w:r>
    </w:p>
    <w:p w14:paraId="1D8BCF2C" w14:textId="31FFFD10" w:rsidR="00976F0F" w:rsidRDefault="00EE780F" w:rsidP="0049076F">
      <w:pPr>
        <w:rPr>
          <w:lang w:eastAsia="en-AU"/>
        </w:rPr>
      </w:pPr>
      <w:r>
        <w:rPr>
          <w:noProof/>
          <w:lang w:eastAsia="en-AU"/>
        </w:rPr>
        <w:drawing>
          <wp:inline distT="0" distB="0" distL="0" distR="0" wp14:anchorId="331846A6" wp14:editId="3F54951C">
            <wp:extent cx="5732145" cy="3099631"/>
            <wp:effectExtent l="0" t="0" r="3175" b="0"/>
            <wp:docPr id="47" name="Picture 47" descr="Describes how the program logic aligns with the key lines of enquiry.&#10;&#10;The Key Lines of Enquiry are:&#10;1) How effective have the implementation processes and activities supporting the expansion been?&#10;&#10;2) How effective has the program expansion been in increasing screening participation rates of women in the age group 70-74 years, and what have been the key barriers and enablers&#10;&#10;3) What opportunities are there to improve or strengthen the participation in screening women in the age group 70 to 74 years?&#10;&#10;These are aligned with the program logic: inputs, activities, outputs, short- and medium-term outcomes, and long term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2145" cy="3099631"/>
                    </a:xfrm>
                    <a:prstGeom prst="rect">
                      <a:avLst/>
                    </a:prstGeom>
                    <a:noFill/>
                  </pic:spPr>
                </pic:pic>
              </a:graphicData>
            </a:graphic>
          </wp:inline>
        </w:drawing>
      </w:r>
    </w:p>
    <w:p w14:paraId="2A626076" w14:textId="05BB1FE4" w:rsidR="00976F0F" w:rsidRDefault="00976F0F" w:rsidP="0049076F">
      <w:pPr>
        <w:rPr>
          <w:lang w:eastAsia="en-AU"/>
        </w:rPr>
      </w:pPr>
    </w:p>
    <w:p w14:paraId="3582C322" w14:textId="77777777" w:rsidR="00756727" w:rsidRDefault="00FF17A4" w:rsidP="00756727">
      <w:pPr>
        <w:pStyle w:val="Heading1"/>
      </w:pPr>
      <w:bookmarkStart w:id="185" w:name="_Toc508896207"/>
      <w:bookmarkStart w:id="186" w:name="_Toc508898469"/>
      <w:bookmarkStart w:id="187" w:name="_Toc508963952"/>
      <w:bookmarkStart w:id="188" w:name="_Toc508966333"/>
      <w:bookmarkStart w:id="189" w:name="_Toc508975683"/>
      <w:bookmarkStart w:id="190" w:name="_Toc508976606"/>
      <w:bookmarkStart w:id="191" w:name="_Ref511115667"/>
      <w:bookmarkStart w:id="192" w:name="_Toc511383625"/>
      <w:bookmarkStart w:id="193" w:name="_Toc511383810"/>
      <w:bookmarkStart w:id="194" w:name="_Toc511393467"/>
      <w:bookmarkStart w:id="195" w:name="_Toc511656738"/>
      <w:bookmarkStart w:id="196" w:name="_Toc511656890"/>
      <w:bookmarkStart w:id="197" w:name="_Toc511661679"/>
      <w:bookmarkStart w:id="198" w:name="_Toc511725373"/>
      <w:bookmarkStart w:id="199" w:name="_Toc511728146"/>
      <w:bookmarkStart w:id="200" w:name="_Toc511733328"/>
      <w:bookmarkStart w:id="201" w:name="_Toc511739409"/>
      <w:bookmarkStart w:id="202" w:name="_Toc511743406"/>
      <w:bookmarkStart w:id="203" w:name="_Toc511809607"/>
      <w:bookmarkStart w:id="204" w:name="_Toc511809827"/>
      <w:bookmarkStart w:id="205" w:name="_Toc511896771"/>
      <w:bookmarkStart w:id="206" w:name="_Toc511899607"/>
      <w:bookmarkStart w:id="207" w:name="_Toc511904361"/>
      <w:bookmarkStart w:id="208" w:name="_Toc511908879"/>
      <w:bookmarkStart w:id="209" w:name="_Toc530577374"/>
      <w:bookmarkStart w:id="210" w:name="_Toc508915723"/>
      <w:r>
        <w:lastRenderedPageBreak/>
        <w:t>Evaluation</w:t>
      </w:r>
      <w:r w:rsidR="00756727">
        <w:t xml:space="preserve"> </w:t>
      </w:r>
      <w:r w:rsidR="00B94595">
        <w:t>methodology</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24F650AC" w14:textId="15D75154" w:rsidR="00E87D90" w:rsidRPr="006D3FB8" w:rsidRDefault="004F64FE" w:rsidP="009F4642">
      <w:pPr>
        <w:spacing w:line="360" w:lineRule="auto"/>
        <w:rPr>
          <w:lang w:eastAsia="en-AU"/>
        </w:rPr>
      </w:pPr>
      <w:r>
        <w:rPr>
          <w:lang w:eastAsia="en-AU"/>
        </w:rPr>
        <w:t xml:space="preserve">This section describes key elements of how the evaluation </w:t>
      </w:r>
      <w:r w:rsidR="00D34EE3">
        <w:rPr>
          <w:lang w:eastAsia="en-AU"/>
        </w:rPr>
        <w:t xml:space="preserve">methodology </w:t>
      </w:r>
      <w:r>
        <w:rPr>
          <w:lang w:eastAsia="en-AU"/>
        </w:rPr>
        <w:t xml:space="preserve">will be organised and conducted. It includes </w:t>
      </w:r>
      <w:r w:rsidR="00D34EE3">
        <w:rPr>
          <w:lang w:eastAsia="en-AU"/>
        </w:rPr>
        <w:t>key activities,</w:t>
      </w:r>
      <w:r w:rsidR="00AD1F1A">
        <w:rPr>
          <w:lang w:eastAsia="en-AU"/>
        </w:rPr>
        <w:t xml:space="preserve"> </w:t>
      </w:r>
      <w:r>
        <w:rPr>
          <w:lang w:eastAsia="en-AU"/>
        </w:rPr>
        <w:t xml:space="preserve">project management, </w:t>
      </w:r>
      <w:r w:rsidR="00AD1F1A">
        <w:rPr>
          <w:lang w:eastAsia="en-AU"/>
        </w:rPr>
        <w:t xml:space="preserve">and </w:t>
      </w:r>
      <w:r w:rsidR="00935689">
        <w:rPr>
          <w:lang w:eastAsia="en-AU"/>
        </w:rPr>
        <w:t>timelines</w:t>
      </w:r>
      <w:r w:rsidR="00AD1F1A">
        <w:rPr>
          <w:lang w:eastAsia="en-AU"/>
        </w:rPr>
        <w:t>.</w:t>
      </w:r>
      <w:r w:rsidR="00000AE3">
        <w:rPr>
          <w:lang w:eastAsia="en-AU"/>
        </w:rPr>
        <w:t xml:space="preserve"> </w:t>
      </w:r>
      <w:r w:rsidR="00E87D90" w:rsidRPr="00EB1CAB">
        <w:fldChar w:fldCharType="begin"/>
      </w:r>
      <w:r w:rsidR="00E87D90" w:rsidRPr="00EB1CAB">
        <w:instrText xml:space="preserve"> REF _Ref508894230 \h </w:instrText>
      </w:r>
      <w:r w:rsidR="009F4642">
        <w:instrText xml:space="preserve"> \* MERGEFORMAT </w:instrText>
      </w:r>
      <w:r w:rsidR="00E87D90" w:rsidRPr="00EB1CAB">
        <w:fldChar w:fldCharType="separate"/>
      </w:r>
      <w:r w:rsidR="000C023C">
        <w:rPr>
          <w:b/>
          <w:bCs/>
          <w:lang w:val="en-US"/>
        </w:rPr>
        <w:t>Error! Reference source not found.</w:t>
      </w:r>
      <w:r w:rsidR="00E87D90" w:rsidRPr="00EB1CAB">
        <w:fldChar w:fldCharType="end"/>
      </w:r>
      <w:r w:rsidR="00E87D90" w:rsidRPr="00EB1CAB">
        <w:t xml:space="preserve"> summarises the timing, activities and deliverables of the evaluation.</w:t>
      </w:r>
      <w:r w:rsidR="00E87D90">
        <w:t xml:space="preserve"> </w:t>
      </w:r>
    </w:p>
    <w:p w14:paraId="27E84AD2" w14:textId="05CA33D4" w:rsidR="00C422A2" w:rsidRDefault="00C422A2" w:rsidP="00C422A2">
      <w:pPr>
        <w:pStyle w:val="Caption"/>
      </w:pPr>
      <w:r>
        <w:t xml:space="preserve">Table </w:t>
      </w:r>
      <w:r>
        <w:fldChar w:fldCharType="begin"/>
      </w:r>
      <w:r>
        <w:instrText xml:space="preserve"> SEQ Table \* ARABIC </w:instrText>
      </w:r>
      <w:r>
        <w:fldChar w:fldCharType="separate"/>
      </w:r>
      <w:r w:rsidR="000C023C">
        <w:rPr>
          <w:noProof/>
        </w:rPr>
        <w:t>2</w:t>
      </w:r>
      <w:r>
        <w:fldChar w:fldCharType="end"/>
      </w:r>
      <w:r>
        <w:t xml:space="preserve"> | </w:t>
      </w:r>
      <w:r w:rsidRPr="00265A63">
        <w:t>Four-stage methodology to deliver the evaluation</w:t>
      </w:r>
    </w:p>
    <w:tbl>
      <w:tblPr>
        <w:tblStyle w:val="NOUSSideTable"/>
        <w:tblW w:w="0" w:type="auto"/>
        <w:tblInd w:w="-30" w:type="dxa"/>
        <w:tblLook w:val="04A0" w:firstRow="1" w:lastRow="0" w:firstColumn="1" w:lastColumn="0" w:noHBand="0" w:noVBand="1"/>
        <w:tblDescription w:val="Four-stage methodology to deliver the evaluation"/>
      </w:tblPr>
      <w:tblGrid>
        <w:gridCol w:w="1181"/>
        <w:gridCol w:w="2196"/>
        <w:gridCol w:w="1939"/>
        <w:gridCol w:w="1863"/>
        <w:gridCol w:w="2048"/>
      </w:tblGrid>
      <w:tr w:rsidR="00CF46C5" w14:paraId="58E6EA16"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0" w:type="auto"/>
          </w:tcPr>
          <w:p w14:paraId="3D4B1079" w14:textId="55A6112F" w:rsidR="00936A83" w:rsidRDefault="00936A83" w:rsidP="00936A83">
            <w:pPr>
              <w:pStyle w:val="TableNheader"/>
            </w:pPr>
            <w:r>
              <w:t>Date</w:t>
            </w:r>
          </w:p>
        </w:tc>
        <w:tc>
          <w:tcPr>
            <w:tcW w:w="0" w:type="auto"/>
          </w:tcPr>
          <w:p w14:paraId="7D272B8B" w14:textId="50BEA84A"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January 2018 –  September 2018</w:t>
            </w:r>
          </w:p>
        </w:tc>
        <w:tc>
          <w:tcPr>
            <w:tcW w:w="0" w:type="auto"/>
          </w:tcPr>
          <w:p w14:paraId="62BE6B9B" w14:textId="1F47501B"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September 2018 –  August 2019</w:t>
            </w:r>
          </w:p>
        </w:tc>
        <w:tc>
          <w:tcPr>
            <w:tcW w:w="0" w:type="auto"/>
          </w:tcPr>
          <w:p w14:paraId="3E32F9BE" w14:textId="52E26630"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August 2019 –  August 2020</w:t>
            </w:r>
          </w:p>
        </w:tc>
        <w:tc>
          <w:tcPr>
            <w:tcW w:w="0" w:type="auto"/>
          </w:tcPr>
          <w:p w14:paraId="44A3BF19" w14:textId="1BBC251D"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 xml:space="preserve">September 2020 – June 2021 </w:t>
            </w:r>
          </w:p>
        </w:tc>
      </w:tr>
      <w:tr w:rsidR="00CF46C5" w14:paraId="238A4AC2"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0" w:type="auto"/>
          </w:tcPr>
          <w:p w14:paraId="55667CB4" w14:textId="0754B089" w:rsidR="00936A83" w:rsidRDefault="00936A83" w:rsidP="00936A83">
            <w:pPr>
              <w:pStyle w:val="TableNheader"/>
            </w:pPr>
            <w:r>
              <w:t>Stage</w:t>
            </w:r>
          </w:p>
        </w:tc>
        <w:tc>
          <w:tcPr>
            <w:tcW w:w="0" w:type="auto"/>
          </w:tcPr>
          <w:p w14:paraId="2DAF3D30" w14:textId="69636540"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Stage 1: Design Evaluation</w:t>
            </w:r>
          </w:p>
        </w:tc>
        <w:tc>
          <w:tcPr>
            <w:tcW w:w="0" w:type="auto"/>
          </w:tcPr>
          <w:p w14:paraId="36CB2332" w14:textId="62F66504"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Stage 2: Analyse current progress</w:t>
            </w:r>
          </w:p>
        </w:tc>
        <w:tc>
          <w:tcPr>
            <w:tcW w:w="0" w:type="auto"/>
          </w:tcPr>
          <w:p w14:paraId="2A11F6F4" w14:textId="07FA01CA"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Stage 3: Monitor improvement and early impact</w:t>
            </w:r>
          </w:p>
        </w:tc>
        <w:tc>
          <w:tcPr>
            <w:tcW w:w="0" w:type="auto"/>
          </w:tcPr>
          <w:p w14:paraId="0E3BB48D" w14:textId="38C417DD" w:rsidR="00936A83" w:rsidRPr="00936A83" w:rsidRDefault="00936A83" w:rsidP="00936A83">
            <w:pPr>
              <w:pStyle w:val="TableExpText"/>
              <w:cnfStyle w:val="000000000000" w:firstRow="0" w:lastRow="0" w:firstColumn="0" w:lastColumn="0" w:oddVBand="0" w:evenVBand="0" w:oddHBand="0" w:evenHBand="0" w:firstRowFirstColumn="0" w:firstRowLastColumn="0" w:lastRowFirstColumn="0" w:lastRowLastColumn="0"/>
            </w:pPr>
            <w:r w:rsidRPr="00936A83">
              <w:t>Stage 4: Deliver final report and recommendations</w:t>
            </w:r>
          </w:p>
        </w:tc>
      </w:tr>
      <w:tr w:rsidR="00CF46C5" w14:paraId="6AE4E32B"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0" w:type="auto"/>
          </w:tcPr>
          <w:p w14:paraId="4666D6AF" w14:textId="520D1BF0" w:rsidR="00936A83" w:rsidRDefault="00936A83" w:rsidP="00936A83">
            <w:pPr>
              <w:pStyle w:val="TableNheader"/>
            </w:pPr>
            <w:r>
              <w:t>Activities</w:t>
            </w:r>
          </w:p>
        </w:tc>
        <w:tc>
          <w:tcPr>
            <w:tcW w:w="0" w:type="auto"/>
          </w:tcPr>
          <w:p w14:paraId="0168FAD0" w14:textId="77777777" w:rsidR="00936A83" w:rsidRPr="00CF46C5" w:rsidRDefault="00936A83"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Initiate the evaluation</w:t>
            </w:r>
          </w:p>
          <w:p w14:paraId="728D2C76" w14:textId="77777777" w:rsidR="00936A83" w:rsidRPr="00CF46C5" w:rsidRDefault="00936A83"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environment scan of stakeholders and data, including targeted interviews</w:t>
            </w:r>
          </w:p>
          <w:p w14:paraId="16719E41" w14:textId="77777777" w:rsidR="00936A83" w:rsidRPr="00CF46C5" w:rsidRDefault="00936A83"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Confirm ethics requirements</w:t>
            </w:r>
          </w:p>
          <w:p w14:paraId="78A08CF5" w14:textId="77777777" w:rsidR="00936A83" w:rsidRPr="00CF46C5" w:rsidRDefault="00936A83"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Develop and test draft Evaluation Plan, including sampling and recruitment approach, data collection tools and risk management plan</w:t>
            </w:r>
          </w:p>
          <w:p w14:paraId="0B62BD89" w14:textId="0ABB3058" w:rsidR="00936A83" w:rsidRPr="00CF46C5" w:rsidRDefault="00936A83"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Finalise and submit the Evaluation Plan and ethics application</w:t>
            </w:r>
          </w:p>
        </w:tc>
        <w:tc>
          <w:tcPr>
            <w:tcW w:w="0" w:type="auto"/>
          </w:tcPr>
          <w:p w14:paraId="6D45C93F"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review of existing consumer experience information and data</w:t>
            </w:r>
          </w:p>
          <w:p w14:paraId="5B901DF9"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review of international comparators</w:t>
            </w:r>
          </w:p>
          <w:p w14:paraId="6A5F3835"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online national survey of BreastScreen Australia program staff and broad stakeholder groups</w:t>
            </w:r>
          </w:p>
          <w:p w14:paraId="42488757"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Collect and analyse quantitative program usage, cost and other data</w:t>
            </w:r>
          </w:p>
          <w:p w14:paraId="1B1FFD67"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consultations with government, Program Managers and BreastScreen Australia staff</w:t>
            </w:r>
          </w:p>
          <w:p w14:paraId="6E11DBB7"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 xml:space="preserve">Conduct baseline cost analysis </w:t>
            </w:r>
          </w:p>
          <w:p w14:paraId="660DE811" w14:textId="6F77CFD2"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Interim Findings Report 1</w:t>
            </w:r>
          </w:p>
        </w:tc>
        <w:tc>
          <w:tcPr>
            <w:tcW w:w="0" w:type="auto"/>
          </w:tcPr>
          <w:p w14:paraId="68157EA8"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Update desktop review of relevant program contextual information</w:t>
            </w:r>
          </w:p>
          <w:p w14:paraId="7B4DD586"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surveys and consultations with BreastScreen Australia clients</w:t>
            </w:r>
          </w:p>
          <w:p w14:paraId="7EFC6695"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 xml:space="preserve">Conduct follow-up survey of BreastScreen program staff and broad stakeholder groups </w:t>
            </w:r>
          </w:p>
          <w:p w14:paraId="0877BF3D"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Interim Findings Report 2</w:t>
            </w:r>
          </w:p>
          <w:p w14:paraId="2E2D910D"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Update quantitative analysis on program use and client demographics</w:t>
            </w:r>
          </w:p>
          <w:p w14:paraId="4CDB0229"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Conduct follow-up consultations with governments, Program Managers and BreastScreen staff and clients</w:t>
            </w:r>
          </w:p>
          <w:p w14:paraId="3E8CAFF7" w14:textId="6732F3E3"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Interim Findings Report 3</w:t>
            </w:r>
          </w:p>
        </w:tc>
        <w:tc>
          <w:tcPr>
            <w:tcW w:w="0" w:type="auto"/>
          </w:tcPr>
          <w:p w14:paraId="2F582A32"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Synthesise qualitative and quantitative data, including final cost analysis, to develop draft findings</w:t>
            </w:r>
          </w:p>
          <w:p w14:paraId="411ABA73"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Update review of international comparators</w:t>
            </w:r>
          </w:p>
          <w:p w14:paraId="399AA4FE"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 xml:space="preserve">Hold working session with DOH to test findings and options </w:t>
            </w:r>
          </w:p>
          <w:p w14:paraId="5FE451BB"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Develop Draft Report</w:t>
            </w:r>
          </w:p>
          <w:p w14:paraId="37372BF4"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 xml:space="preserve">Test and iterate findings and recommendations with Department </w:t>
            </w:r>
          </w:p>
          <w:p w14:paraId="1F6B2163"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Submit Final Report</w:t>
            </w:r>
          </w:p>
          <w:p w14:paraId="36475DC3" w14:textId="52B5B199" w:rsidR="00CF46C5" w:rsidRPr="00CF46C5" w:rsidRDefault="00CF46C5" w:rsidP="00CF46C5">
            <w:pPr>
              <w:pStyle w:val="TableExpBullet"/>
              <w:numPr>
                <w:ilvl w:val="0"/>
                <w:numId w:val="0"/>
              </w:numPr>
              <w:ind w:left="227"/>
              <w:cnfStyle w:val="000000000000" w:firstRow="0" w:lastRow="0" w:firstColumn="0" w:lastColumn="0" w:oddVBand="0" w:evenVBand="0" w:oddHBand="0" w:evenHBand="0" w:firstRowFirstColumn="0" w:firstRowLastColumn="0" w:lastRowFirstColumn="0" w:lastRowLastColumn="0"/>
            </w:pPr>
          </w:p>
        </w:tc>
      </w:tr>
      <w:tr w:rsidR="00CF46C5" w14:paraId="315DE024"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0" w:type="auto"/>
          </w:tcPr>
          <w:p w14:paraId="04BF233A" w14:textId="6C892A86" w:rsidR="00936A83" w:rsidRDefault="00936A83" w:rsidP="00936A83">
            <w:pPr>
              <w:pStyle w:val="TableNheader"/>
            </w:pPr>
            <w:r>
              <w:t>Key deliverables</w:t>
            </w:r>
          </w:p>
        </w:tc>
        <w:tc>
          <w:tcPr>
            <w:tcW w:w="0" w:type="auto"/>
          </w:tcPr>
          <w:p w14:paraId="7568D798"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Drat Evaluation Plan, including environment scan and survey/interview questions</w:t>
            </w:r>
          </w:p>
          <w:p w14:paraId="56DBB31A" w14:textId="77777777"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Final Evaluation Plan</w:t>
            </w:r>
          </w:p>
          <w:p w14:paraId="69EBE6F3" w14:textId="56A31CA2"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Ethics application</w:t>
            </w:r>
          </w:p>
        </w:tc>
        <w:tc>
          <w:tcPr>
            <w:tcW w:w="0" w:type="auto"/>
          </w:tcPr>
          <w:p w14:paraId="765B61D5"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International Comparator Review</w:t>
            </w:r>
          </w:p>
          <w:p w14:paraId="1A07DBB6" w14:textId="6F2CE9B1"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 xml:space="preserve">Interim Findings Report 1 </w:t>
            </w:r>
          </w:p>
        </w:tc>
        <w:tc>
          <w:tcPr>
            <w:tcW w:w="0" w:type="auto"/>
          </w:tcPr>
          <w:p w14:paraId="670E4637"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Interim Findings Report 2</w:t>
            </w:r>
          </w:p>
          <w:p w14:paraId="3A848A04" w14:textId="432AF4FE"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Interim Findings Report 3</w:t>
            </w:r>
          </w:p>
        </w:tc>
        <w:tc>
          <w:tcPr>
            <w:tcW w:w="0" w:type="auto"/>
          </w:tcPr>
          <w:p w14:paraId="056B75F8" w14:textId="77777777" w:rsidR="00936A83"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Draft Final Report, including update review of international comparators</w:t>
            </w:r>
          </w:p>
          <w:p w14:paraId="09AF9E70" w14:textId="260D5C35" w:rsidR="00CF46C5" w:rsidRPr="00CF46C5" w:rsidRDefault="00CF46C5" w:rsidP="00CF46C5">
            <w:pPr>
              <w:pStyle w:val="TableExpBullet"/>
              <w:cnfStyle w:val="000000000000" w:firstRow="0" w:lastRow="0" w:firstColumn="0" w:lastColumn="0" w:oddVBand="0" w:evenVBand="0" w:oddHBand="0" w:evenHBand="0" w:firstRowFirstColumn="0" w:firstRowLastColumn="0" w:lastRowFirstColumn="0" w:lastRowLastColumn="0"/>
            </w:pPr>
            <w:r w:rsidRPr="00CF46C5">
              <w:t>Final Report</w:t>
            </w:r>
          </w:p>
        </w:tc>
      </w:tr>
    </w:tbl>
    <w:p w14:paraId="26D21138" w14:textId="77777777" w:rsidR="006461B6" w:rsidRPr="006461B6" w:rsidRDefault="006461B6" w:rsidP="006461B6"/>
    <w:p w14:paraId="4F3E4DA0" w14:textId="77777777" w:rsidR="00AE45CF" w:rsidRDefault="00266846" w:rsidP="009F4642">
      <w:pPr>
        <w:spacing w:line="360" w:lineRule="auto"/>
        <w:rPr>
          <w:lang w:eastAsia="en-AU"/>
        </w:rPr>
      </w:pPr>
      <w:bookmarkStart w:id="211" w:name="_Toc497485842"/>
      <w:bookmarkStart w:id="212" w:name="_Ref508888729"/>
      <w:r>
        <w:rPr>
          <w:lang w:eastAsia="en-AU"/>
        </w:rPr>
        <w:lastRenderedPageBreak/>
        <w:t>P</w:t>
      </w:r>
      <w:r w:rsidR="00DC20E4">
        <w:rPr>
          <w:lang w:eastAsia="en-AU"/>
        </w:rPr>
        <w:t xml:space="preserve">roject management and planning tools </w:t>
      </w:r>
      <w:r>
        <w:rPr>
          <w:lang w:eastAsia="en-AU"/>
        </w:rPr>
        <w:t xml:space="preserve">will be employed </w:t>
      </w:r>
      <w:r w:rsidR="00DC20E4">
        <w:rPr>
          <w:lang w:eastAsia="en-AU"/>
        </w:rPr>
        <w:t xml:space="preserve">to ensure the evaluation is delivered within timeframes, within budget and to scope. This includes </w:t>
      </w:r>
      <w:r w:rsidR="00AE798A">
        <w:rPr>
          <w:lang w:eastAsia="en-AU"/>
        </w:rPr>
        <w:t xml:space="preserve">a project plan setting out activities and milestones, a communications plan, a stakeholder engagement plan, a data collection plan and </w:t>
      </w:r>
      <w:r w:rsidR="001D5118">
        <w:rPr>
          <w:lang w:eastAsia="en-AU"/>
        </w:rPr>
        <w:t xml:space="preserve">a </w:t>
      </w:r>
      <w:r w:rsidR="00AE798A">
        <w:rPr>
          <w:lang w:eastAsia="en-AU"/>
        </w:rPr>
        <w:t>risk management</w:t>
      </w:r>
      <w:r w:rsidR="001D5118">
        <w:rPr>
          <w:lang w:eastAsia="en-AU"/>
        </w:rPr>
        <w:t xml:space="preserve"> plan</w:t>
      </w:r>
      <w:r w:rsidR="00AE798A">
        <w:rPr>
          <w:lang w:eastAsia="en-AU"/>
        </w:rPr>
        <w:t>.</w:t>
      </w:r>
    </w:p>
    <w:p w14:paraId="2F09A4FB" w14:textId="57EA369F" w:rsidR="00AA299B" w:rsidRPr="00A6613A" w:rsidRDefault="00AA299B" w:rsidP="009F4642">
      <w:pPr>
        <w:spacing w:line="360" w:lineRule="auto"/>
        <w:rPr>
          <w:lang w:eastAsia="en-AU"/>
        </w:rPr>
      </w:pPr>
      <w:r>
        <w:br w:type="page"/>
      </w:r>
    </w:p>
    <w:p w14:paraId="200B0FAC" w14:textId="77777777" w:rsidR="00AA299B" w:rsidRDefault="00AA299B" w:rsidP="00AA299B">
      <w:pPr>
        <w:sectPr w:rsidR="00AA299B" w:rsidSect="00847665">
          <w:pgSz w:w="11907" w:h="16839" w:code="9"/>
          <w:pgMar w:top="1440" w:right="1440" w:bottom="1440" w:left="1440" w:header="720" w:footer="645" w:gutter="0"/>
          <w:cols w:space="720"/>
          <w:docGrid w:linePitch="360"/>
        </w:sectPr>
      </w:pPr>
    </w:p>
    <w:p w14:paraId="3085C5C3" w14:textId="77777777" w:rsidR="00961A99" w:rsidRDefault="00961A99" w:rsidP="00961A99">
      <w:pPr>
        <w:pStyle w:val="Heading1"/>
      </w:pPr>
      <w:bookmarkStart w:id="213" w:name="_Toc508896211"/>
      <w:bookmarkStart w:id="214" w:name="_Toc508898473"/>
      <w:bookmarkStart w:id="215" w:name="_Toc508915727"/>
      <w:bookmarkStart w:id="216" w:name="_Toc508963956"/>
      <w:bookmarkStart w:id="217" w:name="_Toc508966338"/>
      <w:bookmarkStart w:id="218" w:name="_Toc508975688"/>
      <w:bookmarkStart w:id="219" w:name="_Toc508976611"/>
      <w:bookmarkStart w:id="220" w:name="_Ref511115443"/>
      <w:bookmarkStart w:id="221" w:name="_Toc511383629"/>
      <w:bookmarkStart w:id="222" w:name="_Toc511383814"/>
      <w:bookmarkStart w:id="223" w:name="_Toc511393471"/>
      <w:bookmarkStart w:id="224" w:name="_Toc511656742"/>
      <w:bookmarkStart w:id="225" w:name="_Toc511656894"/>
      <w:bookmarkStart w:id="226" w:name="_Toc511661683"/>
      <w:bookmarkStart w:id="227" w:name="_Toc511725377"/>
      <w:bookmarkStart w:id="228" w:name="_Toc511728150"/>
      <w:bookmarkStart w:id="229" w:name="_Toc511733332"/>
      <w:bookmarkStart w:id="230" w:name="_Toc511739460"/>
      <w:bookmarkStart w:id="231" w:name="_Toc511743410"/>
      <w:bookmarkStart w:id="232" w:name="_Ref511805109"/>
      <w:bookmarkStart w:id="233" w:name="_Toc511809611"/>
      <w:bookmarkStart w:id="234" w:name="_Toc511809831"/>
      <w:bookmarkStart w:id="235" w:name="_Toc511896775"/>
      <w:bookmarkStart w:id="236" w:name="_Toc511899611"/>
      <w:bookmarkStart w:id="237" w:name="_Toc511904365"/>
      <w:bookmarkStart w:id="238" w:name="_Toc511908883"/>
      <w:bookmarkStart w:id="239" w:name="_Toc530577375"/>
      <w:bookmarkEnd w:id="211"/>
      <w:r>
        <w:lastRenderedPageBreak/>
        <w:t>Data collection and analysis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17008569" w14:textId="62863F91" w:rsidR="00273CC8" w:rsidRDefault="007105D1" w:rsidP="009F4642">
      <w:pPr>
        <w:spacing w:line="360" w:lineRule="auto"/>
      </w:pPr>
      <w:r>
        <w:t xml:space="preserve">Data collection </w:t>
      </w:r>
      <w:r w:rsidR="007C1E2C">
        <w:t xml:space="preserve">and </w:t>
      </w:r>
      <w:r>
        <w:t>analysis will be</w:t>
      </w:r>
      <w:r w:rsidR="00B9665B">
        <w:t xml:space="preserve"> driven</w:t>
      </w:r>
      <w:r>
        <w:t xml:space="preserve"> by the overa</w:t>
      </w:r>
      <w:r w:rsidR="00EE5574">
        <w:t>ll objectives of the evaluation</w:t>
      </w:r>
      <w:r>
        <w:t xml:space="preserve"> </w:t>
      </w:r>
      <w:r w:rsidR="007C1E2C">
        <w:t xml:space="preserve">and </w:t>
      </w:r>
      <w:r>
        <w:t xml:space="preserve">the </w:t>
      </w:r>
      <w:r w:rsidR="00A6613A">
        <w:t xml:space="preserve">key lines of enquiry through </w:t>
      </w:r>
      <w:r>
        <w:t>an iterative, cyclical process</w:t>
      </w:r>
      <w:r w:rsidR="00A6613A">
        <w:t>. D</w:t>
      </w:r>
      <w:r w:rsidR="00273CC8">
        <w:t>ata triangulation</w:t>
      </w:r>
      <w:r w:rsidR="00B9665B">
        <w:t xml:space="preserve"> will be used</w:t>
      </w:r>
      <w:r w:rsidR="00273CC8">
        <w:t xml:space="preserve"> to validate data and research </w:t>
      </w:r>
      <w:r w:rsidR="00B9665B">
        <w:t xml:space="preserve">outputs across methodologies and </w:t>
      </w:r>
      <w:r w:rsidR="00273CC8">
        <w:t xml:space="preserve">to </w:t>
      </w:r>
      <w:r w:rsidR="007C1E2C">
        <w:t xml:space="preserve">balance </w:t>
      </w:r>
      <w:r w:rsidR="00273CC8">
        <w:t xml:space="preserve">the subjectivity of qualitative </w:t>
      </w:r>
      <w:r w:rsidR="00B9665B">
        <w:t>inputs</w:t>
      </w:r>
      <w:r w:rsidR="00273CC8">
        <w:t xml:space="preserve">. </w:t>
      </w:r>
    </w:p>
    <w:p w14:paraId="0A0AD022" w14:textId="77777777" w:rsidR="007105D1" w:rsidRDefault="006068CA" w:rsidP="009F4642">
      <w:pPr>
        <w:spacing w:line="360" w:lineRule="auto"/>
      </w:pPr>
      <w:r>
        <w:t>There</w:t>
      </w:r>
      <w:r w:rsidR="007105D1">
        <w:t xml:space="preserve"> will be </w:t>
      </w:r>
      <w:r w:rsidR="005658F3">
        <w:t>four</w:t>
      </w:r>
      <w:r w:rsidR="007105D1">
        <w:t xml:space="preserve"> main</w:t>
      </w:r>
      <w:r w:rsidR="00A074AC">
        <w:t xml:space="preserve"> </w:t>
      </w:r>
      <w:r w:rsidR="007105D1">
        <w:t>streams of data collection and analysis</w:t>
      </w:r>
      <w:r>
        <w:t xml:space="preserve"> in th</w:t>
      </w:r>
      <w:r w:rsidR="00172D69">
        <w:t>e</w:t>
      </w:r>
      <w:r>
        <w:t xml:space="preserve"> evaluation</w:t>
      </w:r>
      <w:r w:rsidR="007105D1">
        <w:t>:</w:t>
      </w:r>
    </w:p>
    <w:p w14:paraId="5BDF6AA9" w14:textId="77777777" w:rsidR="007105D1" w:rsidRPr="005C51E4" w:rsidRDefault="007C1E2C" w:rsidP="009F4642">
      <w:pPr>
        <w:pStyle w:val="Listnumbered"/>
        <w:numPr>
          <w:ilvl w:val="0"/>
          <w:numId w:val="5"/>
        </w:numPr>
        <w:spacing w:line="360" w:lineRule="auto"/>
        <w:rPr>
          <w:rFonts w:ascii="Segoe UI Semibold" w:hAnsi="Segoe UI Semibold"/>
        </w:rPr>
      </w:pPr>
      <w:r w:rsidRPr="005C51E4">
        <w:rPr>
          <w:rFonts w:ascii="Segoe UI Semibold" w:hAnsi="Segoe UI Semibold"/>
        </w:rPr>
        <w:t>Desktop research</w:t>
      </w:r>
    </w:p>
    <w:p w14:paraId="250BCC15" w14:textId="77777777" w:rsidR="007105D1" w:rsidRDefault="007105D1" w:rsidP="009F4642">
      <w:pPr>
        <w:pStyle w:val="Listnumbered"/>
        <w:numPr>
          <w:ilvl w:val="0"/>
          <w:numId w:val="5"/>
        </w:numPr>
        <w:spacing w:line="360" w:lineRule="auto"/>
      </w:pPr>
      <w:r w:rsidRPr="005C51E4">
        <w:rPr>
          <w:rFonts w:ascii="Segoe UI Semibold" w:hAnsi="Segoe UI Semibold" w:cs="Segoe UI Semibold"/>
        </w:rPr>
        <w:t xml:space="preserve">Stakeholder </w:t>
      </w:r>
      <w:r w:rsidR="005658F3" w:rsidRPr="005C51E4">
        <w:rPr>
          <w:rFonts w:ascii="Segoe UI Semibold" w:hAnsi="Segoe UI Semibold" w:cs="Segoe UI Semibold"/>
        </w:rPr>
        <w:t>consultations</w:t>
      </w:r>
      <w:r w:rsidR="005C51E4">
        <w:t xml:space="preserve"> (including interviews, meetings, working sessions, </w:t>
      </w:r>
      <w:r w:rsidR="00FB4C37">
        <w:t>briefing sessions,</w:t>
      </w:r>
      <w:r w:rsidR="005C51E4">
        <w:t xml:space="preserve"> </w:t>
      </w:r>
      <w:r w:rsidR="00EE5574">
        <w:br/>
      </w:r>
      <w:r w:rsidR="005C51E4">
        <w:t>focus groups, workshops and half-hour phone consultations)</w:t>
      </w:r>
    </w:p>
    <w:p w14:paraId="50A110AD" w14:textId="77777777" w:rsidR="005658F3" w:rsidRPr="005C51E4" w:rsidRDefault="005658F3" w:rsidP="009F4642">
      <w:pPr>
        <w:pStyle w:val="Listnumbered"/>
        <w:numPr>
          <w:ilvl w:val="0"/>
          <w:numId w:val="5"/>
        </w:numPr>
        <w:spacing w:line="360" w:lineRule="auto"/>
        <w:rPr>
          <w:rFonts w:ascii="Segoe UI Semibold" w:hAnsi="Segoe UI Semibold" w:cs="Segoe UI Semibold"/>
        </w:rPr>
      </w:pPr>
      <w:r w:rsidRPr="005C51E4">
        <w:rPr>
          <w:rFonts w:ascii="Segoe UI Semibold" w:hAnsi="Segoe UI Semibold" w:cs="Segoe UI Semibold"/>
        </w:rPr>
        <w:t>Stakeholder surveys</w:t>
      </w:r>
      <w:r w:rsidR="005C51E4" w:rsidRPr="005C51E4">
        <w:rPr>
          <w:rFonts w:ascii="Segoe UI Semibold" w:hAnsi="Segoe UI Semibold" w:cs="Segoe UI Semibold"/>
        </w:rPr>
        <w:t xml:space="preserve"> </w:t>
      </w:r>
      <w:r w:rsidR="005C51E4">
        <w:rPr>
          <w:rFonts w:ascii="Segoe UI Semibold" w:hAnsi="Segoe UI Semibold" w:cs="Segoe UI Semibold"/>
        </w:rPr>
        <w:t>(i</w:t>
      </w:r>
      <w:r w:rsidR="005C51E4">
        <w:t>ncluding online surveys and telephone surveys)</w:t>
      </w:r>
    </w:p>
    <w:p w14:paraId="2A2209AE" w14:textId="5750287E" w:rsidR="00A6613A" w:rsidRPr="004826AC" w:rsidRDefault="00B046AF" w:rsidP="009F4642">
      <w:pPr>
        <w:pStyle w:val="Listnumbered"/>
        <w:numPr>
          <w:ilvl w:val="0"/>
          <w:numId w:val="5"/>
        </w:numPr>
        <w:spacing w:line="360" w:lineRule="auto"/>
        <w:rPr>
          <w:rFonts w:ascii="Segoe UI Semibold" w:hAnsi="Segoe UI Semibold"/>
        </w:rPr>
      </w:pPr>
      <w:r w:rsidRPr="005C51E4">
        <w:rPr>
          <w:rFonts w:ascii="Segoe UI Semibold" w:hAnsi="Segoe UI Semibold"/>
        </w:rPr>
        <w:t>Existing p</w:t>
      </w:r>
      <w:r w:rsidR="004C6C50">
        <w:rPr>
          <w:rFonts w:ascii="Segoe UI Semibold" w:hAnsi="Segoe UI Semibold"/>
        </w:rPr>
        <w:t xml:space="preserve">opulation, </w:t>
      </w:r>
      <w:r w:rsidR="00350584" w:rsidRPr="005C51E4">
        <w:rPr>
          <w:rFonts w:ascii="Segoe UI Semibold" w:hAnsi="Segoe UI Semibold"/>
        </w:rPr>
        <w:t>program</w:t>
      </w:r>
      <w:r w:rsidR="007105D1" w:rsidRPr="005C51E4">
        <w:rPr>
          <w:rFonts w:ascii="Segoe UI Semibold" w:hAnsi="Segoe UI Semibold"/>
        </w:rPr>
        <w:t xml:space="preserve"> </w:t>
      </w:r>
      <w:r w:rsidR="004C6C50">
        <w:rPr>
          <w:rFonts w:ascii="Segoe UI Semibold" w:hAnsi="Segoe UI Semibold"/>
        </w:rPr>
        <w:t xml:space="preserve">and other relevant </w:t>
      </w:r>
      <w:r w:rsidR="007105D1" w:rsidRPr="005C51E4">
        <w:rPr>
          <w:rFonts w:ascii="Segoe UI Semibold" w:hAnsi="Segoe UI Semibold"/>
        </w:rPr>
        <w:t>data.</w:t>
      </w:r>
    </w:p>
    <w:p w14:paraId="766FDE87" w14:textId="5806AB6B" w:rsidR="006C2303" w:rsidRPr="0049076F" w:rsidRDefault="00A65525" w:rsidP="009F4642">
      <w:pPr>
        <w:spacing w:line="360" w:lineRule="auto"/>
      </w:pPr>
      <w:r>
        <w:t xml:space="preserve">Sufficient </w:t>
      </w:r>
      <w:r w:rsidRPr="00A6613A">
        <w:t>data quality</w:t>
      </w:r>
      <w:r>
        <w:t xml:space="preserve"> is critical to ensure robust evaluation findings. Given the differences of data collection</w:t>
      </w:r>
      <w:r w:rsidR="003126A3">
        <w:t xml:space="preserve"> stream</w:t>
      </w:r>
      <w:r w:rsidR="00EE5574">
        <w:t>s</w:t>
      </w:r>
      <w:r>
        <w:t xml:space="preserve">, </w:t>
      </w:r>
      <w:r w:rsidR="00C675B7">
        <w:t xml:space="preserve">the approach to assessing data quality varies. </w:t>
      </w:r>
      <w:r>
        <w:t>The planned data sources have been assessed against best practice</w:t>
      </w:r>
      <w:r w:rsidR="00C675B7">
        <w:t xml:space="preserve"> for each stream, taking into consideration </w:t>
      </w:r>
      <w:r w:rsidR="003126A3">
        <w:t xml:space="preserve">the </w:t>
      </w:r>
      <w:r w:rsidR="00C675B7">
        <w:t xml:space="preserve">prospective or retrospective nature of the collection. </w:t>
      </w:r>
      <w:r w:rsidR="006C2303">
        <w:t>Privacy and data security of all collected data will be maintained as appropriate</w:t>
      </w:r>
      <w:r w:rsidR="00745325">
        <w:t>.</w:t>
      </w:r>
    </w:p>
    <w:p w14:paraId="3CB8E092" w14:textId="77777777" w:rsidR="001B270A" w:rsidRDefault="00685305" w:rsidP="00961A99">
      <w:pPr>
        <w:pStyle w:val="Heading2"/>
      </w:pPr>
      <w:bookmarkStart w:id="240" w:name="_Toc508896212"/>
      <w:bookmarkStart w:id="241" w:name="_Toc508963957"/>
      <w:bookmarkStart w:id="242" w:name="_Toc508966339"/>
      <w:bookmarkStart w:id="243" w:name="_Toc508976612"/>
      <w:bookmarkStart w:id="244" w:name="_Toc511383630"/>
      <w:bookmarkStart w:id="245" w:name="_Toc511383815"/>
      <w:bookmarkStart w:id="246" w:name="_Toc511393472"/>
      <w:bookmarkStart w:id="247" w:name="_Toc511656743"/>
      <w:bookmarkStart w:id="248" w:name="_Toc511656895"/>
      <w:bookmarkStart w:id="249" w:name="_Toc511661684"/>
      <w:bookmarkStart w:id="250" w:name="_Toc511725378"/>
      <w:bookmarkStart w:id="251" w:name="_Toc511728151"/>
      <w:bookmarkStart w:id="252" w:name="_Toc511733333"/>
      <w:bookmarkStart w:id="253" w:name="_Toc511739461"/>
      <w:bookmarkStart w:id="254" w:name="_Toc511743411"/>
      <w:bookmarkStart w:id="255" w:name="_Toc511809612"/>
      <w:bookmarkStart w:id="256" w:name="_Toc511809832"/>
      <w:bookmarkStart w:id="257" w:name="_Toc511896776"/>
      <w:bookmarkStart w:id="258" w:name="_Toc511899612"/>
      <w:bookmarkStart w:id="259" w:name="_Toc511904366"/>
      <w:bookmarkStart w:id="260" w:name="_Toc511908884"/>
      <w:bookmarkStart w:id="261" w:name="_Toc530577376"/>
      <w:bookmarkStart w:id="262" w:name="_Toc508975689"/>
      <w:bookmarkStart w:id="263" w:name="_Toc508898474"/>
      <w:bookmarkStart w:id="264" w:name="_Toc508915728"/>
      <w:r>
        <w:t>Desktop</w:t>
      </w:r>
      <w:r w:rsidR="004348A7">
        <w:t xml:space="preserve"> </w:t>
      </w:r>
      <w:bookmarkEnd w:id="240"/>
      <w:bookmarkEnd w:id="241"/>
      <w:bookmarkEnd w:id="242"/>
      <w:bookmarkEnd w:id="243"/>
      <w:r w:rsidR="007C1E2C">
        <w:t>research</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bookmarkEnd w:id="262"/>
    <w:p w14:paraId="4558414E" w14:textId="65CE351C" w:rsidR="00000AE3" w:rsidRDefault="00000AE3" w:rsidP="00000AE3">
      <w:r w:rsidRPr="0059565C">
        <w:t>The evaluation will rely on desktop research throughout the project.</w:t>
      </w:r>
    </w:p>
    <w:p w14:paraId="176BFB47" w14:textId="793D7256" w:rsidR="00447A3D"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sources</w:t>
      </w:r>
    </w:p>
    <w:p w14:paraId="0816E833" w14:textId="5FA62A11" w:rsidR="009F42EF" w:rsidRDefault="00000AE3" w:rsidP="009F4642">
      <w:pPr>
        <w:spacing w:line="360" w:lineRule="auto"/>
      </w:pPr>
      <w:r>
        <w:rPr>
          <w:rFonts w:cs="Segoe UI"/>
        </w:rPr>
        <w:t>The data sources for the desktop research</w:t>
      </w:r>
      <w:r w:rsidR="009F42EF" w:rsidRPr="0059565C">
        <w:rPr>
          <w:rFonts w:cs="Segoe UI"/>
        </w:rPr>
        <w:t xml:space="preserve"> will include </w:t>
      </w:r>
      <w:r w:rsidR="00BD72A8" w:rsidRPr="0059565C">
        <w:rPr>
          <w:rFonts w:cs="Segoe UI"/>
        </w:rPr>
        <w:t xml:space="preserve">a domestic component </w:t>
      </w:r>
      <w:r w:rsidR="009F42EF" w:rsidRPr="0059565C">
        <w:rPr>
          <w:rFonts w:cs="Segoe UI"/>
        </w:rPr>
        <w:t xml:space="preserve">and </w:t>
      </w:r>
      <w:r w:rsidR="00BD72A8" w:rsidRPr="0059565C">
        <w:rPr>
          <w:rFonts w:cs="Segoe UI"/>
        </w:rPr>
        <w:t>an</w:t>
      </w:r>
      <w:r>
        <w:rPr>
          <w:rFonts w:cs="Segoe UI"/>
        </w:rPr>
        <w:t xml:space="preserve"> international</w:t>
      </w:r>
      <w:r w:rsidR="00BD72A8" w:rsidRPr="0059565C">
        <w:rPr>
          <w:rFonts w:cs="Segoe UI"/>
        </w:rPr>
        <w:t xml:space="preserve"> component</w:t>
      </w:r>
      <w:bookmarkEnd w:id="263"/>
      <w:bookmarkEnd w:id="264"/>
      <w:r>
        <w:rPr>
          <w:rFonts w:cs="Segoe UI"/>
        </w:rPr>
        <w:t xml:space="preserve"> in the form of an international comparator review (ICR)</w:t>
      </w:r>
      <w:r w:rsidR="009F42EF" w:rsidRPr="0059565C">
        <w:rPr>
          <w:rFonts w:cs="Segoe UI"/>
        </w:rPr>
        <w:t>.</w:t>
      </w:r>
      <w:bookmarkStart w:id="265" w:name="_Hlk518898284"/>
      <w:r w:rsidR="002D5792">
        <w:rPr>
          <w:rFonts w:cs="Segoe UI"/>
        </w:rPr>
        <w:t xml:space="preserve"> </w:t>
      </w:r>
      <w:r w:rsidR="00BD72A8">
        <w:t xml:space="preserve">The </w:t>
      </w:r>
      <w:r w:rsidR="00DB4AB8">
        <w:t xml:space="preserve">domestic </w:t>
      </w:r>
      <w:r w:rsidR="003B2C9B">
        <w:t xml:space="preserve">research </w:t>
      </w:r>
      <w:r w:rsidR="00DB4AB8">
        <w:t xml:space="preserve">and </w:t>
      </w:r>
      <w:r w:rsidR="003B2C9B">
        <w:t>ICR</w:t>
      </w:r>
      <w:r w:rsidR="00DB4AB8">
        <w:t xml:space="preserve"> will be informed by </w:t>
      </w:r>
      <w:r w:rsidR="008008F0">
        <w:t>peer-reviewed</w:t>
      </w:r>
      <w:r w:rsidR="00BD72A8">
        <w:t>, grey and media</w:t>
      </w:r>
      <w:r w:rsidR="00DB4AB8">
        <w:t xml:space="preserve"> data sources</w:t>
      </w:r>
      <w:r w:rsidR="009F42EF">
        <w:t>.</w:t>
      </w:r>
      <w:bookmarkStart w:id="266" w:name="_Hlk518897986"/>
      <w:bookmarkEnd w:id="265"/>
      <w:r w:rsidR="002D5792">
        <w:t xml:space="preserve"> </w:t>
      </w:r>
      <w:r w:rsidR="004C3C2A">
        <w:t xml:space="preserve">The </w:t>
      </w:r>
      <w:r w:rsidR="009B42FD">
        <w:t>ICR</w:t>
      </w:r>
      <w:r w:rsidR="00B31B4F">
        <w:t xml:space="preserve"> </w:t>
      </w:r>
      <w:r w:rsidR="00912EEC">
        <w:t xml:space="preserve">will target </w:t>
      </w:r>
      <w:r w:rsidR="00E16AAD">
        <w:t>ten</w:t>
      </w:r>
      <w:r w:rsidR="004D7838">
        <w:t xml:space="preserve"> countries</w:t>
      </w:r>
      <w:r w:rsidR="00946065">
        <w:t>, with</w:t>
      </w:r>
      <w:r w:rsidR="00B338FE">
        <w:t xml:space="preserve"> a primary focus on Europe and New Zealand</w:t>
      </w:r>
      <w:r w:rsidR="00292BEA">
        <w:t>,</w:t>
      </w:r>
      <w:r w:rsidR="00912EEC">
        <w:t xml:space="preserve"> and keep abreast of any emerging programs throughout the course of the evaluation</w:t>
      </w:r>
      <w:r w:rsidR="002B430B">
        <w:t>.</w:t>
      </w:r>
      <w:r w:rsidR="00D6195B">
        <w:t xml:space="preserve"> </w:t>
      </w:r>
      <w:bookmarkStart w:id="267" w:name="_Hlk518898375"/>
      <w:bookmarkEnd w:id="266"/>
    </w:p>
    <w:p w14:paraId="75C75CFF" w14:textId="6494F489" w:rsidR="001D5118" w:rsidRPr="000F737F" w:rsidRDefault="004348A7"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 xml:space="preserve">Data </w:t>
      </w:r>
      <w:r w:rsidR="00775AAF" w:rsidRPr="000F737F">
        <w:rPr>
          <w:rFonts w:ascii="Segoe UI" w:hAnsi="Segoe UI" w:cs="Segoe UI"/>
          <w:b/>
          <w:i/>
          <w:sz w:val="19"/>
        </w:rPr>
        <w:t>quality</w:t>
      </w:r>
      <w:r w:rsidR="0059565C" w:rsidRPr="000F737F">
        <w:rPr>
          <w:rFonts w:ascii="Segoe UI" w:hAnsi="Segoe UI" w:cs="Segoe UI"/>
          <w:b/>
          <w:i/>
          <w:sz w:val="19"/>
        </w:rPr>
        <w:t xml:space="preserve"> </w:t>
      </w:r>
    </w:p>
    <w:p w14:paraId="159EF50B" w14:textId="3D62FCCA" w:rsidR="0028235D" w:rsidRDefault="0079723F" w:rsidP="009F4642">
      <w:pPr>
        <w:spacing w:line="360" w:lineRule="auto"/>
        <w:rPr>
          <w:lang w:eastAsia="en-AU"/>
        </w:rPr>
      </w:pPr>
      <w:r>
        <w:rPr>
          <w:lang w:eastAsia="en-AU"/>
        </w:rPr>
        <w:t xml:space="preserve">An integral part of the </w:t>
      </w:r>
      <w:r w:rsidR="00F61F84">
        <w:rPr>
          <w:lang w:eastAsia="en-AU"/>
        </w:rPr>
        <w:t>desktop</w:t>
      </w:r>
      <w:r>
        <w:rPr>
          <w:lang w:eastAsia="en-AU"/>
        </w:rPr>
        <w:t xml:space="preserve"> </w:t>
      </w:r>
      <w:r w:rsidR="0028235D">
        <w:rPr>
          <w:lang w:eastAsia="en-AU"/>
        </w:rPr>
        <w:t xml:space="preserve">research </w:t>
      </w:r>
      <w:r>
        <w:rPr>
          <w:lang w:eastAsia="en-AU"/>
        </w:rPr>
        <w:t xml:space="preserve">will be to ensure the </w:t>
      </w:r>
      <w:r w:rsidR="00483E89">
        <w:rPr>
          <w:lang w:eastAsia="en-AU"/>
        </w:rPr>
        <w:t xml:space="preserve">identified sources </w:t>
      </w:r>
      <w:r>
        <w:rPr>
          <w:lang w:eastAsia="en-AU"/>
        </w:rPr>
        <w:t>are of sound quality</w:t>
      </w:r>
      <w:r w:rsidR="00483E89">
        <w:rPr>
          <w:lang w:eastAsia="en-AU"/>
        </w:rPr>
        <w:t xml:space="preserve">. </w:t>
      </w:r>
      <w:r w:rsidR="0028235D">
        <w:rPr>
          <w:lang w:eastAsia="en-AU"/>
        </w:rPr>
        <w:t>Specific research parameters and inclusion criteria</w:t>
      </w:r>
      <w:r w:rsidR="008008F0">
        <w:rPr>
          <w:lang w:eastAsia="en-AU"/>
        </w:rPr>
        <w:t xml:space="preserve"> </w:t>
      </w:r>
      <w:r w:rsidR="0028235D" w:rsidRPr="00AA59E4">
        <w:rPr>
          <w:lang w:eastAsia="en-AU"/>
        </w:rPr>
        <w:t>w</w:t>
      </w:r>
      <w:r w:rsidR="0028235D">
        <w:rPr>
          <w:lang w:eastAsia="en-AU"/>
        </w:rPr>
        <w:t xml:space="preserve">ill be used to ensure desktop research remains focused on the </w:t>
      </w:r>
      <w:r w:rsidR="000A0ED0">
        <w:rPr>
          <w:lang w:eastAsia="en-AU"/>
        </w:rPr>
        <w:t>research questions</w:t>
      </w:r>
      <w:r w:rsidR="009F42EF">
        <w:rPr>
          <w:lang w:eastAsia="en-AU"/>
        </w:rPr>
        <w:t xml:space="preserve"> and uses credible sources.</w:t>
      </w:r>
    </w:p>
    <w:p w14:paraId="1988A00F" w14:textId="3BEFF688" w:rsidR="00447A3D"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collection tools</w:t>
      </w:r>
    </w:p>
    <w:p w14:paraId="7FD19007" w14:textId="0B6F55DD" w:rsidR="00447A3D" w:rsidRDefault="00447A3D" w:rsidP="009F4642">
      <w:pPr>
        <w:spacing w:line="360" w:lineRule="auto"/>
        <w:rPr>
          <w:lang w:eastAsia="en-AU"/>
        </w:rPr>
      </w:pPr>
      <w:r>
        <w:rPr>
          <w:lang w:eastAsia="en-AU"/>
        </w:rPr>
        <w:t xml:space="preserve">Literature relevant to the review will be identified using search terms and combinations in open access internet searches and specific databases. Review items will be captured in a document register using a scale of high, </w:t>
      </w:r>
      <w:r>
        <w:rPr>
          <w:lang w:eastAsia="en-AU"/>
        </w:rPr>
        <w:lastRenderedPageBreak/>
        <w:t xml:space="preserve">medium and low priority. The document register will link the desktop research review and emerging insights to the associated KLEs. </w:t>
      </w:r>
    </w:p>
    <w:p w14:paraId="322E61D9" w14:textId="69609595" w:rsidR="004369DB" w:rsidRPr="000F737F" w:rsidRDefault="004369DB" w:rsidP="000F737F">
      <w:pPr>
        <w:pStyle w:val="Heading3"/>
        <w:numPr>
          <w:ilvl w:val="0"/>
          <w:numId w:val="0"/>
        </w:numPr>
        <w:ind w:left="720" w:hanging="720"/>
        <w:rPr>
          <w:rFonts w:ascii="Segoe UI" w:hAnsi="Segoe UI" w:cs="Segoe UI"/>
          <w:b/>
          <w:i/>
          <w:sz w:val="19"/>
        </w:rPr>
      </w:pPr>
      <w:bookmarkStart w:id="268" w:name="_Hlk518898617"/>
      <w:bookmarkStart w:id="269" w:name="_Toc508896213"/>
      <w:bookmarkStart w:id="270" w:name="_Toc508898475"/>
      <w:bookmarkStart w:id="271" w:name="_Toc508915729"/>
      <w:bookmarkEnd w:id="267"/>
      <w:r w:rsidRPr="000F737F">
        <w:rPr>
          <w:rFonts w:ascii="Segoe UI" w:hAnsi="Segoe UI" w:cs="Segoe UI"/>
          <w:b/>
          <w:i/>
          <w:sz w:val="19"/>
        </w:rPr>
        <w:t>Data analysis</w:t>
      </w:r>
    </w:p>
    <w:p w14:paraId="56E604BA" w14:textId="75DD3C53" w:rsidR="008704A6" w:rsidRDefault="00BA0524" w:rsidP="009F4642">
      <w:pPr>
        <w:spacing w:line="360" w:lineRule="auto"/>
        <w:rPr>
          <w:lang w:eastAsia="en-AU"/>
        </w:rPr>
      </w:pPr>
      <w:r>
        <w:rPr>
          <w:lang w:eastAsia="en-AU"/>
        </w:rPr>
        <w:t xml:space="preserve">Desktop research analysis </w:t>
      </w:r>
      <w:r w:rsidR="00560E88">
        <w:rPr>
          <w:lang w:eastAsia="en-AU"/>
        </w:rPr>
        <w:t xml:space="preserve">will be driven by </w:t>
      </w:r>
      <w:r w:rsidR="006C0A8F">
        <w:rPr>
          <w:lang w:eastAsia="en-AU"/>
        </w:rPr>
        <w:t xml:space="preserve">relevant </w:t>
      </w:r>
      <w:r w:rsidR="001E5DF8">
        <w:rPr>
          <w:lang w:eastAsia="en-AU"/>
        </w:rPr>
        <w:t>KLE</w:t>
      </w:r>
      <w:r w:rsidR="009727DD">
        <w:rPr>
          <w:lang w:eastAsia="en-AU"/>
        </w:rPr>
        <w:t>s</w:t>
      </w:r>
      <w:r w:rsidR="00560E88">
        <w:rPr>
          <w:lang w:eastAsia="en-AU"/>
        </w:rPr>
        <w:t xml:space="preserve">, </w:t>
      </w:r>
      <w:r w:rsidR="001E5DF8">
        <w:rPr>
          <w:lang w:eastAsia="en-AU"/>
        </w:rPr>
        <w:t>research questions</w:t>
      </w:r>
      <w:r w:rsidR="00560E88">
        <w:rPr>
          <w:lang w:eastAsia="en-AU"/>
        </w:rPr>
        <w:t xml:space="preserve">, </w:t>
      </w:r>
      <w:r w:rsidR="001E5DF8">
        <w:rPr>
          <w:lang w:eastAsia="en-AU"/>
        </w:rPr>
        <w:t xml:space="preserve">and </w:t>
      </w:r>
      <w:bookmarkStart w:id="272" w:name="_Ref508963040"/>
      <w:r w:rsidR="001E5DF8">
        <w:rPr>
          <w:lang w:eastAsia="en-AU"/>
        </w:rPr>
        <w:t>sub-questions</w:t>
      </w:r>
      <w:r w:rsidR="00B15806">
        <w:rPr>
          <w:lang w:eastAsia="en-AU"/>
        </w:rPr>
        <w:t xml:space="preserve">. </w:t>
      </w:r>
      <w:r w:rsidR="005B4FAF">
        <w:rPr>
          <w:lang w:eastAsia="en-AU"/>
        </w:rPr>
        <w:t>Following</w:t>
      </w:r>
      <w:r w:rsidR="00DA4576">
        <w:rPr>
          <w:lang w:eastAsia="en-AU"/>
        </w:rPr>
        <w:t xml:space="preserve"> </w:t>
      </w:r>
      <w:r w:rsidR="001E5DF8">
        <w:rPr>
          <w:lang w:eastAsia="en-AU"/>
        </w:rPr>
        <w:t>identification</w:t>
      </w:r>
      <w:r w:rsidR="00DA4576">
        <w:rPr>
          <w:lang w:eastAsia="en-AU"/>
        </w:rPr>
        <w:t xml:space="preserve"> of all relevant documents, sources will be </w:t>
      </w:r>
      <w:r w:rsidR="001E5DF8">
        <w:rPr>
          <w:lang w:eastAsia="en-AU"/>
        </w:rPr>
        <w:t xml:space="preserve">scanned for key data and </w:t>
      </w:r>
      <w:r w:rsidR="00DA4576">
        <w:rPr>
          <w:lang w:eastAsia="en-AU"/>
        </w:rPr>
        <w:t>prioritised for an in-depth review. Key</w:t>
      </w:r>
      <w:r w:rsidR="005B4FAF">
        <w:rPr>
          <w:lang w:eastAsia="en-AU"/>
        </w:rPr>
        <w:t xml:space="preserve"> findings will be drawn from</w:t>
      </w:r>
      <w:r w:rsidR="00DA4576">
        <w:rPr>
          <w:lang w:eastAsia="en-AU"/>
        </w:rPr>
        <w:t xml:space="preserve"> </w:t>
      </w:r>
      <w:r w:rsidR="008A0FE9">
        <w:rPr>
          <w:lang w:eastAsia="en-AU"/>
        </w:rPr>
        <w:t>this</w:t>
      </w:r>
      <w:r w:rsidR="00DA4576">
        <w:rPr>
          <w:lang w:eastAsia="en-AU"/>
        </w:rPr>
        <w:t xml:space="preserve"> review, supported by </w:t>
      </w:r>
      <w:r w:rsidR="001E5DF8">
        <w:rPr>
          <w:lang w:eastAsia="en-AU"/>
        </w:rPr>
        <w:t>the broader scan data</w:t>
      </w:r>
      <w:r w:rsidR="00DA4576">
        <w:rPr>
          <w:lang w:eastAsia="en-AU"/>
        </w:rPr>
        <w:t>.</w:t>
      </w:r>
      <w:bookmarkEnd w:id="272"/>
    </w:p>
    <w:p w14:paraId="51504456" w14:textId="69C703D3" w:rsidR="00774ACC" w:rsidRDefault="004369DB" w:rsidP="00C422A2">
      <w:pPr>
        <w:spacing w:line="360" w:lineRule="auto"/>
        <w:rPr>
          <w:lang w:eastAsia="en-AU"/>
        </w:rPr>
      </w:pPr>
      <w:r>
        <w:rPr>
          <w:lang w:eastAsia="en-AU"/>
        </w:rPr>
        <w:t xml:space="preserve">The approach to synthesising findings is shown in </w:t>
      </w:r>
      <w:r>
        <w:rPr>
          <w:lang w:eastAsia="en-AU"/>
        </w:rPr>
        <w:fldChar w:fldCharType="begin"/>
      </w:r>
      <w:r>
        <w:rPr>
          <w:lang w:eastAsia="en-AU"/>
        </w:rPr>
        <w:instrText xml:space="preserve"> REF _Ref511216436 \h </w:instrText>
      </w:r>
      <w:r w:rsidR="009F4642">
        <w:rPr>
          <w:lang w:eastAsia="en-AU"/>
        </w:rPr>
        <w:instrText xml:space="preserve"> \* MERGEFORMAT </w:instrText>
      </w:r>
      <w:r>
        <w:rPr>
          <w:lang w:eastAsia="en-AU"/>
        </w:rPr>
      </w:r>
      <w:r>
        <w:rPr>
          <w:lang w:eastAsia="en-AU"/>
        </w:rPr>
        <w:fldChar w:fldCharType="separate"/>
      </w:r>
      <w:r w:rsidR="000C023C">
        <w:rPr>
          <w:b/>
          <w:bCs/>
          <w:lang w:val="en-US" w:eastAsia="en-AU"/>
        </w:rPr>
        <w:t>Error! Reference source not found.</w:t>
      </w:r>
      <w:r>
        <w:rPr>
          <w:lang w:eastAsia="en-AU"/>
        </w:rPr>
        <w:fldChar w:fldCharType="end"/>
      </w:r>
      <w:r>
        <w:rPr>
          <w:lang w:eastAsia="en-AU"/>
        </w:rPr>
        <w:t xml:space="preserve"> below.</w:t>
      </w:r>
      <w:bookmarkStart w:id="273" w:name="_Hlk518898656"/>
      <w:bookmarkEnd w:id="268"/>
    </w:p>
    <w:p w14:paraId="4F1A696B" w14:textId="48539242" w:rsidR="00C422A2" w:rsidRDefault="00C422A2" w:rsidP="00C422A2">
      <w:pPr>
        <w:pStyle w:val="Caption"/>
      </w:pPr>
      <w:r>
        <w:t xml:space="preserve">Table </w:t>
      </w:r>
      <w:r>
        <w:fldChar w:fldCharType="begin"/>
      </w:r>
      <w:r>
        <w:instrText xml:space="preserve"> SEQ Table \* ARABIC </w:instrText>
      </w:r>
      <w:r>
        <w:fldChar w:fldCharType="separate"/>
      </w:r>
      <w:r w:rsidR="000C023C">
        <w:rPr>
          <w:noProof/>
        </w:rPr>
        <w:t>3</w:t>
      </w:r>
      <w:r>
        <w:fldChar w:fldCharType="end"/>
      </w:r>
      <w:r>
        <w:t xml:space="preserve"> | </w:t>
      </w:r>
      <w:r w:rsidRPr="0082723C">
        <w:t>Prioritisation and synthesis of findings</w:t>
      </w:r>
    </w:p>
    <w:tbl>
      <w:tblPr>
        <w:tblStyle w:val="NOUSSideTable"/>
        <w:tblW w:w="0" w:type="auto"/>
        <w:tblInd w:w="-30" w:type="dxa"/>
        <w:tblLook w:val="04A0" w:firstRow="1" w:lastRow="0" w:firstColumn="1" w:lastColumn="0" w:noHBand="0" w:noVBand="1"/>
        <w:tblDescription w:val="Prioritisation and synthesis of findings"/>
      </w:tblPr>
      <w:tblGrid>
        <w:gridCol w:w="2097"/>
        <w:gridCol w:w="3260"/>
        <w:gridCol w:w="4088"/>
      </w:tblGrid>
      <w:tr w:rsidR="006461B6" w14:paraId="00446B58"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2097" w:type="dxa"/>
          </w:tcPr>
          <w:p w14:paraId="2EB9DE80" w14:textId="65831E27" w:rsidR="006461B6" w:rsidRDefault="00936A83" w:rsidP="006461B6">
            <w:r>
              <w:t>Scope of search</w:t>
            </w:r>
          </w:p>
        </w:tc>
        <w:tc>
          <w:tcPr>
            <w:tcW w:w="3260" w:type="dxa"/>
          </w:tcPr>
          <w:p w14:paraId="2B99B04A" w14:textId="13528A11" w:rsidR="006461B6" w:rsidRDefault="006461B6" w:rsidP="006461B6">
            <w:pPr>
              <w:cnfStyle w:val="000000000000" w:firstRow="0" w:lastRow="0" w:firstColumn="0" w:lastColumn="0" w:oddVBand="0" w:evenVBand="0" w:oddHBand="0" w:evenHBand="0" w:firstRowFirstColumn="0" w:firstRowLastColumn="0" w:lastRowFirstColumn="0" w:lastRowLastColumn="0"/>
            </w:pPr>
            <w:r>
              <w:t>Conduct database, open access and specific website searches on key terms.</w:t>
            </w:r>
          </w:p>
        </w:tc>
        <w:tc>
          <w:tcPr>
            <w:tcW w:w="4088" w:type="dxa"/>
          </w:tcPr>
          <w:p w14:paraId="420CCDEA" w14:textId="16413719" w:rsidR="006461B6" w:rsidRDefault="006461B6" w:rsidP="006461B6">
            <w:pPr>
              <w:cnfStyle w:val="000000000000" w:firstRow="0" w:lastRow="0" w:firstColumn="0" w:lastColumn="0" w:oddVBand="0" w:evenVBand="0" w:oddHBand="0" w:evenHBand="0" w:firstRowFirstColumn="0" w:firstRowLastColumn="0" w:lastRowFirstColumn="0" w:lastRowLastColumn="0"/>
            </w:pPr>
            <w:r>
              <w:t>Search extends to open-access journals, specific databases, Google search results, and specific grey literature searches using set key terms.</w:t>
            </w:r>
          </w:p>
        </w:tc>
      </w:tr>
      <w:tr w:rsidR="006461B6" w14:paraId="34F229EE"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2097" w:type="dxa"/>
          </w:tcPr>
          <w:p w14:paraId="5BD6C092" w14:textId="578C267A" w:rsidR="006461B6" w:rsidRDefault="00936A83" w:rsidP="006461B6">
            <w:r>
              <w:t>Parameters and inclusion criteria</w:t>
            </w:r>
          </w:p>
        </w:tc>
        <w:tc>
          <w:tcPr>
            <w:tcW w:w="3260" w:type="dxa"/>
          </w:tcPr>
          <w:p w14:paraId="58A68452" w14:textId="3BDEB222" w:rsidR="006461B6" w:rsidRDefault="006461B6" w:rsidP="006461B6">
            <w:pPr>
              <w:cnfStyle w:val="000000000000" w:firstRow="0" w:lastRow="0" w:firstColumn="0" w:lastColumn="0" w:oddVBand="0" w:evenVBand="0" w:oddHBand="0" w:evenHBand="0" w:firstRowFirstColumn="0" w:firstRowLastColumn="0" w:lastRowFirstColumn="0" w:lastRowLastColumn="0"/>
            </w:pPr>
            <w:r>
              <w:t>Identify sources based on set parameters and inclusion criteria.</w:t>
            </w:r>
          </w:p>
        </w:tc>
        <w:tc>
          <w:tcPr>
            <w:tcW w:w="4088" w:type="dxa"/>
          </w:tcPr>
          <w:p w14:paraId="072F1981" w14:textId="3C9D8B3F" w:rsidR="006461B6" w:rsidRDefault="006461B6" w:rsidP="006461B6">
            <w:pPr>
              <w:cnfStyle w:val="000000000000" w:firstRow="0" w:lastRow="0" w:firstColumn="0" w:lastColumn="0" w:oddVBand="0" w:evenVBand="0" w:oddHBand="0" w:evenHBand="0" w:firstRowFirstColumn="0" w:firstRowLastColumn="0" w:lastRowFirstColumn="0" w:lastRowLastColumn="0"/>
            </w:pPr>
            <w:r>
              <w:t xml:space="preserve">English-language literature and publications from 2009, including other specific priority and relevant </w:t>
            </w:r>
            <w:r w:rsidR="00936A83">
              <w:t xml:space="preserve">papers as identified by the Department. </w:t>
            </w:r>
          </w:p>
        </w:tc>
      </w:tr>
      <w:tr w:rsidR="006461B6" w14:paraId="1BB999B8"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2097" w:type="dxa"/>
          </w:tcPr>
          <w:p w14:paraId="493F4E8D" w14:textId="258B8F4A" w:rsidR="006461B6" w:rsidRDefault="00936A83" w:rsidP="006461B6">
            <w:r>
              <w:t>Assessment criteria</w:t>
            </w:r>
          </w:p>
        </w:tc>
        <w:tc>
          <w:tcPr>
            <w:tcW w:w="3260" w:type="dxa"/>
          </w:tcPr>
          <w:p w14:paraId="1CB54ED1" w14:textId="02448C10" w:rsidR="006461B6" w:rsidRDefault="00936A83" w:rsidP="006461B6">
            <w:pPr>
              <w:cnfStyle w:val="000000000000" w:firstRow="0" w:lastRow="0" w:firstColumn="0" w:lastColumn="0" w:oddVBand="0" w:evenVBand="0" w:oddHBand="0" w:evenHBand="0" w:firstRowFirstColumn="0" w:firstRowLastColumn="0" w:lastRowFirstColumn="0" w:lastRowLastColumn="0"/>
            </w:pPr>
            <w:r>
              <w:t>Refine the sources for in-depth review based on assessment criteria.</w:t>
            </w:r>
          </w:p>
        </w:tc>
        <w:tc>
          <w:tcPr>
            <w:tcW w:w="4088" w:type="dxa"/>
          </w:tcPr>
          <w:p w14:paraId="745BC9D8" w14:textId="77777777" w:rsidR="006461B6"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Alignment of sources with key lines of enquiry</w:t>
            </w:r>
          </w:p>
          <w:p w14:paraId="3D1EA81F" w14:textId="7777777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Ability of the source to address gaps in existing data sources</w:t>
            </w:r>
          </w:p>
          <w:p w14:paraId="6CA33741" w14:textId="7777777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Depth of the source (i.e. ability to provide deep understanding of a particular issue or key line of enquiry)</w:t>
            </w:r>
          </w:p>
          <w:p w14:paraId="7923939B" w14:textId="7777777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Number of citations and quality of the source journal</w:t>
            </w:r>
          </w:p>
          <w:p w14:paraId="729D685D" w14:textId="4C0F7CC6"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 xml:space="preserve">Expert recommendations and guidance from Program managers and Technical Reference Group. </w:t>
            </w:r>
          </w:p>
        </w:tc>
      </w:tr>
      <w:tr w:rsidR="006461B6" w14:paraId="3F92BE61" w14:textId="77777777" w:rsidTr="00C422A2">
        <w:trPr>
          <w:tblHeader/>
        </w:trPr>
        <w:tc>
          <w:tcPr>
            <w:cnfStyle w:val="001000000000" w:firstRow="0" w:lastRow="0" w:firstColumn="1" w:lastColumn="0" w:oddVBand="0" w:evenVBand="0" w:oddHBand="0" w:evenHBand="0" w:firstRowFirstColumn="0" w:firstRowLastColumn="0" w:lastRowFirstColumn="0" w:lastRowLastColumn="0"/>
            <w:tcW w:w="2097" w:type="dxa"/>
          </w:tcPr>
          <w:p w14:paraId="3A4AEAE8" w14:textId="05005CBE" w:rsidR="006461B6" w:rsidRDefault="00936A83" w:rsidP="006461B6">
            <w:r>
              <w:t>Analysis</w:t>
            </w:r>
          </w:p>
        </w:tc>
        <w:tc>
          <w:tcPr>
            <w:tcW w:w="3260" w:type="dxa"/>
          </w:tcPr>
          <w:p w14:paraId="67228F8F" w14:textId="5744DB50" w:rsidR="006461B6" w:rsidRDefault="00936A83" w:rsidP="006461B6">
            <w:pPr>
              <w:cnfStyle w:val="000000000000" w:firstRow="0" w:lastRow="0" w:firstColumn="0" w:lastColumn="0" w:oddVBand="0" w:evenVBand="0" w:oddHBand="0" w:evenHBand="0" w:firstRowFirstColumn="0" w:firstRowLastColumn="0" w:lastRowFirstColumn="0" w:lastRowLastColumn="0"/>
            </w:pPr>
            <w:r>
              <w:t>Synthesise for key insights</w:t>
            </w:r>
          </w:p>
        </w:tc>
        <w:tc>
          <w:tcPr>
            <w:tcW w:w="4088" w:type="dxa"/>
          </w:tcPr>
          <w:p w14:paraId="40225BA6" w14:textId="77777777" w:rsidR="006461B6" w:rsidRDefault="00936A83" w:rsidP="006461B6">
            <w:pPr>
              <w:cnfStyle w:val="000000000000" w:firstRow="0" w:lastRow="0" w:firstColumn="0" w:lastColumn="0" w:oddVBand="0" w:evenVBand="0" w:oddHBand="0" w:evenHBand="0" w:firstRowFirstColumn="0" w:firstRowLastColumn="0" w:lastRowFirstColumn="0" w:lastRowLastColumn="0"/>
            </w:pPr>
            <w:r>
              <w:t xml:space="preserve">Development of distinct themes, with heavier weighting given to: </w:t>
            </w:r>
          </w:p>
          <w:p w14:paraId="67686763" w14:textId="7777777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Primary data</w:t>
            </w:r>
          </w:p>
          <w:p w14:paraId="0E22FBD4" w14:textId="7777777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 xml:space="preserve">More recent data </w:t>
            </w:r>
          </w:p>
          <w:p w14:paraId="33EA5384" w14:textId="50EE4CC7" w:rsidR="00936A83" w:rsidRDefault="00936A83" w:rsidP="00936A83">
            <w:pPr>
              <w:pStyle w:val="Bullet"/>
              <w:spacing w:after="0"/>
              <w:cnfStyle w:val="000000000000" w:firstRow="0" w:lastRow="0" w:firstColumn="0" w:lastColumn="0" w:oddVBand="0" w:evenVBand="0" w:oddHBand="0" w:evenHBand="0" w:firstRowFirstColumn="0" w:firstRowLastColumn="0" w:lastRowFirstColumn="0" w:lastRowLastColumn="0"/>
            </w:pPr>
            <w:r>
              <w:t>Empirical or peer-reviewed data</w:t>
            </w:r>
          </w:p>
        </w:tc>
      </w:tr>
    </w:tbl>
    <w:p w14:paraId="58390BB0" w14:textId="77777777" w:rsidR="006461B6" w:rsidRPr="006461B6" w:rsidRDefault="006461B6" w:rsidP="006461B6"/>
    <w:p w14:paraId="0F5A7F3F" w14:textId="610454B8" w:rsidR="00D429AF" w:rsidRDefault="00D429AF" w:rsidP="0020271D">
      <w:pPr>
        <w:ind w:left="-142"/>
        <w:rPr>
          <w:lang w:eastAsia="en-AU"/>
        </w:rPr>
      </w:pPr>
    </w:p>
    <w:p w14:paraId="1DD04BDC" w14:textId="77777777" w:rsidR="00293AD3" w:rsidRDefault="004348A7" w:rsidP="00293AD3">
      <w:pPr>
        <w:pStyle w:val="Heading2"/>
      </w:pPr>
      <w:bookmarkStart w:id="274" w:name="_Toc508963958"/>
      <w:bookmarkStart w:id="275" w:name="_Toc508966340"/>
      <w:bookmarkStart w:id="276" w:name="_Toc508975690"/>
      <w:bookmarkStart w:id="277" w:name="_Toc508976613"/>
      <w:bookmarkStart w:id="278" w:name="_Toc511383631"/>
      <w:bookmarkStart w:id="279" w:name="_Toc511383816"/>
      <w:bookmarkStart w:id="280" w:name="_Toc511393473"/>
      <w:bookmarkStart w:id="281" w:name="_Toc511656744"/>
      <w:bookmarkStart w:id="282" w:name="_Toc511656896"/>
      <w:bookmarkStart w:id="283" w:name="_Toc511809613"/>
      <w:bookmarkStart w:id="284" w:name="_Toc511809833"/>
      <w:bookmarkStart w:id="285" w:name="_Toc511896777"/>
      <w:bookmarkStart w:id="286" w:name="_Toc511899613"/>
      <w:bookmarkStart w:id="287" w:name="_Toc511904367"/>
      <w:bookmarkStart w:id="288" w:name="_Toc511908885"/>
      <w:bookmarkStart w:id="289" w:name="_Toc530577377"/>
      <w:bookmarkStart w:id="290" w:name="_Toc511661685"/>
      <w:bookmarkStart w:id="291" w:name="_Toc511725379"/>
      <w:bookmarkStart w:id="292" w:name="_Toc511728152"/>
      <w:bookmarkStart w:id="293" w:name="_Toc511733334"/>
      <w:bookmarkStart w:id="294" w:name="_Toc511739462"/>
      <w:bookmarkStart w:id="295" w:name="_Toc511743412"/>
      <w:bookmarkEnd w:id="273"/>
      <w:r>
        <w:t xml:space="preserve">Stakeholder </w:t>
      </w:r>
      <w:bookmarkEnd w:id="269"/>
      <w:bookmarkEnd w:id="270"/>
      <w:bookmarkEnd w:id="271"/>
      <w:bookmarkEnd w:id="274"/>
      <w:bookmarkEnd w:id="275"/>
      <w:bookmarkEnd w:id="276"/>
      <w:bookmarkEnd w:id="277"/>
      <w:bookmarkEnd w:id="278"/>
      <w:bookmarkEnd w:id="279"/>
      <w:bookmarkEnd w:id="280"/>
      <w:bookmarkEnd w:id="281"/>
      <w:bookmarkEnd w:id="282"/>
      <w:r w:rsidR="005C51E4">
        <w:t>consultations</w:t>
      </w:r>
      <w:bookmarkEnd w:id="283"/>
      <w:bookmarkEnd w:id="284"/>
      <w:bookmarkEnd w:id="285"/>
      <w:bookmarkEnd w:id="286"/>
      <w:bookmarkEnd w:id="287"/>
      <w:bookmarkEnd w:id="288"/>
      <w:bookmarkEnd w:id="289"/>
      <w:r w:rsidR="005C51E4">
        <w:t xml:space="preserve"> </w:t>
      </w:r>
      <w:bookmarkEnd w:id="290"/>
      <w:bookmarkEnd w:id="291"/>
      <w:bookmarkEnd w:id="292"/>
      <w:bookmarkEnd w:id="293"/>
      <w:bookmarkEnd w:id="294"/>
      <w:bookmarkEnd w:id="295"/>
    </w:p>
    <w:p w14:paraId="664B64B7" w14:textId="06252FFA" w:rsidR="00000AE3" w:rsidRDefault="00000AE3" w:rsidP="009F4642">
      <w:pPr>
        <w:spacing w:line="360" w:lineRule="auto"/>
      </w:pPr>
      <w:r>
        <w:t>Evaluation success depends on effective consultations with diverse groups who support or interact with BreastScreen program delivery and policy across state and federal levels (within and outside of government).</w:t>
      </w:r>
    </w:p>
    <w:p w14:paraId="44C4CEC1" w14:textId="72C763C5" w:rsidR="00447A3D"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lastRenderedPageBreak/>
        <w:t>Data sources</w:t>
      </w:r>
    </w:p>
    <w:p w14:paraId="566658B3" w14:textId="645B9147" w:rsidR="003C4437" w:rsidRDefault="00810F9F" w:rsidP="009F4642">
      <w:pPr>
        <w:spacing w:line="360" w:lineRule="auto"/>
        <w:rPr>
          <w:lang w:eastAsia="en-AU"/>
        </w:rPr>
      </w:pPr>
      <w:r>
        <w:rPr>
          <w:lang w:eastAsia="en-AU"/>
        </w:rPr>
        <w:t xml:space="preserve">Consultations will all be undertaken once consent has been provided by participants. </w:t>
      </w:r>
      <w:r w:rsidR="003C4437">
        <w:rPr>
          <w:lang w:eastAsia="en-AU"/>
        </w:rPr>
        <w:t>Stakeholder groups to be consulted include:</w:t>
      </w:r>
    </w:p>
    <w:p w14:paraId="2AD5E485" w14:textId="77777777" w:rsidR="003C4437" w:rsidRDefault="003C4437" w:rsidP="009F4642">
      <w:pPr>
        <w:pStyle w:val="Bullet"/>
        <w:spacing w:line="360" w:lineRule="auto"/>
      </w:pPr>
      <w:r>
        <w:t>The Department Project Team</w:t>
      </w:r>
    </w:p>
    <w:p w14:paraId="6AAC9ABB" w14:textId="77777777" w:rsidR="003C4437" w:rsidRDefault="003C4437" w:rsidP="009F4642">
      <w:pPr>
        <w:pStyle w:val="Bullet"/>
        <w:spacing w:line="360" w:lineRule="auto"/>
      </w:pPr>
      <w:r>
        <w:t xml:space="preserve">BreastScreen Australia Technical Reference Group </w:t>
      </w:r>
    </w:p>
    <w:p w14:paraId="2142D45C" w14:textId="77777777" w:rsidR="003C4437" w:rsidRDefault="003C4437" w:rsidP="009F4642">
      <w:pPr>
        <w:pStyle w:val="Bullet"/>
        <w:spacing w:line="360" w:lineRule="auto"/>
      </w:pPr>
      <w:r>
        <w:t>AIHW</w:t>
      </w:r>
    </w:p>
    <w:p w14:paraId="1BD994AE" w14:textId="77777777" w:rsidR="003C4437" w:rsidRDefault="003C4437" w:rsidP="009F4642">
      <w:pPr>
        <w:pStyle w:val="Bullet"/>
        <w:spacing w:line="360" w:lineRule="auto"/>
      </w:pPr>
      <w:r>
        <w:t>State and Territory governments</w:t>
      </w:r>
    </w:p>
    <w:p w14:paraId="0529A717" w14:textId="77777777" w:rsidR="003C4437" w:rsidRDefault="003C4437" w:rsidP="009F4642">
      <w:pPr>
        <w:pStyle w:val="Bullet"/>
        <w:spacing w:line="360" w:lineRule="auto"/>
      </w:pPr>
      <w:r>
        <w:t>State and Territory Program Managers</w:t>
      </w:r>
    </w:p>
    <w:p w14:paraId="29FBC299" w14:textId="77777777" w:rsidR="003C4437" w:rsidRDefault="003C4437" w:rsidP="009F4642">
      <w:pPr>
        <w:pStyle w:val="Bullet"/>
        <w:spacing w:line="360" w:lineRule="auto"/>
      </w:pPr>
      <w:r>
        <w:t xml:space="preserve">Service provider staff in each jurisdiction – administrative staff and clinicians/technicians </w:t>
      </w:r>
    </w:p>
    <w:p w14:paraId="3A6525A0" w14:textId="77777777" w:rsidR="003C4437" w:rsidRDefault="003C4437" w:rsidP="009F4642">
      <w:pPr>
        <w:pStyle w:val="Bullet"/>
        <w:spacing w:line="360" w:lineRule="auto"/>
      </w:pPr>
      <w:r>
        <w:t>BreastScreen Australia clients (women) in the target age group</w:t>
      </w:r>
    </w:p>
    <w:p w14:paraId="55612DE3" w14:textId="77777777" w:rsidR="003C4437" w:rsidRDefault="003C4437" w:rsidP="009F4642">
      <w:pPr>
        <w:pStyle w:val="Bullet"/>
        <w:spacing w:line="360" w:lineRule="auto"/>
      </w:pPr>
      <w:r>
        <w:t xml:space="preserve">Consumer groups, including Breast Cancer Network Australia’s research group </w:t>
      </w:r>
    </w:p>
    <w:p w14:paraId="01C4007E" w14:textId="28A447C3" w:rsidR="00CB4910" w:rsidRDefault="003C4437" w:rsidP="009F4642">
      <w:pPr>
        <w:pStyle w:val="Bullet"/>
        <w:spacing w:line="360" w:lineRule="auto"/>
      </w:pPr>
      <w:r>
        <w:t>Peak bodies e.g. Cancer Australia, Cancer Council Australia</w:t>
      </w:r>
    </w:p>
    <w:p w14:paraId="5AD8C151" w14:textId="2B6E32C2" w:rsidR="0096245B"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quality</w:t>
      </w:r>
    </w:p>
    <w:p w14:paraId="7C1D31C7" w14:textId="7AB1BE7C" w:rsidR="00775AAF" w:rsidRDefault="0096245B" w:rsidP="009F4642">
      <w:pPr>
        <w:spacing w:line="360" w:lineRule="auto"/>
        <w:rPr>
          <w:lang w:eastAsia="en-AU"/>
        </w:rPr>
      </w:pPr>
      <w:r>
        <w:rPr>
          <w:lang w:eastAsia="en-AU"/>
        </w:rPr>
        <w:t>I</w:t>
      </w:r>
      <w:r w:rsidR="00EE789E">
        <w:rPr>
          <w:lang w:eastAsia="en-AU"/>
        </w:rPr>
        <w:t>t is important</w:t>
      </w:r>
      <w:r w:rsidR="00775AAF">
        <w:rPr>
          <w:lang w:eastAsia="en-AU"/>
        </w:rPr>
        <w:t xml:space="preserve"> to obtain accurate and meaningful insights from the </w:t>
      </w:r>
      <w:r w:rsidR="005C51E4">
        <w:rPr>
          <w:lang w:eastAsia="en-AU"/>
        </w:rPr>
        <w:t>consultations</w:t>
      </w:r>
      <w:r w:rsidR="007075EF">
        <w:rPr>
          <w:lang w:eastAsia="en-AU"/>
        </w:rPr>
        <w:t xml:space="preserve">. </w:t>
      </w:r>
      <w:r w:rsidR="00775AAF">
        <w:rPr>
          <w:lang w:eastAsia="en-AU"/>
        </w:rPr>
        <w:t>Consultation activities will be underpinned by a series of core principles</w:t>
      </w:r>
      <w:r w:rsidR="00CA34F6">
        <w:rPr>
          <w:lang w:eastAsia="en-AU"/>
        </w:rPr>
        <w:t xml:space="preserve"> which will ensure useful and accurate insights</w:t>
      </w:r>
      <w:r w:rsidR="00F779BD">
        <w:rPr>
          <w:lang w:eastAsia="en-AU"/>
        </w:rPr>
        <w:t xml:space="preserve"> are obtained</w:t>
      </w:r>
      <w:r w:rsidR="00775AAF">
        <w:rPr>
          <w:lang w:eastAsia="en-AU"/>
        </w:rPr>
        <w:t>:</w:t>
      </w:r>
    </w:p>
    <w:p w14:paraId="070BA80A" w14:textId="23904401" w:rsidR="00775AAF" w:rsidRPr="0001416B" w:rsidRDefault="00775AAF" w:rsidP="009F4642">
      <w:pPr>
        <w:pStyle w:val="Bullet"/>
        <w:spacing w:line="360" w:lineRule="auto"/>
        <w:rPr>
          <w:rFonts w:cs="Segoe UI"/>
          <w:lang w:val="en-US"/>
        </w:rPr>
      </w:pPr>
      <w:r w:rsidRPr="0001416B">
        <w:rPr>
          <w:rFonts w:cs="Segoe UI"/>
          <w:lang w:val="en-US"/>
        </w:rPr>
        <w:t>Thorough preparation and a structured approach</w:t>
      </w:r>
    </w:p>
    <w:p w14:paraId="653A4E23" w14:textId="1EE6B745" w:rsidR="00775AAF" w:rsidRPr="0001416B" w:rsidRDefault="00775AAF" w:rsidP="009F4642">
      <w:pPr>
        <w:pStyle w:val="Bullet"/>
        <w:spacing w:line="360" w:lineRule="auto"/>
        <w:rPr>
          <w:rFonts w:cs="Segoe UI"/>
          <w:lang w:val="en-US"/>
        </w:rPr>
      </w:pPr>
      <w:r w:rsidRPr="0001416B">
        <w:rPr>
          <w:rFonts w:cs="Segoe UI"/>
          <w:lang w:val="en-US"/>
        </w:rPr>
        <w:t>Time to build rapport</w:t>
      </w:r>
    </w:p>
    <w:p w14:paraId="08D49200" w14:textId="0C55845C" w:rsidR="00775AAF" w:rsidRPr="0001416B" w:rsidRDefault="00775AAF" w:rsidP="009F4642">
      <w:pPr>
        <w:pStyle w:val="Bullet"/>
        <w:spacing w:line="360" w:lineRule="auto"/>
        <w:rPr>
          <w:rFonts w:cs="Segoe UI"/>
          <w:lang w:val="en-US"/>
        </w:rPr>
      </w:pPr>
      <w:r w:rsidRPr="0001416B">
        <w:rPr>
          <w:rFonts w:cs="Segoe UI"/>
        </w:rPr>
        <w:t>Absolute confidentiality</w:t>
      </w:r>
    </w:p>
    <w:p w14:paraId="5DF1B216" w14:textId="048BB049" w:rsidR="00A40624" w:rsidRPr="0001416B" w:rsidRDefault="00775AAF" w:rsidP="009F4642">
      <w:pPr>
        <w:pStyle w:val="Bullet"/>
        <w:spacing w:line="360" w:lineRule="auto"/>
        <w:rPr>
          <w:rFonts w:cs="Segoe UI"/>
        </w:rPr>
      </w:pPr>
      <w:r w:rsidRPr="0001416B">
        <w:rPr>
          <w:rFonts w:cs="Segoe UI"/>
        </w:rPr>
        <w:t>A focus on the stakeholder</w:t>
      </w:r>
    </w:p>
    <w:p w14:paraId="224E5804" w14:textId="28F23595" w:rsidR="0096245B"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collection tools</w:t>
      </w:r>
    </w:p>
    <w:p w14:paraId="57BC8448" w14:textId="5E3A2B31" w:rsidR="007238B0" w:rsidRPr="007238B0" w:rsidRDefault="00CE154B" w:rsidP="009F4642">
      <w:pPr>
        <w:spacing w:line="360" w:lineRule="auto"/>
        <w:rPr>
          <w:lang w:eastAsia="en-AU"/>
        </w:rPr>
      </w:pPr>
      <w:r w:rsidRPr="00302017">
        <w:rPr>
          <w:lang w:eastAsia="en-AU"/>
        </w:rPr>
        <w:t xml:space="preserve">Data </w:t>
      </w:r>
      <w:r w:rsidR="0001416B">
        <w:rPr>
          <w:lang w:eastAsia="en-AU"/>
        </w:rPr>
        <w:t xml:space="preserve">will be collected </w:t>
      </w:r>
      <w:r w:rsidR="00000AE3">
        <w:rPr>
          <w:lang w:eastAsia="en-AU"/>
        </w:rPr>
        <w:t>and captured via</w:t>
      </w:r>
      <w:r w:rsidR="00601517" w:rsidRPr="00302017">
        <w:rPr>
          <w:lang w:eastAsia="en-AU"/>
        </w:rPr>
        <w:t xml:space="preserve"> </w:t>
      </w:r>
      <w:r w:rsidR="005C51E4" w:rsidRPr="00302017">
        <w:rPr>
          <w:lang w:eastAsia="en-AU"/>
        </w:rPr>
        <w:t>consultations</w:t>
      </w:r>
      <w:r w:rsidR="00601517" w:rsidRPr="00302017">
        <w:rPr>
          <w:lang w:eastAsia="en-AU"/>
        </w:rPr>
        <w:t xml:space="preserve"> </w:t>
      </w:r>
      <w:bookmarkStart w:id="296" w:name="_Ref508873238"/>
      <w:r w:rsidR="0001416B">
        <w:rPr>
          <w:lang w:eastAsia="en-AU"/>
        </w:rPr>
        <w:t>through meetings, working sessions, workshops, ad-hoc engagement, interviews and focus groups.</w:t>
      </w:r>
    </w:p>
    <w:bookmarkEnd w:id="296"/>
    <w:p w14:paraId="3EE2364A" w14:textId="5C094C09" w:rsidR="00A7683A" w:rsidRPr="000F737F" w:rsidRDefault="00447A3D"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analysis</w:t>
      </w:r>
    </w:p>
    <w:p w14:paraId="7A5444E4" w14:textId="686D299C" w:rsidR="007105D1" w:rsidRDefault="00EE789E" w:rsidP="009F4642">
      <w:pPr>
        <w:spacing w:line="360" w:lineRule="auto"/>
        <w:rPr>
          <w:lang w:eastAsia="en-AU"/>
        </w:rPr>
      </w:pPr>
      <w:r>
        <w:rPr>
          <w:lang w:eastAsia="en-AU"/>
        </w:rPr>
        <w:t>Consultations</w:t>
      </w:r>
      <w:r w:rsidRPr="007105D1">
        <w:rPr>
          <w:lang w:eastAsia="en-AU"/>
        </w:rPr>
        <w:t xml:space="preserve"> will be aligned to the </w:t>
      </w:r>
      <w:r w:rsidR="00FD108C">
        <w:rPr>
          <w:lang w:eastAsia="en-AU"/>
        </w:rPr>
        <w:t>KLE</w:t>
      </w:r>
      <w:r w:rsidR="009727DD">
        <w:rPr>
          <w:lang w:eastAsia="en-AU"/>
        </w:rPr>
        <w:t>s</w:t>
      </w:r>
      <w:r w:rsidRPr="007105D1">
        <w:rPr>
          <w:lang w:eastAsia="en-AU"/>
        </w:rPr>
        <w:t xml:space="preserve"> and corresponding research questions</w:t>
      </w:r>
      <w:r w:rsidR="0036677A" w:rsidRPr="007105D1">
        <w:rPr>
          <w:lang w:eastAsia="en-AU"/>
        </w:rPr>
        <w:t xml:space="preserve">. </w:t>
      </w:r>
      <w:r w:rsidR="00743C6D">
        <w:rPr>
          <w:lang w:eastAsia="en-AU"/>
        </w:rPr>
        <w:t xml:space="preserve">All qualitative data collected from </w:t>
      </w:r>
      <w:r w:rsidR="00FD108C">
        <w:rPr>
          <w:lang w:eastAsia="en-AU"/>
        </w:rPr>
        <w:t>BreastScreen</w:t>
      </w:r>
      <w:r w:rsidR="00743C6D">
        <w:rPr>
          <w:lang w:eastAsia="en-AU"/>
        </w:rPr>
        <w:t xml:space="preserve"> staff and</w:t>
      </w:r>
      <w:r w:rsidR="005814FD">
        <w:rPr>
          <w:lang w:eastAsia="en-AU"/>
        </w:rPr>
        <w:t xml:space="preserve"> clients</w:t>
      </w:r>
      <w:r w:rsidR="007105D1">
        <w:rPr>
          <w:lang w:eastAsia="en-AU"/>
        </w:rPr>
        <w:t xml:space="preserve"> will</w:t>
      </w:r>
      <w:r w:rsidR="00743C6D">
        <w:rPr>
          <w:lang w:eastAsia="en-AU"/>
        </w:rPr>
        <w:t xml:space="preserve"> </w:t>
      </w:r>
      <w:r w:rsidR="007105D1">
        <w:rPr>
          <w:lang w:eastAsia="en-AU"/>
        </w:rPr>
        <w:t>be confidential and anonymous</w:t>
      </w:r>
      <w:r w:rsidR="00743C6D">
        <w:rPr>
          <w:lang w:eastAsia="en-AU"/>
        </w:rPr>
        <w:t xml:space="preserve"> and this will be made clear at the beginning of each consultation</w:t>
      </w:r>
      <w:r w:rsidR="007105D1">
        <w:rPr>
          <w:lang w:eastAsia="en-AU"/>
        </w:rPr>
        <w:t>. Results will be aggregated to inform evaluation findings and individual comments will not be attributed to specific participants.</w:t>
      </w:r>
    </w:p>
    <w:p w14:paraId="02814A74" w14:textId="07A695B8" w:rsidR="00994B48" w:rsidRDefault="00233921" w:rsidP="009F4642">
      <w:pPr>
        <w:spacing w:line="360" w:lineRule="auto"/>
      </w:pPr>
      <w:r>
        <w:rPr>
          <w:lang w:eastAsia="en-AU"/>
        </w:rPr>
        <w:lastRenderedPageBreak/>
        <w:t xml:space="preserve">Thematic analysis will be used as the primary technique to extract key insights and messages. </w:t>
      </w:r>
      <w:r w:rsidR="00994B48">
        <w:rPr>
          <w:lang w:eastAsia="en-AU"/>
        </w:rPr>
        <w:t>This will include</w:t>
      </w:r>
      <w:r w:rsidR="00810F9F">
        <w:rPr>
          <w:lang w:eastAsia="en-AU"/>
        </w:rPr>
        <w:t xml:space="preserve"> the team </w:t>
      </w:r>
      <w:r w:rsidR="00810F9F">
        <w:t>familiarising themselves</w:t>
      </w:r>
      <w:r w:rsidR="00994B48">
        <w:t xml:space="preserve"> with the </w:t>
      </w:r>
      <w:r w:rsidR="00810F9F">
        <w:t xml:space="preserve">national and jurisdictional </w:t>
      </w:r>
      <w:r w:rsidR="00994B48">
        <w:t xml:space="preserve">data to develop </w:t>
      </w:r>
      <w:r w:rsidR="00810F9F">
        <w:t xml:space="preserve">a </w:t>
      </w:r>
      <w:r w:rsidR="00994B48">
        <w:t>holistic understanding</w:t>
      </w:r>
      <w:r w:rsidR="00810F9F">
        <w:t>, ahead of a series of analytical processes:</w:t>
      </w:r>
    </w:p>
    <w:p w14:paraId="3511EB54" w14:textId="0CBA3C93" w:rsidR="00994B48" w:rsidRDefault="00810F9F" w:rsidP="009F4642">
      <w:pPr>
        <w:pStyle w:val="Bullet"/>
        <w:spacing w:line="360" w:lineRule="auto"/>
      </w:pPr>
      <w:r>
        <w:t>Code</w:t>
      </w:r>
      <w:r w:rsidR="00994B48">
        <w:t xml:space="preserve"> and identify themes (based on repeated patterns)</w:t>
      </w:r>
    </w:p>
    <w:p w14:paraId="0B7DCF49" w14:textId="600CAA7A" w:rsidR="00994B48" w:rsidRDefault="00810F9F" w:rsidP="009F4642">
      <w:pPr>
        <w:pStyle w:val="Bullet"/>
        <w:spacing w:line="360" w:lineRule="auto"/>
      </w:pPr>
      <w:r>
        <w:t>R</w:t>
      </w:r>
      <w:r w:rsidR="00994B48">
        <w:t>eview, modify and test themes</w:t>
      </w:r>
    </w:p>
    <w:p w14:paraId="7485DEDC" w14:textId="2F4BFA46" w:rsidR="00994B48" w:rsidRDefault="00810F9F" w:rsidP="009F4642">
      <w:pPr>
        <w:pStyle w:val="Bullet"/>
        <w:spacing w:line="360" w:lineRule="auto"/>
      </w:pPr>
      <w:r>
        <w:t>D</w:t>
      </w:r>
      <w:r w:rsidR="00994B48">
        <w:t>efine themes, including key insights and findings</w:t>
      </w:r>
    </w:p>
    <w:p w14:paraId="34B023CC" w14:textId="269031F4" w:rsidR="00994B48" w:rsidRDefault="00810F9F" w:rsidP="009F4642">
      <w:pPr>
        <w:pStyle w:val="Bullet"/>
        <w:spacing w:line="360" w:lineRule="auto"/>
      </w:pPr>
      <w:r>
        <w:t>T</w:t>
      </w:r>
      <w:r w:rsidR="00994B48">
        <w:t>riangulate with broader evaluation methods</w:t>
      </w:r>
      <w:r>
        <w:t>.</w:t>
      </w:r>
    </w:p>
    <w:p w14:paraId="0A98B1E3" w14:textId="77777777" w:rsidR="005C51E4" w:rsidRDefault="005C51E4" w:rsidP="005C51E4">
      <w:pPr>
        <w:pStyle w:val="Heading2"/>
      </w:pPr>
      <w:bookmarkStart w:id="297" w:name="_Toc511809614"/>
      <w:bookmarkStart w:id="298" w:name="_Toc511809834"/>
      <w:bookmarkStart w:id="299" w:name="_Toc511896778"/>
      <w:bookmarkStart w:id="300" w:name="_Toc511899614"/>
      <w:bookmarkStart w:id="301" w:name="_Toc511904368"/>
      <w:bookmarkStart w:id="302" w:name="_Toc511908886"/>
      <w:bookmarkStart w:id="303" w:name="_Toc530577378"/>
      <w:bookmarkStart w:id="304" w:name="_Toc511725380"/>
      <w:bookmarkStart w:id="305" w:name="_Toc511728153"/>
      <w:bookmarkStart w:id="306" w:name="_Toc511733335"/>
      <w:bookmarkStart w:id="307" w:name="_Toc511739463"/>
      <w:bookmarkStart w:id="308" w:name="_Toc511743413"/>
      <w:bookmarkStart w:id="309" w:name="_Toc508896214"/>
      <w:bookmarkStart w:id="310" w:name="_Toc508898476"/>
      <w:bookmarkStart w:id="311" w:name="_Toc508915730"/>
      <w:bookmarkStart w:id="312" w:name="_Toc508963959"/>
      <w:bookmarkStart w:id="313" w:name="_Toc508966341"/>
      <w:bookmarkStart w:id="314" w:name="_Toc508975691"/>
      <w:bookmarkStart w:id="315" w:name="_Toc508976614"/>
      <w:bookmarkStart w:id="316" w:name="_Toc511661686"/>
      <w:r>
        <w:t>Stakeholder surveys</w:t>
      </w:r>
      <w:bookmarkEnd w:id="297"/>
      <w:bookmarkEnd w:id="298"/>
      <w:bookmarkEnd w:id="299"/>
      <w:bookmarkEnd w:id="300"/>
      <w:bookmarkEnd w:id="301"/>
      <w:bookmarkEnd w:id="302"/>
      <w:bookmarkEnd w:id="303"/>
      <w:r>
        <w:t xml:space="preserve"> </w:t>
      </w:r>
      <w:bookmarkEnd w:id="304"/>
      <w:bookmarkEnd w:id="305"/>
      <w:bookmarkEnd w:id="306"/>
      <w:bookmarkEnd w:id="307"/>
      <w:bookmarkEnd w:id="308"/>
    </w:p>
    <w:p w14:paraId="5884AE9F" w14:textId="729AF591" w:rsidR="00810F9F" w:rsidRDefault="00810F9F" w:rsidP="009F4642">
      <w:pPr>
        <w:spacing w:line="360" w:lineRule="auto"/>
      </w:pPr>
      <w:r w:rsidRPr="00810F9F">
        <w:t>Thoughtful planning and well-executed surveys of stakeholders will be critical to ensure valuable insights for the evaluation.</w:t>
      </w:r>
    </w:p>
    <w:p w14:paraId="15F20AEC" w14:textId="0A1B6880" w:rsidR="00355FA3" w:rsidRPr="000F737F" w:rsidRDefault="00355FA3"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sources</w:t>
      </w:r>
    </w:p>
    <w:p w14:paraId="6F7BE294" w14:textId="1832F6F3" w:rsidR="0096245B" w:rsidRDefault="005C51E4" w:rsidP="009F4642">
      <w:pPr>
        <w:spacing w:line="360" w:lineRule="auto"/>
        <w:rPr>
          <w:lang w:eastAsia="en-AU"/>
        </w:rPr>
      </w:pPr>
      <w:r>
        <w:rPr>
          <w:lang w:eastAsia="en-AU"/>
        </w:rPr>
        <w:t>Survey collection methods in the evaluation include: online surveys and telephone surveys.</w:t>
      </w:r>
      <w:r w:rsidR="00C91BA9">
        <w:rPr>
          <w:lang w:eastAsia="en-AU"/>
        </w:rPr>
        <w:t xml:space="preserve"> </w:t>
      </w:r>
      <w:r w:rsidR="00810F9F">
        <w:rPr>
          <w:lang w:eastAsia="en-AU"/>
        </w:rPr>
        <w:t xml:space="preserve"> </w:t>
      </w:r>
      <w:r w:rsidR="0096245B">
        <w:rPr>
          <w:lang w:eastAsia="en-AU"/>
        </w:rPr>
        <w:t>Surveys will include the following stakeholders:</w:t>
      </w:r>
    </w:p>
    <w:p w14:paraId="655F204B" w14:textId="77777777" w:rsidR="0096245B" w:rsidRDefault="0096245B" w:rsidP="009F4642">
      <w:pPr>
        <w:pStyle w:val="Bullet"/>
        <w:spacing w:line="360" w:lineRule="auto"/>
      </w:pPr>
      <w:r>
        <w:t>State and Territory Program Managers</w:t>
      </w:r>
    </w:p>
    <w:p w14:paraId="0D66D762" w14:textId="77777777" w:rsidR="0096245B" w:rsidRDefault="0096245B" w:rsidP="009F4642">
      <w:pPr>
        <w:pStyle w:val="Bullet"/>
        <w:spacing w:line="360" w:lineRule="auto"/>
      </w:pPr>
      <w:r>
        <w:t>Service providers in each jurisdiction – administrative staff and clinicians/technicians (including rural/regional)</w:t>
      </w:r>
    </w:p>
    <w:p w14:paraId="3D6180ED" w14:textId="77777777" w:rsidR="0096245B" w:rsidRDefault="0096245B" w:rsidP="009F4642">
      <w:pPr>
        <w:pStyle w:val="Bullet"/>
        <w:spacing w:line="360" w:lineRule="auto"/>
      </w:pPr>
      <w:r>
        <w:t xml:space="preserve">Primary Health Networks (PHNs), Aboriginal Medical Services and the Colleges </w:t>
      </w:r>
    </w:p>
    <w:p w14:paraId="609BD205" w14:textId="77777777" w:rsidR="0096245B" w:rsidRDefault="0096245B" w:rsidP="009F4642">
      <w:pPr>
        <w:pStyle w:val="Bullet"/>
        <w:spacing w:line="360" w:lineRule="auto"/>
      </w:pPr>
      <w:r>
        <w:t>BreastScreen Australia clients in the target age group</w:t>
      </w:r>
    </w:p>
    <w:p w14:paraId="6411F148" w14:textId="76388D82" w:rsidR="0096245B" w:rsidRPr="00355FA3" w:rsidRDefault="0096245B" w:rsidP="009F4642">
      <w:pPr>
        <w:pStyle w:val="Bullet"/>
        <w:spacing w:line="360" w:lineRule="auto"/>
      </w:pPr>
      <w:r>
        <w:t>Australian women aged over 70 years</w:t>
      </w:r>
      <w:r w:rsidR="00810F9F">
        <w:t>.</w:t>
      </w:r>
    </w:p>
    <w:p w14:paraId="16C783C0" w14:textId="4A367D96" w:rsidR="0096245B" w:rsidRPr="000F737F" w:rsidRDefault="0096245B"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quality</w:t>
      </w:r>
    </w:p>
    <w:p w14:paraId="737F0E92" w14:textId="54553653" w:rsidR="005C51E4" w:rsidRPr="006679CA" w:rsidRDefault="005C51E4" w:rsidP="009F4642">
      <w:pPr>
        <w:pStyle w:val="Listnumbered"/>
        <w:spacing w:line="360" w:lineRule="auto"/>
        <w:ind w:left="0" w:firstLine="0"/>
        <w:rPr>
          <w:rFonts w:cs="Segoe UI"/>
          <w:iCs/>
        </w:rPr>
      </w:pPr>
      <w:r>
        <w:rPr>
          <w:rFonts w:cs="Segoe UI"/>
          <w:iCs/>
        </w:rPr>
        <w:t>The surveys will use a convenience sampling approach to recruitment.</w:t>
      </w:r>
      <w:r w:rsidR="0096245B">
        <w:rPr>
          <w:rFonts w:cs="Segoe UI"/>
          <w:iCs/>
        </w:rPr>
        <w:t xml:space="preserve"> </w:t>
      </w:r>
      <w:r>
        <w:rPr>
          <w:rFonts w:cs="Segoe UI"/>
          <w:iCs/>
        </w:rPr>
        <w:t xml:space="preserve">Sampling ensures that a representative picture is obtained of a population. Sample sizes for the surveys and interviews with Breast Screen staff/clinicians and women in the target age range have been developed using the sample size formula below. </w:t>
      </w:r>
    </w:p>
    <w:p w14:paraId="6C5EF990" w14:textId="77777777" w:rsidR="005C51E4" w:rsidRPr="00CB4910" w:rsidRDefault="00013C61" w:rsidP="005C51E4">
      <w:pPr>
        <w:spacing w:after="0"/>
        <w:rPr>
          <w:color w:val="2E368F" w:themeColor="text2"/>
          <w:sz w:val="18"/>
          <w:szCs w:val="16"/>
          <w:lang w:eastAsia="en-AU"/>
        </w:rPr>
      </w:pPr>
      <m:oMathPara>
        <m:oMath>
          <m:r>
            <w:rPr>
              <w:rFonts w:ascii="Cambria Math" w:hAnsi="Cambria Math"/>
              <w:color w:val="2E368F" w:themeColor="text2"/>
              <w:sz w:val="18"/>
              <w:szCs w:val="16"/>
              <w:lang w:val="en-US" w:eastAsia="en-AU"/>
            </w:rPr>
            <m:t>Sample Size=</m:t>
          </m:r>
          <m:f>
            <m:fPr>
              <m:ctrlPr>
                <w:rPr>
                  <w:rFonts w:ascii="Cambria Math" w:hAnsi="Cambria Math"/>
                  <w:i/>
                  <w:iCs/>
                  <w:color w:val="2E368F" w:themeColor="text2"/>
                  <w:sz w:val="18"/>
                  <w:szCs w:val="16"/>
                </w:rPr>
              </m:ctrlPr>
            </m:fPr>
            <m:num>
              <m:f>
                <m:fPr>
                  <m:ctrlPr>
                    <w:rPr>
                      <w:rFonts w:ascii="Cambria Math" w:hAnsi="Cambria Math"/>
                      <w:i/>
                      <w:iCs/>
                      <w:color w:val="2E368F" w:themeColor="text2"/>
                      <w:sz w:val="18"/>
                      <w:szCs w:val="16"/>
                    </w:rPr>
                  </m:ctrlPr>
                </m:fPr>
                <m:num>
                  <m:sSup>
                    <m:sSupPr>
                      <m:ctrlPr>
                        <w:rPr>
                          <w:rFonts w:ascii="Cambria Math" w:hAnsi="Cambria Math"/>
                          <w:i/>
                          <w:iCs/>
                          <w:color w:val="2E368F" w:themeColor="text2"/>
                          <w:sz w:val="18"/>
                          <w:szCs w:val="16"/>
                        </w:rPr>
                      </m:ctrlPr>
                    </m:sSupPr>
                    <m:e>
                      <m:r>
                        <w:rPr>
                          <w:rFonts w:ascii="Cambria Math" w:hAnsi="Cambria Math"/>
                          <w:color w:val="2E368F" w:themeColor="text2"/>
                          <w:sz w:val="18"/>
                          <w:szCs w:val="16"/>
                          <w:lang w:val="en-US"/>
                        </w:rPr>
                        <m:t>z</m:t>
                      </m:r>
                    </m:e>
                    <m:sup>
                      <m:r>
                        <w:rPr>
                          <w:rFonts w:ascii="Cambria Math" w:hAnsi="Cambria Math"/>
                          <w:color w:val="2E368F" w:themeColor="text2"/>
                          <w:sz w:val="18"/>
                          <w:szCs w:val="16"/>
                          <w:lang w:val="en-US"/>
                        </w:rPr>
                        <m:t>2</m:t>
                      </m:r>
                    </m:sup>
                  </m:sSup>
                  <m:r>
                    <w:rPr>
                      <w:rFonts w:ascii="Cambria Math" w:hAnsi="Cambria Math"/>
                      <w:color w:val="2E368F" w:themeColor="text2"/>
                      <w:sz w:val="18"/>
                      <w:szCs w:val="16"/>
                      <w:lang w:val="en-US"/>
                    </w:rPr>
                    <m:t>× p(1-p)</m:t>
                  </m:r>
                </m:num>
                <m:den>
                  <m:sSup>
                    <m:sSupPr>
                      <m:ctrlPr>
                        <w:rPr>
                          <w:rFonts w:ascii="Cambria Math" w:hAnsi="Cambria Math"/>
                          <w:i/>
                          <w:iCs/>
                          <w:color w:val="2E368F" w:themeColor="text2"/>
                          <w:sz w:val="18"/>
                          <w:szCs w:val="16"/>
                        </w:rPr>
                      </m:ctrlPr>
                    </m:sSupPr>
                    <m:e>
                      <m:r>
                        <w:rPr>
                          <w:rFonts w:ascii="Cambria Math" w:hAnsi="Cambria Math"/>
                          <w:color w:val="2E368F" w:themeColor="text2"/>
                          <w:sz w:val="18"/>
                          <w:szCs w:val="16"/>
                          <w:lang w:val="en-US"/>
                        </w:rPr>
                        <m:t>e</m:t>
                      </m:r>
                    </m:e>
                    <m:sup>
                      <m:r>
                        <w:rPr>
                          <w:rFonts w:ascii="Cambria Math" w:hAnsi="Cambria Math"/>
                          <w:color w:val="2E368F" w:themeColor="text2"/>
                          <w:sz w:val="18"/>
                          <w:szCs w:val="16"/>
                          <w:lang w:val="en-US"/>
                        </w:rPr>
                        <m:t>2</m:t>
                      </m:r>
                    </m:sup>
                  </m:sSup>
                </m:den>
              </m:f>
            </m:num>
            <m:den>
              <m:r>
                <w:rPr>
                  <w:rFonts w:ascii="Cambria Math" w:hAnsi="Cambria Math"/>
                  <w:color w:val="2E368F" w:themeColor="text2"/>
                  <w:sz w:val="18"/>
                  <w:szCs w:val="16"/>
                  <w:lang w:val="en-US"/>
                </w:rPr>
                <m:t>1+</m:t>
              </m:r>
              <m:f>
                <m:fPr>
                  <m:ctrlPr>
                    <w:rPr>
                      <w:rFonts w:ascii="Cambria Math" w:hAnsi="Cambria Math"/>
                      <w:i/>
                      <w:iCs/>
                      <w:color w:val="2E368F" w:themeColor="text2"/>
                      <w:sz w:val="18"/>
                      <w:szCs w:val="16"/>
                    </w:rPr>
                  </m:ctrlPr>
                </m:fPr>
                <m:num>
                  <m:sSup>
                    <m:sSupPr>
                      <m:ctrlPr>
                        <w:rPr>
                          <w:rFonts w:ascii="Cambria Math" w:hAnsi="Cambria Math"/>
                          <w:i/>
                          <w:iCs/>
                          <w:color w:val="2E368F" w:themeColor="text2"/>
                          <w:sz w:val="18"/>
                          <w:szCs w:val="16"/>
                        </w:rPr>
                      </m:ctrlPr>
                    </m:sSupPr>
                    <m:e>
                      <m:r>
                        <w:rPr>
                          <w:rFonts w:ascii="Cambria Math" w:hAnsi="Cambria Math"/>
                          <w:color w:val="2E368F" w:themeColor="text2"/>
                          <w:sz w:val="18"/>
                          <w:szCs w:val="16"/>
                          <w:lang w:val="en-US"/>
                        </w:rPr>
                        <m:t>z</m:t>
                      </m:r>
                    </m:e>
                    <m:sup>
                      <m:r>
                        <w:rPr>
                          <w:rFonts w:ascii="Cambria Math" w:hAnsi="Cambria Math"/>
                          <w:color w:val="2E368F" w:themeColor="text2"/>
                          <w:sz w:val="18"/>
                          <w:szCs w:val="16"/>
                          <w:lang w:val="en-US"/>
                        </w:rPr>
                        <m:t>2</m:t>
                      </m:r>
                    </m:sup>
                  </m:sSup>
                  <m:r>
                    <w:rPr>
                      <w:rFonts w:ascii="Cambria Math" w:hAnsi="Cambria Math"/>
                      <w:color w:val="2E368F" w:themeColor="text2"/>
                      <w:sz w:val="18"/>
                      <w:szCs w:val="16"/>
                      <w:lang w:val="en-US"/>
                    </w:rPr>
                    <m:t>×p(1-p)</m:t>
                  </m:r>
                </m:num>
                <m:den>
                  <m:sSup>
                    <m:sSupPr>
                      <m:ctrlPr>
                        <w:rPr>
                          <w:rFonts w:ascii="Cambria Math" w:hAnsi="Cambria Math"/>
                          <w:i/>
                          <w:iCs/>
                          <w:color w:val="2E368F" w:themeColor="text2"/>
                          <w:sz w:val="18"/>
                          <w:szCs w:val="16"/>
                        </w:rPr>
                      </m:ctrlPr>
                    </m:sSupPr>
                    <m:e>
                      <m:r>
                        <w:rPr>
                          <w:rFonts w:ascii="Cambria Math" w:hAnsi="Cambria Math"/>
                          <w:color w:val="2E368F" w:themeColor="text2"/>
                          <w:sz w:val="18"/>
                          <w:szCs w:val="16"/>
                          <w:lang w:val="en-US"/>
                        </w:rPr>
                        <m:t>e</m:t>
                      </m:r>
                    </m:e>
                    <m:sup>
                      <m:r>
                        <w:rPr>
                          <w:rFonts w:ascii="Cambria Math" w:hAnsi="Cambria Math"/>
                          <w:color w:val="2E368F" w:themeColor="text2"/>
                          <w:sz w:val="18"/>
                          <w:szCs w:val="16"/>
                          <w:lang w:val="en-US"/>
                        </w:rPr>
                        <m:t>2</m:t>
                      </m:r>
                    </m:sup>
                  </m:sSup>
                  <m:r>
                    <w:rPr>
                      <w:rFonts w:ascii="Cambria Math" w:hAnsi="Cambria Math"/>
                      <w:color w:val="2E368F" w:themeColor="text2"/>
                      <w:sz w:val="18"/>
                      <w:szCs w:val="16"/>
                      <w:lang w:val="en-US" w:eastAsia="en-AU"/>
                    </w:rPr>
                    <m:t>N</m:t>
                  </m:r>
                </m:den>
              </m:f>
            </m:den>
          </m:f>
        </m:oMath>
      </m:oMathPara>
    </w:p>
    <w:p w14:paraId="1298F357" w14:textId="77777777" w:rsidR="006777F7" w:rsidRPr="006777F7" w:rsidRDefault="006777F7" w:rsidP="006777F7">
      <w:pPr>
        <w:spacing w:after="0"/>
        <w:ind w:left="1418" w:right="1230"/>
        <w:rPr>
          <w:i/>
          <w:color w:val="00264D" w:themeColor="background2"/>
          <w:sz w:val="16"/>
          <w:szCs w:val="16"/>
        </w:rPr>
      </w:pPr>
      <w:r w:rsidRPr="006777F7">
        <w:rPr>
          <w:i/>
          <w:color w:val="00264D" w:themeColor="background2"/>
          <w:sz w:val="16"/>
          <w:szCs w:val="16"/>
        </w:rPr>
        <w:t xml:space="preserve">Where: </w:t>
      </w:r>
    </w:p>
    <w:p w14:paraId="10BC04FC" w14:textId="77777777" w:rsidR="006777F7" w:rsidRPr="006777F7" w:rsidRDefault="006777F7" w:rsidP="006777F7">
      <w:pPr>
        <w:pStyle w:val="TableNBullet"/>
        <w:spacing w:before="0" w:after="0" w:line="240" w:lineRule="auto"/>
        <w:ind w:left="1418" w:right="1230"/>
        <w:rPr>
          <w:i/>
          <w:color w:val="00264D" w:themeColor="background2"/>
          <w:sz w:val="16"/>
          <w:szCs w:val="16"/>
        </w:rPr>
      </w:pPr>
      <m:oMath>
        <m:r>
          <w:rPr>
            <w:rFonts w:ascii="Cambria Math" w:hAnsi="Cambria Math"/>
            <w:color w:val="00264D" w:themeColor="background2"/>
            <w:sz w:val="16"/>
            <w:szCs w:val="16"/>
          </w:rPr>
          <m:t>N</m:t>
        </m:r>
      </m:oMath>
      <w:r w:rsidRPr="006777F7">
        <w:rPr>
          <w:i/>
          <w:color w:val="00264D" w:themeColor="background2"/>
          <w:sz w:val="16"/>
          <w:szCs w:val="16"/>
        </w:rPr>
        <w:t xml:space="preserve"> = the population to be sampled</w:t>
      </w:r>
      <w:r w:rsidR="00F006B2">
        <w:rPr>
          <w:i/>
          <w:color w:val="00264D" w:themeColor="background2"/>
          <w:sz w:val="16"/>
          <w:szCs w:val="16"/>
        </w:rPr>
        <w:t>.</w:t>
      </w:r>
      <w:r w:rsidRPr="006777F7">
        <w:rPr>
          <w:i/>
          <w:color w:val="00264D" w:themeColor="background2"/>
          <w:sz w:val="16"/>
          <w:szCs w:val="16"/>
        </w:rPr>
        <w:t xml:space="preserve"> </w:t>
      </w:r>
      <w:r w:rsidR="00070972">
        <w:rPr>
          <w:i/>
          <w:color w:val="00264D" w:themeColor="background2"/>
          <w:sz w:val="16"/>
          <w:szCs w:val="16"/>
        </w:rPr>
        <w:t>This has been indicated for each sample and sub-group below.</w:t>
      </w:r>
    </w:p>
    <w:p w14:paraId="1817E9C0" w14:textId="77777777" w:rsidR="006777F7" w:rsidRPr="006777F7" w:rsidRDefault="006777F7" w:rsidP="006777F7">
      <w:pPr>
        <w:pStyle w:val="TableNBullet"/>
        <w:spacing w:before="0" w:after="0" w:line="240" w:lineRule="auto"/>
        <w:ind w:left="1418" w:right="1230"/>
        <w:rPr>
          <w:i/>
          <w:color w:val="00264D" w:themeColor="background2"/>
          <w:sz w:val="16"/>
          <w:szCs w:val="16"/>
        </w:rPr>
      </w:pPr>
      <m:oMath>
        <m:r>
          <w:rPr>
            <w:rFonts w:ascii="Cambria Math" w:hAnsi="Cambria Math"/>
            <w:color w:val="00264D" w:themeColor="background2"/>
            <w:sz w:val="16"/>
            <w:szCs w:val="16"/>
          </w:rPr>
          <m:t>e</m:t>
        </m:r>
      </m:oMath>
      <w:r w:rsidRPr="006777F7">
        <w:rPr>
          <w:i/>
          <w:color w:val="00264D" w:themeColor="background2"/>
          <w:sz w:val="16"/>
          <w:szCs w:val="16"/>
        </w:rPr>
        <w:t xml:space="preserve"> = </w:t>
      </w:r>
      <w:r w:rsidR="00070972">
        <w:rPr>
          <w:i/>
          <w:color w:val="00264D" w:themeColor="background2"/>
          <w:sz w:val="16"/>
          <w:szCs w:val="16"/>
        </w:rPr>
        <w:t>5% (</w:t>
      </w:r>
      <w:r w:rsidRPr="006777F7">
        <w:rPr>
          <w:i/>
          <w:color w:val="00264D" w:themeColor="background2"/>
          <w:sz w:val="16"/>
          <w:szCs w:val="16"/>
        </w:rPr>
        <w:t>accepted margin of error).</w:t>
      </w:r>
    </w:p>
    <w:p w14:paraId="686F390C" w14:textId="77777777" w:rsidR="006777F7" w:rsidRPr="006777F7" w:rsidRDefault="006777F7" w:rsidP="006777F7">
      <w:pPr>
        <w:pStyle w:val="TableNBullet"/>
        <w:spacing w:before="0" w:after="0" w:line="240" w:lineRule="auto"/>
        <w:ind w:left="1418" w:right="1230"/>
        <w:rPr>
          <w:i/>
          <w:color w:val="00264D" w:themeColor="background2"/>
          <w:sz w:val="16"/>
          <w:szCs w:val="16"/>
        </w:rPr>
      </w:pPr>
      <m:oMath>
        <m:r>
          <w:rPr>
            <w:rFonts w:ascii="Cambria Math" w:hAnsi="Cambria Math"/>
            <w:color w:val="00264D" w:themeColor="background2"/>
            <w:sz w:val="16"/>
            <w:szCs w:val="16"/>
          </w:rPr>
          <m:t>p</m:t>
        </m:r>
      </m:oMath>
      <w:r w:rsidRPr="006777F7">
        <w:rPr>
          <w:i/>
          <w:color w:val="00264D" w:themeColor="background2"/>
          <w:sz w:val="16"/>
          <w:szCs w:val="16"/>
        </w:rPr>
        <w:t xml:space="preserve"> = </w:t>
      </w:r>
      <w:r w:rsidR="00070972">
        <w:rPr>
          <w:i/>
          <w:color w:val="00264D" w:themeColor="background2"/>
          <w:sz w:val="16"/>
          <w:szCs w:val="16"/>
        </w:rPr>
        <w:t>0.5 (</w:t>
      </w:r>
      <w:r w:rsidRPr="006777F7">
        <w:rPr>
          <w:i/>
          <w:color w:val="00264D" w:themeColor="background2"/>
          <w:sz w:val="16"/>
          <w:szCs w:val="16"/>
        </w:rPr>
        <w:t>the percentage value</w:t>
      </w:r>
      <w:r w:rsidR="00070972">
        <w:rPr>
          <w:i/>
          <w:color w:val="00264D" w:themeColor="background2"/>
          <w:sz w:val="16"/>
          <w:szCs w:val="16"/>
        </w:rPr>
        <w:t>,</w:t>
      </w:r>
      <w:r w:rsidRPr="006777F7">
        <w:rPr>
          <w:i/>
          <w:color w:val="00264D" w:themeColor="background2"/>
          <w:sz w:val="16"/>
          <w:szCs w:val="16"/>
        </w:rPr>
        <w:t xml:space="preserve"> set to maximise the sample size calculated).</w:t>
      </w:r>
    </w:p>
    <w:p w14:paraId="0DEC7A72" w14:textId="134EAE42" w:rsidR="006777F7" w:rsidRDefault="006777F7" w:rsidP="006777F7">
      <w:pPr>
        <w:pStyle w:val="TableNBullet"/>
        <w:spacing w:before="0" w:after="0" w:line="240" w:lineRule="auto"/>
        <w:ind w:left="1418" w:right="1230"/>
        <w:rPr>
          <w:i/>
          <w:color w:val="00264D" w:themeColor="background2"/>
          <w:sz w:val="16"/>
          <w:szCs w:val="16"/>
        </w:rPr>
      </w:pPr>
      <w:r w:rsidRPr="006777F7">
        <w:rPr>
          <w:i/>
          <w:color w:val="00264D" w:themeColor="background2"/>
          <w:sz w:val="16"/>
          <w:szCs w:val="16"/>
        </w:rPr>
        <w:t>z =</w:t>
      </w:r>
      <w:r w:rsidR="00070972">
        <w:rPr>
          <w:i/>
          <w:color w:val="00264D" w:themeColor="background2"/>
          <w:sz w:val="16"/>
          <w:szCs w:val="16"/>
        </w:rPr>
        <w:t>95% (</w:t>
      </w:r>
      <w:r w:rsidRPr="006777F7">
        <w:rPr>
          <w:i/>
          <w:color w:val="00264D" w:themeColor="background2"/>
          <w:sz w:val="16"/>
          <w:szCs w:val="16"/>
        </w:rPr>
        <w:t>the number of standard deviations a given proportion is away from the mean and is calculated based on</w:t>
      </w:r>
      <w:r w:rsidR="002467CF">
        <w:rPr>
          <w:i/>
          <w:color w:val="00264D" w:themeColor="background2"/>
          <w:sz w:val="16"/>
          <w:szCs w:val="16"/>
        </w:rPr>
        <w:t xml:space="preserve"> the desired confidence level).</w:t>
      </w:r>
    </w:p>
    <w:p w14:paraId="3C637EBA" w14:textId="77777777" w:rsidR="002467CF" w:rsidRDefault="002467CF" w:rsidP="002467CF"/>
    <w:p w14:paraId="451E9176" w14:textId="64CA0764" w:rsidR="00810F9F" w:rsidRDefault="00810F9F" w:rsidP="009F4642">
      <w:pPr>
        <w:pStyle w:val="Bullet"/>
        <w:numPr>
          <w:ilvl w:val="0"/>
          <w:numId w:val="0"/>
        </w:numPr>
        <w:spacing w:line="360" w:lineRule="auto"/>
        <w:ind w:left="340" w:hanging="340"/>
      </w:pPr>
      <w:bookmarkStart w:id="317" w:name="_Hlk519704200"/>
      <w:r>
        <w:lastRenderedPageBreak/>
        <w:t xml:space="preserve">To achieve the desired power for a robust analysis the </w:t>
      </w:r>
      <w:r w:rsidR="00B540FF">
        <w:t>minimum</w:t>
      </w:r>
      <w:r>
        <w:t xml:space="preserve"> </w:t>
      </w:r>
      <w:r w:rsidR="00B540FF">
        <w:t xml:space="preserve">survey </w:t>
      </w:r>
      <w:r>
        <w:t>sample size for:</w:t>
      </w:r>
    </w:p>
    <w:p w14:paraId="5381655F" w14:textId="6E606F99" w:rsidR="002467CF" w:rsidRPr="002467CF" w:rsidRDefault="002467CF" w:rsidP="009F4642">
      <w:pPr>
        <w:pStyle w:val="Bullet"/>
        <w:spacing w:line="360" w:lineRule="auto"/>
      </w:pPr>
      <w:r w:rsidRPr="005B0D06">
        <w:t>BreastScreen staff (i.e. staff delivering or supporting the delivery of the program, excluding program managers) is 208.</w:t>
      </w:r>
      <w:bookmarkEnd w:id="317"/>
    </w:p>
    <w:p w14:paraId="0E92392F" w14:textId="19B2D54E" w:rsidR="002467CF" w:rsidRDefault="002467CF" w:rsidP="009F4642">
      <w:pPr>
        <w:pStyle w:val="Bullet"/>
        <w:spacing w:line="360" w:lineRule="auto"/>
      </w:pPr>
      <w:r>
        <w:t>BreastScreen clients (i.e. women aged 70 years and over who attended BreastScreen) is 5</w:t>
      </w:r>
      <w:r w:rsidR="00B540FF">
        <w:t>,</w:t>
      </w:r>
      <w:r>
        <w:t xml:space="preserve">400. </w:t>
      </w:r>
    </w:p>
    <w:p w14:paraId="44222F45" w14:textId="2FF1AE1E" w:rsidR="005C51E4" w:rsidRPr="002467CF" w:rsidRDefault="002467CF" w:rsidP="009F4642">
      <w:pPr>
        <w:pStyle w:val="Bullet"/>
        <w:spacing w:line="360" w:lineRule="auto"/>
      </w:pPr>
      <w:r w:rsidRPr="002467CF">
        <w:t>Australian women</w:t>
      </w:r>
      <w:r w:rsidR="00B540FF">
        <w:t xml:space="preserve"> in the general population</w:t>
      </w:r>
      <w:r w:rsidRPr="002467CF">
        <w:t xml:space="preserve"> aged 70 years and over is 768.</w:t>
      </w:r>
    </w:p>
    <w:p w14:paraId="2F662FD7" w14:textId="0CC0AEB5" w:rsidR="00355FA3" w:rsidRPr="000F737F" w:rsidRDefault="00355FA3"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collection</w:t>
      </w:r>
      <w:r w:rsidR="008D37D2" w:rsidRPr="000F737F">
        <w:rPr>
          <w:rFonts w:ascii="Segoe UI" w:hAnsi="Segoe UI" w:cs="Segoe UI"/>
          <w:b/>
          <w:i/>
          <w:sz w:val="19"/>
        </w:rPr>
        <w:t xml:space="preserve"> tools</w:t>
      </w:r>
    </w:p>
    <w:p w14:paraId="7DAC5FF5" w14:textId="1E67C53A" w:rsidR="0096245B" w:rsidRDefault="00355FA3" w:rsidP="009F4642">
      <w:pPr>
        <w:spacing w:line="360" w:lineRule="auto"/>
        <w:rPr>
          <w:lang w:eastAsia="en-AU"/>
        </w:rPr>
      </w:pPr>
      <w:r>
        <w:rPr>
          <w:lang w:eastAsia="en-AU"/>
        </w:rPr>
        <w:t>S</w:t>
      </w:r>
      <w:r w:rsidR="005C51E4">
        <w:rPr>
          <w:lang w:eastAsia="en-AU"/>
        </w:rPr>
        <w:t xml:space="preserve">urveys will </w:t>
      </w:r>
      <w:r w:rsidR="0096245B">
        <w:rPr>
          <w:lang w:eastAsia="en-AU"/>
        </w:rPr>
        <w:t>consist of telephone surveys (with recorded notes and a thematic coding log</w:t>
      </w:r>
      <w:r w:rsidR="00810F9F">
        <w:rPr>
          <w:lang w:eastAsia="en-AU"/>
        </w:rPr>
        <w:t xml:space="preserve">) and online surveys (through a </w:t>
      </w:r>
      <w:r w:rsidR="0096245B">
        <w:rPr>
          <w:lang w:eastAsia="en-AU"/>
        </w:rPr>
        <w:t xml:space="preserve">survey platform enabling data collection and analysis). </w:t>
      </w:r>
    </w:p>
    <w:p w14:paraId="36157096" w14:textId="64A088C8" w:rsidR="005C51E4" w:rsidRPr="000F737F" w:rsidRDefault="005C51E4"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analysis</w:t>
      </w:r>
    </w:p>
    <w:p w14:paraId="6F8CE815" w14:textId="4B8AA1A9" w:rsidR="00C47189" w:rsidRPr="00C47189" w:rsidRDefault="005C51E4" w:rsidP="009F4642">
      <w:pPr>
        <w:spacing w:line="360" w:lineRule="auto"/>
        <w:rPr>
          <w:lang w:eastAsia="en-AU"/>
        </w:rPr>
      </w:pPr>
      <w:r>
        <w:rPr>
          <w:lang w:eastAsia="en-AU"/>
        </w:rPr>
        <w:t xml:space="preserve">Synthesis of outputs from </w:t>
      </w:r>
      <w:r w:rsidR="00D0350C">
        <w:rPr>
          <w:lang w:eastAsia="en-AU"/>
        </w:rPr>
        <w:t>surveys is important to produce</w:t>
      </w:r>
      <w:r>
        <w:rPr>
          <w:lang w:eastAsia="en-AU"/>
        </w:rPr>
        <w:t xml:space="preserve"> meaningful insights. </w:t>
      </w:r>
      <w:r w:rsidR="00C47189">
        <w:rPr>
          <w:lang w:eastAsia="en-AU"/>
        </w:rPr>
        <w:t xml:space="preserve">Surveys will be aligned to the </w:t>
      </w:r>
      <w:r w:rsidR="00D0350C">
        <w:rPr>
          <w:lang w:eastAsia="en-AU"/>
        </w:rPr>
        <w:t>KLE</w:t>
      </w:r>
      <w:r w:rsidR="009727DD">
        <w:rPr>
          <w:lang w:eastAsia="en-AU"/>
        </w:rPr>
        <w:t>s</w:t>
      </w:r>
      <w:r w:rsidR="00C47189">
        <w:rPr>
          <w:lang w:eastAsia="en-AU"/>
        </w:rPr>
        <w:t xml:space="preserve"> and corresponding research </w:t>
      </w:r>
      <w:r w:rsidR="0096245B">
        <w:rPr>
          <w:lang w:eastAsia="en-AU"/>
        </w:rPr>
        <w:t>questions</w:t>
      </w:r>
      <w:r w:rsidR="00C47189" w:rsidRPr="007105D1">
        <w:rPr>
          <w:lang w:eastAsia="en-AU"/>
        </w:rPr>
        <w:t>.</w:t>
      </w:r>
      <w:r w:rsidR="00C47189">
        <w:rPr>
          <w:lang w:eastAsia="en-AU"/>
        </w:rPr>
        <w:t xml:space="preserve"> </w:t>
      </w:r>
    </w:p>
    <w:p w14:paraId="1D912C2C" w14:textId="1CA6B065" w:rsidR="00BA3D3B" w:rsidRDefault="00EE789E" w:rsidP="009F4642">
      <w:pPr>
        <w:spacing w:line="360" w:lineRule="auto"/>
        <w:rPr>
          <w:lang w:eastAsia="en-AU"/>
        </w:rPr>
      </w:pPr>
      <w:r>
        <w:rPr>
          <w:lang w:eastAsia="en-AU"/>
        </w:rPr>
        <w:t>Survey findings for clients will be confidential and anonymous</w:t>
      </w:r>
      <w:r w:rsidR="00743C6D">
        <w:rPr>
          <w:lang w:eastAsia="en-AU"/>
        </w:rPr>
        <w:t xml:space="preserve"> and this will be made clear </w:t>
      </w:r>
      <w:r w:rsidR="0096245B">
        <w:rPr>
          <w:lang w:eastAsia="en-AU"/>
        </w:rPr>
        <w:t xml:space="preserve">at the beginning of each survey. </w:t>
      </w:r>
      <w:r>
        <w:rPr>
          <w:lang w:eastAsia="en-AU"/>
        </w:rPr>
        <w:t>Results will be aggregated to inform evaluation findings and individual comments will not be attributed to specific participants.</w:t>
      </w:r>
      <w:r w:rsidR="00BA3D3B">
        <w:rPr>
          <w:lang w:eastAsia="en-AU"/>
        </w:rPr>
        <w:t xml:space="preserve"> </w:t>
      </w:r>
    </w:p>
    <w:p w14:paraId="486F9ADD" w14:textId="1E39FC4D" w:rsidR="0096245B" w:rsidRDefault="0096245B" w:rsidP="009F4642">
      <w:pPr>
        <w:spacing w:line="360" w:lineRule="auto"/>
        <w:rPr>
          <w:lang w:eastAsia="en-AU"/>
        </w:rPr>
      </w:pPr>
      <w:r>
        <w:rPr>
          <w:lang w:eastAsia="en-AU"/>
        </w:rPr>
        <w:t>Methods of survey analysis will include quantitative and qualitative aspects, including assessments of accuracy, one-way tables, cross-tabulations, development of profiles/personas, and thematic analysis.</w:t>
      </w:r>
    </w:p>
    <w:p w14:paraId="603F44A4" w14:textId="77777777" w:rsidR="00961A99" w:rsidRDefault="00B046AF" w:rsidP="00961A99">
      <w:pPr>
        <w:pStyle w:val="Heading2"/>
      </w:pPr>
      <w:bookmarkStart w:id="318" w:name="_Toc511383632"/>
      <w:bookmarkStart w:id="319" w:name="_Toc511383817"/>
      <w:bookmarkStart w:id="320" w:name="_Toc511393474"/>
      <w:bookmarkStart w:id="321" w:name="_Toc511656745"/>
      <w:bookmarkStart w:id="322" w:name="_Toc511656897"/>
      <w:bookmarkStart w:id="323" w:name="_Toc511725381"/>
      <w:bookmarkStart w:id="324" w:name="_Toc511728154"/>
      <w:bookmarkStart w:id="325" w:name="_Toc511733336"/>
      <w:bookmarkStart w:id="326" w:name="_Toc511739464"/>
      <w:bookmarkStart w:id="327" w:name="_Toc511743414"/>
      <w:bookmarkStart w:id="328" w:name="_Toc511809615"/>
      <w:bookmarkStart w:id="329" w:name="_Toc511809835"/>
      <w:bookmarkStart w:id="330" w:name="_Toc511896779"/>
      <w:bookmarkStart w:id="331" w:name="_Toc511899615"/>
      <w:bookmarkStart w:id="332" w:name="_Toc511904369"/>
      <w:bookmarkStart w:id="333" w:name="_Toc511908887"/>
      <w:bookmarkStart w:id="334" w:name="_Toc530577379"/>
      <w:r>
        <w:t>Existing p</w:t>
      </w:r>
      <w:r w:rsidR="00FE478D">
        <w:t>opulation</w:t>
      </w:r>
      <w:r w:rsidR="00E502E1">
        <w:t>,</w:t>
      </w:r>
      <w:r w:rsidR="00FE478D">
        <w:t xml:space="preserve"> p</w:t>
      </w:r>
      <w:r w:rsidR="004348A7">
        <w:t xml:space="preserve">rogram </w:t>
      </w:r>
      <w:r w:rsidR="00E502E1">
        <w:t xml:space="preserve">and other relevant </w:t>
      </w:r>
      <w:r w:rsidR="004348A7">
        <w:t>data</w:t>
      </w:r>
      <w:bookmarkEnd w:id="309"/>
      <w:bookmarkEnd w:id="310"/>
      <w:bookmarkEnd w:id="311"/>
      <w:bookmarkEnd w:id="312"/>
      <w:bookmarkEnd w:id="313"/>
      <w:bookmarkEnd w:id="314"/>
      <w:bookmarkEnd w:id="315"/>
      <w:bookmarkEnd w:id="316"/>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2BA3AD3" w14:textId="516C8B80" w:rsidR="00810F9F" w:rsidRDefault="00810F9F" w:rsidP="009F4642">
      <w:pPr>
        <w:spacing w:line="360" w:lineRule="auto"/>
      </w:pPr>
      <w:r w:rsidRPr="00810F9F">
        <w:t>Nous will undertake statistical analysis of population and BreastScreen program data to evaluate implementation effectiveness and program performance.</w:t>
      </w:r>
    </w:p>
    <w:p w14:paraId="037557D3" w14:textId="6D47B366" w:rsidR="008D37D2" w:rsidRPr="000F737F" w:rsidRDefault="008D37D2"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sources</w:t>
      </w:r>
    </w:p>
    <w:p w14:paraId="76392ED4" w14:textId="748A00A5" w:rsidR="00AE5FE8" w:rsidRDefault="00A45349" w:rsidP="009F4642">
      <w:pPr>
        <w:spacing w:line="360" w:lineRule="auto"/>
        <w:rPr>
          <w:lang w:eastAsia="en-AU"/>
        </w:rPr>
      </w:pPr>
      <w:r>
        <w:rPr>
          <w:lang w:eastAsia="en-AU"/>
        </w:rPr>
        <w:t>Q</w:t>
      </w:r>
      <w:r w:rsidR="00182D1E" w:rsidRPr="00182D1E">
        <w:rPr>
          <w:lang w:eastAsia="en-AU"/>
        </w:rPr>
        <w:t>uantitative analysis will add robustness to the evaluation</w:t>
      </w:r>
      <w:r w:rsidR="00C849E9">
        <w:rPr>
          <w:lang w:eastAsia="en-AU"/>
        </w:rPr>
        <w:t>. In addition to enabling triangulation of</w:t>
      </w:r>
      <w:r w:rsidR="00182D1E" w:rsidRPr="00182D1E">
        <w:rPr>
          <w:lang w:eastAsia="en-AU"/>
        </w:rPr>
        <w:t xml:space="preserve"> </w:t>
      </w:r>
      <w:r w:rsidR="00C849E9">
        <w:rPr>
          <w:lang w:eastAsia="en-AU"/>
        </w:rPr>
        <w:t>findings</w:t>
      </w:r>
      <w:r w:rsidR="0046551A">
        <w:rPr>
          <w:lang w:eastAsia="en-AU"/>
        </w:rPr>
        <w:t xml:space="preserve"> against the literature review and stakeholder </w:t>
      </w:r>
      <w:r w:rsidR="00AA3FBD">
        <w:rPr>
          <w:lang w:eastAsia="en-AU"/>
        </w:rPr>
        <w:t>engagement</w:t>
      </w:r>
      <w:r w:rsidR="00C849E9">
        <w:rPr>
          <w:lang w:eastAsia="en-AU"/>
        </w:rPr>
        <w:t xml:space="preserve">, the </w:t>
      </w:r>
      <w:r>
        <w:rPr>
          <w:lang w:eastAsia="en-AU"/>
        </w:rPr>
        <w:t xml:space="preserve">data </w:t>
      </w:r>
      <w:r w:rsidR="00C849E9">
        <w:rPr>
          <w:lang w:eastAsia="en-AU"/>
        </w:rPr>
        <w:t>analysis will</w:t>
      </w:r>
      <w:r w:rsidR="00182D1E" w:rsidRPr="00182D1E">
        <w:rPr>
          <w:lang w:eastAsia="en-AU"/>
        </w:rPr>
        <w:t xml:space="preserve"> inform areas of interest or issues to explore in consultations.</w:t>
      </w:r>
      <w:r w:rsidR="00477675">
        <w:rPr>
          <w:lang w:eastAsia="en-AU"/>
        </w:rPr>
        <w:t xml:space="preserve"> </w:t>
      </w:r>
    </w:p>
    <w:p w14:paraId="7685A1AE" w14:textId="49EAB056" w:rsidR="0096245B" w:rsidRDefault="00133F82" w:rsidP="009F4642">
      <w:pPr>
        <w:spacing w:line="360" w:lineRule="auto"/>
        <w:rPr>
          <w:lang w:eastAsia="en-AU"/>
        </w:rPr>
      </w:pPr>
      <w:r w:rsidRPr="008E4BB0">
        <w:rPr>
          <w:lang w:eastAsia="en-AU"/>
        </w:rPr>
        <w:t>BreastScreen registers in each state and territory record data</w:t>
      </w:r>
      <w:r w:rsidRPr="00B1629A">
        <w:rPr>
          <w:lang w:eastAsia="en-AU"/>
        </w:rPr>
        <w:t xml:space="preserve"> collected during a woman’s contact with a BreastScreen service.</w:t>
      </w:r>
      <w:r w:rsidR="004828BB" w:rsidRPr="00010CC5">
        <w:rPr>
          <w:lang w:eastAsia="en-AU"/>
        </w:rPr>
        <w:t xml:space="preserve"> </w:t>
      </w:r>
      <w:r w:rsidRPr="004828BB">
        <w:rPr>
          <w:lang w:eastAsia="en-AU"/>
        </w:rPr>
        <w:t xml:space="preserve">Each BreastScreen program supplies BreastScreen data annually to the AIHW. </w:t>
      </w:r>
      <w:r w:rsidR="004828BB" w:rsidRPr="004828BB">
        <w:rPr>
          <w:lang w:eastAsia="en-AU"/>
        </w:rPr>
        <w:t xml:space="preserve">This program data will form the basis of </w:t>
      </w:r>
      <w:r w:rsidR="00810F9F" w:rsidRPr="004828BB">
        <w:rPr>
          <w:lang w:eastAsia="en-AU"/>
        </w:rPr>
        <w:t>much of</w:t>
      </w:r>
      <w:r w:rsidR="004828BB" w:rsidRPr="004828BB">
        <w:rPr>
          <w:lang w:eastAsia="en-AU"/>
        </w:rPr>
        <w:t xml:space="preserve"> the evaluation’s quantitative analyses, supplemented by additional experience, cost and population data.</w:t>
      </w:r>
      <w:r w:rsidR="0096245B">
        <w:rPr>
          <w:lang w:eastAsia="en-AU"/>
        </w:rPr>
        <w:t xml:space="preserve"> This will include:</w:t>
      </w:r>
    </w:p>
    <w:p w14:paraId="08986421" w14:textId="2EB61D56" w:rsidR="0096245B" w:rsidRDefault="0096245B" w:rsidP="009F4642">
      <w:pPr>
        <w:pStyle w:val="Bullet"/>
        <w:spacing w:line="360" w:lineRule="auto"/>
      </w:pPr>
      <w:r>
        <w:t>National BreastScreen Australia program data (from AIHW)</w:t>
      </w:r>
    </w:p>
    <w:p w14:paraId="59460A2C" w14:textId="552CCE93" w:rsidR="0096245B" w:rsidRDefault="0096245B" w:rsidP="009F4642">
      <w:pPr>
        <w:pStyle w:val="Bullet"/>
        <w:spacing w:line="360" w:lineRule="auto"/>
      </w:pPr>
      <w:r>
        <w:lastRenderedPageBreak/>
        <w:t>Jurisdictional BreastScreen program data, registers and reports (from State and Territory BreastScreen programs)</w:t>
      </w:r>
    </w:p>
    <w:p w14:paraId="56BE0D3D" w14:textId="2BC289CF" w:rsidR="00C844D5" w:rsidRPr="008D37D2" w:rsidRDefault="0096245B" w:rsidP="009F4642">
      <w:pPr>
        <w:pStyle w:val="Bullet"/>
        <w:spacing w:line="360" w:lineRule="auto"/>
        <w:rPr>
          <w:szCs w:val="22"/>
        </w:rPr>
      </w:pPr>
      <w:r>
        <w:t>Population data (from the ABS)</w:t>
      </w:r>
      <w:r w:rsidR="00DF7A0A">
        <w:t>.</w:t>
      </w:r>
    </w:p>
    <w:p w14:paraId="45137526" w14:textId="0DF4D55C" w:rsidR="008D37D2" w:rsidRPr="000F737F" w:rsidRDefault="00C861C4"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quality</w:t>
      </w:r>
    </w:p>
    <w:p w14:paraId="04A9DDE7" w14:textId="2883CDFF" w:rsidR="00C861C4" w:rsidRDefault="00C861C4" w:rsidP="009F4642">
      <w:pPr>
        <w:spacing w:line="360" w:lineRule="auto"/>
      </w:pPr>
      <w:r>
        <w:rPr>
          <w:lang w:eastAsia="en-AU"/>
        </w:rPr>
        <w:t xml:space="preserve">Quality data should be complete and timely, consistent and reliable, and accurate. </w:t>
      </w:r>
      <w:r>
        <w:t>Nous has undertaken an assessment of the data quality for key quantitative data sources. To address cost data quality issues, jurisdictional data will be supplemented with figures from literature.</w:t>
      </w:r>
    </w:p>
    <w:p w14:paraId="15E40AD9" w14:textId="44744D1C" w:rsidR="008D37D2" w:rsidRPr="000F737F" w:rsidRDefault="00C861C4"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Data collection tools</w:t>
      </w:r>
    </w:p>
    <w:p w14:paraId="3CBEFC9F" w14:textId="00D2ABFD" w:rsidR="00C861C4" w:rsidRDefault="00C861C4" w:rsidP="009F4642">
      <w:pPr>
        <w:spacing w:line="360" w:lineRule="auto"/>
        <w:rPr>
          <w:lang w:eastAsia="en-AU"/>
        </w:rPr>
      </w:pPr>
      <w:r>
        <w:rPr>
          <w:lang w:eastAsia="en-AU"/>
        </w:rPr>
        <w:t>Where possible, existing established datasets (e.g. prepared data provided to the AIHW by states and territories) will be used. Unit-record data will be collected via secure transfer of de-identified datasets, in the form provided by the data custodian (AIHW or local BreastScreen Program Managers). Aggregate data will be provided by data custodians or publicly available tools.</w:t>
      </w:r>
      <w:r w:rsidR="00810F9F">
        <w:rPr>
          <w:lang w:eastAsia="en-AU"/>
        </w:rPr>
        <w:t xml:space="preserve"> </w:t>
      </w:r>
      <w:r w:rsidRPr="00B1629A">
        <w:rPr>
          <w:lang w:eastAsia="en-AU"/>
        </w:rPr>
        <w:t>Data will be de-identified</w:t>
      </w:r>
      <w:r w:rsidR="00810F9F">
        <w:rPr>
          <w:lang w:eastAsia="en-AU"/>
        </w:rPr>
        <w:t>.</w:t>
      </w:r>
    </w:p>
    <w:p w14:paraId="20344D1A" w14:textId="3B371A09" w:rsidR="008D37D2" w:rsidRPr="000F737F" w:rsidRDefault="00C861C4" w:rsidP="000F737F">
      <w:pPr>
        <w:pStyle w:val="Heading3"/>
        <w:numPr>
          <w:ilvl w:val="0"/>
          <w:numId w:val="0"/>
        </w:numPr>
        <w:ind w:left="720" w:hanging="720"/>
        <w:rPr>
          <w:rFonts w:ascii="Segoe UI" w:hAnsi="Segoe UI" w:cs="Segoe UI"/>
          <w:b/>
          <w:i/>
          <w:sz w:val="19"/>
        </w:rPr>
      </w:pPr>
      <w:r w:rsidRPr="000F737F">
        <w:rPr>
          <w:rFonts w:ascii="Segoe UI" w:hAnsi="Segoe UI" w:cs="Segoe UI"/>
          <w:b/>
          <w:i/>
          <w:sz w:val="19"/>
        </w:rPr>
        <w:t>Program data analysis</w:t>
      </w:r>
    </w:p>
    <w:p w14:paraId="37DCE136" w14:textId="77777777" w:rsidR="00C861C4" w:rsidRPr="00C861C4" w:rsidRDefault="00C861C4" w:rsidP="009F4642">
      <w:pPr>
        <w:spacing w:line="360" w:lineRule="auto"/>
      </w:pPr>
      <w:r w:rsidRPr="00C861C4">
        <w:t xml:space="preserve">Statistical analysis of the data will be undertaken to evaluate the performance of the BreastScreen program expansion against objectives. It will be complementary to the literature review and stakeholder engagement. </w:t>
      </w:r>
    </w:p>
    <w:p w14:paraId="2FB8B580" w14:textId="77777777" w:rsidR="00C861C4" w:rsidRPr="00C861C4" w:rsidRDefault="00C861C4" w:rsidP="009F4642">
      <w:pPr>
        <w:spacing w:line="360" w:lineRule="auto"/>
      </w:pPr>
      <w:r w:rsidRPr="00C861C4">
        <w:t xml:space="preserve">Where targets have been established in the project agreement or project plans, these will be used to assess performance. Peer benchmarking will be undertaken to assess the relative performance of services, and to identify services of positive or negative deviance (i.e. high- or low-performing compared to the average). </w:t>
      </w:r>
    </w:p>
    <w:p w14:paraId="4BEE9BBE" w14:textId="5E6D4A52" w:rsidR="00C861C4" w:rsidRPr="00C861C4" w:rsidRDefault="00C861C4" w:rsidP="009F4642">
      <w:pPr>
        <w:spacing w:line="360" w:lineRule="auto"/>
      </w:pPr>
      <w:r w:rsidRPr="00C861C4">
        <w:t xml:space="preserve">To measure the success of implementation, Nous will use performance benchmarks for </w:t>
      </w:r>
      <w:r w:rsidR="00BD40CF">
        <w:t xml:space="preserve">screening </w:t>
      </w:r>
      <w:r w:rsidRPr="00C861C4">
        <w:t>women aged 70-74 years</w:t>
      </w:r>
      <w:r>
        <w:t>.</w:t>
      </w:r>
    </w:p>
    <w:p w14:paraId="23E973AA" w14:textId="77777777" w:rsidR="008134A8" w:rsidRPr="000F737F" w:rsidRDefault="008134A8" w:rsidP="000F737F">
      <w:pPr>
        <w:pStyle w:val="Heading3"/>
        <w:numPr>
          <w:ilvl w:val="0"/>
          <w:numId w:val="0"/>
        </w:numPr>
        <w:ind w:left="720" w:hanging="720"/>
        <w:rPr>
          <w:rFonts w:ascii="Segoe UI" w:hAnsi="Segoe UI" w:cs="Segoe UI"/>
          <w:b/>
          <w:i/>
          <w:sz w:val="19"/>
        </w:rPr>
      </w:pPr>
      <w:bookmarkStart w:id="335" w:name="_Ref510591761"/>
      <w:r w:rsidRPr="000F737F">
        <w:rPr>
          <w:rFonts w:ascii="Segoe UI" w:hAnsi="Segoe UI" w:cs="Segoe UI"/>
          <w:b/>
          <w:i/>
          <w:sz w:val="19"/>
        </w:rPr>
        <w:t>Cost analysis</w:t>
      </w:r>
      <w:bookmarkEnd w:id="335"/>
    </w:p>
    <w:p w14:paraId="415FB51E" w14:textId="5EF70581" w:rsidR="0017782D" w:rsidRDefault="00B1771A" w:rsidP="009F4642">
      <w:pPr>
        <w:spacing w:line="360" w:lineRule="auto"/>
      </w:pPr>
      <w:r>
        <w:t>The evaluation includes a limited cost an</w:t>
      </w:r>
      <w:r w:rsidR="00BD40CF">
        <w:t xml:space="preserve">alysis of the program expansion. </w:t>
      </w:r>
      <w:r>
        <w:t xml:space="preserve">The analysis will be </w:t>
      </w:r>
      <w:r w:rsidR="005009FF">
        <w:t>retrospective, focu</w:t>
      </w:r>
      <w:r>
        <w:t>sed on the BreastScreen program post-expansion of the target age range</w:t>
      </w:r>
      <w:r w:rsidR="005009FF">
        <w:t xml:space="preserve"> to 2017</w:t>
      </w:r>
      <w:r>
        <w:t xml:space="preserve">. </w:t>
      </w:r>
      <w:r w:rsidR="006E2862">
        <w:t xml:space="preserve">Effectiveness will be assessed as the number of women screened and the number of cancers detected. </w:t>
      </w:r>
      <w:r w:rsidR="00F1551A">
        <w:t>The services included in the analysis are the screening and assessment costs, and a</w:t>
      </w:r>
      <w:r w:rsidR="007F140A">
        <w:t xml:space="preserve">ncillary administrative costs. </w:t>
      </w:r>
    </w:p>
    <w:p w14:paraId="0C772BE3" w14:textId="69B920DE" w:rsidR="00BD291C" w:rsidRDefault="00BD291C" w:rsidP="009F4642">
      <w:pPr>
        <w:spacing w:line="360" w:lineRule="auto"/>
      </w:pPr>
      <w:r>
        <w:t>The analysis will include the following:</w:t>
      </w:r>
    </w:p>
    <w:p w14:paraId="52DB4FE6" w14:textId="77777777" w:rsidR="00BD291C" w:rsidRDefault="00BD291C" w:rsidP="009F4642">
      <w:pPr>
        <w:pStyle w:val="Bullet"/>
        <w:spacing w:line="360" w:lineRule="auto"/>
      </w:pPr>
      <w:r>
        <w:t>cost per screen, pre- and post-program expansion</w:t>
      </w:r>
    </w:p>
    <w:p w14:paraId="4294F961" w14:textId="77777777" w:rsidR="00BD291C" w:rsidRDefault="00BD291C" w:rsidP="009F4642">
      <w:pPr>
        <w:pStyle w:val="Bullet"/>
        <w:spacing w:line="360" w:lineRule="auto"/>
      </w:pPr>
      <w:r>
        <w:t>total costs for screening by five-year age cohort, pre- and post-program expansion</w:t>
      </w:r>
    </w:p>
    <w:p w14:paraId="682FDB5F" w14:textId="77777777" w:rsidR="00BD291C" w:rsidRDefault="00BD291C" w:rsidP="009F4642">
      <w:pPr>
        <w:pStyle w:val="Bullet"/>
        <w:spacing w:line="360" w:lineRule="auto"/>
      </w:pPr>
      <w:r>
        <w:t>an incremental cost-effectiveness ratio of the program expansion compared to no program expansion.</w:t>
      </w:r>
    </w:p>
    <w:p w14:paraId="41294CB9" w14:textId="77777777" w:rsidR="009252AA" w:rsidRDefault="00C47D6D" w:rsidP="009F4642">
      <w:pPr>
        <w:spacing w:line="360" w:lineRule="auto"/>
      </w:pPr>
      <w:r>
        <w:lastRenderedPageBreak/>
        <w:t xml:space="preserve">The cost analysis </w:t>
      </w:r>
      <w:r w:rsidRPr="00C47D6D">
        <w:t xml:space="preserve">will be a robust </w:t>
      </w:r>
      <w:r>
        <w:t>assessment</w:t>
      </w:r>
      <w:r w:rsidRPr="00C47D6D">
        <w:t xml:space="preserve"> of direct BreastScreen costs and outcomes, rather than taking a health system or societal perspective of costs and outcome</w:t>
      </w:r>
      <w:r>
        <w:t>s (i.e. the downstream costs and outcomes are not within scope for this review, for example treatment costs, private sector and MBS costs, women’s quality of life and productivity impacts).</w:t>
      </w:r>
    </w:p>
    <w:p w14:paraId="741C88F6" w14:textId="25D05A46" w:rsidR="00E23AC0" w:rsidRDefault="00823799" w:rsidP="009F4642">
      <w:pPr>
        <w:spacing w:line="360" w:lineRule="auto"/>
      </w:pPr>
      <w:r>
        <w:t xml:space="preserve">The cost analysis will not include a </w:t>
      </w:r>
      <w:r w:rsidR="00C47D6D">
        <w:t>detailed</w:t>
      </w:r>
      <w:r>
        <w:t xml:space="preserve"> cost-effectiveness</w:t>
      </w:r>
      <w:r w:rsidR="009252AA">
        <w:t xml:space="preserve"> (e.g. incremental cost to achieve incremental benefit such as life years gained)</w:t>
      </w:r>
      <w:r>
        <w:t>, or cost-utility</w:t>
      </w:r>
      <w:r w:rsidR="009252AA">
        <w:t xml:space="preserve"> (e.g. value for money, or quality-adjusted life-year)</w:t>
      </w:r>
      <w:r>
        <w:t xml:space="preserve">, </w:t>
      </w:r>
      <w:r w:rsidR="009252AA">
        <w:t xml:space="preserve">or cost-benefit (e.g. the net monetary cost of achieving a health outcome) </w:t>
      </w:r>
      <w:r>
        <w:t>analysis of the BreastScreen program or expansion.</w:t>
      </w:r>
      <w:r w:rsidR="009252AA">
        <w:rPr>
          <w:rStyle w:val="FootnoteReference"/>
        </w:rPr>
        <w:footnoteReference w:id="9"/>
      </w:r>
    </w:p>
    <w:p w14:paraId="1521EC45" w14:textId="132752CA" w:rsidR="00E23AC0" w:rsidRDefault="00261C3C" w:rsidP="00261C3C">
      <w:pPr>
        <w:pStyle w:val="Heading1"/>
      </w:pPr>
      <w:bookmarkStart w:id="336" w:name="_Toc530577380"/>
      <w:r>
        <w:lastRenderedPageBreak/>
        <w:t>C</w:t>
      </w:r>
      <w:r w:rsidR="00E23AC0">
        <w:t>onclusion</w:t>
      </w:r>
      <w:bookmarkEnd w:id="336"/>
    </w:p>
    <w:p w14:paraId="27CCD7A8" w14:textId="6AB8FC73" w:rsidR="008C17FC" w:rsidRDefault="00261C3C" w:rsidP="009F4642">
      <w:pPr>
        <w:spacing w:line="360" w:lineRule="auto"/>
        <w:rPr>
          <w:lang w:eastAsia="en-AU"/>
        </w:rPr>
      </w:pPr>
      <w:r>
        <w:rPr>
          <w:lang w:eastAsia="en-AU"/>
        </w:rPr>
        <w:t xml:space="preserve">The BreastScreen Australia Program has played a pivotal role in reducing breast cancer mortality and morbidity for Australian women through population-based screening, detection and early diagnosis. </w:t>
      </w:r>
      <w:r w:rsidR="008C17FC">
        <w:rPr>
          <w:lang w:eastAsia="en-AU"/>
        </w:rPr>
        <w:t xml:space="preserve">The expansion of the target age range for screening to include women aged 70-74 years is in line with the 2009 BreastScreen Australia Evaluation recommendations, supported by Commonwealth funding. </w:t>
      </w:r>
    </w:p>
    <w:p w14:paraId="00262C1D" w14:textId="5376F833" w:rsidR="00BD40CF" w:rsidRDefault="00BD40CF" w:rsidP="009F4642">
      <w:pPr>
        <w:spacing w:line="360" w:lineRule="auto"/>
        <w:rPr>
          <w:lang w:eastAsia="en-AU"/>
        </w:rPr>
      </w:pPr>
      <w:r>
        <w:rPr>
          <w:lang w:eastAsia="en-AU"/>
        </w:rPr>
        <w:t xml:space="preserve">This Evaluation Plan Summary outlines the approach for the evaluation of the implementation of the program expansion. </w:t>
      </w:r>
      <w:r w:rsidR="00261C3C">
        <w:rPr>
          <w:lang w:eastAsia="en-AU"/>
        </w:rPr>
        <w:t xml:space="preserve">Nous </w:t>
      </w:r>
      <w:r>
        <w:rPr>
          <w:lang w:eastAsia="en-AU"/>
        </w:rPr>
        <w:t>will</w:t>
      </w:r>
      <w:r w:rsidR="00261C3C">
        <w:rPr>
          <w:lang w:eastAsia="en-AU"/>
        </w:rPr>
        <w:t xml:space="preserve"> work collaboratively with BreastScreen Australia, the BS</w:t>
      </w:r>
      <w:r w:rsidR="00261C3C" w:rsidRPr="00B349DD">
        <w:rPr>
          <w:lang w:eastAsia="en-AU"/>
        </w:rPr>
        <w:t>TRG</w:t>
      </w:r>
      <w:r w:rsidR="00261C3C">
        <w:rPr>
          <w:lang w:eastAsia="en-AU"/>
        </w:rPr>
        <w:t>, Program Managers and key stakeholders to deliver a successful evaluation that enables practical improvements and clear recommendations.</w:t>
      </w:r>
    </w:p>
    <w:p w14:paraId="4921244D" w14:textId="77777777" w:rsidR="00AE45CF" w:rsidRDefault="008C17FC" w:rsidP="009F4642">
      <w:pPr>
        <w:spacing w:line="360" w:lineRule="auto"/>
        <w:rPr>
          <w:lang w:eastAsia="en-AU"/>
        </w:rPr>
      </w:pPr>
      <w:r>
        <w:rPr>
          <w:lang w:eastAsia="en-AU"/>
        </w:rPr>
        <w:t xml:space="preserve">The evaluation’s findings </w:t>
      </w:r>
      <w:r w:rsidRPr="005B649C">
        <w:rPr>
          <w:lang w:eastAsia="en-AU"/>
        </w:rPr>
        <w:t xml:space="preserve">will provide important evidence to guide improvements to future program delivery planning and funding </w:t>
      </w:r>
      <w:r>
        <w:rPr>
          <w:lang w:eastAsia="en-AU"/>
        </w:rPr>
        <w:t>beyond the current program funding commitment</w:t>
      </w:r>
    </w:p>
    <w:p w14:paraId="70A4FBB1" w14:textId="02AD3043" w:rsidR="00EB3FDA" w:rsidRDefault="008C17FC" w:rsidP="009F4642">
      <w:pPr>
        <w:spacing w:line="360" w:lineRule="auto"/>
        <w:rPr>
          <w:lang w:eastAsia="en-AU"/>
        </w:rPr>
        <w:sectPr w:rsidR="00EB3FDA" w:rsidSect="00B540FF">
          <w:headerReference w:type="default" r:id="rId21"/>
          <w:pgSz w:w="11907" w:h="16839" w:code="9"/>
          <w:pgMar w:top="1418" w:right="992" w:bottom="1440" w:left="1440" w:header="720" w:footer="720" w:gutter="0"/>
          <w:cols w:space="720"/>
          <w:docGrid w:linePitch="360"/>
        </w:sectPr>
      </w:pPr>
      <w:r>
        <w:rPr>
          <w:lang w:eastAsia="en-AU"/>
        </w:rPr>
        <w:t>.</w:t>
      </w:r>
      <w:bookmarkStart w:id="337" w:name="_Toc508896215"/>
      <w:bookmarkStart w:id="338" w:name="_Toc508898477"/>
      <w:bookmarkStart w:id="339" w:name="_Toc508915731"/>
      <w:bookmarkStart w:id="340" w:name="_Toc508963960"/>
      <w:bookmarkStart w:id="341" w:name="_Toc508966342"/>
      <w:bookmarkStart w:id="342" w:name="_Toc508975692"/>
      <w:bookmarkStart w:id="343" w:name="_Toc508976615"/>
      <w:bookmarkStart w:id="344" w:name="_Ref511719778"/>
      <w:bookmarkStart w:id="345" w:name="_Ref511719785"/>
      <w:bookmarkStart w:id="346" w:name="_Ref511719789"/>
      <w:bookmarkStart w:id="347" w:name="_Toc511725382"/>
      <w:bookmarkStart w:id="348" w:name="_Toc511728155"/>
      <w:bookmarkStart w:id="349" w:name="_Toc511733337"/>
      <w:bookmarkStart w:id="350" w:name="_Toc511739465"/>
      <w:bookmarkStart w:id="351" w:name="_Toc511743415"/>
      <w:bookmarkStart w:id="352" w:name="_Toc511383633"/>
      <w:bookmarkStart w:id="353" w:name="_Toc511383818"/>
      <w:bookmarkStart w:id="354" w:name="_Toc511393475"/>
      <w:bookmarkStart w:id="355" w:name="_Toc511656746"/>
      <w:bookmarkStart w:id="356" w:name="_Toc511656898"/>
      <w:bookmarkStart w:id="357" w:name="_Toc511661687"/>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77E11F6" w14:textId="77B9D2A2" w:rsidR="00723BB2" w:rsidRDefault="00723BB2" w:rsidP="009227B2">
      <w:r>
        <w:rPr>
          <w:noProof/>
          <w:lang w:eastAsia="en-AU"/>
        </w:rPr>
        <w:lastRenderedPageBreak/>
        <w:drawing>
          <wp:inline distT="0" distB="0" distL="0" distR="0" wp14:anchorId="2ED286DD" wp14:editId="43252299">
            <wp:extent cx="7315007" cy="10331669"/>
            <wp:effectExtent l="0" t="0" r="635" b="0"/>
            <wp:docPr id="14344" name="Picture 14344" descr="Generic Nous 'About' page.&#10;&#10;Nous Group is the largest Australian-founded management consulting firm. We partner with leaders across Australia and the UK to shape effective government, world-class businesses and empowered communities.&#10;&#10;We have 300 people, 50 principles, 8 locations and operate in 2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ut Nous_Proposals.jpg"/>
                    <pic:cNvPicPr/>
                  </pic:nvPicPr>
                  <pic:blipFill rotWithShape="1">
                    <a:blip r:embed="rId22" cstate="print">
                      <a:extLst>
                        <a:ext uri="{28A0092B-C50C-407E-A947-70E740481C1C}">
                          <a14:useLocalDpi xmlns:a14="http://schemas.microsoft.com/office/drawing/2010/main" val="0"/>
                        </a:ext>
                      </a:extLst>
                    </a:blip>
                    <a:srcRect t="1957"/>
                    <a:stretch/>
                  </pic:blipFill>
                  <pic:spPr bwMode="auto">
                    <a:xfrm>
                      <a:off x="0" y="0"/>
                      <a:ext cx="7329868" cy="10352658"/>
                    </a:xfrm>
                    <a:prstGeom prst="rect">
                      <a:avLst/>
                    </a:prstGeom>
                    <a:ln>
                      <a:noFill/>
                    </a:ln>
                    <a:extLst>
                      <a:ext uri="{53640926-AAD7-44D8-BBD7-CCE9431645EC}">
                        <a14:shadowObscured xmlns:a14="http://schemas.microsoft.com/office/drawing/2010/main"/>
                      </a:ext>
                    </a:extLst>
                  </pic:spPr>
                </pic:pic>
              </a:graphicData>
            </a:graphic>
          </wp:inline>
        </w:drawing>
      </w:r>
      <w:bookmarkEnd w:id="0"/>
    </w:p>
    <w:sectPr w:rsidR="00723BB2" w:rsidSect="00EB3FDA">
      <w:pgSz w:w="11907" w:h="16839" w:code="9"/>
      <w:pgMar w:top="232" w:right="232" w:bottom="232" w:left="2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024D3" w14:textId="77777777" w:rsidR="005669B6" w:rsidRDefault="005669B6" w:rsidP="00302076">
      <w:pPr>
        <w:spacing w:after="0"/>
      </w:pPr>
      <w:r>
        <w:separator/>
      </w:r>
    </w:p>
  </w:endnote>
  <w:endnote w:type="continuationSeparator" w:id="0">
    <w:p w14:paraId="5D556E2B" w14:textId="77777777" w:rsidR="005669B6" w:rsidRDefault="005669B6" w:rsidP="00302076">
      <w:pPr>
        <w:spacing w:after="0"/>
      </w:pPr>
      <w:r>
        <w:continuationSeparator/>
      </w:r>
    </w:p>
  </w:endnote>
  <w:endnote w:type="continuationNotice" w:id="1">
    <w:p w14:paraId="3B0D77B8" w14:textId="77777777" w:rsidR="005669B6" w:rsidRDefault="005669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altName w:val="Corbel"/>
    <w:panose1 w:val="00000000000000000000"/>
    <w:charset w:val="00"/>
    <w:family w:val="swiss"/>
    <w:notTrueType/>
    <w:pitch w:val="variable"/>
    <w:sig w:usb0="20000007" w:usb1="00000001" w:usb2="00000000" w:usb3="00000000" w:csb0="00000193" w:csb1="00000000"/>
  </w:font>
  <w:font w:name="Source Sans Pro">
    <w:altName w:val="Corbe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979E" w14:textId="003C3E83" w:rsidR="005669B6" w:rsidRPr="00160BCC" w:rsidRDefault="005669B6">
    <w:pPr>
      <w:pStyle w:val="Footer"/>
      <w:rPr>
        <w:rFonts w:ascii="Segoe UI Semibold" w:hAnsi="Segoe UI Semibold" w:cs="Segoe UI"/>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1871831353"/>
        <w:dataBinding w:prefixMappings="xmlns:ns0='http://purl.org/dc/elements/1.1/' xmlns:ns1='http://schemas.openxmlformats.org/package/2006/metadata/core-properties' " w:xpath="/ns1:coreProperties[1]/ns0:title[1]" w:storeItemID="{6C3C8BC8-F283-45AE-878A-BAB7291924A1}"/>
        <w:text/>
      </w:sdtPr>
      <w:sdtEndPr/>
      <w:sdtContent>
        <w:r w:rsidR="002970E2">
          <w:rPr>
            <w:color w:val="808080" w:themeColor="background1" w:themeShade="80"/>
            <w:szCs w:val="15"/>
            <w:lang w:eastAsia="en-AU"/>
          </w:rPr>
          <w:t>BreastScreen Australia – Program expansion evaluation plan summary</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140936312"/>
        <w:dataBinding w:prefixMappings="xmlns:ns0='http://schemas.microsoft.com/office/2006/coverPageProps' " w:xpath="/ns0:CoverPageProperties[1]/ns0:PublishDate[1]" w:storeItemID="{55AF091B-3C7A-41E3-B477-F2FDAA23CFDA}"/>
        <w:date w:fullDate="2018-11-21T00:00:00Z">
          <w:dateFormat w:val="d MMMM yyyy"/>
          <w:lid w:val="en-AU"/>
          <w:storeMappedDataAs w:val="dateTime"/>
          <w:calendar w:val="gregorian"/>
        </w:date>
      </w:sdtPr>
      <w:sdtEndPr/>
      <w:sdtContent>
        <w:r>
          <w:rPr>
            <w:color w:val="808080" w:themeColor="background1" w:themeShade="80"/>
            <w:szCs w:val="15"/>
            <w:lang w:eastAsia="en-AU"/>
          </w:rPr>
          <w:t>21 November 2018</w:t>
        </w:r>
      </w:sdtContent>
    </w:sdt>
    <w:r w:rsidRPr="00FD4AB1">
      <w:rPr>
        <w:rFonts w:ascii="Segoe UI Semibold" w:hAnsi="Segoe UI Semibold" w:cs="Segoe UI"/>
        <w:color w:val="A5A5A5"/>
      </w:rPr>
      <w:ptab w:relativeTo="margin" w:alignment="right" w:leader="none"/>
    </w:r>
    <w:r w:rsidRPr="00076505">
      <w:rPr>
        <w:rFonts w:cs="Segoe UI"/>
        <w:color w:val="808080" w:themeColor="background1" w:themeShade="80"/>
      </w:rPr>
      <w:t>|</w:t>
    </w:r>
    <w:r w:rsidRPr="00076505">
      <w:rPr>
        <w:rFonts w:ascii="Segoe UI Semibold" w:hAnsi="Segoe UI Semibold" w:cs="Segoe UI"/>
        <w:color w:val="808080" w:themeColor="background1" w:themeShade="80"/>
      </w:rPr>
      <w:t xml:space="preserve"> </w:t>
    </w:r>
    <w:r w:rsidRPr="00461BB8">
      <w:rPr>
        <w:rFonts w:ascii="Segoe UI Semibold" w:hAnsi="Segoe UI Semibold" w:cs="Segoe UI"/>
        <w:color w:val="808080" w:themeColor="background1" w:themeShade="80"/>
      </w:rPr>
      <w:fldChar w:fldCharType="begin"/>
    </w:r>
    <w:r w:rsidRPr="00461BB8">
      <w:rPr>
        <w:rFonts w:ascii="Segoe UI Semibold" w:hAnsi="Segoe UI Semibold" w:cs="Segoe UI"/>
        <w:color w:val="808080" w:themeColor="background1" w:themeShade="80"/>
      </w:rPr>
      <w:instrText xml:space="preserve"> PAGE   \* MERGEFORMAT </w:instrText>
    </w:r>
    <w:r w:rsidRPr="00461BB8">
      <w:rPr>
        <w:rFonts w:ascii="Segoe UI Semibold" w:hAnsi="Segoe UI Semibold" w:cs="Segoe UI"/>
        <w:color w:val="808080" w:themeColor="background1" w:themeShade="80"/>
      </w:rPr>
      <w:fldChar w:fldCharType="separate"/>
    </w:r>
    <w:r w:rsidR="002970E2">
      <w:rPr>
        <w:rFonts w:ascii="Segoe UI Semibold" w:hAnsi="Segoe UI Semibold" w:cs="Segoe UI"/>
        <w:noProof/>
        <w:color w:val="808080" w:themeColor="background1" w:themeShade="80"/>
      </w:rPr>
      <w:t>v</w:t>
    </w:r>
    <w:r w:rsidRPr="00461BB8">
      <w:rPr>
        <w:rFonts w:ascii="Segoe UI Semibold" w:hAnsi="Segoe UI Semibold" w:cs="Segoe UI"/>
        <w:noProof/>
        <w:color w:val="808080" w:themeColor="background1" w:themeShade="80"/>
      </w:rPr>
      <w:fldChar w:fldCharType="end"/>
    </w:r>
    <w:r w:rsidRPr="00076505">
      <w:rPr>
        <w:rFonts w:ascii="Segoe UI Semibold" w:hAnsi="Segoe UI Semibold" w:cs="Segoe UI"/>
        <w:color w:val="808080" w:themeColor="background1" w:themeShade="80"/>
      </w:rPr>
      <w:t xml:space="preserve"> </w:t>
    </w:r>
    <w:r w:rsidRPr="00076505">
      <w:rPr>
        <w:rFonts w:cs="Segoe UI"/>
        <w:color w:val="808080" w:themeColor="background1" w:themeShade="8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A554" w14:textId="450E3231" w:rsidR="005669B6" w:rsidRPr="00774F4F" w:rsidRDefault="005669B6">
    <w:pPr>
      <w:pStyle w:val="Footer"/>
      <w:rPr>
        <w:rFonts w:ascii="Segoe UI Semibold" w:hAnsi="Segoe UI Semibold" w:cs="Segoe UI"/>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1086813199"/>
        <w:dataBinding w:prefixMappings="xmlns:ns0='http://purl.org/dc/elements/1.1/' xmlns:ns1='http://schemas.openxmlformats.org/package/2006/metadata/core-properties' " w:xpath="/ns1:coreProperties[1]/ns0:title[1]" w:storeItemID="{6C3C8BC8-F283-45AE-878A-BAB7291924A1}"/>
        <w:text/>
      </w:sdtPr>
      <w:sdtEndPr/>
      <w:sdtContent>
        <w:r w:rsidR="002970E2">
          <w:rPr>
            <w:color w:val="808080" w:themeColor="background1" w:themeShade="80"/>
            <w:szCs w:val="15"/>
            <w:lang w:eastAsia="en-AU"/>
          </w:rPr>
          <w:t>BreastScreen Australia – Program expansion evaluation plan summary</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955791531"/>
        <w:dataBinding w:prefixMappings="xmlns:ns0='http://schemas.microsoft.com/office/2006/coverPageProps' " w:xpath="/ns0:CoverPageProperties[1]/ns0:PublishDate[1]" w:storeItemID="{55AF091B-3C7A-41E3-B477-F2FDAA23CFDA}"/>
        <w:date w:fullDate="2018-11-21T00:00:00Z">
          <w:dateFormat w:val="d MMMM yyyy"/>
          <w:lid w:val="en-AU"/>
          <w:storeMappedDataAs w:val="dateTime"/>
          <w:calendar w:val="gregorian"/>
        </w:date>
      </w:sdtPr>
      <w:sdtEndPr/>
      <w:sdtContent>
        <w:r>
          <w:rPr>
            <w:color w:val="808080" w:themeColor="background1" w:themeShade="80"/>
            <w:szCs w:val="15"/>
            <w:lang w:eastAsia="en-AU"/>
          </w:rPr>
          <w:t>21 November 2018</w:t>
        </w:r>
      </w:sdtContent>
    </w:sdt>
    <w:r w:rsidRPr="00FD4AB1">
      <w:rPr>
        <w:rFonts w:ascii="Segoe UI Semibold" w:hAnsi="Segoe UI Semibold" w:cs="Segoe UI"/>
        <w:color w:val="A5A5A5"/>
      </w:rPr>
      <w:ptab w:relativeTo="margin" w:alignment="right" w:leader="none"/>
    </w:r>
    <w:r w:rsidRPr="00076505">
      <w:rPr>
        <w:rFonts w:cs="Segoe UI"/>
        <w:color w:val="808080" w:themeColor="background1" w:themeShade="80"/>
      </w:rPr>
      <w:t>|</w:t>
    </w:r>
    <w:r w:rsidRPr="00076505">
      <w:rPr>
        <w:rFonts w:ascii="Segoe UI Semibold" w:hAnsi="Segoe UI Semibold" w:cs="Segoe UI"/>
        <w:color w:val="808080" w:themeColor="background1" w:themeShade="80"/>
      </w:rPr>
      <w:t xml:space="preserve"> </w:t>
    </w:r>
    <w:r w:rsidRPr="00076505">
      <w:rPr>
        <w:rFonts w:ascii="Segoe UI Semibold" w:hAnsi="Segoe UI Semibold" w:cs="Segoe UI"/>
        <w:b/>
        <w:color w:val="808080" w:themeColor="background1" w:themeShade="80"/>
      </w:rPr>
      <w:fldChar w:fldCharType="begin"/>
    </w:r>
    <w:r w:rsidRPr="00076505">
      <w:rPr>
        <w:rFonts w:ascii="Segoe UI Semibold" w:hAnsi="Segoe UI Semibold" w:cs="Segoe UI"/>
        <w:color w:val="808080" w:themeColor="background1" w:themeShade="80"/>
      </w:rPr>
      <w:instrText xml:space="preserve"> PAGE  \* roman  \* MERGEFORMAT </w:instrText>
    </w:r>
    <w:r w:rsidRPr="00076505">
      <w:rPr>
        <w:rFonts w:ascii="Segoe UI Semibold" w:hAnsi="Segoe UI Semibold" w:cs="Segoe UI"/>
        <w:b/>
        <w:color w:val="808080" w:themeColor="background1" w:themeShade="80"/>
      </w:rPr>
      <w:fldChar w:fldCharType="separate"/>
    </w:r>
    <w:r w:rsidR="002970E2">
      <w:rPr>
        <w:rFonts w:ascii="Segoe UI Semibold" w:hAnsi="Segoe UI Semibold" w:cs="Segoe UI"/>
        <w:noProof/>
        <w:color w:val="808080" w:themeColor="background1" w:themeShade="80"/>
      </w:rPr>
      <w:t>i</w:t>
    </w:r>
    <w:r w:rsidRPr="00076505">
      <w:rPr>
        <w:rFonts w:ascii="Segoe UI Semibold" w:hAnsi="Segoe UI Semibold" w:cs="Segoe UI"/>
        <w:b/>
        <w:color w:val="808080" w:themeColor="background1" w:themeShade="80"/>
      </w:rPr>
      <w:fldChar w:fldCharType="end"/>
    </w:r>
    <w:r w:rsidRPr="00076505">
      <w:rPr>
        <w:rFonts w:ascii="Segoe UI Semibold" w:hAnsi="Segoe UI Semibold" w:cs="Segoe UI"/>
        <w:color w:val="808080" w:themeColor="background1" w:themeShade="80"/>
      </w:rPr>
      <w:t xml:space="preserve"> </w:t>
    </w:r>
    <w:r w:rsidRPr="00076505">
      <w:rPr>
        <w:rFonts w:cs="Segoe UI"/>
        <w:color w:val="808080" w:themeColor="background1" w:themeShade="8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3C45" w14:textId="0E5FD212" w:rsidR="005669B6" w:rsidRPr="00160BCC" w:rsidRDefault="005669B6">
    <w:pPr>
      <w:pStyle w:val="Footer"/>
      <w:rPr>
        <w:rFonts w:ascii="Segoe UI Semibold" w:hAnsi="Segoe UI Semibold"/>
        <w:b/>
      </w:rPr>
    </w:pPr>
    <w:r>
      <w:rPr>
        <w:color w:val="808080" w:themeColor="background1" w:themeShade="80"/>
        <w:szCs w:val="15"/>
        <w:lang w:eastAsia="en-AU"/>
      </w:rPr>
      <w:t xml:space="preserve">Nous Group | </w:t>
    </w:r>
    <w:sdt>
      <w:sdtPr>
        <w:rPr>
          <w:color w:val="808080" w:themeColor="background1" w:themeShade="80"/>
          <w:szCs w:val="15"/>
          <w:lang w:eastAsia="en-AU"/>
        </w:rPr>
        <w:alias w:val="Title"/>
        <w:id w:val="1116863905"/>
        <w:dataBinding w:prefixMappings="xmlns:ns0='http://purl.org/dc/elements/1.1/' xmlns:ns1='http://schemas.openxmlformats.org/package/2006/metadata/core-properties' " w:xpath="/ns1:coreProperties[1]/ns0:title[1]" w:storeItemID="{6C3C8BC8-F283-45AE-878A-BAB7291924A1}"/>
        <w:text/>
      </w:sdtPr>
      <w:sdtEndPr/>
      <w:sdtContent>
        <w:r w:rsidR="002970E2">
          <w:rPr>
            <w:color w:val="808080" w:themeColor="background1" w:themeShade="80"/>
            <w:szCs w:val="15"/>
            <w:lang w:eastAsia="en-AU"/>
          </w:rPr>
          <w:t>BreastScreen Australia – Program expansion evaluation plan summary</w:t>
        </w:r>
      </w:sdtContent>
    </w:sdt>
    <w:r>
      <w:rPr>
        <w:color w:val="808080" w:themeColor="background1" w:themeShade="80"/>
        <w:szCs w:val="15"/>
        <w:lang w:eastAsia="en-AU"/>
      </w:rPr>
      <w:t xml:space="preserve"> | </w:t>
    </w:r>
    <w:sdt>
      <w:sdtPr>
        <w:rPr>
          <w:color w:val="808080" w:themeColor="background1" w:themeShade="80"/>
          <w:szCs w:val="15"/>
          <w:lang w:eastAsia="en-AU"/>
        </w:rPr>
        <w:alias w:val="Publish Date"/>
        <w:id w:val="-2102331278"/>
        <w:dataBinding w:prefixMappings="xmlns:ns0='http://schemas.microsoft.com/office/2006/coverPageProps' " w:xpath="/ns0:CoverPageProperties[1]/ns0:PublishDate[1]" w:storeItemID="{55AF091B-3C7A-41E3-B477-F2FDAA23CFDA}"/>
        <w:date w:fullDate="2018-11-21T00:00:00Z">
          <w:dateFormat w:val="d MMMM yyyy"/>
          <w:lid w:val="en-AU"/>
          <w:storeMappedDataAs w:val="dateTime"/>
          <w:calendar w:val="gregorian"/>
        </w:date>
      </w:sdtPr>
      <w:sdtEndPr/>
      <w:sdtContent>
        <w:r>
          <w:rPr>
            <w:color w:val="808080" w:themeColor="background1" w:themeShade="80"/>
            <w:szCs w:val="15"/>
            <w:lang w:eastAsia="en-AU"/>
          </w:rPr>
          <w:t>21 November 2018</w:t>
        </w:r>
      </w:sdtContent>
    </w:sdt>
    <w:r w:rsidRPr="00FD4AB1">
      <w:rPr>
        <w:rFonts w:ascii="Segoe UI Semibold" w:hAnsi="Segoe UI Semibold" w:cs="Segoe UI"/>
        <w:color w:val="A5A5A5"/>
      </w:rPr>
      <w:ptab w:relativeTo="margin" w:alignment="right" w:leader="none"/>
    </w:r>
    <w:r w:rsidRPr="00076505">
      <w:rPr>
        <w:rFonts w:cs="Segoe UI"/>
        <w:color w:val="808080" w:themeColor="background1" w:themeShade="80"/>
      </w:rPr>
      <w:t>|</w:t>
    </w:r>
    <w:r w:rsidRPr="00076505">
      <w:rPr>
        <w:rFonts w:ascii="Segoe UI Semibold" w:hAnsi="Segoe UI Semibold" w:cs="Segoe UI"/>
        <w:color w:val="808080" w:themeColor="background1" w:themeShade="80"/>
      </w:rPr>
      <w:t xml:space="preserve"> </w:t>
    </w:r>
    <w:r w:rsidRPr="00461BB8">
      <w:rPr>
        <w:rFonts w:ascii="Segoe UI Semibold" w:hAnsi="Segoe UI Semibold" w:cs="Segoe UI"/>
        <w:color w:val="808080" w:themeColor="background1" w:themeShade="80"/>
      </w:rPr>
      <w:fldChar w:fldCharType="begin"/>
    </w:r>
    <w:r w:rsidRPr="00461BB8">
      <w:rPr>
        <w:rFonts w:ascii="Segoe UI Semibold" w:hAnsi="Segoe UI Semibold" w:cs="Segoe UI"/>
        <w:color w:val="808080" w:themeColor="background1" w:themeShade="80"/>
      </w:rPr>
      <w:instrText xml:space="preserve"> PAGE   \* MERGEFORMAT </w:instrText>
    </w:r>
    <w:r w:rsidRPr="00461BB8">
      <w:rPr>
        <w:rFonts w:ascii="Segoe UI Semibold" w:hAnsi="Segoe UI Semibold" w:cs="Segoe UI"/>
        <w:color w:val="808080" w:themeColor="background1" w:themeShade="80"/>
      </w:rPr>
      <w:fldChar w:fldCharType="separate"/>
    </w:r>
    <w:r w:rsidR="002970E2">
      <w:rPr>
        <w:rFonts w:ascii="Segoe UI Semibold" w:hAnsi="Segoe UI Semibold" w:cs="Segoe UI"/>
        <w:noProof/>
        <w:color w:val="808080" w:themeColor="background1" w:themeShade="80"/>
      </w:rPr>
      <w:t>15</w:t>
    </w:r>
    <w:r w:rsidRPr="00461BB8">
      <w:rPr>
        <w:rFonts w:ascii="Segoe UI Semibold" w:hAnsi="Segoe UI Semibold" w:cs="Segoe UI"/>
        <w:noProof/>
        <w:color w:val="808080" w:themeColor="background1" w:themeShade="80"/>
      </w:rPr>
      <w:fldChar w:fldCharType="end"/>
    </w:r>
    <w:r w:rsidRPr="00076505">
      <w:rPr>
        <w:rFonts w:ascii="Segoe UI Semibold" w:hAnsi="Segoe UI Semibold" w:cs="Segoe UI"/>
        <w:color w:val="808080" w:themeColor="background1" w:themeShade="80"/>
      </w:rPr>
      <w:t xml:space="preserve"> </w:t>
    </w:r>
    <w:r w:rsidRPr="00076505">
      <w:rPr>
        <w:rFonts w:cs="Segoe UI"/>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9E43" w14:textId="77777777" w:rsidR="005669B6" w:rsidRDefault="005669B6" w:rsidP="00302076">
      <w:pPr>
        <w:spacing w:after="0"/>
      </w:pPr>
      <w:r>
        <w:separator/>
      </w:r>
    </w:p>
  </w:footnote>
  <w:footnote w:type="continuationSeparator" w:id="0">
    <w:p w14:paraId="030985C4" w14:textId="77777777" w:rsidR="005669B6" w:rsidRDefault="005669B6" w:rsidP="00302076">
      <w:pPr>
        <w:spacing w:after="0"/>
      </w:pPr>
      <w:r>
        <w:continuationSeparator/>
      </w:r>
    </w:p>
  </w:footnote>
  <w:footnote w:type="continuationNotice" w:id="1">
    <w:p w14:paraId="5A087B70" w14:textId="77777777" w:rsidR="005669B6" w:rsidRDefault="005669B6">
      <w:pPr>
        <w:spacing w:after="0"/>
      </w:pPr>
    </w:p>
  </w:footnote>
  <w:footnote w:id="2">
    <w:p w14:paraId="7E80151F" w14:textId="77777777" w:rsidR="005669B6" w:rsidRPr="00ED3E77" w:rsidRDefault="005669B6">
      <w:pPr>
        <w:pStyle w:val="FootnoteText"/>
        <w:rPr>
          <w:color w:val="808080" w:themeColor="background1" w:themeShade="80"/>
          <w:sz w:val="16"/>
        </w:rPr>
      </w:pPr>
      <w:r w:rsidRPr="00ED3E77">
        <w:rPr>
          <w:rStyle w:val="FootnoteReference"/>
          <w:color w:val="808080" w:themeColor="background1" w:themeShade="80"/>
          <w:sz w:val="16"/>
        </w:rPr>
        <w:footnoteRef/>
      </w:r>
      <w:r w:rsidRPr="00ED3E77">
        <w:rPr>
          <w:color w:val="808080" w:themeColor="background1" w:themeShade="80"/>
          <w:sz w:val="16"/>
        </w:rPr>
        <w:t xml:space="preserve"> BreastScreen Australia</w:t>
      </w:r>
      <w:r>
        <w:rPr>
          <w:color w:val="808080" w:themeColor="background1" w:themeShade="80"/>
          <w:sz w:val="16"/>
          <w:szCs w:val="16"/>
        </w:rPr>
        <w:t>. (2005)</w:t>
      </w:r>
      <w:r w:rsidRPr="00ED3E77">
        <w:rPr>
          <w:color w:val="808080" w:themeColor="background1" w:themeShade="80"/>
          <w:sz w:val="16"/>
        </w:rPr>
        <w:t xml:space="preserve"> Data Dictionary</w:t>
      </w:r>
      <w:r>
        <w:rPr>
          <w:color w:val="808080" w:themeColor="background1" w:themeShade="80"/>
          <w:sz w:val="16"/>
          <w:szCs w:val="16"/>
        </w:rPr>
        <w:t>.</w:t>
      </w:r>
    </w:p>
  </w:footnote>
  <w:footnote w:id="3">
    <w:p w14:paraId="1AF4C21E" w14:textId="77777777" w:rsidR="005669B6" w:rsidRPr="00ED3E77" w:rsidRDefault="005669B6">
      <w:pPr>
        <w:pStyle w:val="FootnoteText"/>
        <w:rPr>
          <w:color w:val="808080" w:themeColor="background1" w:themeShade="80"/>
          <w:sz w:val="16"/>
        </w:rPr>
      </w:pPr>
      <w:r w:rsidRPr="00ED3E77">
        <w:rPr>
          <w:rStyle w:val="FootnoteReference"/>
          <w:color w:val="808080" w:themeColor="background1" w:themeShade="80"/>
          <w:sz w:val="16"/>
        </w:rPr>
        <w:footnoteRef/>
      </w:r>
      <w:r w:rsidRPr="00ED3E77">
        <w:rPr>
          <w:color w:val="808080" w:themeColor="background1" w:themeShade="80"/>
          <w:sz w:val="16"/>
        </w:rPr>
        <w:t xml:space="preserve"> Ibid.</w:t>
      </w:r>
    </w:p>
  </w:footnote>
  <w:footnote w:id="4">
    <w:p w14:paraId="3AC7B418" w14:textId="1FC87F96" w:rsidR="005669B6" w:rsidRPr="00ED3E77" w:rsidRDefault="005669B6" w:rsidP="00503767">
      <w:pPr>
        <w:pStyle w:val="FootnoteText"/>
        <w:rPr>
          <w:color w:val="808080" w:themeColor="background1" w:themeShade="80"/>
          <w:sz w:val="16"/>
        </w:rPr>
      </w:pPr>
      <w:r w:rsidRPr="00ED3E77">
        <w:rPr>
          <w:rStyle w:val="FootnoteReference"/>
          <w:color w:val="808080" w:themeColor="background1" w:themeShade="80"/>
          <w:sz w:val="16"/>
        </w:rPr>
        <w:footnoteRef/>
      </w:r>
      <w:r w:rsidRPr="00ED3E77">
        <w:rPr>
          <w:color w:val="808080" w:themeColor="background1" w:themeShade="80"/>
          <w:sz w:val="16"/>
        </w:rPr>
        <w:t xml:space="preserve"> Department of Health. (2009). BreastScreen Australia Evaluation. Retrieved </w:t>
      </w:r>
      <w:hyperlink r:id="rId1" w:history="1">
        <w:r w:rsidR="00CB47C6" w:rsidRPr="00CB47C6">
          <w:rPr>
            <w:rStyle w:val="Hyperlink"/>
            <w:sz w:val="16"/>
          </w:rPr>
          <w:t>Cancer Screening Australia</w:t>
        </w:r>
      </w:hyperlink>
      <w:r>
        <w:rPr>
          <w:color w:val="808080" w:themeColor="background1" w:themeShade="80"/>
          <w:sz w:val="16"/>
          <w:szCs w:val="16"/>
        </w:rPr>
        <w:t>.</w:t>
      </w:r>
    </w:p>
  </w:footnote>
  <w:footnote w:id="5">
    <w:p w14:paraId="1AEF2A90" w14:textId="77777777" w:rsidR="005669B6" w:rsidRPr="00ED3E77" w:rsidRDefault="005669B6" w:rsidP="006A00BF">
      <w:pPr>
        <w:pStyle w:val="FootnoteText"/>
        <w:rPr>
          <w:color w:val="808080" w:themeColor="background1" w:themeShade="80"/>
          <w:sz w:val="16"/>
        </w:rPr>
      </w:pPr>
      <w:r w:rsidRPr="00ED3E77">
        <w:rPr>
          <w:rStyle w:val="FootnoteReference"/>
          <w:color w:val="808080" w:themeColor="background1" w:themeShade="80"/>
          <w:sz w:val="16"/>
        </w:rPr>
        <w:footnoteRef/>
      </w:r>
      <w:r w:rsidRPr="00ED3E77">
        <w:rPr>
          <w:rStyle w:val="FootnoteReference"/>
          <w:color w:val="808080" w:themeColor="background1" w:themeShade="80"/>
          <w:sz w:val="16"/>
        </w:rPr>
        <w:t xml:space="preserve"> </w:t>
      </w:r>
      <w:r w:rsidRPr="00ED3E77">
        <w:rPr>
          <w:color w:val="808080" w:themeColor="background1" w:themeShade="80"/>
          <w:sz w:val="16"/>
        </w:rPr>
        <w:t xml:space="preserve">Ibid. </w:t>
      </w:r>
    </w:p>
  </w:footnote>
  <w:footnote w:id="6">
    <w:p w14:paraId="6440A0A4" w14:textId="77777777" w:rsidR="005669B6" w:rsidRPr="00ED3E77" w:rsidRDefault="005669B6" w:rsidP="006A00BF">
      <w:pPr>
        <w:pStyle w:val="Default"/>
        <w:rPr>
          <w:color w:val="808080" w:themeColor="background1" w:themeShade="80"/>
          <w:sz w:val="16"/>
          <w:lang w:val="en-US"/>
        </w:rPr>
      </w:pPr>
      <w:r w:rsidRPr="00ED3E77">
        <w:rPr>
          <w:rStyle w:val="FootnoteReference"/>
          <w:rFonts w:ascii="Segoe UI" w:hAnsi="Segoe UI"/>
          <w:color w:val="808080" w:themeColor="background1" w:themeShade="80"/>
          <w:sz w:val="16"/>
        </w:rPr>
        <w:footnoteRef/>
      </w:r>
      <w:r w:rsidRPr="00ED3E77">
        <w:rPr>
          <w:rFonts w:ascii="Segoe UI" w:hAnsi="Segoe UI"/>
          <w:color w:val="808080" w:themeColor="background1" w:themeShade="80"/>
          <w:sz w:val="16"/>
        </w:rPr>
        <w:t xml:space="preserve"> Department of Health and Ageing (2008). </w:t>
      </w:r>
      <w:r w:rsidRPr="00ED3E77">
        <w:rPr>
          <w:rFonts w:ascii="Segoe UI" w:hAnsi="Segoe UI"/>
          <w:i/>
          <w:color w:val="808080" w:themeColor="background1" w:themeShade="80"/>
          <w:sz w:val="16"/>
        </w:rPr>
        <w:t>Breast Screen Evaluation: Participation Qualitative Study</w:t>
      </w:r>
      <w:r w:rsidRPr="00ED3E77">
        <w:rPr>
          <w:rFonts w:ascii="Segoe UI" w:hAnsi="Segoe UI"/>
          <w:color w:val="808080" w:themeColor="background1" w:themeShade="80"/>
          <w:sz w:val="16"/>
        </w:rPr>
        <w:t>. Screening Monograph No.3/2009</w:t>
      </w:r>
      <w:r>
        <w:rPr>
          <w:rFonts w:ascii="Segoe UI" w:hAnsi="Segoe UI" w:cstheme="minorBidi"/>
          <w:color w:val="808080" w:themeColor="background1" w:themeShade="80"/>
          <w:sz w:val="16"/>
          <w:szCs w:val="16"/>
        </w:rPr>
        <w:t>.</w:t>
      </w:r>
    </w:p>
  </w:footnote>
  <w:footnote w:id="7">
    <w:p w14:paraId="6B2545E2" w14:textId="77777777" w:rsidR="005669B6" w:rsidRPr="00ED3E77" w:rsidRDefault="005669B6" w:rsidP="002C6F7A">
      <w:pPr>
        <w:pStyle w:val="FootnoteText"/>
        <w:rPr>
          <w:color w:val="808080" w:themeColor="background1" w:themeShade="80"/>
          <w:sz w:val="16"/>
          <w:lang w:val="en-US"/>
        </w:rPr>
      </w:pPr>
      <w:r w:rsidRPr="00ED3E77">
        <w:rPr>
          <w:rStyle w:val="FootnoteReference"/>
          <w:color w:val="808080" w:themeColor="background1" w:themeShade="80"/>
          <w:sz w:val="16"/>
        </w:rPr>
        <w:footnoteRef/>
      </w:r>
      <w:r w:rsidRPr="00ED3E77">
        <w:rPr>
          <w:color w:val="808080" w:themeColor="background1" w:themeShade="80"/>
          <w:sz w:val="16"/>
        </w:rPr>
        <w:t xml:space="preserve"> Ibid.</w:t>
      </w:r>
    </w:p>
  </w:footnote>
  <w:footnote w:id="8">
    <w:p w14:paraId="0FF6E1BF" w14:textId="54AC3734" w:rsidR="005669B6" w:rsidRPr="00ED3E77" w:rsidRDefault="005669B6" w:rsidP="002C6F7A">
      <w:pPr>
        <w:pStyle w:val="FootnoteText"/>
        <w:rPr>
          <w:color w:val="808080" w:themeColor="background1" w:themeShade="80"/>
          <w:sz w:val="16"/>
          <w:lang w:val="en-US"/>
        </w:rPr>
      </w:pPr>
      <w:r w:rsidRPr="00ED3E77">
        <w:rPr>
          <w:rStyle w:val="FootnoteReference"/>
          <w:color w:val="808080" w:themeColor="background1" w:themeShade="80"/>
          <w:sz w:val="16"/>
        </w:rPr>
        <w:footnoteRef/>
      </w:r>
      <w:r w:rsidRPr="00ED3E77">
        <w:rPr>
          <w:rStyle w:val="FootnoteReference"/>
          <w:color w:val="808080" w:themeColor="background1" w:themeShade="80"/>
          <w:sz w:val="16"/>
        </w:rPr>
        <w:t xml:space="preserve"> </w:t>
      </w:r>
      <w:r w:rsidRPr="00ED3E77">
        <w:rPr>
          <w:color w:val="808080" w:themeColor="background1" w:themeShade="80"/>
          <w:sz w:val="16"/>
        </w:rPr>
        <w:t xml:space="preserve">Cancer Australia (2014), Over diagnosis from mammographic screening. Retrieved from: </w:t>
      </w:r>
      <w:hyperlink r:id="rId2" w:history="1">
        <w:r w:rsidR="00CB47C6" w:rsidRPr="00CB47C6">
          <w:rPr>
            <w:rStyle w:val="Hyperlink"/>
            <w:sz w:val="16"/>
          </w:rPr>
          <w:t>Cancer Australia Publications and Resources</w:t>
        </w:r>
      </w:hyperlink>
    </w:p>
  </w:footnote>
  <w:footnote w:id="9">
    <w:p w14:paraId="0EF3B750" w14:textId="141FA0EB" w:rsidR="005669B6" w:rsidRDefault="005669B6">
      <w:pPr>
        <w:pStyle w:val="FootnoteText"/>
      </w:pPr>
      <w:r>
        <w:rPr>
          <w:rStyle w:val="FootnoteReference"/>
        </w:rPr>
        <w:footnoteRef/>
      </w:r>
      <w:r>
        <w:t xml:space="preserve"> Analysis definitions from World Health Organization Essential Medicines Portal (</w:t>
      </w:r>
      <w:hyperlink r:id="rId3" w:history="1">
        <w:r w:rsidR="00CB47C6">
          <w:rPr>
            <w:rStyle w:val="Hyperlink"/>
          </w:rPr>
          <w:t>World Health Organization Essentials Medicines Portal</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BC2F9" w14:textId="01E4DCF5" w:rsidR="005669B6" w:rsidRDefault="00060A3F" w:rsidP="00060A3F">
    <w:pPr>
      <w:tabs>
        <w:tab w:val="left" w:pos="672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1F06" w14:textId="3171DB21" w:rsidR="005669B6" w:rsidRDefault="005669B6" w:rsidP="00060A3F">
    <w:pPr>
      <w:tabs>
        <w:tab w:val="left" w:pos="1758"/>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8B2E" w14:textId="091F4439" w:rsidR="00060A3F" w:rsidRPr="00060A3F" w:rsidRDefault="00060A3F" w:rsidP="00060A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98DE" w14:textId="1E260C79" w:rsidR="005669B6" w:rsidRDefault="005669B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B50A" w14:textId="77777777" w:rsidR="005669B6" w:rsidRPr="007B062C" w:rsidRDefault="005669B6" w:rsidP="00D22004">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name w:val="WW8Num23"/>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1222D74"/>
    <w:multiLevelType w:val="hybridMultilevel"/>
    <w:tmpl w:val="D7209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E4323E"/>
    <w:multiLevelType w:val="hybridMultilevel"/>
    <w:tmpl w:val="7AB60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07B8F"/>
    <w:multiLevelType w:val="multilevel"/>
    <w:tmpl w:val="9CD6342C"/>
    <w:styleLink w:val="TableexpListnumberedmultilevel"/>
    <w:lvl w:ilvl="0">
      <w:start w:val="1"/>
      <w:numFmt w:val="decimal"/>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4" w15:restartNumberingAfterBreak="0">
    <w:nsid w:val="089A31A2"/>
    <w:multiLevelType w:val="multilevel"/>
    <w:tmpl w:val="56D8F3D0"/>
    <w:lvl w:ilvl="0">
      <w:start w:val="1"/>
      <w:numFmt w:val="decimal"/>
      <w:pStyle w:val="Heading1"/>
      <w:lvlText w:val="%1"/>
      <w:lvlJc w:val="left"/>
      <w:pPr>
        <w:ind w:left="360" w:hanging="360"/>
      </w:pPr>
      <w:rPr>
        <w:rFonts w:ascii="Segoe UI" w:hAnsi="Segoe UI" w:hint="default"/>
        <w:b/>
        <w:i w:val="0"/>
        <w:sz w:val="36"/>
        <w:szCs w:val="96"/>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264D"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3625D8B"/>
    <w:multiLevelType w:val="hybridMultilevel"/>
    <w:tmpl w:val="834A1A7C"/>
    <w:lvl w:ilvl="0" w:tplc="4AFE4F5A">
      <w:start w:val="1"/>
      <w:numFmt w:val="decimal"/>
      <w:lvlText w:val="%1."/>
      <w:lvlJc w:val="left"/>
      <w:pPr>
        <w:ind w:left="397" w:hanging="397"/>
      </w:pPr>
      <w:rPr>
        <w:rFonts w:ascii="Segoe UI" w:hAnsi="Segoe UI" w:cs="Segoe UI" w:hint="default"/>
      </w:rPr>
    </w:lvl>
    <w:lvl w:ilvl="1" w:tplc="0C090019">
      <w:start w:val="1"/>
      <w:numFmt w:val="lowerLetter"/>
      <w:lvlText w:val="%2."/>
      <w:lvlJc w:val="left"/>
      <w:pPr>
        <w:ind w:left="794" w:hanging="397"/>
      </w:pPr>
      <w:rPr>
        <w:rFonts w:hint="default"/>
      </w:rPr>
    </w:lvl>
    <w:lvl w:ilvl="2" w:tplc="0C09001B">
      <w:start w:val="1"/>
      <w:numFmt w:val="lowerRoman"/>
      <w:lvlText w:val="%3."/>
      <w:lvlJc w:val="right"/>
      <w:pPr>
        <w:ind w:left="1247" w:hanging="34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13D2D"/>
    <w:multiLevelType w:val="multilevel"/>
    <w:tmpl w:val="ED80E9FA"/>
    <w:styleLink w:val="TableNListnumberedmultilevel"/>
    <w:lvl w:ilvl="0">
      <w:start w:val="1"/>
      <w:numFmt w:val="decimal"/>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7" w15:restartNumberingAfterBreak="0">
    <w:nsid w:val="2E827D77"/>
    <w:multiLevelType w:val="hybridMultilevel"/>
    <w:tmpl w:val="63C88F74"/>
    <w:lvl w:ilvl="0" w:tplc="04090001">
      <w:start w:val="1"/>
      <w:numFmt w:val="bullet"/>
      <w:pStyle w:val="ScheduleLevel3"/>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32306"/>
    <w:multiLevelType w:val="hybridMultilevel"/>
    <w:tmpl w:val="68D6649C"/>
    <w:styleLink w:val="Bullets"/>
    <w:lvl w:ilvl="0" w:tplc="3BAEDE2C">
      <w:start w:val="1"/>
      <w:numFmt w:val="bullet"/>
      <w:lvlText w:val=""/>
      <w:lvlJc w:val="left"/>
      <w:pPr>
        <w:ind w:left="720" w:hanging="360"/>
      </w:pPr>
      <w:rPr>
        <w:rFonts w:ascii="Symbol" w:hAnsi="Symbol" w:hint="default"/>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1C3308"/>
    <w:multiLevelType w:val="multilevel"/>
    <w:tmpl w:val="D456A732"/>
    <w:lvl w:ilvl="0">
      <w:start w:val="1"/>
      <w:numFmt w:val="decimal"/>
      <w:pStyle w:val="TableNListNumbered"/>
      <w:lvlText w:val="%1."/>
      <w:lvlJc w:val="left"/>
      <w:pPr>
        <w:ind w:left="170" w:hanging="170"/>
      </w:pPr>
      <w:rPr>
        <w:rFonts w:hint="default"/>
        <w:color w:val="404040" w:themeColor="text1" w:themeTint="BF"/>
        <w:sz w:val="18"/>
      </w:rPr>
    </w:lvl>
    <w:lvl w:ilvl="1">
      <w:start w:val="1"/>
      <w:numFmt w:val="lowerLetter"/>
      <w:lvlText w:val="%2."/>
      <w:lvlJc w:val="left"/>
      <w:pPr>
        <w:ind w:left="340" w:hanging="170"/>
      </w:pPr>
      <w:rPr>
        <w:rFonts w:hint="default"/>
        <w:sz w:val="18"/>
      </w:rPr>
    </w:lvl>
    <w:lvl w:ilvl="2">
      <w:start w:val="1"/>
      <w:numFmt w:val="lowerRoman"/>
      <w:lvlText w:val="%3."/>
      <w:lvlJc w:val="left"/>
      <w:pPr>
        <w:ind w:left="510" w:hanging="170"/>
      </w:pPr>
      <w:rPr>
        <w:rFonts w:hint="default"/>
        <w:color w:val="404040" w:themeColor="text1" w:themeTint="BF"/>
        <w:sz w:val="18"/>
      </w:rPr>
    </w:lvl>
    <w:lvl w:ilvl="3">
      <w:start w:val="1"/>
      <w:numFmt w:val="lowerRoman"/>
      <w:lvlText w:val="%3.%4"/>
      <w:lvlJc w:val="left"/>
      <w:pPr>
        <w:ind w:left="680" w:hanging="170"/>
      </w:pPr>
      <w:rPr>
        <w:rFonts w:hint="default"/>
        <w:color w:val="404040" w:themeColor="text1" w:themeTint="BF"/>
        <w:sz w:val="18"/>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6D4BBD"/>
    <w:multiLevelType w:val="multilevel"/>
    <w:tmpl w:val="9B72DCB0"/>
    <w:lvl w:ilvl="0">
      <w:start w:val="1"/>
      <w:numFmt w:val="decimal"/>
      <w:pStyle w:val="Schedul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FF4184"/>
    <w:multiLevelType w:val="hybridMultilevel"/>
    <w:tmpl w:val="2D2C7B5C"/>
    <w:lvl w:ilvl="0" w:tplc="0C090001">
      <w:start w:val="1"/>
      <w:numFmt w:val="bullet"/>
      <w:pStyle w:val="TableNListnumbered0"/>
      <w:lvlText w:val=""/>
      <w:lvlJc w:val="left"/>
      <w:pPr>
        <w:ind w:left="397" w:hanging="397"/>
      </w:pPr>
      <w:rPr>
        <w:rFonts w:ascii="Symbol" w:hAnsi="Symbol" w:hint="default"/>
      </w:rPr>
    </w:lvl>
    <w:lvl w:ilvl="1" w:tplc="0C090019">
      <w:start w:val="1"/>
      <w:numFmt w:val="lowerLetter"/>
      <w:lvlText w:val="%2."/>
      <w:lvlJc w:val="left"/>
      <w:pPr>
        <w:ind w:left="794" w:hanging="397"/>
      </w:pPr>
      <w:rPr>
        <w:rFonts w:hint="default"/>
      </w:rPr>
    </w:lvl>
    <w:lvl w:ilvl="2" w:tplc="0C09001B">
      <w:start w:val="1"/>
      <w:numFmt w:val="lowerRoman"/>
      <w:lvlText w:val="%3."/>
      <w:lvlJc w:val="right"/>
      <w:pPr>
        <w:ind w:left="1247" w:hanging="34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pStyle w:val="xAppendixLevel2"/>
      <w:lvlText w:val="%1.%2"/>
      <w:lvlJc w:val="left"/>
      <w:pPr>
        <w:ind w:left="851" w:hanging="851"/>
      </w:pPr>
      <w:rPr>
        <w:rFonts w:hint="default"/>
        <w:color w:val="00264D"/>
        <w:sz w:val="34"/>
        <w:szCs w:val="34"/>
      </w:rPr>
    </w:lvl>
    <w:lvl w:ilvl="2">
      <w:start w:val="1"/>
      <w:numFmt w:val="decimal"/>
      <w:pStyle w:val="xAppendixLevel3"/>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491A85"/>
    <w:multiLevelType w:val="hybridMultilevel"/>
    <w:tmpl w:val="41408872"/>
    <w:lvl w:ilvl="0" w:tplc="55949EC6">
      <w:start w:val="1"/>
      <w:numFmt w:val="bullet"/>
      <w:pStyle w:val="NormalBullet"/>
      <w:lvlText w:val=""/>
      <w:lvlJc w:val="left"/>
      <w:pPr>
        <w:tabs>
          <w:tab w:val="num" w:pos="1134"/>
        </w:tabs>
        <w:ind w:left="1134" w:hanging="567"/>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19"/>
  </w:num>
  <w:num w:numId="4">
    <w:abstractNumId w:val="10"/>
  </w:num>
  <w:num w:numId="5">
    <w:abstractNumId w:val="5"/>
    <w:lvlOverride w:ilvl="0">
      <w:startOverride w:val="1"/>
    </w:lvlOverride>
  </w:num>
  <w:num w:numId="6">
    <w:abstractNumId w:val="18"/>
  </w:num>
  <w:num w:numId="7">
    <w:abstractNumId w:val="15"/>
  </w:num>
  <w:num w:numId="8">
    <w:abstractNumId w:val="13"/>
  </w:num>
  <w:num w:numId="9">
    <w:abstractNumId w:val="6"/>
  </w:num>
  <w:num w:numId="10">
    <w:abstractNumId w:val="9"/>
  </w:num>
  <w:num w:numId="11">
    <w:abstractNumId w:val="11"/>
  </w:num>
  <w:num w:numId="12">
    <w:abstractNumId w:val="3"/>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2"/>
  </w:num>
  <w:num w:numId="18">
    <w:abstractNumId w:val="7"/>
  </w:num>
  <w:num w:numId="19">
    <w:abstractNumId w:val="14"/>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D3"/>
    <w:rsid w:val="00000AE3"/>
    <w:rsid w:val="00001814"/>
    <w:rsid w:val="000024FD"/>
    <w:rsid w:val="00002ACF"/>
    <w:rsid w:val="00003B22"/>
    <w:rsid w:val="00004384"/>
    <w:rsid w:val="000043A9"/>
    <w:rsid w:val="00010CC5"/>
    <w:rsid w:val="00010FC3"/>
    <w:rsid w:val="00011290"/>
    <w:rsid w:val="00011730"/>
    <w:rsid w:val="00011949"/>
    <w:rsid w:val="00011DAB"/>
    <w:rsid w:val="0001217E"/>
    <w:rsid w:val="00012925"/>
    <w:rsid w:val="00012B1F"/>
    <w:rsid w:val="00013C61"/>
    <w:rsid w:val="0001416B"/>
    <w:rsid w:val="00014343"/>
    <w:rsid w:val="000145E0"/>
    <w:rsid w:val="00015651"/>
    <w:rsid w:val="00016188"/>
    <w:rsid w:val="00016191"/>
    <w:rsid w:val="00016B32"/>
    <w:rsid w:val="0001759B"/>
    <w:rsid w:val="0001799C"/>
    <w:rsid w:val="000205A2"/>
    <w:rsid w:val="000208E7"/>
    <w:rsid w:val="00020C0A"/>
    <w:rsid w:val="000211C2"/>
    <w:rsid w:val="000212FF"/>
    <w:rsid w:val="000222DC"/>
    <w:rsid w:val="00022B9B"/>
    <w:rsid w:val="00023566"/>
    <w:rsid w:val="00023DF8"/>
    <w:rsid w:val="00023F50"/>
    <w:rsid w:val="00024CB3"/>
    <w:rsid w:val="000250C4"/>
    <w:rsid w:val="00026338"/>
    <w:rsid w:val="0002657E"/>
    <w:rsid w:val="000268FD"/>
    <w:rsid w:val="00026BE4"/>
    <w:rsid w:val="0002715C"/>
    <w:rsid w:val="00030553"/>
    <w:rsid w:val="00031A65"/>
    <w:rsid w:val="0003316E"/>
    <w:rsid w:val="000336B5"/>
    <w:rsid w:val="00033F6F"/>
    <w:rsid w:val="000345B9"/>
    <w:rsid w:val="000363C6"/>
    <w:rsid w:val="0003749C"/>
    <w:rsid w:val="00037C03"/>
    <w:rsid w:val="00037DAC"/>
    <w:rsid w:val="0004033A"/>
    <w:rsid w:val="0004058C"/>
    <w:rsid w:val="00040740"/>
    <w:rsid w:val="00041343"/>
    <w:rsid w:val="0004141F"/>
    <w:rsid w:val="0004168F"/>
    <w:rsid w:val="00042D50"/>
    <w:rsid w:val="00043CB8"/>
    <w:rsid w:val="00044D78"/>
    <w:rsid w:val="000454A9"/>
    <w:rsid w:val="00046506"/>
    <w:rsid w:val="00046E9F"/>
    <w:rsid w:val="000471B1"/>
    <w:rsid w:val="000518C5"/>
    <w:rsid w:val="00051E80"/>
    <w:rsid w:val="00052999"/>
    <w:rsid w:val="00052AA8"/>
    <w:rsid w:val="0005417D"/>
    <w:rsid w:val="0005684F"/>
    <w:rsid w:val="000570BF"/>
    <w:rsid w:val="00057AC4"/>
    <w:rsid w:val="00057CB5"/>
    <w:rsid w:val="00060A3F"/>
    <w:rsid w:val="000614EF"/>
    <w:rsid w:val="00062BE3"/>
    <w:rsid w:val="000632E4"/>
    <w:rsid w:val="00064207"/>
    <w:rsid w:val="00064F69"/>
    <w:rsid w:val="000652CC"/>
    <w:rsid w:val="00065A01"/>
    <w:rsid w:val="00065C5F"/>
    <w:rsid w:val="00065D5C"/>
    <w:rsid w:val="000674F1"/>
    <w:rsid w:val="00070972"/>
    <w:rsid w:val="00070B9C"/>
    <w:rsid w:val="00070F3E"/>
    <w:rsid w:val="0007160C"/>
    <w:rsid w:val="00071DFF"/>
    <w:rsid w:val="000723A6"/>
    <w:rsid w:val="00073028"/>
    <w:rsid w:val="00073652"/>
    <w:rsid w:val="00073A25"/>
    <w:rsid w:val="0007433C"/>
    <w:rsid w:val="00074A9D"/>
    <w:rsid w:val="00074B38"/>
    <w:rsid w:val="00074D15"/>
    <w:rsid w:val="00074EA7"/>
    <w:rsid w:val="000751C4"/>
    <w:rsid w:val="0007614D"/>
    <w:rsid w:val="00077158"/>
    <w:rsid w:val="0008014F"/>
    <w:rsid w:val="000804D3"/>
    <w:rsid w:val="00080C1F"/>
    <w:rsid w:val="00081E54"/>
    <w:rsid w:val="00081FAA"/>
    <w:rsid w:val="000823D2"/>
    <w:rsid w:val="00083AF3"/>
    <w:rsid w:val="00083D20"/>
    <w:rsid w:val="000851CA"/>
    <w:rsid w:val="000860B0"/>
    <w:rsid w:val="00086B94"/>
    <w:rsid w:val="00086D3D"/>
    <w:rsid w:val="0009113E"/>
    <w:rsid w:val="000913BE"/>
    <w:rsid w:val="000922C5"/>
    <w:rsid w:val="00092FC5"/>
    <w:rsid w:val="000933E4"/>
    <w:rsid w:val="00094647"/>
    <w:rsid w:val="00094C94"/>
    <w:rsid w:val="00095FF3"/>
    <w:rsid w:val="0009715F"/>
    <w:rsid w:val="0009796B"/>
    <w:rsid w:val="000A01EF"/>
    <w:rsid w:val="000A0A4F"/>
    <w:rsid w:val="000A0ED0"/>
    <w:rsid w:val="000A1FC0"/>
    <w:rsid w:val="000A2A5A"/>
    <w:rsid w:val="000A4092"/>
    <w:rsid w:val="000A4217"/>
    <w:rsid w:val="000A647B"/>
    <w:rsid w:val="000A7126"/>
    <w:rsid w:val="000A72BD"/>
    <w:rsid w:val="000A7602"/>
    <w:rsid w:val="000A7A59"/>
    <w:rsid w:val="000A7AA2"/>
    <w:rsid w:val="000B05B6"/>
    <w:rsid w:val="000B1581"/>
    <w:rsid w:val="000B2BA3"/>
    <w:rsid w:val="000B4832"/>
    <w:rsid w:val="000B4E15"/>
    <w:rsid w:val="000B5F68"/>
    <w:rsid w:val="000B6154"/>
    <w:rsid w:val="000B6F8F"/>
    <w:rsid w:val="000B7117"/>
    <w:rsid w:val="000B74DC"/>
    <w:rsid w:val="000B7B42"/>
    <w:rsid w:val="000B7DA7"/>
    <w:rsid w:val="000C023C"/>
    <w:rsid w:val="000C04E9"/>
    <w:rsid w:val="000C1B79"/>
    <w:rsid w:val="000C2561"/>
    <w:rsid w:val="000C2E4C"/>
    <w:rsid w:val="000C3000"/>
    <w:rsid w:val="000C303C"/>
    <w:rsid w:val="000C30B3"/>
    <w:rsid w:val="000C3384"/>
    <w:rsid w:val="000C3DE3"/>
    <w:rsid w:val="000C4416"/>
    <w:rsid w:val="000C4754"/>
    <w:rsid w:val="000C506E"/>
    <w:rsid w:val="000C5AAD"/>
    <w:rsid w:val="000C5EDF"/>
    <w:rsid w:val="000C68B6"/>
    <w:rsid w:val="000C6D66"/>
    <w:rsid w:val="000C7E15"/>
    <w:rsid w:val="000D0698"/>
    <w:rsid w:val="000D15C3"/>
    <w:rsid w:val="000D18CA"/>
    <w:rsid w:val="000D1AC6"/>
    <w:rsid w:val="000D1FEF"/>
    <w:rsid w:val="000D201F"/>
    <w:rsid w:val="000D2638"/>
    <w:rsid w:val="000D2F21"/>
    <w:rsid w:val="000D3290"/>
    <w:rsid w:val="000D3AB3"/>
    <w:rsid w:val="000D45C7"/>
    <w:rsid w:val="000D5AF5"/>
    <w:rsid w:val="000D5CE3"/>
    <w:rsid w:val="000D5F14"/>
    <w:rsid w:val="000D6096"/>
    <w:rsid w:val="000D61EB"/>
    <w:rsid w:val="000D63FE"/>
    <w:rsid w:val="000D68F8"/>
    <w:rsid w:val="000D71B6"/>
    <w:rsid w:val="000D74BE"/>
    <w:rsid w:val="000D7C09"/>
    <w:rsid w:val="000D7CB7"/>
    <w:rsid w:val="000E06AC"/>
    <w:rsid w:val="000E0B9E"/>
    <w:rsid w:val="000E162E"/>
    <w:rsid w:val="000E1858"/>
    <w:rsid w:val="000E1B60"/>
    <w:rsid w:val="000E1E77"/>
    <w:rsid w:val="000E20AC"/>
    <w:rsid w:val="000E29A8"/>
    <w:rsid w:val="000E2E78"/>
    <w:rsid w:val="000E3920"/>
    <w:rsid w:val="000E4073"/>
    <w:rsid w:val="000E408C"/>
    <w:rsid w:val="000E53C7"/>
    <w:rsid w:val="000E5886"/>
    <w:rsid w:val="000E6670"/>
    <w:rsid w:val="000E6EDB"/>
    <w:rsid w:val="000F0338"/>
    <w:rsid w:val="000F09BA"/>
    <w:rsid w:val="000F1213"/>
    <w:rsid w:val="000F2D4D"/>
    <w:rsid w:val="000F3ABD"/>
    <w:rsid w:val="000F4AB5"/>
    <w:rsid w:val="000F62F0"/>
    <w:rsid w:val="000F64A9"/>
    <w:rsid w:val="000F6704"/>
    <w:rsid w:val="000F670F"/>
    <w:rsid w:val="000F7263"/>
    <w:rsid w:val="000F737F"/>
    <w:rsid w:val="000F7667"/>
    <w:rsid w:val="000F7C4F"/>
    <w:rsid w:val="000F7F0C"/>
    <w:rsid w:val="0010020F"/>
    <w:rsid w:val="0010088F"/>
    <w:rsid w:val="00101873"/>
    <w:rsid w:val="0010305C"/>
    <w:rsid w:val="0010462B"/>
    <w:rsid w:val="001049CF"/>
    <w:rsid w:val="00104FA1"/>
    <w:rsid w:val="00105505"/>
    <w:rsid w:val="001057EE"/>
    <w:rsid w:val="00105DDD"/>
    <w:rsid w:val="00105DDF"/>
    <w:rsid w:val="00107A5E"/>
    <w:rsid w:val="00107C5D"/>
    <w:rsid w:val="00107EB1"/>
    <w:rsid w:val="001106C3"/>
    <w:rsid w:val="00110B6F"/>
    <w:rsid w:val="001110CC"/>
    <w:rsid w:val="0011178A"/>
    <w:rsid w:val="00111A50"/>
    <w:rsid w:val="00112C11"/>
    <w:rsid w:val="00112D72"/>
    <w:rsid w:val="0011318A"/>
    <w:rsid w:val="001134E0"/>
    <w:rsid w:val="001140BE"/>
    <w:rsid w:val="00114D05"/>
    <w:rsid w:val="001155EF"/>
    <w:rsid w:val="00116140"/>
    <w:rsid w:val="00116FA1"/>
    <w:rsid w:val="00117472"/>
    <w:rsid w:val="00117A8C"/>
    <w:rsid w:val="001200A8"/>
    <w:rsid w:val="00120EB8"/>
    <w:rsid w:val="00121158"/>
    <w:rsid w:val="00121C67"/>
    <w:rsid w:val="00122041"/>
    <w:rsid w:val="00122077"/>
    <w:rsid w:val="00122729"/>
    <w:rsid w:val="00123F6F"/>
    <w:rsid w:val="0012409D"/>
    <w:rsid w:val="001244B0"/>
    <w:rsid w:val="001256AA"/>
    <w:rsid w:val="00125B2A"/>
    <w:rsid w:val="00125BEC"/>
    <w:rsid w:val="00125FD6"/>
    <w:rsid w:val="00126204"/>
    <w:rsid w:val="00126675"/>
    <w:rsid w:val="0012693D"/>
    <w:rsid w:val="00126FC5"/>
    <w:rsid w:val="0013076C"/>
    <w:rsid w:val="00130947"/>
    <w:rsid w:val="0013157C"/>
    <w:rsid w:val="001315DE"/>
    <w:rsid w:val="00131C41"/>
    <w:rsid w:val="00131DE1"/>
    <w:rsid w:val="001321CC"/>
    <w:rsid w:val="00132B16"/>
    <w:rsid w:val="0013304D"/>
    <w:rsid w:val="0013321D"/>
    <w:rsid w:val="00133264"/>
    <w:rsid w:val="00133274"/>
    <w:rsid w:val="0013395D"/>
    <w:rsid w:val="00133F82"/>
    <w:rsid w:val="0013489F"/>
    <w:rsid w:val="00135368"/>
    <w:rsid w:val="001356ED"/>
    <w:rsid w:val="00135CE4"/>
    <w:rsid w:val="00135D8A"/>
    <w:rsid w:val="001369B0"/>
    <w:rsid w:val="00136B63"/>
    <w:rsid w:val="00137050"/>
    <w:rsid w:val="001375A9"/>
    <w:rsid w:val="001401DF"/>
    <w:rsid w:val="00142D25"/>
    <w:rsid w:val="001436F0"/>
    <w:rsid w:val="00144323"/>
    <w:rsid w:val="001455D8"/>
    <w:rsid w:val="00145C84"/>
    <w:rsid w:val="00145EC1"/>
    <w:rsid w:val="00147385"/>
    <w:rsid w:val="00150EDE"/>
    <w:rsid w:val="00151955"/>
    <w:rsid w:val="001519A0"/>
    <w:rsid w:val="00152573"/>
    <w:rsid w:val="00152A9D"/>
    <w:rsid w:val="00153F5B"/>
    <w:rsid w:val="00154F05"/>
    <w:rsid w:val="00156462"/>
    <w:rsid w:val="001569A3"/>
    <w:rsid w:val="00157119"/>
    <w:rsid w:val="001572AE"/>
    <w:rsid w:val="0015794F"/>
    <w:rsid w:val="00157AEE"/>
    <w:rsid w:val="00160BCC"/>
    <w:rsid w:val="001610E0"/>
    <w:rsid w:val="001613DD"/>
    <w:rsid w:val="00161464"/>
    <w:rsid w:val="00161CC6"/>
    <w:rsid w:val="001626AF"/>
    <w:rsid w:val="00162C65"/>
    <w:rsid w:val="00162FDF"/>
    <w:rsid w:val="001633F2"/>
    <w:rsid w:val="00164431"/>
    <w:rsid w:val="001656F4"/>
    <w:rsid w:val="00165E33"/>
    <w:rsid w:val="00165F80"/>
    <w:rsid w:val="001668BE"/>
    <w:rsid w:val="00166CFF"/>
    <w:rsid w:val="00167805"/>
    <w:rsid w:val="00167827"/>
    <w:rsid w:val="00170CD3"/>
    <w:rsid w:val="00170F09"/>
    <w:rsid w:val="001713CC"/>
    <w:rsid w:val="001721F3"/>
    <w:rsid w:val="001727F7"/>
    <w:rsid w:val="00172D69"/>
    <w:rsid w:val="00173597"/>
    <w:rsid w:val="001736AE"/>
    <w:rsid w:val="00174484"/>
    <w:rsid w:val="00174C2B"/>
    <w:rsid w:val="00174C6B"/>
    <w:rsid w:val="00175085"/>
    <w:rsid w:val="00175326"/>
    <w:rsid w:val="001764F7"/>
    <w:rsid w:val="00176520"/>
    <w:rsid w:val="001767E2"/>
    <w:rsid w:val="00177736"/>
    <w:rsid w:val="00177811"/>
    <w:rsid w:val="0017782D"/>
    <w:rsid w:val="00177C4B"/>
    <w:rsid w:val="00177CCE"/>
    <w:rsid w:val="001801E4"/>
    <w:rsid w:val="00180AEB"/>
    <w:rsid w:val="00181132"/>
    <w:rsid w:val="00181519"/>
    <w:rsid w:val="001816DE"/>
    <w:rsid w:val="00181A4D"/>
    <w:rsid w:val="00181FD4"/>
    <w:rsid w:val="00182200"/>
    <w:rsid w:val="00182D1E"/>
    <w:rsid w:val="00182FEB"/>
    <w:rsid w:val="001835C6"/>
    <w:rsid w:val="001844F5"/>
    <w:rsid w:val="00184EE5"/>
    <w:rsid w:val="00185B0C"/>
    <w:rsid w:val="00186082"/>
    <w:rsid w:val="00187742"/>
    <w:rsid w:val="001878C2"/>
    <w:rsid w:val="00187ACE"/>
    <w:rsid w:val="001907CB"/>
    <w:rsid w:val="00190D9B"/>
    <w:rsid w:val="001914B4"/>
    <w:rsid w:val="00191CB8"/>
    <w:rsid w:val="001925A9"/>
    <w:rsid w:val="00192645"/>
    <w:rsid w:val="00192EB0"/>
    <w:rsid w:val="00192FBA"/>
    <w:rsid w:val="0019373A"/>
    <w:rsid w:val="00194009"/>
    <w:rsid w:val="001942E2"/>
    <w:rsid w:val="00194C75"/>
    <w:rsid w:val="0019583E"/>
    <w:rsid w:val="00196486"/>
    <w:rsid w:val="0019686B"/>
    <w:rsid w:val="00196E9A"/>
    <w:rsid w:val="00197CA0"/>
    <w:rsid w:val="001A172B"/>
    <w:rsid w:val="001A37D1"/>
    <w:rsid w:val="001A3E5B"/>
    <w:rsid w:val="001A3E5D"/>
    <w:rsid w:val="001A47C0"/>
    <w:rsid w:val="001A4B46"/>
    <w:rsid w:val="001A6A78"/>
    <w:rsid w:val="001A6B04"/>
    <w:rsid w:val="001A704B"/>
    <w:rsid w:val="001B038B"/>
    <w:rsid w:val="001B058C"/>
    <w:rsid w:val="001B0A5D"/>
    <w:rsid w:val="001B175D"/>
    <w:rsid w:val="001B270A"/>
    <w:rsid w:val="001B2C71"/>
    <w:rsid w:val="001B31DD"/>
    <w:rsid w:val="001B36F4"/>
    <w:rsid w:val="001B4355"/>
    <w:rsid w:val="001B4931"/>
    <w:rsid w:val="001B5141"/>
    <w:rsid w:val="001B58F9"/>
    <w:rsid w:val="001B6138"/>
    <w:rsid w:val="001B6157"/>
    <w:rsid w:val="001B6EFA"/>
    <w:rsid w:val="001B6F4D"/>
    <w:rsid w:val="001B7469"/>
    <w:rsid w:val="001C05BE"/>
    <w:rsid w:val="001C0946"/>
    <w:rsid w:val="001C3677"/>
    <w:rsid w:val="001C4718"/>
    <w:rsid w:val="001C4FB1"/>
    <w:rsid w:val="001C52BA"/>
    <w:rsid w:val="001C52E0"/>
    <w:rsid w:val="001C5453"/>
    <w:rsid w:val="001C5507"/>
    <w:rsid w:val="001C5707"/>
    <w:rsid w:val="001C5A55"/>
    <w:rsid w:val="001C6233"/>
    <w:rsid w:val="001C6BDA"/>
    <w:rsid w:val="001C7BD9"/>
    <w:rsid w:val="001C7D8C"/>
    <w:rsid w:val="001D01A6"/>
    <w:rsid w:val="001D0314"/>
    <w:rsid w:val="001D0887"/>
    <w:rsid w:val="001D0A62"/>
    <w:rsid w:val="001D27FA"/>
    <w:rsid w:val="001D2806"/>
    <w:rsid w:val="001D31CC"/>
    <w:rsid w:val="001D3A3C"/>
    <w:rsid w:val="001D3F44"/>
    <w:rsid w:val="001D5118"/>
    <w:rsid w:val="001D5736"/>
    <w:rsid w:val="001D57AE"/>
    <w:rsid w:val="001D6290"/>
    <w:rsid w:val="001D63AD"/>
    <w:rsid w:val="001D78AE"/>
    <w:rsid w:val="001D7AC8"/>
    <w:rsid w:val="001D7D01"/>
    <w:rsid w:val="001E0073"/>
    <w:rsid w:val="001E0499"/>
    <w:rsid w:val="001E0B1B"/>
    <w:rsid w:val="001E151F"/>
    <w:rsid w:val="001E1974"/>
    <w:rsid w:val="001E2578"/>
    <w:rsid w:val="001E3174"/>
    <w:rsid w:val="001E436C"/>
    <w:rsid w:val="001E4C0F"/>
    <w:rsid w:val="001E4C1B"/>
    <w:rsid w:val="001E4CD1"/>
    <w:rsid w:val="001E5282"/>
    <w:rsid w:val="001E59CC"/>
    <w:rsid w:val="001E5BED"/>
    <w:rsid w:val="001E5DF8"/>
    <w:rsid w:val="001E65F7"/>
    <w:rsid w:val="001E6C12"/>
    <w:rsid w:val="001E71E9"/>
    <w:rsid w:val="001E7DE6"/>
    <w:rsid w:val="001E7F62"/>
    <w:rsid w:val="001F1AEF"/>
    <w:rsid w:val="001F2A0D"/>
    <w:rsid w:val="001F394F"/>
    <w:rsid w:val="001F3B88"/>
    <w:rsid w:val="001F4525"/>
    <w:rsid w:val="001F50F0"/>
    <w:rsid w:val="001F51D4"/>
    <w:rsid w:val="001F5976"/>
    <w:rsid w:val="001F6353"/>
    <w:rsid w:val="001F6749"/>
    <w:rsid w:val="001F7779"/>
    <w:rsid w:val="001F7DB2"/>
    <w:rsid w:val="001F7E9E"/>
    <w:rsid w:val="0020000D"/>
    <w:rsid w:val="0020086F"/>
    <w:rsid w:val="00200874"/>
    <w:rsid w:val="002013E2"/>
    <w:rsid w:val="00201D1A"/>
    <w:rsid w:val="0020271D"/>
    <w:rsid w:val="00202A7E"/>
    <w:rsid w:val="00203042"/>
    <w:rsid w:val="00203345"/>
    <w:rsid w:val="00203422"/>
    <w:rsid w:val="00204521"/>
    <w:rsid w:val="00206300"/>
    <w:rsid w:val="00206A9C"/>
    <w:rsid w:val="00206DC3"/>
    <w:rsid w:val="0020718F"/>
    <w:rsid w:val="00207E2D"/>
    <w:rsid w:val="002101BB"/>
    <w:rsid w:val="00210B84"/>
    <w:rsid w:val="00210ED8"/>
    <w:rsid w:val="00210FAD"/>
    <w:rsid w:val="0021106F"/>
    <w:rsid w:val="00211295"/>
    <w:rsid w:val="00211672"/>
    <w:rsid w:val="00211AC3"/>
    <w:rsid w:val="002123E7"/>
    <w:rsid w:val="00212562"/>
    <w:rsid w:val="00213103"/>
    <w:rsid w:val="00213310"/>
    <w:rsid w:val="00213843"/>
    <w:rsid w:val="0021384B"/>
    <w:rsid w:val="00214C96"/>
    <w:rsid w:val="00215857"/>
    <w:rsid w:val="002167C6"/>
    <w:rsid w:val="0021785D"/>
    <w:rsid w:val="002206E6"/>
    <w:rsid w:val="00220BFC"/>
    <w:rsid w:val="00221BE0"/>
    <w:rsid w:val="00221D0F"/>
    <w:rsid w:val="0022218B"/>
    <w:rsid w:val="00222288"/>
    <w:rsid w:val="00222431"/>
    <w:rsid w:val="002230A5"/>
    <w:rsid w:val="0022386E"/>
    <w:rsid w:val="0022447E"/>
    <w:rsid w:val="002253E4"/>
    <w:rsid w:val="00225410"/>
    <w:rsid w:val="00225964"/>
    <w:rsid w:val="00225D8F"/>
    <w:rsid w:val="00227334"/>
    <w:rsid w:val="00227A8E"/>
    <w:rsid w:val="002311E7"/>
    <w:rsid w:val="00231804"/>
    <w:rsid w:val="00231E28"/>
    <w:rsid w:val="00233216"/>
    <w:rsid w:val="00233921"/>
    <w:rsid w:val="00233BC7"/>
    <w:rsid w:val="00235176"/>
    <w:rsid w:val="00236604"/>
    <w:rsid w:val="00237B82"/>
    <w:rsid w:val="00240E8D"/>
    <w:rsid w:val="00241500"/>
    <w:rsid w:val="00241EFC"/>
    <w:rsid w:val="002424BD"/>
    <w:rsid w:val="002428B5"/>
    <w:rsid w:val="00242B0F"/>
    <w:rsid w:val="00242DC7"/>
    <w:rsid w:val="00243746"/>
    <w:rsid w:val="00243E90"/>
    <w:rsid w:val="002443DD"/>
    <w:rsid w:val="00244485"/>
    <w:rsid w:val="002449C8"/>
    <w:rsid w:val="00244F7B"/>
    <w:rsid w:val="002455F8"/>
    <w:rsid w:val="002456F1"/>
    <w:rsid w:val="002466E2"/>
    <w:rsid w:val="002467CF"/>
    <w:rsid w:val="002476B8"/>
    <w:rsid w:val="00247754"/>
    <w:rsid w:val="00247759"/>
    <w:rsid w:val="0025274B"/>
    <w:rsid w:val="00252B80"/>
    <w:rsid w:val="00253310"/>
    <w:rsid w:val="00254409"/>
    <w:rsid w:val="00254C74"/>
    <w:rsid w:val="00254C9D"/>
    <w:rsid w:val="00254E0E"/>
    <w:rsid w:val="00255866"/>
    <w:rsid w:val="00255A67"/>
    <w:rsid w:val="00255BCC"/>
    <w:rsid w:val="00256116"/>
    <w:rsid w:val="00256956"/>
    <w:rsid w:val="00257F68"/>
    <w:rsid w:val="00260409"/>
    <w:rsid w:val="00260876"/>
    <w:rsid w:val="00260C92"/>
    <w:rsid w:val="00260F2E"/>
    <w:rsid w:val="00261622"/>
    <w:rsid w:val="00261C3C"/>
    <w:rsid w:val="00262438"/>
    <w:rsid w:val="0026284C"/>
    <w:rsid w:val="00263349"/>
    <w:rsid w:val="00263AEC"/>
    <w:rsid w:val="00263E40"/>
    <w:rsid w:val="0026452A"/>
    <w:rsid w:val="002648A9"/>
    <w:rsid w:val="002648D6"/>
    <w:rsid w:val="00264C80"/>
    <w:rsid w:val="00264F10"/>
    <w:rsid w:val="00265036"/>
    <w:rsid w:val="00265798"/>
    <w:rsid w:val="00266624"/>
    <w:rsid w:val="00266846"/>
    <w:rsid w:val="00267078"/>
    <w:rsid w:val="00267220"/>
    <w:rsid w:val="0027078A"/>
    <w:rsid w:val="00270CCB"/>
    <w:rsid w:val="00270D0B"/>
    <w:rsid w:val="00273080"/>
    <w:rsid w:val="0027331F"/>
    <w:rsid w:val="00273CC8"/>
    <w:rsid w:val="002741C6"/>
    <w:rsid w:val="00274B76"/>
    <w:rsid w:val="002769D4"/>
    <w:rsid w:val="00276FE2"/>
    <w:rsid w:val="0027795C"/>
    <w:rsid w:val="0028133B"/>
    <w:rsid w:val="00281730"/>
    <w:rsid w:val="00281CEA"/>
    <w:rsid w:val="00281E9F"/>
    <w:rsid w:val="0028235D"/>
    <w:rsid w:val="00283231"/>
    <w:rsid w:val="0028389D"/>
    <w:rsid w:val="00283EE2"/>
    <w:rsid w:val="00283F0A"/>
    <w:rsid w:val="00284497"/>
    <w:rsid w:val="00285061"/>
    <w:rsid w:val="002864AB"/>
    <w:rsid w:val="002901D9"/>
    <w:rsid w:val="00290974"/>
    <w:rsid w:val="00291C79"/>
    <w:rsid w:val="00292BEA"/>
    <w:rsid w:val="0029320C"/>
    <w:rsid w:val="002935A2"/>
    <w:rsid w:val="002935A5"/>
    <w:rsid w:val="00293AD3"/>
    <w:rsid w:val="00293CAA"/>
    <w:rsid w:val="00294C7F"/>
    <w:rsid w:val="002954DA"/>
    <w:rsid w:val="0029572F"/>
    <w:rsid w:val="002959D1"/>
    <w:rsid w:val="00295D4C"/>
    <w:rsid w:val="00296C16"/>
    <w:rsid w:val="002970E2"/>
    <w:rsid w:val="002A01D9"/>
    <w:rsid w:val="002A121A"/>
    <w:rsid w:val="002A1376"/>
    <w:rsid w:val="002A14AD"/>
    <w:rsid w:val="002A1A05"/>
    <w:rsid w:val="002A2383"/>
    <w:rsid w:val="002A2D30"/>
    <w:rsid w:val="002A3430"/>
    <w:rsid w:val="002A3504"/>
    <w:rsid w:val="002A3687"/>
    <w:rsid w:val="002A38A7"/>
    <w:rsid w:val="002A3CA1"/>
    <w:rsid w:val="002A4539"/>
    <w:rsid w:val="002A4F29"/>
    <w:rsid w:val="002A51BF"/>
    <w:rsid w:val="002A533C"/>
    <w:rsid w:val="002A6436"/>
    <w:rsid w:val="002A78FE"/>
    <w:rsid w:val="002B0099"/>
    <w:rsid w:val="002B1D41"/>
    <w:rsid w:val="002B29B7"/>
    <w:rsid w:val="002B430B"/>
    <w:rsid w:val="002B454B"/>
    <w:rsid w:val="002B47AE"/>
    <w:rsid w:val="002B5034"/>
    <w:rsid w:val="002B51C1"/>
    <w:rsid w:val="002B5822"/>
    <w:rsid w:val="002B5EF7"/>
    <w:rsid w:val="002B63A1"/>
    <w:rsid w:val="002B63E0"/>
    <w:rsid w:val="002B6F31"/>
    <w:rsid w:val="002B72A2"/>
    <w:rsid w:val="002C0360"/>
    <w:rsid w:val="002C0372"/>
    <w:rsid w:val="002C1137"/>
    <w:rsid w:val="002C255B"/>
    <w:rsid w:val="002C3489"/>
    <w:rsid w:val="002C3731"/>
    <w:rsid w:val="002C386F"/>
    <w:rsid w:val="002C3971"/>
    <w:rsid w:val="002C3F58"/>
    <w:rsid w:val="002C4E5F"/>
    <w:rsid w:val="002C5D2C"/>
    <w:rsid w:val="002C5FD9"/>
    <w:rsid w:val="002C619F"/>
    <w:rsid w:val="002C61AE"/>
    <w:rsid w:val="002C6734"/>
    <w:rsid w:val="002C6933"/>
    <w:rsid w:val="002C6971"/>
    <w:rsid w:val="002C6BAE"/>
    <w:rsid w:val="002C6F7A"/>
    <w:rsid w:val="002C70C6"/>
    <w:rsid w:val="002D0B56"/>
    <w:rsid w:val="002D1240"/>
    <w:rsid w:val="002D178E"/>
    <w:rsid w:val="002D2707"/>
    <w:rsid w:val="002D2FCE"/>
    <w:rsid w:val="002D312C"/>
    <w:rsid w:val="002D35E0"/>
    <w:rsid w:val="002D37DE"/>
    <w:rsid w:val="002D3A59"/>
    <w:rsid w:val="002D4D9A"/>
    <w:rsid w:val="002D5146"/>
    <w:rsid w:val="002D5792"/>
    <w:rsid w:val="002D5F73"/>
    <w:rsid w:val="002D6049"/>
    <w:rsid w:val="002D6448"/>
    <w:rsid w:val="002D6479"/>
    <w:rsid w:val="002D64B9"/>
    <w:rsid w:val="002D6978"/>
    <w:rsid w:val="002E0275"/>
    <w:rsid w:val="002E06F7"/>
    <w:rsid w:val="002E077C"/>
    <w:rsid w:val="002E079E"/>
    <w:rsid w:val="002E0942"/>
    <w:rsid w:val="002E25DD"/>
    <w:rsid w:val="002E2A8D"/>
    <w:rsid w:val="002E2F19"/>
    <w:rsid w:val="002E3828"/>
    <w:rsid w:val="002E4B4A"/>
    <w:rsid w:val="002E61AA"/>
    <w:rsid w:val="002E7DB6"/>
    <w:rsid w:val="002F0140"/>
    <w:rsid w:val="002F032A"/>
    <w:rsid w:val="002F049B"/>
    <w:rsid w:val="002F07A4"/>
    <w:rsid w:val="002F18E4"/>
    <w:rsid w:val="002F27B1"/>
    <w:rsid w:val="002F2AD3"/>
    <w:rsid w:val="002F2ED5"/>
    <w:rsid w:val="002F3652"/>
    <w:rsid w:val="002F3727"/>
    <w:rsid w:val="002F4F70"/>
    <w:rsid w:val="002F5745"/>
    <w:rsid w:val="002F602A"/>
    <w:rsid w:val="002F63AE"/>
    <w:rsid w:val="002F78C2"/>
    <w:rsid w:val="002F7BE1"/>
    <w:rsid w:val="003006AC"/>
    <w:rsid w:val="00300B33"/>
    <w:rsid w:val="00301967"/>
    <w:rsid w:val="00301BA7"/>
    <w:rsid w:val="00302017"/>
    <w:rsid w:val="00302076"/>
    <w:rsid w:val="0030258E"/>
    <w:rsid w:val="00302DBA"/>
    <w:rsid w:val="00303014"/>
    <w:rsid w:val="00304031"/>
    <w:rsid w:val="00305E34"/>
    <w:rsid w:val="00306514"/>
    <w:rsid w:val="003078D5"/>
    <w:rsid w:val="00307DEB"/>
    <w:rsid w:val="0031000C"/>
    <w:rsid w:val="0031073D"/>
    <w:rsid w:val="003107A4"/>
    <w:rsid w:val="00311129"/>
    <w:rsid w:val="00311A72"/>
    <w:rsid w:val="00311B32"/>
    <w:rsid w:val="00312335"/>
    <w:rsid w:val="00312612"/>
    <w:rsid w:val="003126A3"/>
    <w:rsid w:val="00312A49"/>
    <w:rsid w:val="00312ACF"/>
    <w:rsid w:val="003137C0"/>
    <w:rsid w:val="0031444A"/>
    <w:rsid w:val="00315085"/>
    <w:rsid w:val="003170B6"/>
    <w:rsid w:val="003170C9"/>
    <w:rsid w:val="00317F86"/>
    <w:rsid w:val="00320165"/>
    <w:rsid w:val="00320342"/>
    <w:rsid w:val="0032099F"/>
    <w:rsid w:val="00320BE9"/>
    <w:rsid w:val="00321F79"/>
    <w:rsid w:val="003221B9"/>
    <w:rsid w:val="00322B53"/>
    <w:rsid w:val="00323205"/>
    <w:rsid w:val="003233C3"/>
    <w:rsid w:val="00323632"/>
    <w:rsid w:val="00323F6A"/>
    <w:rsid w:val="00323FA9"/>
    <w:rsid w:val="00324A08"/>
    <w:rsid w:val="00325FA2"/>
    <w:rsid w:val="00326709"/>
    <w:rsid w:val="0032774C"/>
    <w:rsid w:val="00327951"/>
    <w:rsid w:val="00327CF5"/>
    <w:rsid w:val="003302EA"/>
    <w:rsid w:val="00333AD8"/>
    <w:rsid w:val="0033420D"/>
    <w:rsid w:val="00334F22"/>
    <w:rsid w:val="00335156"/>
    <w:rsid w:val="003353DD"/>
    <w:rsid w:val="00336879"/>
    <w:rsid w:val="00336CDA"/>
    <w:rsid w:val="003373DC"/>
    <w:rsid w:val="0033792C"/>
    <w:rsid w:val="00337E95"/>
    <w:rsid w:val="003411A3"/>
    <w:rsid w:val="00341294"/>
    <w:rsid w:val="00341783"/>
    <w:rsid w:val="00342047"/>
    <w:rsid w:val="003421FE"/>
    <w:rsid w:val="003426C7"/>
    <w:rsid w:val="00342FD0"/>
    <w:rsid w:val="00342FF8"/>
    <w:rsid w:val="00343B12"/>
    <w:rsid w:val="00345505"/>
    <w:rsid w:val="0034571C"/>
    <w:rsid w:val="00345A68"/>
    <w:rsid w:val="00346E80"/>
    <w:rsid w:val="00346F53"/>
    <w:rsid w:val="00347671"/>
    <w:rsid w:val="00347A92"/>
    <w:rsid w:val="00347BB8"/>
    <w:rsid w:val="00347E60"/>
    <w:rsid w:val="00350584"/>
    <w:rsid w:val="00350A9B"/>
    <w:rsid w:val="003510B6"/>
    <w:rsid w:val="00351729"/>
    <w:rsid w:val="00351999"/>
    <w:rsid w:val="00351ED5"/>
    <w:rsid w:val="00352375"/>
    <w:rsid w:val="003523F6"/>
    <w:rsid w:val="00352819"/>
    <w:rsid w:val="0035350B"/>
    <w:rsid w:val="0035385D"/>
    <w:rsid w:val="00353AED"/>
    <w:rsid w:val="00353E37"/>
    <w:rsid w:val="00354484"/>
    <w:rsid w:val="00354588"/>
    <w:rsid w:val="00354900"/>
    <w:rsid w:val="00355C12"/>
    <w:rsid w:val="00355FA3"/>
    <w:rsid w:val="003569AE"/>
    <w:rsid w:val="00356B5E"/>
    <w:rsid w:val="003576BC"/>
    <w:rsid w:val="00357E67"/>
    <w:rsid w:val="00361A04"/>
    <w:rsid w:val="00361A3E"/>
    <w:rsid w:val="00361D55"/>
    <w:rsid w:val="003626AD"/>
    <w:rsid w:val="00362757"/>
    <w:rsid w:val="00362C05"/>
    <w:rsid w:val="00363493"/>
    <w:rsid w:val="00364E7B"/>
    <w:rsid w:val="00364EF4"/>
    <w:rsid w:val="0036521F"/>
    <w:rsid w:val="003666C7"/>
    <w:rsid w:val="003666DD"/>
    <w:rsid w:val="0036677A"/>
    <w:rsid w:val="003669C7"/>
    <w:rsid w:val="00366D40"/>
    <w:rsid w:val="003670A0"/>
    <w:rsid w:val="0036738E"/>
    <w:rsid w:val="00367D96"/>
    <w:rsid w:val="003707E7"/>
    <w:rsid w:val="0037156F"/>
    <w:rsid w:val="0037185B"/>
    <w:rsid w:val="00372D97"/>
    <w:rsid w:val="00373229"/>
    <w:rsid w:val="00373253"/>
    <w:rsid w:val="003736CA"/>
    <w:rsid w:val="00375A43"/>
    <w:rsid w:val="00375C52"/>
    <w:rsid w:val="00375E53"/>
    <w:rsid w:val="00377180"/>
    <w:rsid w:val="00377542"/>
    <w:rsid w:val="00377807"/>
    <w:rsid w:val="003800ED"/>
    <w:rsid w:val="00380208"/>
    <w:rsid w:val="00380423"/>
    <w:rsid w:val="00381C40"/>
    <w:rsid w:val="00382015"/>
    <w:rsid w:val="00382AE0"/>
    <w:rsid w:val="00382D2E"/>
    <w:rsid w:val="00382FFB"/>
    <w:rsid w:val="00385CF3"/>
    <w:rsid w:val="0038616E"/>
    <w:rsid w:val="0038617E"/>
    <w:rsid w:val="00386B1C"/>
    <w:rsid w:val="00386BEC"/>
    <w:rsid w:val="00386FCC"/>
    <w:rsid w:val="00387C83"/>
    <w:rsid w:val="00387CF3"/>
    <w:rsid w:val="00390934"/>
    <w:rsid w:val="00390E59"/>
    <w:rsid w:val="003913E9"/>
    <w:rsid w:val="00391CD5"/>
    <w:rsid w:val="00392056"/>
    <w:rsid w:val="00392096"/>
    <w:rsid w:val="003923E3"/>
    <w:rsid w:val="00392410"/>
    <w:rsid w:val="003925CD"/>
    <w:rsid w:val="00392CDE"/>
    <w:rsid w:val="00393508"/>
    <w:rsid w:val="00393790"/>
    <w:rsid w:val="003946FB"/>
    <w:rsid w:val="00394B00"/>
    <w:rsid w:val="00396332"/>
    <w:rsid w:val="003963BC"/>
    <w:rsid w:val="003966E5"/>
    <w:rsid w:val="00396782"/>
    <w:rsid w:val="00396D53"/>
    <w:rsid w:val="003975E9"/>
    <w:rsid w:val="00397B9B"/>
    <w:rsid w:val="00397F29"/>
    <w:rsid w:val="003A065C"/>
    <w:rsid w:val="003A1166"/>
    <w:rsid w:val="003A213A"/>
    <w:rsid w:val="003A23FA"/>
    <w:rsid w:val="003A2809"/>
    <w:rsid w:val="003A2989"/>
    <w:rsid w:val="003A363D"/>
    <w:rsid w:val="003A3843"/>
    <w:rsid w:val="003A38F9"/>
    <w:rsid w:val="003A4979"/>
    <w:rsid w:val="003A4BE4"/>
    <w:rsid w:val="003A55F0"/>
    <w:rsid w:val="003A5614"/>
    <w:rsid w:val="003A5F5F"/>
    <w:rsid w:val="003A665A"/>
    <w:rsid w:val="003A66D4"/>
    <w:rsid w:val="003A66E7"/>
    <w:rsid w:val="003A7232"/>
    <w:rsid w:val="003B03CA"/>
    <w:rsid w:val="003B0C0B"/>
    <w:rsid w:val="003B1193"/>
    <w:rsid w:val="003B154E"/>
    <w:rsid w:val="003B1DD9"/>
    <w:rsid w:val="003B1F57"/>
    <w:rsid w:val="003B2C9B"/>
    <w:rsid w:val="003B3450"/>
    <w:rsid w:val="003B35C0"/>
    <w:rsid w:val="003B3B9B"/>
    <w:rsid w:val="003B3CE8"/>
    <w:rsid w:val="003B4098"/>
    <w:rsid w:val="003B44BA"/>
    <w:rsid w:val="003B464C"/>
    <w:rsid w:val="003B49FA"/>
    <w:rsid w:val="003B4AC9"/>
    <w:rsid w:val="003B4D31"/>
    <w:rsid w:val="003B5303"/>
    <w:rsid w:val="003B59DD"/>
    <w:rsid w:val="003B63FE"/>
    <w:rsid w:val="003B6A9A"/>
    <w:rsid w:val="003B6B4E"/>
    <w:rsid w:val="003C0172"/>
    <w:rsid w:val="003C052B"/>
    <w:rsid w:val="003C177E"/>
    <w:rsid w:val="003C3644"/>
    <w:rsid w:val="003C3682"/>
    <w:rsid w:val="003C3A0A"/>
    <w:rsid w:val="003C3C62"/>
    <w:rsid w:val="003C4069"/>
    <w:rsid w:val="003C4437"/>
    <w:rsid w:val="003C4E07"/>
    <w:rsid w:val="003C5622"/>
    <w:rsid w:val="003C59AA"/>
    <w:rsid w:val="003C65A2"/>
    <w:rsid w:val="003C6E37"/>
    <w:rsid w:val="003C70C6"/>
    <w:rsid w:val="003C76BE"/>
    <w:rsid w:val="003D081F"/>
    <w:rsid w:val="003D08AF"/>
    <w:rsid w:val="003D0BD3"/>
    <w:rsid w:val="003D1CB5"/>
    <w:rsid w:val="003D22B0"/>
    <w:rsid w:val="003D28D4"/>
    <w:rsid w:val="003D3DCD"/>
    <w:rsid w:val="003D504D"/>
    <w:rsid w:val="003D635E"/>
    <w:rsid w:val="003D6373"/>
    <w:rsid w:val="003D6483"/>
    <w:rsid w:val="003D65C9"/>
    <w:rsid w:val="003E04D3"/>
    <w:rsid w:val="003E12D5"/>
    <w:rsid w:val="003E1991"/>
    <w:rsid w:val="003E1BB2"/>
    <w:rsid w:val="003E1DE3"/>
    <w:rsid w:val="003E1F1F"/>
    <w:rsid w:val="003E2729"/>
    <w:rsid w:val="003E28AB"/>
    <w:rsid w:val="003E2F8E"/>
    <w:rsid w:val="003E35A3"/>
    <w:rsid w:val="003E38CC"/>
    <w:rsid w:val="003E4AFD"/>
    <w:rsid w:val="003E5A89"/>
    <w:rsid w:val="003E5C01"/>
    <w:rsid w:val="003E6014"/>
    <w:rsid w:val="003E6170"/>
    <w:rsid w:val="003E68EF"/>
    <w:rsid w:val="003E6BE2"/>
    <w:rsid w:val="003E7830"/>
    <w:rsid w:val="003E7D5C"/>
    <w:rsid w:val="003E7DE9"/>
    <w:rsid w:val="003F0811"/>
    <w:rsid w:val="003F0EFA"/>
    <w:rsid w:val="003F1EC0"/>
    <w:rsid w:val="003F2701"/>
    <w:rsid w:val="003F34DD"/>
    <w:rsid w:val="003F3B6B"/>
    <w:rsid w:val="003F4033"/>
    <w:rsid w:val="003F43B0"/>
    <w:rsid w:val="003F4E0A"/>
    <w:rsid w:val="003F5244"/>
    <w:rsid w:val="003F5A07"/>
    <w:rsid w:val="003F5D9E"/>
    <w:rsid w:val="003F6390"/>
    <w:rsid w:val="003F6AEC"/>
    <w:rsid w:val="003F7309"/>
    <w:rsid w:val="003F7C4C"/>
    <w:rsid w:val="004004FA"/>
    <w:rsid w:val="00400A72"/>
    <w:rsid w:val="004014D5"/>
    <w:rsid w:val="0040152F"/>
    <w:rsid w:val="0040165B"/>
    <w:rsid w:val="00401C1D"/>
    <w:rsid w:val="004030C0"/>
    <w:rsid w:val="00403871"/>
    <w:rsid w:val="00403D8E"/>
    <w:rsid w:val="00403D99"/>
    <w:rsid w:val="00404AE2"/>
    <w:rsid w:val="004068BD"/>
    <w:rsid w:val="00410102"/>
    <w:rsid w:val="004115EC"/>
    <w:rsid w:val="00411AAC"/>
    <w:rsid w:val="00412D35"/>
    <w:rsid w:val="00413AEF"/>
    <w:rsid w:val="00414818"/>
    <w:rsid w:val="00415A62"/>
    <w:rsid w:val="00415F12"/>
    <w:rsid w:val="004160A9"/>
    <w:rsid w:val="0041658F"/>
    <w:rsid w:val="00416CE3"/>
    <w:rsid w:val="00420EB7"/>
    <w:rsid w:val="00421A99"/>
    <w:rsid w:val="004222C9"/>
    <w:rsid w:val="004225EA"/>
    <w:rsid w:val="00423FA4"/>
    <w:rsid w:val="004241E0"/>
    <w:rsid w:val="00425D05"/>
    <w:rsid w:val="00425DC6"/>
    <w:rsid w:val="00427007"/>
    <w:rsid w:val="00427558"/>
    <w:rsid w:val="00427CD9"/>
    <w:rsid w:val="00430566"/>
    <w:rsid w:val="00431064"/>
    <w:rsid w:val="004326F1"/>
    <w:rsid w:val="004328D4"/>
    <w:rsid w:val="00432AB9"/>
    <w:rsid w:val="0043305B"/>
    <w:rsid w:val="0043383B"/>
    <w:rsid w:val="004348A7"/>
    <w:rsid w:val="00435C08"/>
    <w:rsid w:val="00435F31"/>
    <w:rsid w:val="00436827"/>
    <w:rsid w:val="00436943"/>
    <w:rsid w:val="004369DB"/>
    <w:rsid w:val="00436B67"/>
    <w:rsid w:val="004372BF"/>
    <w:rsid w:val="00437A83"/>
    <w:rsid w:val="00437F93"/>
    <w:rsid w:val="004402F8"/>
    <w:rsid w:val="00440335"/>
    <w:rsid w:val="0044084A"/>
    <w:rsid w:val="00440995"/>
    <w:rsid w:val="00441E89"/>
    <w:rsid w:val="00442D6F"/>
    <w:rsid w:val="004438D2"/>
    <w:rsid w:val="0044396A"/>
    <w:rsid w:val="00443CAD"/>
    <w:rsid w:val="00443CE8"/>
    <w:rsid w:val="00443D8B"/>
    <w:rsid w:val="00443E59"/>
    <w:rsid w:val="004442DF"/>
    <w:rsid w:val="0044430E"/>
    <w:rsid w:val="0044481C"/>
    <w:rsid w:val="004451DD"/>
    <w:rsid w:val="0044553B"/>
    <w:rsid w:val="00445A34"/>
    <w:rsid w:val="004464A5"/>
    <w:rsid w:val="00446B12"/>
    <w:rsid w:val="00446E2D"/>
    <w:rsid w:val="00447151"/>
    <w:rsid w:val="00447309"/>
    <w:rsid w:val="00447A3D"/>
    <w:rsid w:val="004504AE"/>
    <w:rsid w:val="0045073F"/>
    <w:rsid w:val="00450ABE"/>
    <w:rsid w:val="00450D7B"/>
    <w:rsid w:val="0045235D"/>
    <w:rsid w:val="00452517"/>
    <w:rsid w:val="00452BEB"/>
    <w:rsid w:val="00452DB9"/>
    <w:rsid w:val="00452E38"/>
    <w:rsid w:val="00453AD4"/>
    <w:rsid w:val="00453DB6"/>
    <w:rsid w:val="00453F61"/>
    <w:rsid w:val="004548C0"/>
    <w:rsid w:val="00454A9E"/>
    <w:rsid w:val="004551E6"/>
    <w:rsid w:val="004552EA"/>
    <w:rsid w:val="004554BA"/>
    <w:rsid w:val="00455C41"/>
    <w:rsid w:val="004572BD"/>
    <w:rsid w:val="004574D0"/>
    <w:rsid w:val="00457542"/>
    <w:rsid w:val="00457BC4"/>
    <w:rsid w:val="00457E1D"/>
    <w:rsid w:val="004602C9"/>
    <w:rsid w:val="00460494"/>
    <w:rsid w:val="00460E5F"/>
    <w:rsid w:val="004610DD"/>
    <w:rsid w:val="004617D5"/>
    <w:rsid w:val="00461BB8"/>
    <w:rsid w:val="004627AE"/>
    <w:rsid w:val="00462C54"/>
    <w:rsid w:val="00462ED4"/>
    <w:rsid w:val="0046360F"/>
    <w:rsid w:val="00463848"/>
    <w:rsid w:val="00463DA9"/>
    <w:rsid w:val="00463F74"/>
    <w:rsid w:val="00465142"/>
    <w:rsid w:val="0046551A"/>
    <w:rsid w:val="00465C9B"/>
    <w:rsid w:val="00467440"/>
    <w:rsid w:val="00470624"/>
    <w:rsid w:val="00471885"/>
    <w:rsid w:val="0047213C"/>
    <w:rsid w:val="0047229E"/>
    <w:rsid w:val="00472514"/>
    <w:rsid w:val="00472D3A"/>
    <w:rsid w:val="00472E97"/>
    <w:rsid w:val="00473985"/>
    <w:rsid w:val="00473D00"/>
    <w:rsid w:val="00474A74"/>
    <w:rsid w:val="00474B6A"/>
    <w:rsid w:val="00475B7F"/>
    <w:rsid w:val="004768E5"/>
    <w:rsid w:val="00477675"/>
    <w:rsid w:val="004776E0"/>
    <w:rsid w:val="00477DF9"/>
    <w:rsid w:val="004803A5"/>
    <w:rsid w:val="00481128"/>
    <w:rsid w:val="0048163F"/>
    <w:rsid w:val="00481FE8"/>
    <w:rsid w:val="004821DF"/>
    <w:rsid w:val="0048233F"/>
    <w:rsid w:val="004824A1"/>
    <w:rsid w:val="004826AC"/>
    <w:rsid w:val="004828BB"/>
    <w:rsid w:val="00482FF3"/>
    <w:rsid w:val="00483E89"/>
    <w:rsid w:val="00484657"/>
    <w:rsid w:val="00485624"/>
    <w:rsid w:val="00485D19"/>
    <w:rsid w:val="00485F25"/>
    <w:rsid w:val="004863C1"/>
    <w:rsid w:val="00487076"/>
    <w:rsid w:val="00487829"/>
    <w:rsid w:val="00487A79"/>
    <w:rsid w:val="0049047A"/>
    <w:rsid w:val="0049076F"/>
    <w:rsid w:val="0049094A"/>
    <w:rsid w:val="00490993"/>
    <w:rsid w:val="004914B4"/>
    <w:rsid w:val="00491582"/>
    <w:rsid w:val="00491966"/>
    <w:rsid w:val="00492CCF"/>
    <w:rsid w:val="004936D7"/>
    <w:rsid w:val="00493CBC"/>
    <w:rsid w:val="00494CB6"/>
    <w:rsid w:val="004950D8"/>
    <w:rsid w:val="0049554F"/>
    <w:rsid w:val="0049580B"/>
    <w:rsid w:val="00496B43"/>
    <w:rsid w:val="004A0D08"/>
    <w:rsid w:val="004A0E95"/>
    <w:rsid w:val="004A1405"/>
    <w:rsid w:val="004A2210"/>
    <w:rsid w:val="004A225D"/>
    <w:rsid w:val="004A2511"/>
    <w:rsid w:val="004A2951"/>
    <w:rsid w:val="004A3551"/>
    <w:rsid w:val="004A37F9"/>
    <w:rsid w:val="004A39FB"/>
    <w:rsid w:val="004A3A37"/>
    <w:rsid w:val="004A4003"/>
    <w:rsid w:val="004A4DDD"/>
    <w:rsid w:val="004A54EA"/>
    <w:rsid w:val="004A6725"/>
    <w:rsid w:val="004A68F7"/>
    <w:rsid w:val="004A6CA8"/>
    <w:rsid w:val="004A74BB"/>
    <w:rsid w:val="004A76C8"/>
    <w:rsid w:val="004A7E20"/>
    <w:rsid w:val="004A7E52"/>
    <w:rsid w:val="004B02E4"/>
    <w:rsid w:val="004B05C5"/>
    <w:rsid w:val="004B173F"/>
    <w:rsid w:val="004B1F3C"/>
    <w:rsid w:val="004B25F2"/>
    <w:rsid w:val="004B26D1"/>
    <w:rsid w:val="004B3E40"/>
    <w:rsid w:val="004B4276"/>
    <w:rsid w:val="004B4499"/>
    <w:rsid w:val="004B45CF"/>
    <w:rsid w:val="004B4649"/>
    <w:rsid w:val="004B4B2C"/>
    <w:rsid w:val="004B4DF0"/>
    <w:rsid w:val="004B4F70"/>
    <w:rsid w:val="004B528F"/>
    <w:rsid w:val="004B5A35"/>
    <w:rsid w:val="004B5D27"/>
    <w:rsid w:val="004B62AC"/>
    <w:rsid w:val="004B6356"/>
    <w:rsid w:val="004B63A2"/>
    <w:rsid w:val="004B6BFC"/>
    <w:rsid w:val="004B6FBB"/>
    <w:rsid w:val="004B7D33"/>
    <w:rsid w:val="004B7F42"/>
    <w:rsid w:val="004C005C"/>
    <w:rsid w:val="004C0A31"/>
    <w:rsid w:val="004C27B1"/>
    <w:rsid w:val="004C2CC1"/>
    <w:rsid w:val="004C3352"/>
    <w:rsid w:val="004C34FB"/>
    <w:rsid w:val="004C3C2A"/>
    <w:rsid w:val="004C574E"/>
    <w:rsid w:val="004C65BF"/>
    <w:rsid w:val="004C697C"/>
    <w:rsid w:val="004C6C50"/>
    <w:rsid w:val="004C6E50"/>
    <w:rsid w:val="004C7E2A"/>
    <w:rsid w:val="004D0213"/>
    <w:rsid w:val="004D0DD0"/>
    <w:rsid w:val="004D13F7"/>
    <w:rsid w:val="004D1499"/>
    <w:rsid w:val="004D182C"/>
    <w:rsid w:val="004D1E57"/>
    <w:rsid w:val="004D1F21"/>
    <w:rsid w:val="004D264B"/>
    <w:rsid w:val="004D2AFA"/>
    <w:rsid w:val="004D3EF9"/>
    <w:rsid w:val="004D49EE"/>
    <w:rsid w:val="004D7754"/>
    <w:rsid w:val="004D7838"/>
    <w:rsid w:val="004E0BBD"/>
    <w:rsid w:val="004E181E"/>
    <w:rsid w:val="004E19F0"/>
    <w:rsid w:val="004E332D"/>
    <w:rsid w:val="004E3906"/>
    <w:rsid w:val="004E4635"/>
    <w:rsid w:val="004E466D"/>
    <w:rsid w:val="004E4AD9"/>
    <w:rsid w:val="004E5823"/>
    <w:rsid w:val="004E5A68"/>
    <w:rsid w:val="004E5E81"/>
    <w:rsid w:val="004E6696"/>
    <w:rsid w:val="004F0063"/>
    <w:rsid w:val="004F0356"/>
    <w:rsid w:val="004F0EA4"/>
    <w:rsid w:val="004F137B"/>
    <w:rsid w:val="004F18E5"/>
    <w:rsid w:val="004F1C2A"/>
    <w:rsid w:val="004F237F"/>
    <w:rsid w:val="004F24A7"/>
    <w:rsid w:val="004F297B"/>
    <w:rsid w:val="004F2E7F"/>
    <w:rsid w:val="004F319E"/>
    <w:rsid w:val="004F3A15"/>
    <w:rsid w:val="004F3B0C"/>
    <w:rsid w:val="004F5373"/>
    <w:rsid w:val="004F549C"/>
    <w:rsid w:val="004F58FB"/>
    <w:rsid w:val="004F5E75"/>
    <w:rsid w:val="004F64FE"/>
    <w:rsid w:val="004F651B"/>
    <w:rsid w:val="0050033A"/>
    <w:rsid w:val="00500551"/>
    <w:rsid w:val="005009FF"/>
    <w:rsid w:val="0050108E"/>
    <w:rsid w:val="00501290"/>
    <w:rsid w:val="005014DE"/>
    <w:rsid w:val="00501614"/>
    <w:rsid w:val="0050198D"/>
    <w:rsid w:val="00503564"/>
    <w:rsid w:val="00503625"/>
    <w:rsid w:val="00503767"/>
    <w:rsid w:val="0050423D"/>
    <w:rsid w:val="00504E7C"/>
    <w:rsid w:val="00505B87"/>
    <w:rsid w:val="0050628D"/>
    <w:rsid w:val="00506D09"/>
    <w:rsid w:val="00506D66"/>
    <w:rsid w:val="00506D73"/>
    <w:rsid w:val="00506E28"/>
    <w:rsid w:val="00507796"/>
    <w:rsid w:val="00510370"/>
    <w:rsid w:val="00512243"/>
    <w:rsid w:val="005127BA"/>
    <w:rsid w:val="005129F8"/>
    <w:rsid w:val="00512EB5"/>
    <w:rsid w:val="00513BD4"/>
    <w:rsid w:val="00513F65"/>
    <w:rsid w:val="005148EB"/>
    <w:rsid w:val="00515D5A"/>
    <w:rsid w:val="005163AC"/>
    <w:rsid w:val="00516AD3"/>
    <w:rsid w:val="00517008"/>
    <w:rsid w:val="00520025"/>
    <w:rsid w:val="00520AC0"/>
    <w:rsid w:val="0052153F"/>
    <w:rsid w:val="00523B0D"/>
    <w:rsid w:val="00523FA6"/>
    <w:rsid w:val="00524DBC"/>
    <w:rsid w:val="00524F33"/>
    <w:rsid w:val="0052539C"/>
    <w:rsid w:val="00526E41"/>
    <w:rsid w:val="00527917"/>
    <w:rsid w:val="0053004A"/>
    <w:rsid w:val="005302DC"/>
    <w:rsid w:val="0053170D"/>
    <w:rsid w:val="00531A63"/>
    <w:rsid w:val="00531C33"/>
    <w:rsid w:val="00532638"/>
    <w:rsid w:val="00532F13"/>
    <w:rsid w:val="00535B0C"/>
    <w:rsid w:val="005361F4"/>
    <w:rsid w:val="005362C9"/>
    <w:rsid w:val="005371C2"/>
    <w:rsid w:val="005371F5"/>
    <w:rsid w:val="005373A4"/>
    <w:rsid w:val="0053751A"/>
    <w:rsid w:val="00540353"/>
    <w:rsid w:val="00540C8F"/>
    <w:rsid w:val="005413A2"/>
    <w:rsid w:val="00541765"/>
    <w:rsid w:val="00542C2C"/>
    <w:rsid w:val="00542CBF"/>
    <w:rsid w:val="00542D66"/>
    <w:rsid w:val="00543EA7"/>
    <w:rsid w:val="005440D7"/>
    <w:rsid w:val="005453E8"/>
    <w:rsid w:val="00545FDF"/>
    <w:rsid w:val="00546151"/>
    <w:rsid w:val="005466ED"/>
    <w:rsid w:val="00546CBC"/>
    <w:rsid w:val="0054715A"/>
    <w:rsid w:val="0054715D"/>
    <w:rsid w:val="0055094B"/>
    <w:rsid w:val="0055117F"/>
    <w:rsid w:val="00551596"/>
    <w:rsid w:val="005522C6"/>
    <w:rsid w:val="00552984"/>
    <w:rsid w:val="00552A01"/>
    <w:rsid w:val="00553605"/>
    <w:rsid w:val="005544EB"/>
    <w:rsid w:val="00554B22"/>
    <w:rsid w:val="00555914"/>
    <w:rsid w:val="005559CF"/>
    <w:rsid w:val="00555EFB"/>
    <w:rsid w:val="0055637E"/>
    <w:rsid w:val="0055651C"/>
    <w:rsid w:val="00556723"/>
    <w:rsid w:val="00556CB7"/>
    <w:rsid w:val="00557572"/>
    <w:rsid w:val="005602C5"/>
    <w:rsid w:val="005607C9"/>
    <w:rsid w:val="00560E88"/>
    <w:rsid w:val="005612E2"/>
    <w:rsid w:val="0056148D"/>
    <w:rsid w:val="0056151D"/>
    <w:rsid w:val="0056184A"/>
    <w:rsid w:val="0056216C"/>
    <w:rsid w:val="00562C46"/>
    <w:rsid w:val="00562CB5"/>
    <w:rsid w:val="005635D0"/>
    <w:rsid w:val="00564141"/>
    <w:rsid w:val="00564401"/>
    <w:rsid w:val="005648A6"/>
    <w:rsid w:val="005649AC"/>
    <w:rsid w:val="00565359"/>
    <w:rsid w:val="005658F3"/>
    <w:rsid w:val="00565FF3"/>
    <w:rsid w:val="005669B6"/>
    <w:rsid w:val="00566F02"/>
    <w:rsid w:val="005670BA"/>
    <w:rsid w:val="005670FB"/>
    <w:rsid w:val="00570739"/>
    <w:rsid w:val="00570D7B"/>
    <w:rsid w:val="00571552"/>
    <w:rsid w:val="00572014"/>
    <w:rsid w:val="0057305F"/>
    <w:rsid w:val="005736D9"/>
    <w:rsid w:val="00573BB2"/>
    <w:rsid w:val="00573D0C"/>
    <w:rsid w:val="00574B07"/>
    <w:rsid w:val="0057610A"/>
    <w:rsid w:val="00576246"/>
    <w:rsid w:val="00576695"/>
    <w:rsid w:val="00577065"/>
    <w:rsid w:val="005774C2"/>
    <w:rsid w:val="0057788B"/>
    <w:rsid w:val="00577B5A"/>
    <w:rsid w:val="005814FD"/>
    <w:rsid w:val="005817F0"/>
    <w:rsid w:val="0058234B"/>
    <w:rsid w:val="00583FC6"/>
    <w:rsid w:val="00584744"/>
    <w:rsid w:val="00584C95"/>
    <w:rsid w:val="00586B19"/>
    <w:rsid w:val="00587AB5"/>
    <w:rsid w:val="00590F5E"/>
    <w:rsid w:val="00590FBF"/>
    <w:rsid w:val="00591057"/>
    <w:rsid w:val="005917E5"/>
    <w:rsid w:val="00591C26"/>
    <w:rsid w:val="00592034"/>
    <w:rsid w:val="0059212C"/>
    <w:rsid w:val="00592339"/>
    <w:rsid w:val="00593129"/>
    <w:rsid w:val="005941A4"/>
    <w:rsid w:val="005952BD"/>
    <w:rsid w:val="00595384"/>
    <w:rsid w:val="0059565C"/>
    <w:rsid w:val="005959A6"/>
    <w:rsid w:val="00595B6C"/>
    <w:rsid w:val="00596494"/>
    <w:rsid w:val="005A009C"/>
    <w:rsid w:val="005A0365"/>
    <w:rsid w:val="005A07EB"/>
    <w:rsid w:val="005A08DF"/>
    <w:rsid w:val="005A1AD1"/>
    <w:rsid w:val="005A2472"/>
    <w:rsid w:val="005A2E28"/>
    <w:rsid w:val="005A2F1D"/>
    <w:rsid w:val="005A4802"/>
    <w:rsid w:val="005A5C43"/>
    <w:rsid w:val="005A5D0F"/>
    <w:rsid w:val="005A5DAC"/>
    <w:rsid w:val="005A5DD7"/>
    <w:rsid w:val="005A637E"/>
    <w:rsid w:val="005B0D06"/>
    <w:rsid w:val="005B120F"/>
    <w:rsid w:val="005B159E"/>
    <w:rsid w:val="005B3136"/>
    <w:rsid w:val="005B3F64"/>
    <w:rsid w:val="005B40B3"/>
    <w:rsid w:val="005B4FAF"/>
    <w:rsid w:val="005B4FD0"/>
    <w:rsid w:val="005B649C"/>
    <w:rsid w:val="005B7419"/>
    <w:rsid w:val="005B74CB"/>
    <w:rsid w:val="005B78C6"/>
    <w:rsid w:val="005B7992"/>
    <w:rsid w:val="005C06D9"/>
    <w:rsid w:val="005C12CD"/>
    <w:rsid w:val="005C1D10"/>
    <w:rsid w:val="005C1F5D"/>
    <w:rsid w:val="005C20FB"/>
    <w:rsid w:val="005C2EE1"/>
    <w:rsid w:val="005C3683"/>
    <w:rsid w:val="005C3ED5"/>
    <w:rsid w:val="005C4109"/>
    <w:rsid w:val="005C4736"/>
    <w:rsid w:val="005C493C"/>
    <w:rsid w:val="005C51E4"/>
    <w:rsid w:val="005C7D44"/>
    <w:rsid w:val="005D0094"/>
    <w:rsid w:val="005D0CA8"/>
    <w:rsid w:val="005D1846"/>
    <w:rsid w:val="005D1D01"/>
    <w:rsid w:val="005D1D62"/>
    <w:rsid w:val="005D1F99"/>
    <w:rsid w:val="005D29F4"/>
    <w:rsid w:val="005D3537"/>
    <w:rsid w:val="005D3923"/>
    <w:rsid w:val="005D446A"/>
    <w:rsid w:val="005D44DC"/>
    <w:rsid w:val="005D4A42"/>
    <w:rsid w:val="005D5048"/>
    <w:rsid w:val="005D55A2"/>
    <w:rsid w:val="005D5C68"/>
    <w:rsid w:val="005D6750"/>
    <w:rsid w:val="005E0657"/>
    <w:rsid w:val="005E0C33"/>
    <w:rsid w:val="005E1209"/>
    <w:rsid w:val="005E15A0"/>
    <w:rsid w:val="005E1D50"/>
    <w:rsid w:val="005E1EB5"/>
    <w:rsid w:val="005E200B"/>
    <w:rsid w:val="005E2779"/>
    <w:rsid w:val="005E2A0A"/>
    <w:rsid w:val="005E2CA0"/>
    <w:rsid w:val="005E35F2"/>
    <w:rsid w:val="005E3750"/>
    <w:rsid w:val="005E3A25"/>
    <w:rsid w:val="005E47C2"/>
    <w:rsid w:val="005E5B8C"/>
    <w:rsid w:val="005F0A29"/>
    <w:rsid w:val="005F165A"/>
    <w:rsid w:val="005F17F0"/>
    <w:rsid w:val="005F19BB"/>
    <w:rsid w:val="005F1D34"/>
    <w:rsid w:val="005F2CB3"/>
    <w:rsid w:val="005F3365"/>
    <w:rsid w:val="005F4DFB"/>
    <w:rsid w:val="005F5CD4"/>
    <w:rsid w:val="005F65D1"/>
    <w:rsid w:val="005F6893"/>
    <w:rsid w:val="006008B8"/>
    <w:rsid w:val="00601517"/>
    <w:rsid w:val="00601606"/>
    <w:rsid w:val="00601B7E"/>
    <w:rsid w:val="00602249"/>
    <w:rsid w:val="0060311B"/>
    <w:rsid w:val="006032C6"/>
    <w:rsid w:val="0060333F"/>
    <w:rsid w:val="00603C60"/>
    <w:rsid w:val="00603EE8"/>
    <w:rsid w:val="00603FFD"/>
    <w:rsid w:val="006046E6"/>
    <w:rsid w:val="00604BF4"/>
    <w:rsid w:val="00605069"/>
    <w:rsid w:val="00605348"/>
    <w:rsid w:val="00605941"/>
    <w:rsid w:val="00605EA0"/>
    <w:rsid w:val="006064D8"/>
    <w:rsid w:val="006068CA"/>
    <w:rsid w:val="006069BD"/>
    <w:rsid w:val="006079FD"/>
    <w:rsid w:val="00607CED"/>
    <w:rsid w:val="0061015D"/>
    <w:rsid w:val="006104C7"/>
    <w:rsid w:val="00610E7A"/>
    <w:rsid w:val="0061180D"/>
    <w:rsid w:val="0061226E"/>
    <w:rsid w:val="006131B1"/>
    <w:rsid w:val="00613476"/>
    <w:rsid w:val="00614E89"/>
    <w:rsid w:val="00614EFA"/>
    <w:rsid w:val="0061577A"/>
    <w:rsid w:val="0061682C"/>
    <w:rsid w:val="00616C2D"/>
    <w:rsid w:val="00616FF6"/>
    <w:rsid w:val="006175A5"/>
    <w:rsid w:val="006179EF"/>
    <w:rsid w:val="00617D43"/>
    <w:rsid w:val="00617EE7"/>
    <w:rsid w:val="00620DB3"/>
    <w:rsid w:val="00621A94"/>
    <w:rsid w:val="00621CEB"/>
    <w:rsid w:val="00622372"/>
    <w:rsid w:val="00622E60"/>
    <w:rsid w:val="00622EE6"/>
    <w:rsid w:val="00623743"/>
    <w:rsid w:val="00624D3C"/>
    <w:rsid w:val="00625383"/>
    <w:rsid w:val="006257EB"/>
    <w:rsid w:val="0062620F"/>
    <w:rsid w:val="0062655D"/>
    <w:rsid w:val="006277E1"/>
    <w:rsid w:val="00630B9A"/>
    <w:rsid w:val="00630D9A"/>
    <w:rsid w:val="00630EAD"/>
    <w:rsid w:val="00631FB8"/>
    <w:rsid w:val="00632238"/>
    <w:rsid w:val="00632BE0"/>
    <w:rsid w:val="00632C2A"/>
    <w:rsid w:val="006339A4"/>
    <w:rsid w:val="0063400A"/>
    <w:rsid w:val="0063421C"/>
    <w:rsid w:val="00635074"/>
    <w:rsid w:val="0063523B"/>
    <w:rsid w:val="00636DDF"/>
    <w:rsid w:val="00637188"/>
    <w:rsid w:val="00637A77"/>
    <w:rsid w:val="0064064A"/>
    <w:rsid w:val="00641044"/>
    <w:rsid w:val="00641103"/>
    <w:rsid w:val="0064177A"/>
    <w:rsid w:val="00643312"/>
    <w:rsid w:val="006440BD"/>
    <w:rsid w:val="00644E17"/>
    <w:rsid w:val="006460A0"/>
    <w:rsid w:val="006461B6"/>
    <w:rsid w:val="00647471"/>
    <w:rsid w:val="00647AFA"/>
    <w:rsid w:val="00647B16"/>
    <w:rsid w:val="006502BD"/>
    <w:rsid w:val="00650730"/>
    <w:rsid w:val="00650842"/>
    <w:rsid w:val="00651AB7"/>
    <w:rsid w:val="00652693"/>
    <w:rsid w:val="00652A25"/>
    <w:rsid w:val="0065363A"/>
    <w:rsid w:val="00653916"/>
    <w:rsid w:val="00654653"/>
    <w:rsid w:val="00654E51"/>
    <w:rsid w:val="00655710"/>
    <w:rsid w:val="00655DF9"/>
    <w:rsid w:val="00656554"/>
    <w:rsid w:val="00657324"/>
    <w:rsid w:val="00657BF5"/>
    <w:rsid w:val="00661533"/>
    <w:rsid w:val="006616C2"/>
    <w:rsid w:val="006617C3"/>
    <w:rsid w:val="00661AA9"/>
    <w:rsid w:val="00661C3D"/>
    <w:rsid w:val="00661E2E"/>
    <w:rsid w:val="00662D21"/>
    <w:rsid w:val="00663347"/>
    <w:rsid w:val="006635AA"/>
    <w:rsid w:val="00663DDE"/>
    <w:rsid w:val="006641B1"/>
    <w:rsid w:val="00664BFB"/>
    <w:rsid w:val="0066521B"/>
    <w:rsid w:val="006668DA"/>
    <w:rsid w:val="00667274"/>
    <w:rsid w:val="006679CA"/>
    <w:rsid w:val="00667A3A"/>
    <w:rsid w:val="00667BAC"/>
    <w:rsid w:val="00667E80"/>
    <w:rsid w:val="00672885"/>
    <w:rsid w:val="00672972"/>
    <w:rsid w:val="00672E5C"/>
    <w:rsid w:val="006735B4"/>
    <w:rsid w:val="00673F15"/>
    <w:rsid w:val="006753B4"/>
    <w:rsid w:val="00675405"/>
    <w:rsid w:val="006760E3"/>
    <w:rsid w:val="00676591"/>
    <w:rsid w:val="00676615"/>
    <w:rsid w:val="00677400"/>
    <w:rsid w:val="006777F7"/>
    <w:rsid w:val="00680734"/>
    <w:rsid w:val="00680AC3"/>
    <w:rsid w:val="00680E00"/>
    <w:rsid w:val="006812E2"/>
    <w:rsid w:val="00681855"/>
    <w:rsid w:val="00681B4D"/>
    <w:rsid w:val="006833DD"/>
    <w:rsid w:val="0068378D"/>
    <w:rsid w:val="00684850"/>
    <w:rsid w:val="00684A15"/>
    <w:rsid w:val="00684AE1"/>
    <w:rsid w:val="00684F0E"/>
    <w:rsid w:val="00685305"/>
    <w:rsid w:val="00685390"/>
    <w:rsid w:val="0068603D"/>
    <w:rsid w:val="00686541"/>
    <w:rsid w:val="00686BA8"/>
    <w:rsid w:val="00686C8F"/>
    <w:rsid w:val="0068744F"/>
    <w:rsid w:val="006906FE"/>
    <w:rsid w:val="00690947"/>
    <w:rsid w:val="00690D40"/>
    <w:rsid w:val="0069251C"/>
    <w:rsid w:val="00692A8F"/>
    <w:rsid w:val="00692C37"/>
    <w:rsid w:val="00692F39"/>
    <w:rsid w:val="006930F2"/>
    <w:rsid w:val="006940C7"/>
    <w:rsid w:val="0069441E"/>
    <w:rsid w:val="00694824"/>
    <w:rsid w:val="00695FDC"/>
    <w:rsid w:val="006965B7"/>
    <w:rsid w:val="00696EA5"/>
    <w:rsid w:val="006970D8"/>
    <w:rsid w:val="006A00BF"/>
    <w:rsid w:val="006A11EF"/>
    <w:rsid w:val="006A256E"/>
    <w:rsid w:val="006A368D"/>
    <w:rsid w:val="006A3C17"/>
    <w:rsid w:val="006A4B42"/>
    <w:rsid w:val="006A5A18"/>
    <w:rsid w:val="006A64C2"/>
    <w:rsid w:val="006A65DB"/>
    <w:rsid w:val="006A6F56"/>
    <w:rsid w:val="006A775A"/>
    <w:rsid w:val="006A7968"/>
    <w:rsid w:val="006A7BD1"/>
    <w:rsid w:val="006A7D07"/>
    <w:rsid w:val="006A7DD8"/>
    <w:rsid w:val="006B0C9B"/>
    <w:rsid w:val="006B0F50"/>
    <w:rsid w:val="006B2132"/>
    <w:rsid w:val="006B224B"/>
    <w:rsid w:val="006B23DA"/>
    <w:rsid w:val="006B35E3"/>
    <w:rsid w:val="006B390C"/>
    <w:rsid w:val="006B4036"/>
    <w:rsid w:val="006B45AA"/>
    <w:rsid w:val="006B4BCF"/>
    <w:rsid w:val="006B4D90"/>
    <w:rsid w:val="006B570C"/>
    <w:rsid w:val="006B6602"/>
    <w:rsid w:val="006B67EA"/>
    <w:rsid w:val="006B70E8"/>
    <w:rsid w:val="006B735F"/>
    <w:rsid w:val="006C01F8"/>
    <w:rsid w:val="006C052A"/>
    <w:rsid w:val="006C0A8F"/>
    <w:rsid w:val="006C0CB7"/>
    <w:rsid w:val="006C1747"/>
    <w:rsid w:val="006C1EAD"/>
    <w:rsid w:val="006C2303"/>
    <w:rsid w:val="006C24C3"/>
    <w:rsid w:val="006C26AF"/>
    <w:rsid w:val="006C35C0"/>
    <w:rsid w:val="006C3E53"/>
    <w:rsid w:val="006C41BB"/>
    <w:rsid w:val="006C45AB"/>
    <w:rsid w:val="006C483B"/>
    <w:rsid w:val="006C5E36"/>
    <w:rsid w:val="006C6233"/>
    <w:rsid w:val="006C6258"/>
    <w:rsid w:val="006C7726"/>
    <w:rsid w:val="006D02D5"/>
    <w:rsid w:val="006D0B79"/>
    <w:rsid w:val="006D0BDB"/>
    <w:rsid w:val="006D12C1"/>
    <w:rsid w:val="006D13B2"/>
    <w:rsid w:val="006D1535"/>
    <w:rsid w:val="006D1930"/>
    <w:rsid w:val="006D1A99"/>
    <w:rsid w:val="006D2016"/>
    <w:rsid w:val="006D2BE8"/>
    <w:rsid w:val="006D30C6"/>
    <w:rsid w:val="006D3161"/>
    <w:rsid w:val="006D35F6"/>
    <w:rsid w:val="006D3A8D"/>
    <w:rsid w:val="006D3B9E"/>
    <w:rsid w:val="006D3FB8"/>
    <w:rsid w:val="006D43E2"/>
    <w:rsid w:val="006D516C"/>
    <w:rsid w:val="006D58ED"/>
    <w:rsid w:val="006D6622"/>
    <w:rsid w:val="006D6BAB"/>
    <w:rsid w:val="006D7484"/>
    <w:rsid w:val="006D78A9"/>
    <w:rsid w:val="006E05A9"/>
    <w:rsid w:val="006E08AE"/>
    <w:rsid w:val="006E169C"/>
    <w:rsid w:val="006E2862"/>
    <w:rsid w:val="006E3BBC"/>
    <w:rsid w:val="006E4791"/>
    <w:rsid w:val="006E4904"/>
    <w:rsid w:val="006E4D16"/>
    <w:rsid w:val="006E5251"/>
    <w:rsid w:val="006E53CD"/>
    <w:rsid w:val="006E6306"/>
    <w:rsid w:val="006F031F"/>
    <w:rsid w:val="006F0C14"/>
    <w:rsid w:val="006F0DD5"/>
    <w:rsid w:val="006F1E14"/>
    <w:rsid w:val="006F2458"/>
    <w:rsid w:val="006F344E"/>
    <w:rsid w:val="006F3A58"/>
    <w:rsid w:val="006F4D92"/>
    <w:rsid w:val="006F5376"/>
    <w:rsid w:val="006F5434"/>
    <w:rsid w:val="006F5649"/>
    <w:rsid w:val="006F599E"/>
    <w:rsid w:val="006F59E9"/>
    <w:rsid w:val="006F60A8"/>
    <w:rsid w:val="006F6CF4"/>
    <w:rsid w:val="006F7599"/>
    <w:rsid w:val="006F75C0"/>
    <w:rsid w:val="00700100"/>
    <w:rsid w:val="007001D5"/>
    <w:rsid w:val="00700484"/>
    <w:rsid w:val="00700644"/>
    <w:rsid w:val="0070191A"/>
    <w:rsid w:val="00701A5D"/>
    <w:rsid w:val="00701C30"/>
    <w:rsid w:val="00702FA1"/>
    <w:rsid w:val="00703467"/>
    <w:rsid w:val="007035BD"/>
    <w:rsid w:val="007037CA"/>
    <w:rsid w:val="00705FB6"/>
    <w:rsid w:val="0070650B"/>
    <w:rsid w:val="00706F8C"/>
    <w:rsid w:val="007072F5"/>
    <w:rsid w:val="007075EF"/>
    <w:rsid w:val="00707F10"/>
    <w:rsid w:val="0071018A"/>
    <w:rsid w:val="007105D1"/>
    <w:rsid w:val="00713CB1"/>
    <w:rsid w:val="00713EBD"/>
    <w:rsid w:val="00713F27"/>
    <w:rsid w:val="00714A84"/>
    <w:rsid w:val="007151B1"/>
    <w:rsid w:val="007153A4"/>
    <w:rsid w:val="007153FC"/>
    <w:rsid w:val="00716214"/>
    <w:rsid w:val="00716C37"/>
    <w:rsid w:val="00716C93"/>
    <w:rsid w:val="00716EA3"/>
    <w:rsid w:val="00717095"/>
    <w:rsid w:val="0071799E"/>
    <w:rsid w:val="007203F7"/>
    <w:rsid w:val="0072046A"/>
    <w:rsid w:val="0072071F"/>
    <w:rsid w:val="00720B6A"/>
    <w:rsid w:val="00721250"/>
    <w:rsid w:val="00721612"/>
    <w:rsid w:val="007217F9"/>
    <w:rsid w:val="00722335"/>
    <w:rsid w:val="00723565"/>
    <w:rsid w:val="007238B0"/>
    <w:rsid w:val="00723992"/>
    <w:rsid w:val="00723BB2"/>
    <w:rsid w:val="00724874"/>
    <w:rsid w:val="00726433"/>
    <w:rsid w:val="007267D0"/>
    <w:rsid w:val="00726CB2"/>
    <w:rsid w:val="00727051"/>
    <w:rsid w:val="00727333"/>
    <w:rsid w:val="00727549"/>
    <w:rsid w:val="00730602"/>
    <w:rsid w:val="007308E5"/>
    <w:rsid w:val="00731D9C"/>
    <w:rsid w:val="00732218"/>
    <w:rsid w:val="0073357B"/>
    <w:rsid w:val="00733CE9"/>
    <w:rsid w:val="00733FEA"/>
    <w:rsid w:val="00735555"/>
    <w:rsid w:val="00736A3C"/>
    <w:rsid w:val="007373A8"/>
    <w:rsid w:val="00737B75"/>
    <w:rsid w:val="00737CDA"/>
    <w:rsid w:val="007402E2"/>
    <w:rsid w:val="00740542"/>
    <w:rsid w:val="00741A0F"/>
    <w:rsid w:val="00742310"/>
    <w:rsid w:val="00743C5F"/>
    <w:rsid w:val="00743C6D"/>
    <w:rsid w:val="00743FB5"/>
    <w:rsid w:val="0074489D"/>
    <w:rsid w:val="00744CC2"/>
    <w:rsid w:val="00744F30"/>
    <w:rsid w:val="00745325"/>
    <w:rsid w:val="007453BC"/>
    <w:rsid w:val="00745BDC"/>
    <w:rsid w:val="00745EAF"/>
    <w:rsid w:val="00746274"/>
    <w:rsid w:val="00747DE5"/>
    <w:rsid w:val="00747F2A"/>
    <w:rsid w:val="00750552"/>
    <w:rsid w:val="007509CC"/>
    <w:rsid w:val="00750E1D"/>
    <w:rsid w:val="00751068"/>
    <w:rsid w:val="00751BEB"/>
    <w:rsid w:val="00752AA7"/>
    <w:rsid w:val="00753517"/>
    <w:rsid w:val="00754453"/>
    <w:rsid w:val="00754CBB"/>
    <w:rsid w:val="00754D81"/>
    <w:rsid w:val="0075544D"/>
    <w:rsid w:val="00755D1F"/>
    <w:rsid w:val="00755D99"/>
    <w:rsid w:val="00756082"/>
    <w:rsid w:val="00756524"/>
    <w:rsid w:val="00756727"/>
    <w:rsid w:val="00757512"/>
    <w:rsid w:val="00757B54"/>
    <w:rsid w:val="00757F89"/>
    <w:rsid w:val="00761A9A"/>
    <w:rsid w:val="00761E93"/>
    <w:rsid w:val="00761F00"/>
    <w:rsid w:val="00761FAA"/>
    <w:rsid w:val="007628D5"/>
    <w:rsid w:val="00762D4D"/>
    <w:rsid w:val="00762DDF"/>
    <w:rsid w:val="00763199"/>
    <w:rsid w:val="007633B6"/>
    <w:rsid w:val="0076489B"/>
    <w:rsid w:val="00764A50"/>
    <w:rsid w:val="00764CF0"/>
    <w:rsid w:val="00764F3E"/>
    <w:rsid w:val="00765586"/>
    <w:rsid w:val="007658FF"/>
    <w:rsid w:val="0076609C"/>
    <w:rsid w:val="007666F6"/>
    <w:rsid w:val="00766734"/>
    <w:rsid w:val="00767B35"/>
    <w:rsid w:val="00774490"/>
    <w:rsid w:val="00774A34"/>
    <w:rsid w:val="00774ACC"/>
    <w:rsid w:val="00774E57"/>
    <w:rsid w:val="00774F4F"/>
    <w:rsid w:val="00775170"/>
    <w:rsid w:val="00775466"/>
    <w:rsid w:val="0077570E"/>
    <w:rsid w:val="007759D8"/>
    <w:rsid w:val="00775AAF"/>
    <w:rsid w:val="007765A1"/>
    <w:rsid w:val="00776F7F"/>
    <w:rsid w:val="007771CE"/>
    <w:rsid w:val="007778C0"/>
    <w:rsid w:val="00781902"/>
    <w:rsid w:val="00782163"/>
    <w:rsid w:val="0078219D"/>
    <w:rsid w:val="00782981"/>
    <w:rsid w:val="00782C94"/>
    <w:rsid w:val="00783907"/>
    <w:rsid w:val="00783C81"/>
    <w:rsid w:val="007842C4"/>
    <w:rsid w:val="00784525"/>
    <w:rsid w:val="00784FC6"/>
    <w:rsid w:val="00785058"/>
    <w:rsid w:val="0078588E"/>
    <w:rsid w:val="00786312"/>
    <w:rsid w:val="007912FC"/>
    <w:rsid w:val="0079198A"/>
    <w:rsid w:val="0079225A"/>
    <w:rsid w:val="00793AF1"/>
    <w:rsid w:val="0079499D"/>
    <w:rsid w:val="00794D9B"/>
    <w:rsid w:val="007950AA"/>
    <w:rsid w:val="007951FA"/>
    <w:rsid w:val="00795C83"/>
    <w:rsid w:val="00795CEF"/>
    <w:rsid w:val="00796268"/>
    <w:rsid w:val="007968B2"/>
    <w:rsid w:val="0079723F"/>
    <w:rsid w:val="00797259"/>
    <w:rsid w:val="00797E5F"/>
    <w:rsid w:val="007A1928"/>
    <w:rsid w:val="007A19E5"/>
    <w:rsid w:val="007A1A72"/>
    <w:rsid w:val="007A2B1B"/>
    <w:rsid w:val="007A2B74"/>
    <w:rsid w:val="007A3D17"/>
    <w:rsid w:val="007A3F92"/>
    <w:rsid w:val="007A4EBA"/>
    <w:rsid w:val="007A4FC9"/>
    <w:rsid w:val="007A6834"/>
    <w:rsid w:val="007B062C"/>
    <w:rsid w:val="007B0695"/>
    <w:rsid w:val="007B1EB3"/>
    <w:rsid w:val="007B2C56"/>
    <w:rsid w:val="007B3533"/>
    <w:rsid w:val="007B357D"/>
    <w:rsid w:val="007B38CD"/>
    <w:rsid w:val="007B4771"/>
    <w:rsid w:val="007B4E3A"/>
    <w:rsid w:val="007B58C1"/>
    <w:rsid w:val="007B5956"/>
    <w:rsid w:val="007B726E"/>
    <w:rsid w:val="007C118A"/>
    <w:rsid w:val="007C1E2C"/>
    <w:rsid w:val="007C252E"/>
    <w:rsid w:val="007C275A"/>
    <w:rsid w:val="007C2F2C"/>
    <w:rsid w:val="007C3580"/>
    <w:rsid w:val="007C47E2"/>
    <w:rsid w:val="007C4F52"/>
    <w:rsid w:val="007C5DB9"/>
    <w:rsid w:val="007C5F26"/>
    <w:rsid w:val="007C62CB"/>
    <w:rsid w:val="007C6690"/>
    <w:rsid w:val="007C72B0"/>
    <w:rsid w:val="007D04CF"/>
    <w:rsid w:val="007D0533"/>
    <w:rsid w:val="007D0BB3"/>
    <w:rsid w:val="007D13A9"/>
    <w:rsid w:val="007D13CA"/>
    <w:rsid w:val="007D2623"/>
    <w:rsid w:val="007D32BB"/>
    <w:rsid w:val="007D3853"/>
    <w:rsid w:val="007D54BB"/>
    <w:rsid w:val="007D68E6"/>
    <w:rsid w:val="007D6C51"/>
    <w:rsid w:val="007D75C8"/>
    <w:rsid w:val="007D7BDC"/>
    <w:rsid w:val="007D7D5A"/>
    <w:rsid w:val="007E03F8"/>
    <w:rsid w:val="007E16DC"/>
    <w:rsid w:val="007E198D"/>
    <w:rsid w:val="007E232C"/>
    <w:rsid w:val="007E23C4"/>
    <w:rsid w:val="007E3026"/>
    <w:rsid w:val="007E3722"/>
    <w:rsid w:val="007E50D6"/>
    <w:rsid w:val="007E5350"/>
    <w:rsid w:val="007E68C2"/>
    <w:rsid w:val="007E6D38"/>
    <w:rsid w:val="007E6F44"/>
    <w:rsid w:val="007E70BF"/>
    <w:rsid w:val="007E77A9"/>
    <w:rsid w:val="007F03BF"/>
    <w:rsid w:val="007F0411"/>
    <w:rsid w:val="007F0FC6"/>
    <w:rsid w:val="007F140A"/>
    <w:rsid w:val="007F1C2D"/>
    <w:rsid w:val="007F2159"/>
    <w:rsid w:val="007F24E1"/>
    <w:rsid w:val="007F35C4"/>
    <w:rsid w:val="007F36C7"/>
    <w:rsid w:val="007F47ED"/>
    <w:rsid w:val="007F4DC6"/>
    <w:rsid w:val="007F650B"/>
    <w:rsid w:val="007F67F9"/>
    <w:rsid w:val="007F7730"/>
    <w:rsid w:val="007F7B8D"/>
    <w:rsid w:val="007F7BD1"/>
    <w:rsid w:val="008008F0"/>
    <w:rsid w:val="00801715"/>
    <w:rsid w:val="00801858"/>
    <w:rsid w:val="00801D04"/>
    <w:rsid w:val="00802537"/>
    <w:rsid w:val="00802A27"/>
    <w:rsid w:val="00802B5F"/>
    <w:rsid w:val="00803692"/>
    <w:rsid w:val="00803FDB"/>
    <w:rsid w:val="00805037"/>
    <w:rsid w:val="008068C9"/>
    <w:rsid w:val="00806CB9"/>
    <w:rsid w:val="0080748E"/>
    <w:rsid w:val="00807549"/>
    <w:rsid w:val="00807DC9"/>
    <w:rsid w:val="008105B3"/>
    <w:rsid w:val="00810D17"/>
    <w:rsid w:val="00810F9F"/>
    <w:rsid w:val="0081151C"/>
    <w:rsid w:val="0081218A"/>
    <w:rsid w:val="00812BD0"/>
    <w:rsid w:val="008134A8"/>
    <w:rsid w:val="008142A4"/>
    <w:rsid w:val="008148E8"/>
    <w:rsid w:val="00814EB2"/>
    <w:rsid w:val="008154FE"/>
    <w:rsid w:val="008159B1"/>
    <w:rsid w:val="00816AA3"/>
    <w:rsid w:val="0081782A"/>
    <w:rsid w:val="00817B88"/>
    <w:rsid w:val="00820BA7"/>
    <w:rsid w:val="008212EB"/>
    <w:rsid w:val="00821B34"/>
    <w:rsid w:val="008224E8"/>
    <w:rsid w:val="0082266C"/>
    <w:rsid w:val="00822C04"/>
    <w:rsid w:val="00823487"/>
    <w:rsid w:val="0082366B"/>
    <w:rsid w:val="00823799"/>
    <w:rsid w:val="00823E77"/>
    <w:rsid w:val="00823FD4"/>
    <w:rsid w:val="008240C8"/>
    <w:rsid w:val="00824121"/>
    <w:rsid w:val="00824D23"/>
    <w:rsid w:val="00825237"/>
    <w:rsid w:val="0082584C"/>
    <w:rsid w:val="008259A6"/>
    <w:rsid w:val="00825AFE"/>
    <w:rsid w:val="0082672D"/>
    <w:rsid w:val="00827D7E"/>
    <w:rsid w:val="00830EEE"/>
    <w:rsid w:val="00832DE9"/>
    <w:rsid w:val="00833A6D"/>
    <w:rsid w:val="00833A9A"/>
    <w:rsid w:val="00833FA4"/>
    <w:rsid w:val="008343F8"/>
    <w:rsid w:val="0083494D"/>
    <w:rsid w:val="00837A86"/>
    <w:rsid w:val="00837B35"/>
    <w:rsid w:val="00837F3B"/>
    <w:rsid w:val="00837F46"/>
    <w:rsid w:val="00840F33"/>
    <w:rsid w:val="0084103F"/>
    <w:rsid w:val="00841BE6"/>
    <w:rsid w:val="00841F40"/>
    <w:rsid w:val="00842209"/>
    <w:rsid w:val="008426DA"/>
    <w:rsid w:val="008427F5"/>
    <w:rsid w:val="00844B1C"/>
    <w:rsid w:val="0084577B"/>
    <w:rsid w:val="008459C7"/>
    <w:rsid w:val="00845EFB"/>
    <w:rsid w:val="00846747"/>
    <w:rsid w:val="00847665"/>
    <w:rsid w:val="00847CDE"/>
    <w:rsid w:val="0085044E"/>
    <w:rsid w:val="00850882"/>
    <w:rsid w:val="0085142C"/>
    <w:rsid w:val="0085157F"/>
    <w:rsid w:val="0085261C"/>
    <w:rsid w:val="008528DE"/>
    <w:rsid w:val="008546D6"/>
    <w:rsid w:val="00854927"/>
    <w:rsid w:val="00854E5B"/>
    <w:rsid w:val="00855344"/>
    <w:rsid w:val="00857803"/>
    <w:rsid w:val="00857A9C"/>
    <w:rsid w:val="008603C2"/>
    <w:rsid w:val="00860A7E"/>
    <w:rsid w:val="008610AB"/>
    <w:rsid w:val="00861431"/>
    <w:rsid w:val="00864343"/>
    <w:rsid w:val="00864A30"/>
    <w:rsid w:val="00865970"/>
    <w:rsid w:val="00866104"/>
    <w:rsid w:val="008677D3"/>
    <w:rsid w:val="008704A6"/>
    <w:rsid w:val="0087172F"/>
    <w:rsid w:val="0087180D"/>
    <w:rsid w:val="00871A15"/>
    <w:rsid w:val="008720D4"/>
    <w:rsid w:val="00872324"/>
    <w:rsid w:val="00872BE9"/>
    <w:rsid w:val="008737F7"/>
    <w:rsid w:val="00873B96"/>
    <w:rsid w:val="0087423D"/>
    <w:rsid w:val="00874283"/>
    <w:rsid w:val="00874304"/>
    <w:rsid w:val="008747DD"/>
    <w:rsid w:val="00874FBA"/>
    <w:rsid w:val="00875050"/>
    <w:rsid w:val="00875165"/>
    <w:rsid w:val="00875427"/>
    <w:rsid w:val="0087549C"/>
    <w:rsid w:val="00875634"/>
    <w:rsid w:val="00875828"/>
    <w:rsid w:val="00876412"/>
    <w:rsid w:val="00876451"/>
    <w:rsid w:val="0087694A"/>
    <w:rsid w:val="00876A8B"/>
    <w:rsid w:val="00877C21"/>
    <w:rsid w:val="00877E32"/>
    <w:rsid w:val="008800F4"/>
    <w:rsid w:val="0088029A"/>
    <w:rsid w:val="0088031E"/>
    <w:rsid w:val="00880C7E"/>
    <w:rsid w:val="0088319A"/>
    <w:rsid w:val="0088498D"/>
    <w:rsid w:val="00884C8F"/>
    <w:rsid w:val="00884E20"/>
    <w:rsid w:val="008850EC"/>
    <w:rsid w:val="00885DA2"/>
    <w:rsid w:val="00886C19"/>
    <w:rsid w:val="00887366"/>
    <w:rsid w:val="00887793"/>
    <w:rsid w:val="00887DB8"/>
    <w:rsid w:val="00887E1A"/>
    <w:rsid w:val="00887F0C"/>
    <w:rsid w:val="00890190"/>
    <w:rsid w:val="00890C21"/>
    <w:rsid w:val="0089178B"/>
    <w:rsid w:val="008918D1"/>
    <w:rsid w:val="00891944"/>
    <w:rsid w:val="00891986"/>
    <w:rsid w:val="0089238A"/>
    <w:rsid w:val="00892A2B"/>
    <w:rsid w:val="00892E4C"/>
    <w:rsid w:val="0089398E"/>
    <w:rsid w:val="00893E20"/>
    <w:rsid w:val="00894E35"/>
    <w:rsid w:val="00895838"/>
    <w:rsid w:val="00895980"/>
    <w:rsid w:val="00896C04"/>
    <w:rsid w:val="00896CA1"/>
    <w:rsid w:val="008A0E33"/>
    <w:rsid w:val="008A0FE9"/>
    <w:rsid w:val="008A257C"/>
    <w:rsid w:val="008A39C8"/>
    <w:rsid w:val="008A3DBE"/>
    <w:rsid w:val="008A417E"/>
    <w:rsid w:val="008A425C"/>
    <w:rsid w:val="008A4363"/>
    <w:rsid w:val="008A45F5"/>
    <w:rsid w:val="008A479E"/>
    <w:rsid w:val="008A4D9E"/>
    <w:rsid w:val="008A5D5B"/>
    <w:rsid w:val="008A6718"/>
    <w:rsid w:val="008A72A8"/>
    <w:rsid w:val="008A7A66"/>
    <w:rsid w:val="008B14A8"/>
    <w:rsid w:val="008B1924"/>
    <w:rsid w:val="008B24BD"/>
    <w:rsid w:val="008B346E"/>
    <w:rsid w:val="008B49CB"/>
    <w:rsid w:val="008B520E"/>
    <w:rsid w:val="008B5E48"/>
    <w:rsid w:val="008B733F"/>
    <w:rsid w:val="008C0757"/>
    <w:rsid w:val="008C17FC"/>
    <w:rsid w:val="008C2CBF"/>
    <w:rsid w:val="008C624C"/>
    <w:rsid w:val="008C6307"/>
    <w:rsid w:val="008D14B3"/>
    <w:rsid w:val="008D1A0F"/>
    <w:rsid w:val="008D267F"/>
    <w:rsid w:val="008D3542"/>
    <w:rsid w:val="008D37D2"/>
    <w:rsid w:val="008D434D"/>
    <w:rsid w:val="008D4B40"/>
    <w:rsid w:val="008D5053"/>
    <w:rsid w:val="008D50A4"/>
    <w:rsid w:val="008D53E9"/>
    <w:rsid w:val="008D5818"/>
    <w:rsid w:val="008D5C6B"/>
    <w:rsid w:val="008D6699"/>
    <w:rsid w:val="008D7230"/>
    <w:rsid w:val="008D7307"/>
    <w:rsid w:val="008D7989"/>
    <w:rsid w:val="008D7B5D"/>
    <w:rsid w:val="008D7B76"/>
    <w:rsid w:val="008E2671"/>
    <w:rsid w:val="008E303B"/>
    <w:rsid w:val="008E377C"/>
    <w:rsid w:val="008E3F88"/>
    <w:rsid w:val="008E41DA"/>
    <w:rsid w:val="008E4BB0"/>
    <w:rsid w:val="008E530C"/>
    <w:rsid w:val="008E531D"/>
    <w:rsid w:val="008E558B"/>
    <w:rsid w:val="008E5E0A"/>
    <w:rsid w:val="008E6607"/>
    <w:rsid w:val="008E6E5D"/>
    <w:rsid w:val="008E6F88"/>
    <w:rsid w:val="008E708A"/>
    <w:rsid w:val="008E76CF"/>
    <w:rsid w:val="008E7E10"/>
    <w:rsid w:val="008F0536"/>
    <w:rsid w:val="008F0FAF"/>
    <w:rsid w:val="008F153F"/>
    <w:rsid w:val="008F2083"/>
    <w:rsid w:val="008F20C7"/>
    <w:rsid w:val="008F3AB3"/>
    <w:rsid w:val="008F523F"/>
    <w:rsid w:val="008F5A6B"/>
    <w:rsid w:val="008F5D83"/>
    <w:rsid w:val="008F638C"/>
    <w:rsid w:val="008F78C2"/>
    <w:rsid w:val="00900568"/>
    <w:rsid w:val="00901AF3"/>
    <w:rsid w:val="00901C82"/>
    <w:rsid w:val="00901DC9"/>
    <w:rsid w:val="009020E2"/>
    <w:rsid w:val="0090451D"/>
    <w:rsid w:val="00904568"/>
    <w:rsid w:val="0090456B"/>
    <w:rsid w:val="00904584"/>
    <w:rsid w:val="009045F9"/>
    <w:rsid w:val="0090501A"/>
    <w:rsid w:val="0090542E"/>
    <w:rsid w:val="009056B1"/>
    <w:rsid w:val="00905799"/>
    <w:rsid w:val="00905ADF"/>
    <w:rsid w:val="0090688F"/>
    <w:rsid w:val="00906CCB"/>
    <w:rsid w:val="00910127"/>
    <w:rsid w:val="009121C9"/>
    <w:rsid w:val="00912331"/>
    <w:rsid w:val="009128AA"/>
    <w:rsid w:val="00912AFC"/>
    <w:rsid w:val="00912EEC"/>
    <w:rsid w:val="00913854"/>
    <w:rsid w:val="00914806"/>
    <w:rsid w:val="0091519C"/>
    <w:rsid w:val="0091526E"/>
    <w:rsid w:val="009153FB"/>
    <w:rsid w:val="009156B6"/>
    <w:rsid w:val="009168B2"/>
    <w:rsid w:val="00917148"/>
    <w:rsid w:val="00917407"/>
    <w:rsid w:val="009174F8"/>
    <w:rsid w:val="00920A66"/>
    <w:rsid w:val="00921658"/>
    <w:rsid w:val="009225C9"/>
    <w:rsid w:val="009227B2"/>
    <w:rsid w:val="00922CD9"/>
    <w:rsid w:val="00922DA7"/>
    <w:rsid w:val="009239B9"/>
    <w:rsid w:val="00923E48"/>
    <w:rsid w:val="00925297"/>
    <w:rsid w:val="009252AA"/>
    <w:rsid w:val="00925497"/>
    <w:rsid w:val="00925920"/>
    <w:rsid w:val="009260C0"/>
    <w:rsid w:val="009266F4"/>
    <w:rsid w:val="00926EFF"/>
    <w:rsid w:val="00927D84"/>
    <w:rsid w:val="0093150E"/>
    <w:rsid w:val="00931B07"/>
    <w:rsid w:val="0093250A"/>
    <w:rsid w:val="00932A25"/>
    <w:rsid w:val="00933B68"/>
    <w:rsid w:val="00934AD4"/>
    <w:rsid w:val="00935689"/>
    <w:rsid w:val="00935899"/>
    <w:rsid w:val="0093624F"/>
    <w:rsid w:val="00936A83"/>
    <w:rsid w:val="00937B8D"/>
    <w:rsid w:val="00937DBD"/>
    <w:rsid w:val="009404D0"/>
    <w:rsid w:val="0094073A"/>
    <w:rsid w:val="00940E55"/>
    <w:rsid w:val="009410BB"/>
    <w:rsid w:val="009418E2"/>
    <w:rsid w:val="00942AE8"/>
    <w:rsid w:val="00942B16"/>
    <w:rsid w:val="009435EC"/>
    <w:rsid w:val="009437C7"/>
    <w:rsid w:val="00943BF1"/>
    <w:rsid w:val="009451E9"/>
    <w:rsid w:val="009453B5"/>
    <w:rsid w:val="00946065"/>
    <w:rsid w:val="00947291"/>
    <w:rsid w:val="00947A7A"/>
    <w:rsid w:val="00950F56"/>
    <w:rsid w:val="00950F99"/>
    <w:rsid w:val="00951359"/>
    <w:rsid w:val="00951694"/>
    <w:rsid w:val="009517C2"/>
    <w:rsid w:val="00951A52"/>
    <w:rsid w:val="00951BEE"/>
    <w:rsid w:val="0095306A"/>
    <w:rsid w:val="0095467D"/>
    <w:rsid w:val="00954722"/>
    <w:rsid w:val="0095474F"/>
    <w:rsid w:val="00955CA1"/>
    <w:rsid w:val="00955DC3"/>
    <w:rsid w:val="00956010"/>
    <w:rsid w:val="0095643C"/>
    <w:rsid w:val="0095724B"/>
    <w:rsid w:val="0095730B"/>
    <w:rsid w:val="00961A99"/>
    <w:rsid w:val="00961C86"/>
    <w:rsid w:val="0096245B"/>
    <w:rsid w:val="009624BC"/>
    <w:rsid w:val="0096263D"/>
    <w:rsid w:val="00963AEC"/>
    <w:rsid w:val="00964397"/>
    <w:rsid w:val="009647D5"/>
    <w:rsid w:val="00965BE6"/>
    <w:rsid w:val="00966423"/>
    <w:rsid w:val="00966457"/>
    <w:rsid w:val="00966496"/>
    <w:rsid w:val="009664BC"/>
    <w:rsid w:val="00970DB3"/>
    <w:rsid w:val="00972104"/>
    <w:rsid w:val="00972644"/>
    <w:rsid w:val="009727DD"/>
    <w:rsid w:val="0097299B"/>
    <w:rsid w:val="00972B08"/>
    <w:rsid w:val="009743D6"/>
    <w:rsid w:val="0097513F"/>
    <w:rsid w:val="00975171"/>
    <w:rsid w:val="00975297"/>
    <w:rsid w:val="00976546"/>
    <w:rsid w:val="00976F0F"/>
    <w:rsid w:val="00977AF0"/>
    <w:rsid w:val="009802E3"/>
    <w:rsid w:val="00980ECB"/>
    <w:rsid w:val="00981C1A"/>
    <w:rsid w:val="00981D25"/>
    <w:rsid w:val="009824C4"/>
    <w:rsid w:val="00983EA6"/>
    <w:rsid w:val="00983EE2"/>
    <w:rsid w:val="009848E2"/>
    <w:rsid w:val="00984B8E"/>
    <w:rsid w:val="00985193"/>
    <w:rsid w:val="0098536F"/>
    <w:rsid w:val="00985BBA"/>
    <w:rsid w:val="009864B2"/>
    <w:rsid w:val="0098733D"/>
    <w:rsid w:val="009876E9"/>
    <w:rsid w:val="00987AAB"/>
    <w:rsid w:val="00987D49"/>
    <w:rsid w:val="0099005F"/>
    <w:rsid w:val="00991890"/>
    <w:rsid w:val="00991998"/>
    <w:rsid w:val="00992CCD"/>
    <w:rsid w:val="009933A9"/>
    <w:rsid w:val="00993A4D"/>
    <w:rsid w:val="00993F2D"/>
    <w:rsid w:val="00994705"/>
    <w:rsid w:val="00994B48"/>
    <w:rsid w:val="00995012"/>
    <w:rsid w:val="009957A5"/>
    <w:rsid w:val="00995CFA"/>
    <w:rsid w:val="00997BC7"/>
    <w:rsid w:val="009A050D"/>
    <w:rsid w:val="009A0529"/>
    <w:rsid w:val="009A07D8"/>
    <w:rsid w:val="009A1469"/>
    <w:rsid w:val="009A282F"/>
    <w:rsid w:val="009A30DD"/>
    <w:rsid w:val="009A31B8"/>
    <w:rsid w:val="009A32A7"/>
    <w:rsid w:val="009A3686"/>
    <w:rsid w:val="009A3BA3"/>
    <w:rsid w:val="009A49B2"/>
    <w:rsid w:val="009A4BEE"/>
    <w:rsid w:val="009A4C05"/>
    <w:rsid w:val="009A4E42"/>
    <w:rsid w:val="009A5DF7"/>
    <w:rsid w:val="009A5E3C"/>
    <w:rsid w:val="009A62AF"/>
    <w:rsid w:val="009A6443"/>
    <w:rsid w:val="009A6F07"/>
    <w:rsid w:val="009A75A9"/>
    <w:rsid w:val="009A77C4"/>
    <w:rsid w:val="009A78DF"/>
    <w:rsid w:val="009B0AD3"/>
    <w:rsid w:val="009B0E96"/>
    <w:rsid w:val="009B1045"/>
    <w:rsid w:val="009B1197"/>
    <w:rsid w:val="009B38B6"/>
    <w:rsid w:val="009B3E42"/>
    <w:rsid w:val="009B42FD"/>
    <w:rsid w:val="009B48AF"/>
    <w:rsid w:val="009B48B3"/>
    <w:rsid w:val="009B555A"/>
    <w:rsid w:val="009B5956"/>
    <w:rsid w:val="009B5E30"/>
    <w:rsid w:val="009B6E2F"/>
    <w:rsid w:val="009C026C"/>
    <w:rsid w:val="009C0A77"/>
    <w:rsid w:val="009C1011"/>
    <w:rsid w:val="009C12E7"/>
    <w:rsid w:val="009C166F"/>
    <w:rsid w:val="009C26C7"/>
    <w:rsid w:val="009C2B24"/>
    <w:rsid w:val="009C2CCD"/>
    <w:rsid w:val="009C2F7A"/>
    <w:rsid w:val="009C2F96"/>
    <w:rsid w:val="009C343F"/>
    <w:rsid w:val="009C3989"/>
    <w:rsid w:val="009C46E4"/>
    <w:rsid w:val="009C486E"/>
    <w:rsid w:val="009C64EB"/>
    <w:rsid w:val="009C7113"/>
    <w:rsid w:val="009C73B0"/>
    <w:rsid w:val="009D06DA"/>
    <w:rsid w:val="009D1450"/>
    <w:rsid w:val="009D19AA"/>
    <w:rsid w:val="009D3113"/>
    <w:rsid w:val="009D3982"/>
    <w:rsid w:val="009D3F17"/>
    <w:rsid w:val="009D4140"/>
    <w:rsid w:val="009D4FDB"/>
    <w:rsid w:val="009D5000"/>
    <w:rsid w:val="009D510C"/>
    <w:rsid w:val="009D63F6"/>
    <w:rsid w:val="009D66A4"/>
    <w:rsid w:val="009D701A"/>
    <w:rsid w:val="009D71F2"/>
    <w:rsid w:val="009D75E9"/>
    <w:rsid w:val="009E05DE"/>
    <w:rsid w:val="009E0CEA"/>
    <w:rsid w:val="009E0DEA"/>
    <w:rsid w:val="009E3758"/>
    <w:rsid w:val="009E3807"/>
    <w:rsid w:val="009E3DEB"/>
    <w:rsid w:val="009E5328"/>
    <w:rsid w:val="009E7158"/>
    <w:rsid w:val="009F19A8"/>
    <w:rsid w:val="009F2A0D"/>
    <w:rsid w:val="009F3EFB"/>
    <w:rsid w:val="009F3F1F"/>
    <w:rsid w:val="009F41EA"/>
    <w:rsid w:val="009F42EF"/>
    <w:rsid w:val="009F4642"/>
    <w:rsid w:val="009F4FCA"/>
    <w:rsid w:val="009F530C"/>
    <w:rsid w:val="009F5D1C"/>
    <w:rsid w:val="009F601D"/>
    <w:rsid w:val="009F788B"/>
    <w:rsid w:val="009F7F62"/>
    <w:rsid w:val="009F7F8E"/>
    <w:rsid w:val="00A00644"/>
    <w:rsid w:val="00A0124E"/>
    <w:rsid w:val="00A01738"/>
    <w:rsid w:val="00A01CAF"/>
    <w:rsid w:val="00A01DA2"/>
    <w:rsid w:val="00A0243E"/>
    <w:rsid w:val="00A02A80"/>
    <w:rsid w:val="00A02B89"/>
    <w:rsid w:val="00A03025"/>
    <w:rsid w:val="00A03452"/>
    <w:rsid w:val="00A0415C"/>
    <w:rsid w:val="00A04CA7"/>
    <w:rsid w:val="00A04E89"/>
    <w:rsid w:val="00A04F57"/>
    <w:rsid w:val="00A04FDD"/>
    <w:rsid w:val="00A05BCB"/>
    <w:rsid w:val="00A05E99"/>
    <w:rsid w:val="00A074AC"/>
    <w:rsid w:val="00A10132"/>
    <w:rsid w:val="00A10340"/>
    <w:rsid w:val="00A1082E"/>
    <w:rsid w:val="00A11225"/>
    <w:rsid w:val="00A11913"/>
    <w:rsid w:val="00A119B2"/>
    <w:rsid w:val="00A11D39"/>
    <w:rsid w:val="00A11E78"/>
    <w:rsid w:val="00A1210D"/>
    <w:rsid w:val="00A12459"/>
    <w:rsid w:val="00A1281C"/>
    <w:rsid w:val="00A12D47"/>
    <w:rsid w:val="00A130CA"/>
    <w:rsid w:val="00A133C1"/>
    <w:rsid w:val="00A13AEE"/>
    <w:rsid w:val="00A13E2C"/>
    <w:rsid w:val="00A151A1"/>
    <w:rsid w:val="00A1564B"/>
    <w:rsid w:val="00A156F6"/>
    <w:rsid w:val="00A158A2"/>
    <w:rsid w:val="00A16169"/>
    <w:rsid w:val="00A16C8B"/>
    <w:rsid w:val="00A16C9B"/>
    <w:rsid w:val="00A1768D"/>
    <w:rsid w:val="00A17EC5"/>
    <w:rsid w:val="00A2010B"/>
    <w:rsid w:val="00A20460"/>
    <w:rsid w:val="00A20703"/>
    <w:rsid w:val="00A20F6D"/>
    <w:rsid w:val="00A21420"/>
    <w:rsid w:val="00A21A2C"/>
    <w:rsid w:val="00A22601"/>
    <w:rsid w:val="00A23F76"/>
    <w:rsid w:val="00A24CC4"/>
    <w:rsid w:val="00A24D79"/>
    <w:rsid w:val="00A25797"/>
    <w:rsid w:val="00A26037"/>
    <w:rsid w:val="00A26AA7"/>
    <w:rsid w:val="00A27374"/>
    <w:rsid w:val="00A276E6"/>
    <w:rsid w:val="00A3014B"/>
    <w:rsid w:val="00A329EF"/>
    <w:rsid w:val="00A32B73"/>
    <w:rsid w:val="00A32C73"/>
    <w:rsid w:val="00A32DAA"/>
    <w:rsid w:val="00A32F0F"/>
    <w:rsid w:val="00A33274"/>
    <w:rsid w:val="00A349DA"/>
    <w:rsid w:val="00A34AD0"/>
    <w:rsid w:val="00A34F34"/>
    <w:rsid w:val="00A35D34"/>
    <w:rsid w:val="00A36950"/>
    <w:rsid w:val="00A36DB7"/>
    <w:rsid w:val="00A37A3B"/>
    <w:rsid w:val="00A4006B"/>
    <w:rsid w:val="00A40624"/>
    <w:rsid w:val="00A4288B"/>
    <w:rsid w:val="00A430C0"/>
    <w:rsid w:val="00A435FA"/>
    <w:rsid w:val="00A4384C"/>
    <w:rsid w:val="00A44C96"/>
    <w:rsid w:val="00A45349"/>
    <w:rsid w:val="00A453A7"/>
    <w:rsid w:val="00A45E7F"/>
    <w:rsid w:val="00A46398"/>
    <w:rsid w:val="00A46B07"/>
    <w:rsid w:val="00A47067"/>
    <w:rsid w:val="00A474DA"/>
    <w:rsid w:val="00A47B6D"/>
    <w:rsid w:val="00A5013B"/>
    <w:rsid w:val="00A50834"/>
    <w:rsid w:val="00A5104E"/>
    <w:rsid w:val="00A51124"/>
    <w:rsid w:val="00A51BCC"/>
    <w:rsid w:val="00A521B2"/>
    <w:rsid w:val="00A52D78"/>
    <w:rsid w:val="00A531F2"/>
    <w:rsid w:val="00A53682"/>
    <w:rsid w:val="00A537BA"/>
    <w:rsid w:val="00A53A7C"/>
    <w:rsid w:val="00A53C26"/>
    <w:rsid w:val="00A53FCF"/>
    <w:rsid w:val="00A5526F"/>
    <w:rsid w:val="00A553E3"/>
    <w:rsid w:val="00A55DDA"/>
    <w:rsid w:val="00A55F8D"/>
    <w:rsid w:val="00A56025"/>
    <w:rsid w:val="00A560C9"/>
    <w:rsid w:val="00A56538"/>
    <w:rsid w:val="00A56DBB"/>
    <w:rsid w:val="00A5727C"/>
    <w:rsid w:val="00A616D0"/>
    <w:rsid w:val="00A62249"/>
    <w:rsid w:val="00A622DA"/>
    <w:rsid w:val="00A62974"/>
    <w:rsid w:val="00A62E3D"/>
    <w:rsid w:val="00A63373"/>
    <w:rsid w:val="00A633BB"/>
    <w:rsid w:val="00A634C8"/>
    <w:rsid w:val="00A63FBD"/>
    <w:rsid w:val="00A646A2"/>
    <w:rsid w:val="00A6497E"/>
    <w:rsid w:val="00A65525"/>
    <w:rsid w:val="00A65680"/>
    <w:rsid w:val="00A65B1C"/>
    <w:rsid w:val="00A6613A"/>
    <w:rsid w:val="00A661D1"/>
    <w:rsid w:val="00A663B0"/>
    <w:rsid w:val="00A67118"/>
    <w:rsid w:val="00A67492"/>
    <w:rsid w:val="00A67807"/>
    <w:rsid w:val="00A67FC1"/>
    <w:rsid w:val="00A70035"/>
    <w:rsid w:val="00A7021C"/>
    <w:rsid w:val="00A702B3"/>
    <w:rsid w:val="00A70E88"/>
    <w:rsid w:val="00A71415"/>
    <w:rsid w:val="00A71462"/>
    <w:rsid w:val="00A71868"/>
    <w:rsid w:val="00A71AC5"/>
    <w:rsid w:val="00A71B28"/>
    <w:rsid w:val="00A72AA1"/>
    <w:rsid w:val="00A739DB"/>
    <w:rsid w:val="00A73A2D"/>
    <w:rsid w:val="00A73DAA"/>
    <w:rsid w:val="00A747AD"/>
    <w:rsid w:val="00A74B07"/>
    <w:rsid w:val="00A74BD8"/>
    <w:rsid w:val="00A755A3"/>
    <w:rsid w:val="00A7595C"/>
    <w:rsid w:val="00A75C47"/>
    <w:rsid w:val="00A75E5E"/>
    <w:rsid w:val="00A75FD4"/>
    <w:rsid w:val="00A76192"/>
    <w:rsid w:val="00A764EA"/>
    <w:rsid w:val="00A7683A"/>
    <w:rsid w:val="00A76D3B"/>
    <w:rsid w:val="00A806E3"/>
    <w:rsid w:val="00A815BD"/>
    <w:rsid w:val="00A8172D"/>
    <w:rsid w:val="00A81EAA"/>
    <w:rsid w:val="00A82470"/>
    <w:rsid w:val="00A82B34"/>
    <w:rsid w:val="00A82F79"/>
    <w:rsid w:val="00A830F9"/>
    <w:rsid w:val="00A835E6"/>
    <w:rsid w:val="00A839C9"/>
    <w:rsid w:val="00A83E39"/>
    <w:rsid w:val="00A849A4"/>
    <w:rsid w:val="00A84AD0"/>
    <w:rsid w:val="00A8507E"/>
    <w:rsid w:val="00A858E0"/>
    <w:rsid w:val="00A86262"/>
    <w:rsid w:val="00A8658F"/>
    <w:rsid w:val="00A867DF"/>
    <w:rsid w:val="00A86EFF"/>
    <w:rsid w:val="00A87212"/>
    <w:rsid w:val="00A87606"/>
    <w:rsid w:val="00A91CE6"/>
    <w:rsid w:val="00A922D7"/>
    <w:rsid w:val="00A928F0"/>
    <w:rsid w:val="00A92C3E"/>
    <w:rsid w:val="00A9445C"/>
    <w:rsid w:val="00A947C8"/>
    <w:rsid w:val="00A948EF"/>
    <w:rsid w:val="00A949F6"/>
    <w:rsid w:val="00A94E7D"/>
    <w:rsid w:val="00A95166"/>
    <w:rsid w:val="00A95447"/>
    <w:rsid w:val="00A95A76"/>
    <w:rsid w:val="00A9621C"/>
    <w:rsid w:val="00A973EB"/>
    <w:rsid w:val="00A974F4"/>
    <w:rsid w:val="00AA07B3"/>
    <w:rsid w:val="00AA20BA"/>
    <w:rsid w:val="00AA2492"/>
    <w:rsid w:val="00AA28CA"/>
    <w:rsid w:val="00AA299B"/>
    <w:rsid w:val="00AA3A03"/>
    <w:rsid w:val="00AA3FBD"/>
    <w:rsid w:val="00AA4106"/>
    <w:rsid w:val="00AA4F84"/>
    <w:rsid w:val="00AA59BC"/>
    <w:rsid w:val="00AA59E4"/>
    <w:rsid w:val="00AA608A"/>
    <w:rsid w:val="00AA6C62"/>
    <w:rsid w:val="00AA6CBA"/>
    <w:rsid w:val="00AA6CF3"/>
    <w:rsid w:val="00AA6DC4"/>
    <w:rsid w:val="00AA7102"/>
    <w:rsid w:val="00AB0B04"/>
    <w:rsid w:val="00AB222D"/>
    <w:rsid w:val="00AB2D84"/>
    <w:rsid w:val="00AB3A47"/>
    <w:rsid w:val="00AB3B94"/>
    <w:rsid w:val="00AB408F"/>
    <w:rsid w:val="00AB4379"/>
    <w:rsid w:val="00AB49B0"/>
    <w:rsid w:val="00AB4DCA"/>
    <w:rsid w:val="00AB5107"/>
    <w:rsid w:val="00AB5795"/>
    <w:rsid w:val="00AB597B"/>
    <w:rsid w:val="00AB68CA"/>
    <w:rsid w:val="00AB6B72"/>
    <w:rsid w:val="00AB7518"/>
    <w:rsid w:val="00AC008A"/>
    <w:rsid w:val="00AC0400"/>
    <w:rsid w:val="00AC0943"/>
    <w:rsid w:val="00AC34C5"/>
    <w:rsid w:val="00AC4310"/>
    <w:rsid w:val="00AC48B7"/>
    <w:rsid w:val="00AC49FB"/>
    <w:rsid w:val="00AC52B4"/>
    <w:rsid w:val="00AC580C"/>
    <w:rsid w:val="00AC5C50"/>
    <w:rsid w:val="00AC5FA8"/>
    <w:rsid w:val="00AC7183"/>
    <w:rsid w:val="00AC7C62"/>
    <w:rsid w:val="00AC7E1B"/>
    <w:rsid w:val="00AD0556"/>
    <w:rsid w:val="00AD09B7"/>
    <w:rsid w:val="00AD0C49"/>
    <w:rsid w:val="00AD17AB"/>
    <w:rsid w:val="00AD1808"/>
    <w:rsid w:val="00AD1F1A"/>
    <w:rsid w:val="00AD1FC0"/>
    <w:rsid w:val="00AD2526"/>
    <w:rsid w:val="00AD2C5A"/>
    <w:rsid w:val="00AD2DB1"/>
    <w:rsid w:val="00AD3860"/>
    <w:rsid w:val="00AD3D77"/>
    <w:rsid w:val="00AD4AED"/>
    <w:rsid w:val="00AD4B3D"/>
    <w:rsid w:val="00AD4E8D"/>
    <w:rsid w:val="00AD6BC4"/>
    <w:rsid w:val="00AD7312"/>
    <w:rsid w:val="00AD73A7"/>
    <w:rsid w:val="00AD763A"/>
    <w:rsid w:val="00AE0F8E"/>
    <w:rsid w:val="00AE10F9"/>
    <w:rsid w:val="00AE18E2"/>
    <w:rsid w:val="00AE1E30"/>
    <w:rsid w:val="00AE2FBD"/>
    <w:rsid w:val="00AE32DA"/>
    <w:rsid w:val="00AE349C"/>
    <w:rsid w:val="00AE3807"/>
    <w:rsid w:val="00AE41CF"/>
    <w:rsid w:val="00AE4397"/>
    <w:rsid w:val="00AE4403"/>
    <w:rsid w:val="00AE45CF"/>
    <w:rsid w:val="00AE5D3E"/>
    <w:rsid w:val="00AE5FE8"/>
    <w:rsid w:val="00AE6F5B"/>
    <w:rsid w:val="00AE798A"/>
    <w:rsid w:val="00AE79CE"/>
    <w:rsid w:val="00AE79DA"/>
    <w:rsid w:val="00AE7F2D"/>
    <w:rsid w:val="00AF02A7"/>
    <w:rsid w:val="00AF09DC"/>
    <w:rsid w:val="00AF0C87"/>
    <w:rsid w:val="00AF111C"/>
    <w:rsid w:val="00AF18F9"/>
    <w:rsid w:val="00AF19E4"/>
    <w:rsid w:val="00AF242A"/>
    <w:rsid w:val="00AF2483"/>
    <w:rsid w:val="00AF26CE"/>
    <w:rsid w:val="00AF315A"/>
    <w:rsid w:val="00AF3900"/>
    <w:rsid w:val="00AF41CE"/>
    <w:rsid w:val="00AF57D7"/>
    <w:rsid w:val="00AF63AD"/>
    <w:rsid w:val="00AF67FB"/>
    <w:rsid w:val="00AF6AE9"/>
    <w:rsid w:val="00AF7746"/>
    <w:rsid w:val="00AF77D2"/>
    <w:rsid w:val="00B01471"/>
    <w:rsid w:val="00B01950"/>
    <w:rsid w:val="00B02B09"/>
    <w:rsid w:val="00B02B50"/>
    <w:rsid w:val="00B033CF"/>
    <w:rsid w:val="00B03DF4"/>
    <w:rsid w:val="00B046AF"/>
    <w:rsid w:val="00B05346"/>
    <w:rsid w:val="00B058E0"/>
    <w:rsid w:val="00B05F8F"/>
    <w:rsid w:val="00B05F9B"/>
    <w:rsid w:val="00B06019"/>
    <w:rsid w:val="00B064AE"/>
    <w:rsid w:val="00B101B3"/>
    <w:rsid w:val="00B10BE7"/>
    <w:rsid w:val="00B110B1"/>
    <w:rsid w:val="00B13293"/>
    <w:rsid w:val="00B1344F"/>
    <w:rsid w:val="00B139D7"/>
    <w:rsid w:val="00B13DA2"/>
    <w:rsid w:val="00B13FC7"/>
    <w:rsid w:val="00B14E59"/>
    <w:rsid w:val="00B15806"/>
    <w:rsid w:val="00B15B4E"/>
    <w:rsid w:val="00B15E15"/>
    <w:rsid w:val="00B1619D"/>
    <w:rsid w:val="00B1629A"/>
    <w:rsid w:val="00B1771A"/>
    <w:rsid w:val="00B1774E"/>
    <w:rsid w:val="00B17EEF"/>
    <w:rsid w:val="00B20A67"/>
    <w:rsid w:val="00B20C49"/>
    <w:rsid w:val="00B213B8"/>
    <w:rsid w:val="00B21D30"/>
    <w:rsid w:val="00B236A1"/>
    <w:rsid w:val="00B23A6C"/>
    <w:rsid w:val="00B24D86"/>
    <w:rsid w:val="00B25044"/>
    <w:rsid w:val="00B253D1"/>
    <w:rsid w:val="00B2540C"/>
    <w:rsid w:val="00B254FB"/>
    <w:rsid w:val="00B2562C"/>
    <w:rsid w:val="00B257F1"/>
    <w:rsid w:val="00B26049"/>
    <w:rsid w:val="00B26277"/>
    <w:rsid w:val="00B267F2"/>
    <w:rsid w:val="00B27012"/>
    <w:rsid w:val="00B27A2D"/>
    <w:rsid w:val="00B27AE6"/>
    <w:rsid w:val="00B30953"/>
    <w:rsid w:val="00B312A7"/>
    <w:rsid w:val="00B3144E"/>
    <w:rsid w:val="00B314DE"/>
    <w:rsid w:val="00B31B4F"/>
    <w:rsid w:val="00B326EA"/>
    <w:rsid w:val="00B338FE"/>
    <w:rsid w:val="00B349DD"/>
    <w:rsid w:val="00B3566D"/>
    <w:rsid w:val="00B3615E"/>
    <w:rsid w:val="00B36335"/>
    <w:rsid w:val="00B36D1F"/>
    <w:rsid w:val="00B3708F"/>
    <w:rsid w:val="00B4007C"/>
    <w:rsid w:val="00B40E17"/>
    <w:rsid w:val="00B4196A"/>
    <w:rsid w:val="00B42901"/>
    <w:rsid w:val="00B42BA4"/>
    <w:rsid w:val="00B42DD4"/>
    <w:rsid w:val="00B4395A"/>
    <w:rsid w:val="00B43985"/>
    <w:rsid w:val="00B43AB7"/>
    <w:rsid w:val="00B43CCE"/>
    <w:rsid w:val="00B45995"/>
    <w:rsid w:val="00B45DCC"/>
    <w:rsid w:val="00B461E3"/>
    <w:rsid w:val="00B464A8"/>
    <w:rsid w:val="00B47636"/>
    <w:rsid w:val="00B479F6"/>
    <w:rsid w:val="00B511A1"/>
    <w:rsid w:val="00B512BC"/>
    <w:rsid w:val="00B517E8"/>
    <w:rsid w:val="00B51F52"/>
    <w:rsid w:val="00B5235A"/>
    <w:rsid w:val="00B53BD2"/>
    <w:rsid w:val="00B53C01"/>
    <w:rsid w:val="00B540FF"/>
    <w:rsid w:val="00B54607"/>
    <w:rsid w:val="00B54656"/>
    <w:rsid w:val="00B54988"/>
    <w:rsid w:val="00B556B2"/>
    <w:rsid w:val="00B55E31"/>
    <w:rsid w:val="00B5624A"/>
    <w:rsid w:val="00B569C8"/>
    <w:rsid w:val="00B56C6D"/>
    <w:rsid w:val="00B56EF6"/>
    <w:rsid w:val="00B56FD5"/>
    <w:rsid w:val="00B57639"/>
    <w:rsid w:val="00B57733"/>
    <w:rsid w:val="00B577B4"/>
    <w:rsid w:val="00B57CD7"/>
    <w:rsid w:val="00B6044C"/>
    <w:rsid w:val="00B607C3"/>
    <w:rsid w:val="00B61F46"/>
    <w:rsid w:val="00B62322"/>
    <w:rsid w:val="00B62366"/>
    <w:rsid w:val="00B62E12"/>
    <w:rsid w:val="00B63EFD"/>
    <w:rsid w:val="00B64083"/>
    <w:rsid w:val="00B644D9"/>
    <w:rsid w:val="00B658E5"/>
    <w:rsid w:val="00B66528"/>
    <w:rsid w:val="00B66E6C"/>
    <w:rsid w:val="00B675C8"/>
    <w:rsid w:val="00B67B6C"/>
    <w:rsid w:val="00B7000A"/>
    <w:rsid w:val="00B7032C"/>
    <w:rsid w:val="00B713FF"/>
    <w:rsid w:val="00B71B7B"/>
    <w:rsid w:val="00B743E3"/>
    <w:rsid w:val="00B75226"/>
    <w:rsid w:val="00B7555A"/>
    <w:rsid w:val="00B763DB"/>
    <w:rsid w:val="00B76C23"/>
    <w:rsid w:val="00B77000"/>
    <w:rsid w:val="00B77ACE"/>
    <w:rsid w:val="00B8047D"/>
    <w:rsid w:val="00B822F0"/>
    <w:rsid w:val="00B82354"/>
    <w:rsid w:val="00B82629"/>
    <w:rsid w:val="00B8267D"/>
    <w:rsid w:val="00B835CE"/>
    <w:rsid w:val="00B84197"/>
    <w:rsid w:val="00B84858"/>
    <w:rsid w:val="00B85A3B"/>
    <w:rsid w:val="00B86541"/>
    <w:rsid w:val="00B90139"/>
    <w:rsid w:val="00B9076A"/>
    <w:rsid w:val="00B907F8"/>
    <w:rsid w:val="00B90C68"/>
    <w:rsid w:val="00B91E3F"/>
    <w:rsid w:val="00B92299"/>
    <w:rsid w:val="00B92E70"/>
    <w:rsid w:val="00B93055"/>
    <w:rsid w:val="00B931EC"/>
    <w:rsid w:val="00B94595"/>
    <w:rsid w:val="00B95258"/>
    <w:rsid w:val="00B95580"/>
    <w:rsid w:val="00B9665B"/>
    <w:rsid w:val="00B96740"/>
    <w:rsid w:val="00B96971"/>
    <w:rsid w:val="00B96D67"/>
    <w:rsid w:val="00B96D85"/>
    <w:rsid w:val="00B97153"/>
    <w:rsid w:val="00B975A9"/>
    <w:rsid w:val="00B977AF"/>
    <w:rsid w:val="00B9780F"/>
    <w:rsid w:val="00B97F08"/>
    <w:rsid w:val="00BA04A6"/>
    <w:rsid w:val="00BA0510"/>
    <w:rsid w:val="00BA0524"/>
    <w:rsid w:val="00BA0927"/>
    <w:rsid w:val="00BA0DF9"/>
    <w:rsid w:val="00BA1759"/>
    <w:rsid w:val="00BA1A07"/>
    <w:rsid w:val="00BA2B06"/>
    <w:rsid w:val="00BA32EA"/>
    <w:rsid w:val="00BA3D3B"/>
    <w:rsid w:val="00BA3D5E"/>
    <w:rsid w:val="00BA3DB6"/>
    <w:rsid w:val="00BA4B58"/>
    <w:rsid w:val="00BA4C69"/>
    <w:rsid w:val="00BA5018"/>
    <w:rsid w:val="00BA553C"/>
    <w:rsid w:val="00BA65C7"/>
    <w:rsid w:val="00BA67D1"/>
    <w:rsid w:val="00BB056E"/>
    <w:rsid w:val="00BB07C8"/>
    <w:rsid w:val="00BB20C4"/>
    <w:rsid w:val="00BB21D1"/>
    <w:rsid w:val="00BB230A"/>
    <w:rsid w:val="00BB2A2E"/>
    <w:rsid w:val="00BB2BAF"/>
    <w:rsid w:val="00BB3532"/>
    <w:rsid w:val="00BB3D75"/>
    <w:rsid w:val="00BB3E5A"/>
    <w:rsid w:val="00BB465E"/>
    <w:rsid w:val="00BB481B"/>
    <w:rsid w:val="00BB58FB"/>
    <w:rsid w:val="00BB5FD8"/>
    <w:rsid w:val="00BB60F7"/>
    <w:rsid w:val="00BB63DD"/>
    <w:rsid w:val="00BB65B2"/>
    <w:rsid w:val="00BB711E"/>
    <w:rsid w:val="00BB7BE4"/>
    <w:rsid w:val="00BB7FDC"/>
    <w:rsid w:val="00BC05E0"/>
    <w:rsid w:val="00BC0622"/>
    <w:rsid w:val="00BC0F96"/>
    <w:rsid w:val="00BC1A76"/>
    <w:rsid w:val="00BC1E74"/>
    <w:rsid w:val="00BC29C5"/>
    <w:rsid w:val="00BC3D76"/>
    <w:rsid w:val="00BC4206"/>
    <w:rsid w:val="00BC489F"/>
    <w:rsid w:val="00BC5724"/>
    <w:rsid w:val="00BC593B"/>
    <w:rsid w:val="00BC5AB1"/>
    <w:rsid w:val="00BC6B7F"/>
    <w:rsid w:val="00BC6CA3"/>
    <w:rsid w:val="00BD049D"/>
    <w:rsid w:val="00BD0D2D"/>
    <w:rsid w:val="00BD121B"/>
    <w:rsid w:val="00BD1826"/>
    <w:rsid w:val="00BD1B69"/>
    <w:rsid w:val="00BD21AF"/>
    <w:rsid w:val="00BD2453"/>
    <w:rsid w:val="00BD266B"/>
    <w:rsid w:val="00BD291C"/>
    <w:rsid w:val="00BD3658"/>
    <w:rsid w:val="00BD4074"/>
    <w:rsid w:val="00BD40CF"/>
    <w:rsid w:val="00BD46CB"/>
    <w:rsid w:val="00BD72A8"/>
    <w:rsid w:val="00BE095B"/>
    <w:rsid w:val="00BE1702"/>
    <w:rsid w:val="00BE23A3"/>
    <w:rsid w:val="00BE2F7F"/>
    <w:rsid w:val="00BE3117"/>
    <w:rsid w:val="00BE33C7"/>
    <w:rsid w:val="00BE3DE8"/>
    <w:rsid w:val="00BE5C54"/>
    <w:rsid w:val="00BE6099"/>
    <w:rsid w:val="00BE696F"/>
    <w:rsid w:val="00BE6ECE"/>
    <w:rsid w:val="00BF0940"/>
    <w:rsid w:val="00BF0E95"/>
    <w:rsid w:val="00BF119F"/>
    <w:rsid w:val="00BF197F"/>
    <w:rsid w:val="00BF22DC"/>
    <w:rsid w:val="00BF2480"/>
    <w:rsid w:val="00BF2F2E"/>
    <w:rsid w:val="00BF38C4"/>
    <w:rsid w:val="00BF3C24"/>
    <w:rsid w:val="00BF3E88"/>
    <w:rsid w:val="00BF3F79"/>
    <w:rsid w:val="00BF4494"/>
    <w:rsid w:val="00BF64D3"/>
    <w:rsid w:val="00BF6F8F"/>
    <w:rsid w:val="00BF6FB8"/>
    <w:rsid w:val="00C00230"/>
    <w:rsid w:val="00C00A3D"/>
    <w:rsid w:val="00C01523"/>
    <w:rsid w:val="00C018B0"/>
    <w:rsid w:val="00C01E53"/>
    <w:rsid w:val="00C0760E"/>
    <w:rsid w:val="00C10BCD"/>
    <w:rsid w:val="00C110AA"/>
    <w:rsid w:val="00C11686"/>
    <w:rsid w:val="00C123D2"/>
    <w:rsid w:val="00C12584"/>
    <w:rsid w:val="00C12D46"/>
    <w:rsid w:val="00C12E12"/>
    <w:rsid w:val="00C13B53"/>
    <w:rsid w:val="00C13D37"/>
    <w:rsid w:val="00C14108"/>
    <w:rsid w:val="00C144B1"/>
    <w:rsid w:val="00C14EAE"/>
    <w:rsid w:val="00C15704"/>
    <w:rsid w:val="00C157FD"/>
    <w:rsid w:val="00C1606F"/>
    <w:rsid w:val="00C173EB"/>
    <w:rsid w:val="00C20364"/>
    <w:rsid w:val="00C20617"/>
    <w:rsid w:val="00C20F98"/>
    <w:rsid w:val="00C21E4D"/>
    <w:rsid w:val="00C233FC"/>
    <w:rsid w:val="00C23BA6"/>
    <w:rsid w:val="00C242DC"/>
    <w:rsid w:val="00C24A1D"/>
    <w:rsid w:val="00C250E5"/>
    <w:rsid w:val="00C25761"/>
    <w:rsid w:val="00C26556"/>
    <w:rsid w:val="00C27650"/>
    <w:rsid w:val="00C277ED"/>
    <w:rsid w:val="00C27EFE"/>
    <w:rsid w:val="00C3008D"/>
    <w:rsid w:val="00C308A4"/>
    <w:rsid w:val="00C30C97"/>
    <w:rsid w:val="00C3129F"/>
    <w:rsid w:val="00C31D31"/>
    <w:rsid w:val="00C31F16"/>
    <w:rsid w:val="00C32069"/>
    <w:rsid w:val="00C3237A"/>
    <w:rsid w:val="00C32B51"/>
    <w:rsid w:val="00C34FA5"/>
    <w:rsid w:val="00C35778"/>
    <w:rsid w:val="00C35940"/>
    <w:rsid w:val="00C35CF7"/>
    <w:rsid w:val="00C36539"/>
    <w:rsid w:val="00C36B27"/>
    <w:rsid w:val="00C36BD5"/>
    <w:rsid w:val="00C37398"/>
    <w:rsid w:val="00C406A7"/>
    <w:rsid w:val="00C407C4"/>
    <w:rsid w:val="00C4084A"/>
    <w:rsid w:val="00C417FE"/>
    <w:rsid w:val="00C41B90"/>
    <w:rsid w:val="00C41EBB"/>
    <w:rsid w:val="00C422A2"/>
    <w:rsid w:val="00C42560"/>
    <w:rsid w:val="00C42717"/>
    <w:rsid w:val="00C42CB7"/>
    <w:rsid w:val="00C42EEF"/>
    <w:rsid w:val="00C43149"/>
    <w:rsid w:val="00C437B8"/>
    <w:rsid w:val="00C43870"/>
    <w:rsid w:val="00C44649"/>
    <w:rsid w:val="00C44AE0"/>
    <w:rsid w:val="00C44CA3"/>
    <w:rsid w:val="00C463F7"/>
    <w:rsid w:val="00C47189"/>
    <w:rsid w:val="00C471F0"/>
    <w:rsid w:val="00C47330"/>
    <w:rsid w:val="00C47A77"/>
    <w:rsid w:val="00C47D6D"/>
    <w:rsid w:val="00C500CF"/>
    <w:rsid w:val="00C512CD"/>
    <w:rsid w:val="00C51691"/>
    <w:rsid w:val="00C51DA8"/>
    <w:rsid w:val="00C53B58"/>
    <w:rsid w:val="00C541DA"/>
    <w:rsid w:val="00C544A3"/>
    <w:rsid w:val="00C55FEC"/>
    <w:rsid w:val="00C56435"/>
    <w:rsid w:val="00C56550"/>
    <w:rsid w:val="00C56680"/>
    <w:rsid w:val="00C56BA8"/>
    <w:rsid w:val="00C576EB"/>
    <w:rsid w:val="00C5772B"/>
    <w:rsid w:val="00C60391"/>
    <w:rsid w:val="00C60454"/>
    <w:rsid w:val="00C6085F"/>
    <w:rsid w:val="00C60870"/>
    <w:rsid w:val="00C6112C"/>
    <w:rsid w:val="00C61202"/>
    <w:rsid w:val="00C6132F"/>
    <w:rsid w:val="00C615AA"/>
    <w:rsid w:val="00C62472"/>
    <w:rsid w:val="00C62484"/>
    <w:rsid w:val="00C63E7B"/>
    <w:rsid w:val="00C64B7F"/>
    <w:rsid w:val="00C6588C"/>
    <w:rsid w:val="00C65A0A"/>
    <w:rsid w:val="00C66AF3"/>
    <w:rsid w:val="00C66E9F"/>
    <w:rsid w:val="00C67124"/>
    <w:rsid w:val="00C675B7"/>
    <w:rsid w:val="00C70EB6"/>
    <w:rsid w:val="00C70FC3"/>
    <w:rsid w:val="00C72500"/>
    <w:rsid w:val="00C73222"/>
    <w:rsid w:val="00C73439"/>
    <w:rsid w:val="00C74135"/>
    <w:rsid w:val="00C74AB7"/>
    <w:rsid w:val="00C758D1"/>
    <w:rsid w:val="00C7667D"/>
    <w:rsid w:val="00C77DBB"/>
    <w:rsid w:val="00C806A5"/>
    <w:rsid w:val="00C823B3"/>
    <w:rsid w:val="00C83F32"/>
    <w:rsid w:val="00C844D5"/>
    <w:rsid w:val="00C849E9"/>
    <w:rsid w:val="00C85A26"/>
    <w:rsid w:val="00C85A77"/>
    <w:rsid w:val="00C861C4"/>
    <w:rsid w:val="00C86210"/>
    <w:rsid w:val="00C868CA"/>
    <w:rsid w:val="00C86BFE"/>
    <w:rsid w:val="00C87717"/>
    <w:rsid w:val="00C87B88"/>
    <w:rsid w:val="00C904ED"/>
    <w:rsid w:val="00C90611"/>
    <w:rsid w:val="00C91BA9"/>
    <w:rsid w:val="00C91CA9"/>
    <w:rsid w:val="00C922BF"/>
    <w:rsid w:val="00C9288F"/>
    <w:rsid w:val="00C936B7"/>
    <w:rsid w:val="00C93F2E"/>
    <w:rsid w:val="00C9522A"/>
    <w:rsid w:val="00C95D3E"/>
    <w:rsid w:val="00C96322"/>
    <w:rsid w:val="00C965C7"/>
    <w:rsid w:val="00C97311"/>
    <w:rsid w:val="00C97CB3"/>
    <w:rsid w:val="00CA07CD"/>
    <w:rsid w:val="00CA0C8C"/>
    <w:rsid w:val="00CA0FE4"/>
    <w:rsid w:val="00CA13BE"/>
    <w:rsid w:val="00CA1E1C"/>
    <w:rsid w:val="00CA2456"/>
    <w:rsid w:val="00CA29A8"/>
    <w:rsid w:val="00CA32B9"/>
    <w:rsid w:val="00CA34F6"/>
    <w:rsid w:val="00CA3635"/>
    <w:rsid w:val="00CA4442"/>
    <w:rsid w:val="00CA46D2"/>
    <w:rsid w:val="00CA4C1E"/>
    <w:rsid w:val="00CA5162"/>
    <w:rsid w:val="00CA5CFF"/>
    <w:rsid w:val="00CA62C3"/>
    <w:rsid w:val="00CA6363"/>
    <w:rsid w:val="00CA6A4A"/>
    <w:rsid w:val="00CA7040"/>
    <w:rsid w:val="00CA72A1"/>
    <w:rsid w:val="00CA7A8D"/>
    <w:rsid w:val="00CB00B8"/>
    <w:rsid w:val="00CB1C56"/>
    <w:rsid w:val="00CB20FA"/>
    <w:rsid w:val="00CB2408"/>
    <w:rsid w:val="00CB2D61"/>
    <w:rsid w:val="00CB3EE2"/>
    <w:rsid w:val="00CB47C6"/>
    <w:rsid w:val="00CB4910"/>
    <w:rsid w:val="00CB4CEA"/>
    <w:rsid w:val="00CB4F73"/>
    <w:rsid w:val="00CB53D7"/>
    <w:rsid w:val="00CB55A6"/>
    <w:rsid w:val="00CB67F2"/>
    <w:rsid w:val="00CB71A4"/>
    <w:rsid w:val="00CB74D5"/>
    <w:rsid w:val="00CB788F"/>
    <w:rsid w:val="00CB7890"/>
    <w:rsid w:val="00CB7BD3"/>
    <w:rsid w:val="00CC0A58"/>
    <w:rsid w:val="00CC18BE"/>
    <w:rsid w:val="00CC1AD8"/>
    <w:rsid w:val="00CC1FCB"/>
    <w:rsid w:val="00CC21D7"/>
    <w:rsid w:val="00CC272C"/>
    <w:rsid w:val="00CC4409"/>
    <w:rsid w:val="00CC5AEB"/>
    <w:rsid w:val="00CC69DA"/>
    <w:rsid w:val="00CC6FE8"/>
    <w:rsid w:val="00CC701A"/>
    <w:rsid w:val="00CC7149"/>
    <w:rsid w:val="00CC743D"/>
    <w:rsid w:val="00CD09A7"/>
    <w:rsid w:val="00CD118F"/>
    <w:rsid w:val="00CD156D"/>
    <w:rsid w:val="00CD183B"/>
    <w:rsid w:val="00CD2046"/>
    <w:rsid w:val="00CD2075"/>
    <w:rsid w:val="00CD23A5"/>
    <w:rsid w:val="00CD3D69"/>
    <w:rsid w:val="00CD5FF2"/>
    <w:rsid w:val="00CD624E"/>
    <w:rsid w:val="00CD744C"/>
    <w:rsid w:val="00CD775E"/>
    <w:rsid w:val="00CD7BDC"/>
    <w:rsid w:val="00CE0231"/>
    <w:rsid w:val="00CE154B"/>
    <w:rsid w:val="00CE158A"/>
    <w:rsid w:val="00CE200F"/>
    <w:rsid w:val="00CE376F"/>
    <w:rsid w:val="00CE38C0"/>
    <w:rsid w:val="00CE4162"/>
    <w:rsid w:val="00CE4253"/>
    <w:rsid w:val="00CE5260"/>
    <w:rsid w:val="00CE563F"/>
    <w:rsid w:val="00CE5E6F"/>
    <w:rsid w:val="00CE728D"/>
    <w:rsid w:val="00CE78BD"/>
    <w:rsid w:val="00CE78C8"/>
    <w:rsid w:val="00CF0153"/>
    <w:rsid w:val="00CF0714"/>
    <w:rsid w:val="00CF0DFE"/>
    <w:rsid w:val="00CF151D"/>
    <w:rsid w:val="00CF158F"/>
    <w:rsid w:val="00CF22D5"/>
    <w:rsid w:val="00CF2CA0"/>
    <w:rsid w:val="00CF2F67"/>
    <w:rsid w:val="00CF444C"/>
    <w:rsid w:val="00CF46C5"/>
    <w:rsid w:val="00CF5515"/>
    <w:rsid w:val="00CF63DE"/>
    <w:rsid w:val="00CF686C"/>
    <w:rsid w:val="00CF7268"/>
    <w:rsid w:val="00CF76B3"/>
    <w:rsid w:val="00CF7BA0"/>
    <w:rsid w:val="00D0044F"/>
    <w:rsid w:val="00D00496"/>
    <w:rsid w:val="00D005FA"/>
    <w:rsid w:val="00D0154F"/>
    <w:rsid w:val="00D0205F"/>
    <w:rsid w:val="00D02138"/>
    <w:rsid w:val="00D02499"/>
    <w:rsid w:val="00D0255C"/>
    <w:rsid w:val="00D02696"/>
    <w:rsid w:val="00D031A7"/>
    <w:rsid w:val="00D0350C"/>
    <w:rsid w:val="00D038F1"/>
    <w:rsid w:val="00D03DA4"/>
    <w:rsid w:val="00D05577"/>
    <w:rsid w:val="00D05F46"/>
    <w:rsid w:val="00D06C14"/>
    <w:rsid w:val="00D0796D"/>
    <w:rsid w:val="00D103DC"/>
    <w:rsid w:val="00D1081B"/>
    <w:rsid w:val="00D11BFB"/>
    <w:rsid w:val="00D11F6C"/>
    <w:rsid w:val="00D128C6"/>
    <w:rsid w:val="00D12B4F"/>
    <w:rsid w:val="00D14C53"/>
    <w:rsid w:val="00D14ECE"/>
    <w:rsid w:val="00D14F8C"/>
    <w:rsid w:val="00D15113"/>
    <w:rsid w:val="00D1604E"/>
    <w:rsid w:val="00D16925"/>
    <w:rsid w:val="00D20530"/>
    <w:rsid w:val="00D2083A"/>
    <w:rsid w:val="00D20A2C"/>
    <w:rsid w:val="00D21930"/>
    <w:rsid w:val="00D22004"/>
    <w:rsid w:val="00D22402"/>
    <w:rsid w:val="00D2246D"/>
    <w:rsid w:val="00D24589"/>
    <w:rsid w:val="00D250E1"/>
    <w:rsid w:val="00D2535A"/>
    <w:rsid w:val="00D25B7B"/>
    <w:rsid w:val="00D26B5F"/>
    <w:rsid w:val="00D27F41"/>
    <w:rsid w:val="00D30653"/>
    <w:rsid w:val="00D316DC"/>
    <w:rsid w:val="00D317EA"/>
    <w:rsid w:val="00D31BA8"/>
    <w:rsid w:val="00D31D51"/>
    <w:rsid w:val="00D320B7"/>
    <w:rsid w:val="00D320D8"/>
    <w:rsid w:val="00D32B73"/>
    <w:rsid w:val="00D33A22"/>
    <w:rsid w:val="00D33AFE"/>
    <w:rsid w:val="00D33D1A"/>
    <w:rsid w:val="00D34333"/>
    <w:rsid w:val="00D34EE3"/>
    <w:rsid w:val="00D35296"/>
    <w:rsid w:val="00D35800"/>
    <w:rsid w:val="00D35B72"/>
    <w:rsid w:val="00D35FA5"/>
    <w:rsid w:val="00D36401"/>
    <w:rsid w:val="00D36DAC"/>
    <w:rsid w:val="00D3717A"/>
    <w:rsid w:val="00D40110"/>
    <w:rsid w:val="00D4044A"/>
    <w:rsid w:val="00D40AF5"/>
    <w:rsid w:val="00D40FF9"/>
    <w:rsid w:val="00D416CD"/>
    <w:rsid w:val="00D423B7"/>
    <w:rsid w:val="00D429AF"/>
    <w:rsid w:val="00D45364"/>
    <w:rsid w:val="00D45765"/>
    <w:rsid w:val="00D459A8"/>
    <w:rsid w:val="00D45E13"/>
    <w:rsid w:val="00D462D2"/>
    <w:rsid w:val="00D467E4"/>
    <w:rsid w:val="00D470FC"/>
    <w:rsid w:val="00D4797E"/>
    <w:rsid w:val="00D47DC6"/>
    <w:rsid w:val="00D50D42"/>
    <w:rsid w:val="00D52105"/>
    <w:rsid w:val="00D53088"/>
    <w:rsid w:val="00D533B6"/>
    <w:rsid w:val="00D538B6"/>
    <w:rsid w:val="00D53BC5"/>
    <w:rsid w:val="00D53D85"/>
    <w:rsid w:val="00D54223"/>
    <w:rsid w:val="00D55980"/>
    <w:rsid w:val="00D5624C"/>
    <w:rsid w:val="00D56348"/>
    <w:rsid w:val="00D56550"/>
    <w:rsid w:val="00D56820"/>
    <w:rsid w:val="00D5747C"/>
    <w:rsid w:val="00D57F50"/>
    <w:rsid w:val="00D6192F"/>
    <w:rsid w:val="00D6195B"/>
    <w:rsid w:val="00D6204F"/>
    <w:rsid w:val="00D62836"/>
    <w:rsid w:val="00D62B4A"/>
    <w:rsid w:val="00D62D58"/>
    <w:rsid w:val="00D6342F"/>
    <w:rsid w:val="00D64A6E"/>
    <w:rsid w:val="00D6554A"/>
    <w:rsid w:val="00D65896"/>
    <w:rsid w:val="00D6667F"/>
    <w:rsid w:val="00D66C77"/>
    <w:rsid w:val="00D677FE"/>
    <w:rsid w:val="00D67AB1"/>
    <w:rsid w:val="00D701ED"/>
    <w:rsid w:val="00D7039C"/>
    <w:rsid w:val="00D70E93"/>
    <w:rsid w:val="00D719E7"/>
    <w:rsid w:val="00D72DEB"/>
    <w:rsid w:val="00D73759"/>
    <w:rsid w:val="00D73907"/>
    <w:rsid w:val="00D73D55"/>
    <w:rsid w:val="00D740B4"/>
    <w:rsid w:val="00D74F95"/>
    <w:rsid w:val="00D76229"/>
    <w:rsid w:val="00D7636F"/>
    <w:rsid w:val="00D76641"/>
    <w:rsid w:val="00D76644"/>
    <w:rsid w:val="00D772E2"/>
    <w:rsid w:val="00D774D5"/>
    <w:rsid w:val="00D80950"/>
    <w:rsid w:val="00D81049"/>
    <w:rsid w:val="00D81219"/>
    <w:rsid w:val="00D812A4"/>
    <w:rsid w:val="00D814C2"/>
    <w:rsid w:val="00D81630"/>
    <w:rsid w:val="00D81C9E"/>
    <w:rsid w:val="00D83350"/>
    <w:rsid w:val="00D836AA"/>
    <w:rsid w:val="00D84007"/>
    <w:rsid w:val="00D84707"/>
    <w:rsid w:val="00D84C97"/>
    <w:rsid w:val="00D866E9"/>
    <w:rsid w:val="00D86B88"/>
    <w:rsid w:val="00D86F40"/>
    <w:rsid w:val="00D86F88"/>
    <w:rsid w:val="00D877C0"/>
    <w:rsid w:val="00D87EED"/>
    <w:rsid w:val="00D90412"/>
    <w:rsid w:val="00D926C8"/>
    <w:rsid w:val="00D92E9D"/>
    <w:rsid w:val="00D937C6"/>
    <w:rsid w:val="00D93EBD"/>
    <w:rsid w:val="00D9409D"/>
    <w:rsid w:val="00D948E7"/>
    <w:rsid w:val="00D95101"/>
    <w:rsid w:val="00D9538E"/>
    <w:rsid w:val="00D964CD"/>
    <w:rsid w:val="00D96588"/>
    <w:rsid w:val="00D96607"/>
    <w:rsid w:val="00D96731"/>
    <w:rsid w:val="00D96A08"/>
    <w:rsid w:val="00D9706F"/>
    <w:rsid w:val="00D9714D"/>
    <w:rsid w:val="00D9762E"/>
    <w:rsid w:val="00D979B9"/>
    <w:rsid w:val="00DA0080"/>
    <w:rsid w:val="00DA0E93"/>
    <w:rsid w:val="00DA1A04"/>
    <w:rsid w:val="00DA291F"/>
    <w:rsid w:val="00DA3133"/>
    <w:rsid w:val="00DA3764"/>
    <w:rsid w:val="00DA4576"/>
    <w:rsid w:val="00DA4B90"/>
    <w:rsid w:val="00DA4D67"/>
    <w:rsid w:val="00DA52DA"/>
    <w:rsid w:val="00DA5DE9"/>
    <w:rsid w:val="00DA628B"/>
    <w:rsid w:val="00DA6425"/>
    <w:rsid w:val="00DA682C"/>
    <w:rsid w:val="00DA6A8E"/>
    <w:rsid w:val="00DA6C2D"/>
    <w:rsid w:val="00DA6C34"/>
    <w:rsid w:val="00DA7A81"/>
    <w:rsid w:val="00DA7F88"/>
    <w:rsid w:val="00DB0A2E"/>
    <w:rsid w:val="00DB25EA"/>
    <w:rsid w:val="00DB27E6"/>
    <w:rsid w:val="00DB2AA6"/>
    <w:rsid w:val="00DB2B82"/>
    <w:rsid w:val="00DB2C64"/>
    <w:rsid w:val="00DB37A2"/>
    <w:rsid w:val="00DB3A43"/>
    <w:rsid w:val="00DB3C29"/>
    <w:rsid w:val="00DB4AB8"/>
    <w:rsid w:val="00DB50A9"/>
    <w:rsid w:val="00DB527C"/>
    <w:rsid w:val="00DB53E6"/>
    <w:rsid w:val="00DB5A42"/>
    <w:rsid w:val="00DB6669"/>
    <w:rsid w:val="00DC0CD8"/>
    <w:rsid w:val="00DC0DBB"/>
    <w:rsid w:val="00DC1353"/>
    <w:rsid w:val="00DC15A5"/>
    <w:rsid w:val="00DC20BE"/>
    <w:rsid w:val="00DC20E4"/>
    <w:rsid w:val="00DC3444"/>
    <w:rsid w:val="00DC3D81"/>
    <w:rsid w:val="00DC40E8"/>
    <w:rsid w:val="00DC4A44"/>
    <w:rsid w:val="00DC4E39"/>
    <w:rsid w:val="00DC5B87"/>
    <w:rsid w:val="00DC6071"/>
    <w:rsid w:val="00DC6240"/>
    <w:rsid w:val="00DC62A5"/>
    <w:rsid w:val="00DC64A0"/>
    <w:rsid w:val="00DC6E92"/>
    <w:rsid w:val="00DC7934"/>
    <w:rsid w:val="00DC7BC9"/>
    <w:rsid w:val="00DD2548"/>
    <w:rsid w:val="00DD263D"/>
    <w:rsid w:val="00DD2D09"/>
    <w:rsid w:val="00DD4022"/>
    <w:rsid w:val="00DD428F"/>
    <w:rsid w:val="00DD4412"/>
    <w:rsid w:val="00DD56D9"/>
    <w:rsid w:val="00DD62A5"/>
    <w:rsid w:val="00DD6929"/>
    <w:rsid w:val="00DD732E"/>
    <w:rsid w:val="00DE0ABF"/>
    <w:rsid w:val="00DE12B5"/>
    <w:rsid w:val="00DE1569"/>
    <w:rsid w:val="00DE15D3"/>
    <w:rsid w:val="00DE2955"/>
    <w:rsid w:val="00DE2ADE"/>
    <w:rsid w:val="00DE2F9B"/>
    <w:rsid w:val="00DE3BDF"/>
    <w:rsid w:val="00DE45BA"/>
    <w:rsid w:val="00DE49A3"/>
    <w:rsid w:val="00DE57E2"/>
    <w:rsid w:val="00DE5A1B"/>
    <w:rsid w:val="00DE5BF5"/>
    <w:rsid w:val="00DE6F00"/>
    <w:rsid w:val="00DE72D4"/>
    <w:rsid w:val="00DE7555"/>
    <w:rsid w:val="00DE7A8B"/>
    <w:rsid w:val="00DF05AC"/>
    <w:rsid w:val="00DF0A8D"/>
    <w:rsid w:val="00DF0E0D"/>
    <w:rsid w:val="00DF0E98"/>
    <w:rsid w:val="00DF0F2F"/>
    <w:rsid w:val="00DF175E"/>
    <w:rsid w:val="00DF1815"/>
    <w:rsid w:val="00DF1CB2"/>
    <w:rsid w:val="00DF1F4D"/>
    <w:rsid w:val="00DF3122"/>
    <w:rsid w:val="00DF4942"/>
    <w:rsid w:val="00DF5A88"/>
    <w:rsid w:val="00DF67E8"/>
    <w:rsid w:val="00DF7430"/>
    <w:rsid w:val="00DF7A0A"/>
    <w:rsid w:val="00E00331"/>
    <w:rsid w:val="00E01C16"/>
    <w:rsid w:val="00E01EEC"/>
    <w:rsid w:val="00E0371B"/>
    <w:rsid w:val="00E03EA6"/>
    <w:rsid w:val="00E0419A"/>
    <w:rsid w:val="00E04761"/>
    <w:rsid w:val="00E04FCC"/>
    <w:rsid w:val="00E05F3F"/>
    <w:rsid w:val="00E065E9"/>
    <w:rsid w:val="00E07095"/>
    <w:rsid w:val="00E073B3"/>
    <w:rsid w:val="00E074E4"/>
    <w:rsid w:val="00E077AF"/>
    <w:rsid w:val="00E10B59"/>
    <w:rsid w:val="00E125D7"/>
    <w:rsid w:val="00E125D9"/>
    <w:rsid w:val="00E12A09"/>
    <w:rsid w:val="00E12F44"/>
    <w:rsid w:val="00E133B2"/>
    <w:rsid w:val="00E13E26"/>
    <w:rsid w:val="00E14082"/>
    <w:rsid w:val="00E148BE"/>
    <w:rsid w:val="00E149CA"/>
    <w:rsid w:val="00E1590B"/>
    <w:rsid w:val="00E15B94"/>
    <w:rsid w:val="00E15C66"/>
    <w:rsid w:val="00E15DA9"/>
    <w:rsid w:val="00E1601A"/>
    <w:rsid w:val="00E167A6"/>
    <w:rsid w:val="00E16AAD"/>
    <w:rsid w:val="00E17781"/>
    <w:rsid w:val="00E17A0F"/>
    <w:rsid w:val="00E20B2B"/>
    <w:rsid w:val="00E20FF5"/>
    <w:rsid w:val="00E21EF5"/>
    <w:rsid w:val="00E23A38"/>
    <w:rsid w:val="00E23AC0"/>
    <w:rsid w:val="00E2425E"/>
    <w:rsid w:val="00E24B68"/>
    <w:rsid w:val="00E25DB5"/>
    <w:rsid w:val="00E25EC6"/>
    <w:rsid w:val="00E26E57"/>
    <w:rsid w:val="00E2747B"/>
    <w:rsid w:val="00E30924"/>
    <w:rsid w:val="00E32474"/>
    <w:rsid w:val="00E32663"/>
    <w:rsid w:val="00E33039"/>
    <w:rsid w:val="00E337DC"/>
    <w:rsid w:val="00E33CFC"/>
    <w:rsid w:val="00E3417C"/>
    <w:rsid w:val="00E34AEE"/>
    <w:rsid w:val="00E352F2"/>
    <w:rsid w:val="00E35321"/>
    <w:rsid w:val="00E3557C"/>
    <w:rsid w:val="00E355A1"/>
    <w:rsid w:val="00E3664F"/>
    <w:rsid w:val="00E36736"/>
    <w:rsid w:val="00E374B9"/>
    <w:rsid w:val="00E37A80"/>
    <w:rsid w:val="00E4006E"/>
    <w:rsid w:val="00E402B7"/>
    <w:rsid w:val="00E404EB"/>
    <w:rsid w:val="00E404F1"/>
    <w:rsid w:val="00E410E0"/>
    <w:rsid w:val="00E4152C"/>
    <w:rsid w:val="00E421C7"/>
    <w:rsid w:val="00E42CD6"/>
    <w:rsid w:val="00E4383F"/>
    <w:rsid w:val="00E43CD3"/>
    <w:rsid w:val="00E43F48"/>
    <w:rsid w:val="00E446F4"/>
    <w:rsid w:val="00E45516"/>
    <w:rsid w:val="00E45C75"/>
    <w:rsid w:val="00E45D76"/>
    <w:rsid w:val="00E466BB"/>
    <w:rsid w:val="00E46ECB"/>
    <w:rsid w:val="00E47006"/>
    <w:rsid w:val="00E502E1"/>
    <w:rsid w:val="00E508AB"/>
    <w:rsid w:val="00E5260C"/>
    <w:rsid w:val="00E52921"/>
    <w:rsid w:val="00E5595D"/>
    <w:rsid w:val="00E55B1B"/>
    <w:rsid w:val="00E55DB5"/>
    <w:rsid w:val="00E57327"/>
    <w:rsid w:val="00E60268"/>
    <w:rsid w:val="00E60629"/>
    <w:rsid w:val="00E609D4"/>
    <w:rsid w:val="00E60D63"/>
    <w:rsid w:val="00E614E2"/>
    <w:rsid w:val="00E615B2"/>
    <w:rsid w:val="00E62918"/>
    <w:rsid w:val="00E63737"/>
    <w:rsid w:val="00E654BF"/>
    <w:rsid w:val="00E657FA"/>
    <w:rsid w:val="00E65DB8"/>
    <w:rsid w:val="00E67377"/>
    <w:rsid w:val="00E674EB"/>
    <w:rsid w:val="00E70C51"/>
    <w:rsid w:val="00E71D3B"/>
    <w:rsid w:val="00E71F48"/>
    <w:rsid w:val="00E725E1"/>
    <w:rsid w:val="00E728A4"/>
    <w:rsid w:val="00E73820"/>
    <w:rsid w:val="00E73A9B"/>
    <w:rsid w:val="00E73B37"/>
    <w:rsid w:val="00E740CE"/>
    <w:rsid w:val="00E74158"/>
    <w:rsid w:val="00E74AAE"/>
    <w:rsid w:val="00E74D26"/>
    <w:rsid w:val="00E7545C"/>
    <w:rsid w:val="00E76AEA"/>
    <w:rsid w:val="00E77F7E"/>
    <w:rsid w:val="00E8065F"/>
    <w:rsid w:val="00E80854"/>
    <w:rsid w:val="00E812EE"/>
    <w:rsid w:val="00E81502"/>
    <w:rsid w:val="00E82262"/>
    <w:rsid w:val="00E8243A"/>
    <w:rsid w:val="00E82B78"/>
    <w:rsid w:val="00E833C3"/>
    <w:rsid w:val="00E83416"/>
    <w:rsid w:val="00E834A6"/>
    <w:rsid w:val="00E83C04"/>
    <w:rsid w:val="00E842E6"/>
    <w:rsid w:val="00E84313"/>
    <w:rsid w:val="00E847A2"/>
    <w:rsid w:val="00E853C3"/>
    <w:rsid w:val="00E85C12"/>
    <w:rsid w:val="00E85C43"/>
    <w:rsid w:val="00E8676F"/>
    <w:rsid w:val="00E86F68"/>
    <w:rsid w:val="00E87D90"/>
    <w:rsid w:val="00E87FA1"/>
    <w:rsid w:val="00E913A0"/>
    <w:rsid w:val="00E9170D"/>
    <w:rsid w:val="00E921B7"/>
    <w:rsid w:val="00E93154"/>
    <w:rsid w:val="00E9362A"/>
    <w:rsid w:val="00E93A89"/>
    <w:rsid w:val="00E9405A"/>
    <w:rsid w:val="00E94434"/>
    <w:rsid w:val="00E94D77"/>
    <w:rsid w:val="00E954D9"/>
    <w:rsid w:val="00E96029"/>
    <w:rsid w:val="00E965E7"/>
    <w:rsid w:val="00E977E2"/>
    <w:rsid w:val="00EA04A9"/>
    <w:rsid w:val="00EA0A6F"/>
    <w:rsid w:val="00EA0CBE"/>
    <w:rsid w:val="00EA3283"/>
    <w:rsid w:val="00EA3795"/>
    <w:rsid w:val="00EA384A"/>
    <w:rsid w:val="00EA3B66"/>
    <w:rsid w:val="00EA3F8D"/>
    <w:rsid w:val="00EA59D4"/>
    <w:rsid w:val="00EA5DE2"/>
    <w:rsid w:val="00EA6435"/>
    <w:rsid w:val="00EA6FA0"/>
    <w:rsid w:val="00EA789F"/>
    <w:rsid w:val="00EA7B00"/>
    <w:rsid w:val="00EA7FE2"/>
    <w:rsid w:val="00EB0AAB"/>
    <w:rsid w:val="00EB0D9A"/>
    <w:rsid w:val="00EB1CAB"/>
    <w:rsid w:val="00EB22D0"/>
    <w:rsid w:val="00EB24B9"/>
    <w:rsid w:val="00EB3195"/>
    <w:rsid w:val="00EB35EF"/>
    <w:rsid w:val="00EB3FDA"/>
    <w:rsid w:val="00EB5E28"/>
    <w:rsid w:val="00EB78D5"/>
    <w:rsid w:val="00EC0A0E"/>
    <w:rsid w:val="00EC0C28"/>
    <w:rsid w:val="00EC150A"/>
    <w:rsid w:val="00EC1ABC"/>
    <w:rsid w:val="00EC202F"/>
    <w:rsid w:val="00EC2738"/>
    <w:rsid w:val="00EC2AEF"/>
    <w:rsid w:val="00EC3A86"/>
    <w:rsid w:val="00EC45F2"/>
    <w:rsid w:val="00EC46F4"/>
    <w:rsid w:val="00EC4CF5"/>
    <w:rsid w:val="00EC5BC4"/>
    <w:rsid w:val="00EC6332"/>
    <w:rsid w:val="00EC6A92"/>
    <w:rsid w:val="00EC729B"/>
    <w:rsid w:val="00EC72F3"/>
    <w:rsid w:val="00EC777B"/>
    <w:rsid w:val="00EC7CD2"/>
    <w:rsid w:val="00EC7D5C"/>
    <w:rsid w:val="00EC7F33"/>
    <w:rsid w:val="00ED0DE6"/>
    <w:rsid w:val="00ED1400"/>
    <w:rsid w:val="00ED1B58"/>
    <w:rsid w:val="00ED35A7"/>
    <w:rsid w:val="00ED3E77"/>
    <w:rsid w:val="00ED4071"/>
    <w:rsid w:val="00ED45F6"/>
    <w:rsid w:val="00ED4C0F"/>
    <w:rsid w:val="00ED4F8E"/>
    <w:rsid w:val="00ED58CF"/>
    <w:rsid w:val="00ED605F"/>
    <w:rsid w:val="00ED63D0"/>
    <w:rsid w:val="00ED6AFB"/>
    <w:rsid w:val="00ED72C9"/>
    <w:rsid w:val="00EE1298"/>
    <w:rsid w:val="00EE1936"/>
    <w:rsid w:val="00EE1F04"/>
    <w:rsid w:val="00EE21EA"/>
    <w:rsid w:val="00EE25AB"/>
    <w:rsid w:val="00EE3139"/>
    <w:rsid w:val="00EE3A7E"/>
    <w:rsid w:val="00EE3CF6"/>
    <w:rsid w:val="00EE4A23"/>
    <w:rsid w:val="00EE4CD9"/>
    <w:rsid w:val="00EE4EEF"/>
    <w:rsid w:val="00EE5574"/>
    <w:rsid w:val="00EE6030"/>
    <w:rsid w:val="00EE780F"/>
    <w:rsid w:val="00EE789E"/>
    <w:rsid w:val="00EE797F"/>
    <w:rsid w:val="00EE7A00"/>
    <w:rsid w:val="00EF00BD"/>
    <w:rsid w:val="00EF01A7"/>
    <w:rsid w:val="00EF0651"/>
    <w:rsid w:val="00EF0A58"/>
    <w:rsid w:val="00EF1E11"/>
    <w:rsid w:val="00EF22E0"/>
    <w:rsid w:val="00EF2AE4"/>
    <w:rsid w:val="00EF3748"/>
    <w:rsid w:val="00EF4340"/>
    <w:rsid w:val="00EF5DB3"/>
    <w:rsid w:val="00EF6380"/>
    <w:rsid w:val="00EF6CF1"/>
    <w:rsid w:val="00EF7045"/>
    <w:rsid w:val="00EF7060"/>
    <w:rsid w:val="00F006B2"/>
    <w:rsid w:val="00F01F68"/>
    <w:rsid w:val="00F030BF"/>
    <w:rsid w:val="00F032AD"/>
    <w:rsid w:val="00F03391"/>
    <w:rsid w:val="00F035B3"/>
    <w:rsid w:val="00F03E27"/>
    <w:rsid w:val="00F03FE4"/>
    <w:rsid w:val="00F045E8"/>
    <w:rsid w:val="00F05669"/>
    <w:rsid w:val="00F06212"/>
    <w:rsid w:val="00F07324"/>
    <w:rsid w:val="00F078B0"/>
    <w:rsid w:val="00F0791D"/>
    <w:rsid w:val="00F079C0"/>
    <w:rsid w:val="00F07A4D"/>
    <w:rsid w:val="00F07BA7"/>
    <w:rsid w:val="00F07D10"/>
    <w:rsid w:val="00F07D55"/>
    <w:rsid w:val="00F07E39"/>
    <w:rsid w:val="00F10019"/>
    <w:rsid w:val="00F104C5"/>
    <w:rsid w:val="00F1083F"/>
    <w:rsid w:val="00F121FF"/>
    <w:rsid w:val="00F128E1"/>
    <w:rsid w:val="00F12ADE"/>
    <w:rsid w:val="00F12BFA"/>
    <w:rsid w:val="00F12D87"/>
    <w:rsid w:val="00F136C4"/>
    <w:rsid w:val="00F13EBA"/>
    <w:rsid w:val="00F13F52"/>
    <w:rsid w:val="00F1406E"/>
    <w:rsid w:val="00F14253"/>
    <w:rsid w:val="00F147F6"/>
    <w:rsid w:val="00F14B6C"/>
    <w:rsid w:val="00F14E81"/>
    <w:rsid w:val="00F1551A"/>
    <w:rsid w:val="00F1560A"/>
    <w:rsid w:val="00F157D1"/>
    <w:rsid w:val="00F15F39"/>
    <w:rsid w:val="00F16947"/>
    <w:rsid w:val="00F16D9D"/>
    <w:rsid w:val="00F202EC"/>
    <w:rsid w:val="00F2035F"/>
    <w:rsid w:val="00F208AF"/>
    <w:rsid w:val="00F20B25"/>
    <w:rsid w:val="00F20FF8"/>
    <w:rsid w:val="00F236DB"/>
    <w:rsid w:val="00F23B8A"/>
    <w:rsid w:val="00F243B8"/>
    <w:rsid w:val="00F2460D"/>
    <w:rsid w:val="00F24637"/>
    <w:rsid w:val="00F24A0C"/>
    <w:rsid w:val="00F260AF"/>
    <w:rsid w:val="00F26123"/>
    <w:rsid w:val="00F264F4"/>
    <w:rsid w:val="00F268FD"/>
    <w:rsid w:val="00F26D4E"/>
    <w:rsid w:val="00F26EF8"/>
    <w:rsid w:val="00F272B5"/>
    <w:rsid w:val="00F274F8"/>
    <w:rsid w:val="00F279E5"/>
    <w:rsid w:val="00F3005E"/>
    <w:rsid w:val="00F318EE"/>
    <w:rsid w:val="00F31AE6"/>
    <w:rsid w:val="00F31DEB"/>
    <w:rsid w:val="00F33371"/>
    <w:rsid w:val="00F33A5A"/>
    <w:rsid w:val="00F33B25"/>
    <w:rsid w:val="00F343EB"/>
    <w:rsid w:val="00F3494A"/>
    <w:rsid w:val="00F3589A"/>
    <w:rsid w:val="00F35F18"/>
    <w:rsid w:val="00F3665D"/>
    <w:rsid w:val="00F3794A"/>
    <w:rsid w:val="00F40401"/>
    <w:rsid w:val="00F40DE8"/>
    <w:rsid w:val="00F40EB2"/>
    <w:rsid w:val="00F41DD4"/>
    <w:rsid w:val="00F424A5"/>
    <w:rsid w:val="00F43982"/>
    <w:rsid w:val="00F43EB3"/>
    <w:rsid w:val="00F448C7"/>
    <w:rsid w:val="00F44D49"/>
    <w:rsid w:val="00F451C5"/>
    <w:rsid w:val="00F451C6"/>
    <w:rsid w:val="00F45B0E"/>
    <w:rsid w:val="00F46157"/>
    <w:rsid w:val="00F47435"/>
    <w:rsid w:val="00F50ECC"/>
    <w:rsid w:val="00F5146C"/>
    <w:rsid w:val="00F51F94"/>
    <w:rsid w:val="00F524B9"/>
    <w:rsid w:val="00F530A4"/>
    <w:rsid w:val="00F53616"/>
    <w:rsid w:val="00F557DB"/>
    <w:rsid w:val="00F5588E"/>
    <w:rsid w:val="00F56BA8"/>
    <w:rsid w:val="00F572F8"/>
    <w:rsid w:val="00F57AFA"/>
    <w:rsid w:val="00F57F72"/>
    <w:rsid w:val="00F608AD"/>
    <w:rsid w:val="00F6115B"/>
    <w:rsid w:val="00F6128A"/>
    <w:rsid w:val="00F61F84"/>
    <w:rsid w:val="00F6214F"/>
    <w:rsid w:val="00F62211"/>
    <w:rsid w:val="00F625BE"/>
    <w:rsid w:val="00F62BB8"/>
    <w:rsid w:val="00F63233"/>
    <w:rsid w:val="00F63687"/>
    <w:rsid w:val="00F638AE"/>
    <w:rsid w:val="00F63DD4"/>
    <w:rsid w:val="00F64352"/>
    <w:rsid w:val="00F64382"/>
    <w:rsid w:val="00F64D5A"/>
    <w:rsid w:val="00F657D3"/>
    <w:rsid w:val="00F71344"/>
    <w:rsid w:val="00F71867"/>
    <w:rsid w:val="00F71C71"/>
    <w:rsid w:val="00F74762"/>
    <w:rsid w:val="00F74943"/>
    <w:rsid w:val="00F74B7A"/>
    <w:rsid w:val="00F74E8A"/>
    <w:rsid w:val="00F74F05"/>
    <w:rsid w:val="00F75386"/>
    <w:rsid w:val="00F76F6E"/>
    <w:rsid w:val="00F76FB1"/>
    <w:rsid w:val="00F774A9"/>
    <w:rsid w:val="00F7778F"/>
    <w:rsid w:val="00F77816"/>
    <w:rsid w:val="00F779BD"/>
    <w:rsid w:val="00F80A64"/>
    <w:rsid w:val="00F80AD3"/>
    <w:rsid w:val="00F8136C"/>
    <w:rsid w:val="00F827EB"/>
    <w:rsid w:val="00F82ADD"/>
    <w:rsid w:val="00F82CCD"/>
    <w:rsid w:val="00F83042"/>
    <w:rsid w:val="00F833A2"/>
    <w:rsid w:val="00F833E5"/>
    <w:rsid w:val="00F84B93"/>
    <w:rsid w:val="00F8513D"/>
    <w:rsid w:val="00F861FA"/>
    <w:rsid w:val="00F86981"/>
    <w:rsid w:val="00F869C2"/>
    <w:rsid w:val="00F86A37"/>
    <w:rsid w:val="00F86B3F"/>
    <w:rsid w:val="00F86B91"/>
    <w:rsid w:val="00F875B1"/>
    <w:rsid w:val="00F8779B"/>
    <w:rsid w:val="00F878E1"/>
    <w:rsid w:val="00F90995"/>
    <w:rsid w:val="00F90AFF"/>
    <w:rsid w:val="00F90D3B"/>
    <w:rsid w:val="00F90DA3"/>
    <w:rsid w:val="00F9102C"/>
    <w:rsid w:val="00F91176"/>
    <w:rsid w:val="00F91815"/>
    <w:rsid w:val="00F9185F"/>
    <w:rsid w:val="00F91C40"/>
    <w:rsid w:val="00F92629"/>
    <w:rsid w:val="00F927B7"/>
    <w:rsid w:val="00F93D5D"/>
    <w:rsid w:val="00F94334"/>
    <w:rsid w:val="00F948E3"/>
    <w:rsid w:val="00F94FD3"/>
    <w:rsid w:val="00F95D93"/>
    <w:rsid w:val="00F96047"/>
    <w:rsid w:val="00F976A5"/>
    <w:rsid w:val="00FA18C1"/>
    <w:rsid w:val="00FA1F1A"/>
    <w:rsid w:val="00FA3B3A"/>
    <w:rsid w:val="00FA3D44"/>
    <w:rsid w:val="00FA3FD5"/>
    <w:rsid w:val="00FA5A8B"/>
    <w:rsid w:val="00FA5B4A"/>
    <w:rsid w:val="00FA6597"/>
    <w:rsid w:val="00FA7078"/>
    <w:rsid w:val="00FA7B8E"/>
    <w:rsid w:val="00FA7EBE"/>
    <w:rsid w:val="00FB0B50"/>
    <w:rsid w:val="00FB0EE8"/>
    <w:rsid w:val="00FB1D2C"/>
    <w:rsid w:val="00FB216C"/>
    <w:rsid w:val="00FB27E7"/>
    <w:rsid w:val="00FB2A44"/>
    <w:rsid w:val="00FB2A60"/>
    <w:rsid w:val="00FB4C37"/>
    <w:rsid w:val="00FB635A"/>
    <w:rsid w:val="00FB6641"/>
    <w:rsid w:val="00FB6992"/>
    <w:rsid w:val="00FB6A68"/>
    <w:rsid w:val="00FB7063"/>
    <w:rsid w:val="00FB7C31"/>
    <w:rsid w:val="00FC021D"/>
    <w:rsid w:val="00FC1163"/>
    <w:rsid w:val="00FC15B3"/>
    <w:rsid w:val="00FC2A49"/>
    <w:rsid w:val="00FC3EFA"/>
    <w:rsid w:val="00FC4A23"/>
    <w:rsid w:val="00FC531D"/>
    <w:rsid w:val="00FC541A"/>
    <w:rsid w:val="00FC6906"/>
    <w:rsid w:val="00FC7674"/>
    <w:rsid w:val="00FD05C2"/>
    <w:rsid w:val="00FD108C"/>
    <w:rsid w:val="00FD13FB"/>
    <w:rsid w:val="00FD1626"/>
    <w:rsid w:val="00FD19F6"/>
    <w:rsid w:val="00FD1A8B"/>
    <w:rsid w:val="00FD2179"/>
    <w:rsid w:val="00FD21C3"/>
    <w:rsid w:val="00FD26B9"/>
    <w:rsid w:val="00FD2BCD"/>
    <w:rsid w:val="00FD2EF1"/>
    <w:rsid w:val="00FD4AB1"/>
    <w:rsid w:val="00FD55A0"/>
    <w:rsid w:val="00FD5A8E"/>
    <w:rsid w:val="00FD5CA8"/>
    <w:rsid w:val="00FD60BD"/>
    <w:rsid w:val="00FD612D"/>
    <w:rsid w:val="00FD6461"/>
    <w:rsid w:val="00FD6616"/>
    <w:rsid w:val="00FD70F4"/>
    <w:rsid w:val="00FD7333"/>
    <w:rsid w:val="00FD7678"/>
    <w:rsid w:val="00FD7CE5"/>
    <w:rsid w:val="00FE1109"/>
    <w:rsid w:val="00FE11F2"/>
    <w:rsid w:val="00FE2E82"/>
    <w:rsid w:val="00FE3A54"/>
    <w:rsid w:val="00FE478D"/>
    <w:rsid w:val="00FE4818"/>
    <w:rsid w:val="00FE4BF3"/>
    <w:rsid w:val="00FE5B7E"/>
    <w:rsid w:val="00FE68B0"/>
    <w:rsid w:val="00FE722A"/>
    <w:rsid w:val="00FE763C"/>
    <w:rsid w:val="00FE7B41"/>
    <w:rsid w:val="00FE7BF2"/>
    <w:rsid w:val="00FF0AD2"/>
    <w:rsid w:val="00FF152D"/>
    <w:rsid w:val="00FF17A4"/>
    <w:rsid w:val="00FF1E56"/>
    <w:rsid w:val="00FF274C"/>
    <w:rsid w:val="00FF2AAB"/>
    <w:rsid w:val="00FF34DC"/>
    <w:rsid w:val="00FF3739"/>
    <w:rsid w:val="00FF3AE5"/>
    <w:rsid w:val="00FF4A53"/>
    <w:rsid w:val="00FF57E7"/>
    <w:rsid w:val="00FF5C0F"/>
    <w:rsid w:val="00FF6248"/>
    <w:rsid w:val="00FF74BF"/>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618262"/>
  <w15:docId w15:val="{D4941EE9-601B-489E-8164-7747C215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lsdException w:name="heading 8" w:semiHidden="1" w:uiPriority="19" w:unhideWhenUsed="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4BB"/>
    <w:pPr>
      <w:spacing w:after="120"/>
    </w:pPr>
    <w:rPr>
      <w:rFonts w:ascii="Segoe UI" w:hAnsi="Segoe UI"/>
      <w:sz w:val="19"/>
      <w:lang w:val="en-AU"/>
    </w:rPr>
  </w:style>
  <w:style w:type="paragraph" w:styleId="Heading1">
    <w:name w:val="heading 1"/>
    <w:basedOn w:val="Normal"/>
    <w:next w:val="Normal"/>
    <w:link w:val="Heading1Char"/>
    <w:uiPriority w:val="19"/>
    <w:qFormat/>
    <w:rsid w:val="00BC1E74"/>
    <w:pPr>
      <w:keepNext/>
      <w:pageBreakBefore/>
      <w:numPr>
        <w:numId w:val="16"/>
      </w:numPr>
      <w:spacing w:after="600" w:line="560" w:lineRule="exact"/>
      <w:outlineLvl w:val="0"/>
    </w:pPr>
    <w:rPr>
      <w:rFonts w:eastAsia="Times New Roman" w:cs="Times New Roman"/>
      <w:b/>
      <w:color w:val="00264D"/>
      <w:sz w:val="36"/>
      <w:szCs w:val="19"/>
      <w:lang w:eastAsia="en-AU"/>
    </w:rPr>
  </w:style>
  <w:style w:type="paragraph" w:styleId="Heading2">
    <w:name w:val="heading 2"/>
    <w:basedOn w:val="Normal"/>
    <w:next w:val="Normal"/>
    <w:link w:val="Heading2Char"/>
    <w:uiPriority w:val="19"/>
    <w:qFormat/>
    <w:rsid w:val="002A38A7"/>
    <w:pPr>
      <w:keepNext/>
      <w:numPr>
        <w:ilvl w:val="1"/>
        <w:numId w:val="16"/>
      </w:numPr>
      <w:spacing w:before="480" w:after="180" w:line="380" w:lineRule="exact"/>
      <w:outlineLvl w:val="1"/>
    </w:pPr>
    <w:rPr>
      <w:rFonts w:ascii="Segoe UI Semibold" w:eastAsia="Times New Roman" w:hAnsi="Segoe UI Semibold" w:cs="Times New Roman"/>
      <w:color w:val="00264D" w:themeColor="background2"/>
      <w:sz w:val="30"/>
      <w:szCs w:val="19"/>
      <w:lang w:eastAsia="en-AU"/>
    </w:rPr>
  </w:style>
  <w:style w:type="paragraph" w:styleId="Heading3">
    <w:name w:val="heading 3"/>
    <w:basedOn w:val="Normal"/>
    <w:next w:val="Normal"/>
    <w:link w:val="Heading3Char"/>
    <w:uiPriority w:val="19"/>
    <w:qFormat/>
    <w:rsid w:val="00BC1E74"/>
    <w:pPr>
      <w:keepNext/>
      <w:numPr>
        <w:ilvl w:val="2"/>
        <w:numId w:val="16"/>
      </w:numPr>
      <w:spacing w:before="480" w:after="60"/>
      <w:outlineLvl w:val="2"/>
    </w:pPr>
    <w:rPr>
      <w:rFonts w:ascii="Segoe UI Semibold" w:eastAsia="Times New Roman" w:hAnsi="Segoe UI Semibold" w:cs="Times New Roman"/>
      <w:color w:val="00264D"/>
      <w:sz w:val="26"/>
      <w:szCs w:val="19"/>
      <w:lang w:eastAsia="en-AU"/>
    </w:rPr>
  </w:style>
  <w:style w:type="paragraph" w:styleId="Heading4">
    <w:name w:val="heading 4"/>
    <w:basedOn w:val="Normal"/>
    <w:next w:val="Normal"/>
    <w:link w:val="Heading4Char"/>
    <w:uiPriority w:val="19"/>
    <w:qFormat/>
    <w:rsid w:val="00BC1E74"/>
    <w:pPr>
      <w:keepNext/>
      <w:spacing w:before="240" w:after="60"/>
      <w:outlineLvl w:val="3"/>
    </w:pPr>
    <w:rPr>
      <w:rFonts w:ascii="Segoe UI Semibold" w:eastAsia="Times New Roman" w:hAnsi="Segoe UI Semibold" w:cs="Times New Roman"/>
      <w:color w:val="00264D" w:themeColor="background2"/>
      <w:sz w:val="22"/>
      <w:szCs w:val="19"/>
      <w:lang w:eastAsia="en-AU"/>
    </w:rPr>
  </w:style>
  <w:style w:type="paragraph" w:styleId="Heading5">
    <w:name w:val="heading 5"/>
    <w:basedOn w:val="Normal"/>
    <w:next w:val="Normal"/>
    <w:link w:val="Heading5Char"/>
    <w:uiPriority w:val="19"/>
    <w:qFormat/>
    <w:rsid w:val="007D54BB"/>
    <w:pPr>
      <w:keepNext/>
      <w:numPr>
        <w:ilvl w:val="4"/>
        <w:numId w:val="16"/>
      </w:numPr>
      <w:spacing w:before="240"/>
      <w:outlineLvl w:val="4"/>
    </w:pPr>
    <w:rPr>
      <w:rFonts w:eastAsia="Times New Roman" w:cs="Times New Roman"/>
      <w:b/>
      <w:color w:val="000000" w:themeColor="text1"/>
      <w:sz w:val="20"/>
      <w:szCs w:val="24"/>
      <w:lang w:eastAsia="en-AU"/>
    </w:rPr>
  </w:style>
  <w:style w:type="paragraph" w:styleId="Heading6">
    <w:name w:val="heading 6"/>
    <w:basedOn w:val="Normal"/>
    <w:next w:val="Normal"/>
    <w:link w:val="Heading6Char"/>
    <w:uiPriority w:val="19"/>
    <w:qFormat/>
    <w:rsid w:val="007D54BB"/>
    <w:pPr>
      <w:keepNext/>
      <w:keepLines/>
      <w:numPr>
        <w:ilvl w:val="5"/>
        <w:numId w:val="16"/>
      </w:numPr>
      <w:spacing w:before="200" w:after="60"/>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7D54BB"/>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19"/>
    <w:semiHidden/>
    <w:rsid w:val="007D54BB"/>
    <w:pPr>
      <w:keepNext/>
      <w:keepLines/>
      <w:spacing w:before="200" w:after="0"/>
      <w:outlineLvl w:val="7"/>
    </w:pPr>
    <w:rPr>
      <w:rFonts w:eastAsiaTheme="majorEastAsia"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pPr>
      <w:spacing w:after="0" w:line="240" w:lineRule="auto"/>
    </w:pPr>
    <w:rPr>
      <w:rFonts w:eastAsia="Times New Roman"/>
      <w:lang w:val="en-AU" w:eastAsia="en-AU"/>
    </w:rPr>
    <w:tblPr>
      <w:tblStyleRowBandSize w:val="1"/>
      <w:jc w:val="center"/>
      <w:tblBorders>
        <w:insideH w:val="single" w:sz="4" w:space="0" w:color="FF888B" w:themeColor="accent1" w:themeTint="99"/>
        <w:insideV w:val="single" w:sz="4" w:space="0" w:color="FF888B" w:themeColor="accent1" w:themeTint="99"/>
      </w:tblBorders>
    </w:tblPr>
    <w:trPr>
      <w:cantSplit/>
      <w:jc w:val="center"/>
    </w:trPr>
    <w:tcPr>
      <w:tcMar>
        <w:top w:w="57" w:type="dxa"/>
        <w:left w:w="57" w:type="dxa"/>
        <w:bottom w:w="57" w:type="dxa"/>
        <w:right w:w="57" w:type="dxa"/>
      </w:tcMar>
      <w:vAlign w:val="center"/>
    </w:tcPr>
    <w:tblStylePr w:type="firstRow">
      <w:pPr>
        <w:keepNext/>
        <w:wordWrap/>
      </w:pPr>
      <w:rPr>
        <w:b w:val="0"/>
        <w:color w:val="FFFFFF" w:themeColor="background1"/>
      </w:rPr>
      <w:tblPr/>
      <w:trPr>
        <w:tblHeader/>
      </w:trPr>
      <w:tcPr>
        <w:shd w:val="clear" w:color="auto" w:fill="FF3A40" w:themeFill="accent1"/>
      </w:tcPr>
    </w:tblStylePr>
    <w:tblStylePr w:type="lastRow">
      <w:tblPr/>
      <w:tcPr>
        <w:tcBorders>
          <w:top w:val="double" w:sz="4" w:space="0" w:color="FF3A40" w:themeColor="accent1"/>
        </w:tcBorders>
      </w:tcPr>
    </w:tblStylePr>
    <w:tblStylePr w:type="firstCol">
      <w:rPr>
        <w:b w:val="0"/>
        <w:color w:val="FFFFFF" w:themeColor="background1"/>
      </w:rPr>
      <w:tblPr/>
      <w:tcPr>
        <w:shd w:val="clear" w:color="auto" w:fill="FF3A40" w:themeFill="accent1"/>
      </w:tcPr>
    </w:tblStylePr>
    <w:tblStylePr w:type="lastCol">
      <w:tblPr/>
      <w:tcPr>
        <w:tcBorders>
          <w:left w:val="double" w:sz="4" w:space="0" w:color="FF3A40" w:themeColor="accent1"/>
        </w:tcBorders>
      </w:tcPr>
    </w:tblStylePr>
  </w:style>
  <w:style w:type="character" w:customStyle="1" w:styleId="Heading1Char">
    <w:name w:val="Heading 1 Char"/>
    <w:basedOn w:val="DefaultParagraphFont"/>
    <w:link w:val="Heading1"/>
    <w:uiPriority w:val="19"/>
    <w:rsid w:val="00BC1E74"/>
    <w:rPr>
      <w:rFonts w:ascii="Segoe UI" w:eastAsia="Times New Roman" w:hAnsi="Segoe UI" w:cs="Times New Roman"/>
      <w:b/>
      <w:color w:val="00264D"/>
      <w:sz w:val="36"/>
      <w:szCs w:val="19"/>
      <w:lang w:val="en-AU" w:eastAsia="en-AU"/>
    </w:rPr>
  </w:style>
  <w:style w:type="character" w:customStyle="1" w:styleId="Heading2Char">
    <w:name w:val="Heading 2 Char"/>
    <w:basedOn w:val="DefaultParagraphFont"/>
    <w:link w:val="Heading2"/>
    <w:uiPriority w:val="19"/>
    <w:rsid w:val="002A38A7"/>
    <w:rPr>
      <w:rFonts w:ascii="Segoe UI Semibold" w:eastAsia="Times New Roman" w:hAnsi="Segoe UI Semibold" w:cs="Times New Roman"/>
      <w:color w:val="00264D" w:themeColor="background2"/>
      <w:sz w:val="30"/>
      <w:szCs w:val="19"/>
      <w:lang w:val="en-AU" w:eastAsia="en-AU"/>
    </w:rPr>
  </w:style>
  <w:style w:type="character" w:customStyle="1" w:styleId="Heading3Char">
    <w:name w:val="Heading 3 Char"/>
    <w:basedOn w:val="DefaultParagraphFont"/>
    <w:link w:val="Heading3"/>
    <w:uiPriority w:val="19"/>
    <w:rsid w:val="00BC1E74"/>
    <w:rPr>
      <w:rFonts w:ascii="Segoe UI Semibold" w:eastAsia="Times New Roman" w:hAnsi="Segoe UI Semibold" w:cs="Times New Roman"/>
      <w:color w:val="00264D"/>
      <w:sz w:val="26"/>
      <w:szCs w:val="19"/>
      <w:lang w:val="en-AU" w:eastAsia="en-AU"/>
    </w:rPr>
  </w:style>
  <w:style w:type="character" w:customStyle="1" w:styleId="Heading4Char">
    <w:name w:val="Heading 4 Char"/>
    <w:basedOn w:val="DefaultParagraphFont"/>
    <w:link w:val="Heading4"/>
    <w:uiPriority w:val="19"/>
    <w:rsid w:val="00BC1E74"/>
    <w:rPr>
      <w:rFonts w:ascii="Segoe UI Semibold" w:eastAsia="Times New Roman" w:hAnsi="Segoe UI Semibold" w:cs="Times New Roman"/>
      <w:color w:val="00264D" w:themeColor="background2"/>
      <w:szCs w:val="19"/>
      <w:lang w:val="en-AU" w:eastAsia="en-AU"/>
    </w:rPr>
  </w:style>
  <w:style w:type="character" w:customStyle="1" w:styleId="Heading5Char">
    <w:name w:val="Heading 5 Char"/>
    <w:basedOn w:val="DefaultParagraphFont"/>
    <w:link w:val="Heading5"/>
    <w:uiPriority w:val="19"/>
    <w:rsid w:val="007D54BB"/>
    <w:rPr>
      <w:rFonts w:ascii="Segoe UI" w:eastAsia="Times New Roman" w:hAnsi="Segoe UI" w:cs="Times New Roman"/>
      <w:b/>
      <w:color w:val="000000" w:themeColor="text1"/>
      <w:sz w:val="20"/>
      <w:szCs w:val="24"/>
      <w:lang w:val="en-AU" w:eastAsia="en-AU"/>
    </w:rPr>
  </w:style>
  <w:style w:type="character" w:customStyle="1" w:styleId="Heading6Char">
    <w:name w:val="Heading 6 Char"/>
    <w:basedOn w:val="DefaultParagraphFont"/>
    <w:link w:val="Heading6"/>
    <w:uiPriority w:val="19"/>
    <w:rsid w:val="007D54BB"/>
    <w:rPr>
      <w:rFonts w:ascii="Segoe UI" w:eastAsiaTheme="majorEastAsia" w:hAnsi="Segoe UI" w:cstheme="majorBidi"/>
      <w:b/>
      <w:i/>
      <w:iCs/>
      <w:color w:val="000000" w:themeColor="text1"/>
      <w:sz w:val="19"/>
      <w:szCs w:val="19"/>
      <w:lang w:val="en-AU" w:eastAsia="en-AU"/>
    </w:rPr>
  </w:style>
  <w:style w:type="paragraph" w:customStyle="1" w:styleId="Bullet">
    <w:name w:val="Bullet"/>
    <w:basedOn w:val="Normal"/>
    <w:link w:val="BulletChar"/>
    <w:uiPriority w:val="2"/>
    <w:qFormat/>
    <w:rsid w:val="007D54BB"/>
    <w:pPr>
      <w:numPr>
        <w:numId w:val="6"/>
      </w:numPr>
      <w:suppressAutoHyphens/>
    </w:pPr>
    <w:rPr>
      <w:rFonts w:eastAsia="Times New Roman" w:cs="Times New Roman"/>
      <w:szCs w:val="19"/>
      <w:lang w:eastAsia="en-AU"/>
    </w:rPr>
  </w:style>
  <w:style w:type="paragraph" w:customStyle="1" w:styleId="TableNheader">
    <w:name w:val="Table N header"/>
    <w:basedOn w:val="Normal"/>
    <w:uiPriority w:val="2"/>
    <w:qFormat/>
    <w:rsid w:val="007D54BB"/>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link w:val="TableNTextChar"/>
    <w:uiPriority w:val="2"/>
    <w:qFormat/>
    <w:rsid w:val="007D54BB"/>
    <w:pPr>
      <w:spacing w:before="60" w:after="60"/>
    </w:pPr>
    <w:rPr>
      <w:sz w:val="17"/>
    </w:rPr>
  </w:style>
  <w:style w:type="paragraph" w:customStyle="1" w:styleId="BioHeading">
    <w:name w:val="Bio Heading"/>
    <w:basedOn w:val="TableNText"/>
    <w:uiPriority w:val="97"/>
    <w:qFormat/>
    <w:rsid w:val="007D54BB"/>
    <w:pPr>
      <w:spacing w:before="240" w:after="120" w:line="240" w:lineRule="auto"/>
    </w:pPr>
    <w:rPr>
      <w:color w:val="00264D" w:themeColor="background2"/>
      <w:sz w:val="19"/>
      <w:szCs w:val="19"/>
    </w:rPr>
  </w:style>
  <w:style w:type="paragraph" w:styleId="Footer">
    <w:name w:val="footer"/>
    <w:aliases w:val="Foot note"/>
    <w:basedOn w:val="Normal"/>
    <w:link w:val="FooterChar"/>
    <w:uiPriority w:val="89"/>
    <w:unhideWhenUsed/>
    <w:rsid w:val="007D54BB"/>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89"/>
    <w:rsid w:val="007D54BB"/>
    <w:rPr>
      <w:rFonts w:ascii="Segoe UI" w:hAnsi="Segoe UI"/>
      <w:sz w:val="15"/>
      <w:lang w:val="en-AU"/>
    </w:rPr>
  </w:style>
  <w:style w:type="paragraph" w:styleId="Caption">
    <w:name w:val="caption"/>
    <w:basedOn w:val="Normal"/>
    <w:next w:val="Normal"/>
    <w:uiPriority w:val="35"/>
    <w:qFormat/>
    <w:rsid w:val="007D54BB"/>
    <w:pPr>
      <w:keepNext/>
      <w:spacing w:before="240"/>
    </w:pPr>
    <w:rPr>
      <w:rFonts w:ascii="Segoe UI Semibold" w:hAnsi="Segoe UI Semibold"/>
      <w:bCs/>
      <w:color w:val="00264D" w:themeColor="background2"/>
      <w:szCs w:val="18"/>
    </w:rPr>
  </w:style>
  <w:style w:type="paragraph" w:customStyle="1" w:styleId="TableNBullet">
    <w:name w:val="Table N Bullet"/>
    <w:basedOn w:val="Bullet"/>
    <w:link w:val="TableNBulletChar"/>
    <w:uiPriority w:val="2"/>
    <w:qFormat/>
    <w:rsid w:val="007D54BB"/>
    <w:pPr>
      <w:numPr>
        <w:numId w:val="13"/>
      </w:numPr>
      <w:spacing w:before="60" w:after="60"/>
    </w:pPr>
    <w:rPr>
      <w:sz w:val="17"/>
    </w:rPr>
  </w:style>
  <w:style w:type="paragraph" w:customStyle="1" w:styleId="TableNListnumbered0">
    <w:name w:val="Table N List (numbered)"/>
    <w:basedOn w:val="TableNBullet"/>
    <w:uiPriority w:val="2"/>
    <w:qFormat/>
    <w:rsid w:val="007D54BB"/>
    <w:pPr>
      <w:numPr>
        <w:numId w:val="14"/>
      </w:numPr>
    </w:pPr>
  </w:style>
  <w:style w:type="paragraph" w:customStyle="1" w:styleId="xAppendixLevel1">
    <w:name w:val="xAppendix Level 1"/>
    <w:basedOn w:val="Heading1"/>
    <w:next w:val="Normal"/>
    <w:uiPriority w:val="98"/>
    <w:qFormat/>
    <w:rsid w:val="00016191"/>
    <w:pPr>
      <w:numPr>
        <w:numId w:val="15"/>
      </w:numPr>
      <w:ind w:left="357" w:hanging="357"/>
    </w:pPr>
    <w:rPr>
      <w:bCs/>
      <w:sz w:val="44"/>
    </w:rPr>
  </w:style>
  <w:style w:type="paragraph" w:customStyle="1" w:styleId="xAppendixLevel2">
    <w:name w:val="xAppendix Level 2"/>
    <w:basedOn w:val="Heading2"/>
    <w:next w:val="Normal"/>
    <w:uiPriority w:val="98"/>
    <w:qFormat/>
    <w:rsid w:val="007D54BB"/>
    <w:pPr>
      <w:numPr>
        <w:numId w:val="15"/>
      </w:numPr>
    </w:pPr>
    <w:rPr>
      <w:bCs/>
      <w:sz w:val="34"/>
    </w:rPr>
  </w:style>
  <w:style w:type="paragraph" w:customStyle="1" w:styleId="xAppendixLevel3">
    <w:name w:val="xAppendix Level 3"/>
    <w:basedOn w:val="Heading3"/>
    <w:next w:val="Normal"/>
    <w:uiPriority w:val="98"/>
    <w:qFormat/>
    <w:rsid w:val="007D54BB"/>
    <w:pPr>
      <w:numPr>
        <w:numId w:val="15"/>
      </w:numPr>
    </w:pPr>
    <w:rPr>
      <w:bCs/>
    </w:rPr>
  </w:style>
  <w:style w:type="paragraph" w:customStyle="1" w:styleId="Listnumbered">
    <w:name w:val="List (numbered)"/>
    <w:basedOn w:val="Normal"/>
    <w:link w:val="ListnumberedChar"/>
    <w:uiPriority w:val="1"/>
    <w:qFormat/>
    <w:rsid w:val="007D54BB"/>
    <w:pPr>
      <w:ind w:left="340" w:hanging="340"/>
    </w:pPr>
  </w:style>
  <w:style w:type="table" w:customStyle="1" w:styleId="NousTableStyletopandsideheading">
    <w:name w:val="Nous Table Style top and side heading"/>
    <w:basedOn w:val="TableNormal"/>
    <w:uiPriority w:val="99"/>
    <w:rsid w:val="0070191A"/>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w:hAnsi="Segoe UI"/>
        <w:b/>
        <w:color w:val="00264D" w:themeColor="background2"/>
        <w:sz w:val="18"/>
      </w:rPr>
      <w:tblPr/>
      <w:trPr>
        <w:tblHeader/>
      </w:trPr>
      <w:tcPr>
        <w:tcBorders>
          <w:top w:val="single" w:sz="24" w:space="0" w:color="F8981D" w:themeColor="accent3"/>
          <w:insideV w:val="single" w:sz="8" w:space="0" w:color="FFFFFF" w:themeColor="background1"/>
        </w:tcBorders>
        <w:shd w:val="clear" w:color="auto" w:fill="EDEDE8" w:themeFill="accent5"/>
      </w:tcPr>
    </w:tblStylePr>
    <w:tblStylePr w:type="firstCol">
      <w:pPr>
        <w:jc w:val="center"/>
      </w:pPr>
      <w:rPr>
        <w:rFonts w:ascii="Segoe UI" w:hAnsi="Segoe UI"/>
        <w:b/>
        <w:color w:val="00264D" w:themeColor="background2"/>
        <w:sz w:val="18"/>
      </w:rPr>
      <w:tblPr/>
      <w:tcPr>
        <w:tcBorders>
          <w:left w:val="single" w:sz="24" w:space="0" w:color="F8981D" w:themeColor="accent3"/>
        </w:tcBorders>
        <w:shd w:val="clear" w:color="auto" w:fill="EDEDE8" w:themeFill="accent5"/>
        <w:vAlign w:val="center"/>
      </w:tcPr>
    </w:tblStylePr>
  </w:style>
  <w:style w:type="paragraph" w:customStyle="1" w:styleId="Source">
    <w:name w:val="Source"/>
    <w:basedOn w:val="Normal"/>
    <w:next w:val="Normal"/>
    <w:link w:val="SourceChar"/>
    <w:uiPriority w:val="39"/>
    <w:rsid w:val="007D54B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7D54BB"/>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3"/>
    <w:qFormat/>
    <w:rsid w:val="00705FB6"/>
    <w:rPr>
      <w:sz w:val="16"/>
    </w:rPr>
  </w:style>
  <w:style w:type="paragraph" w:customStyle="1" w:styleId="Tableexpheader">
    <w:name w:val="Table exp header"/>
    <w:basedOn w:val="Normal"/>
    <w:uiPriority w:val="3"/>
    <w:qFormat/>
    <w:rsid w:val="007D54BB"/>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qFormat/>
    <w:rsid w:val="007D54BB"/>
    <w:pPr>
      <w:spacing w:before="60" w:after="60"/>
      <w:ind w:left="227" w:hanging="227"/>
    </w:pPr>
    <w:rPr>
      <w:sz w:val="16"/>
    </w:rPr>
  </w:style>
  <w:style w:type="paragraph" w:customStyle="1" w:styleId="TableExpText">
    <w:name w:val="Table Exp Text"/>
    <w:basedOn w:val="Normal"/>
    <w:uiPriority w:val="2"/>
    <w:qFormat/>
    <w:rsid w:val="007D54BB"/>
    <w:rPr>
      <w:sz w:val="16"/>
    </w:rPr>
  </w:style>
  <w:style w:type="character" w:customStyle="1" w:styleId="Heading7Char">
    <w:name w:val="Heading 7 Char"/>
    <w:basedOn w:val="DefaultParagraphFont"/>
    <w:link w:val="Heading7"/>
    <w:uiPriority w:val="19"/>
    <w:semiHidden/>
    <w:rsid w:val="007D54BB"/>
    <w:rPr>
      <w:rFonts w:ascii="Segoe UI" w:eastAsiaTheme="majorEastAsia" w:hAnsi="Segoe UI" w:cstheme="majorBidi"/>
      <w:i/>
      <w:iCs/>
      <w:color w:val="404040" w:themeColor="text1" w:themeTint="BF"/>
      <w:sz w:val="19"/>
      <w:lang w:val="en-AU"/>
    </w:rPr>
  </w:style>
  <w:style w:type="paragraph" w:customStyle="1" w:styleId="TableText">
    <w:name w:val="Table Text"/>
    <w:link w:val="TableTextChar"/>
    <w:uiPriority w:val="2"/>
    <w:rsid w:val="00653916"/>
    <w:pPr>
      <w:spacing w:before="40" w:after="40" w:line="240" w:lineRule="auto"/>
    </w:pPr>
    <w:rPr>
      <w:rFonts w:ascii="Segoe UI" w:eastAsia="Times New Roman" w:hAnsi="Segoe UI" w:cs="Times New Roman"/>
      <w:sz w:val="17"/>
      <w:szCs w:val="19"/>
      <w:lang w:val="en-AU" w:eastAsia="en-AU"/>
    </w:rPr>
  </w:style>
  <w:style w:type="paragraph" w:customStyle="1" w:styleId="Tablecolumnheading">
    <w:name w:val="Table column heading"/>
    <w:basedOn w:val="Normal"/>
    <w:link w:val="TablecolumnheadingChar"/>
    <w:uiPriority w:val="2"/>
    <w:rsid w:val="00653916"/>
    <w:pPr>
      <w:keepNext/>
      <w:spacing w:before="40" w:after="40"/>
    </w:pPr>
    <w:rPr>
      <w:rFonts w:ascii="Segoe UI Semibold" w:eastAsia="Times New Roman" w:hAnsi="Segoe UI Semibold" w:cs="Times New Roman"/>
      <w:color w:val="00264D"/>
      <w:sz w:val="18"/>
      <w:szCs w:val="17"/>
      <w:lang w:eastAsia="en-AU"/>
    </w:rPr>
  </w:style>
  <w:style w:type="character" w:customStyle="1" w:styleId="TableTextChar">
    <w:name w:val="Table Text Char"/>
    <w:basedOn w:val="DefaultParagraphFont"/>
    <w:link w:val="TableText"/>
    <w:uiPriority w:val="2"/>
    <w:rsid w:val="0088498D"/>
    <w:rPr>
      <w:rFonts w:ascii="Segoe UI" w:eastAsia="Times New Roman" w:hAnsi="Segoe UI" w:cs="Times New Roman"/>
      <w:sz w:val="17"/>
      <w:szCs w:val="19"/>
      <w:lang w:val="en-AU" w:eastAsia="en-AU"/>
    </w:rPr>
  </w:style>
  <w:style w:type="character" w:customStyle="1" w:styleId="TablecolumnheadingChar">
    <w:name w:val="Table column heading Char"/>
    <w:basedOn w:val="DefaultParagraphFont"/>
    <w:link w:val="Tablecolumnheading"/>
    <w:uiPriority w:val="2"/>
    <w:rsid w:val="0088498D"/>
    <w:rPr>
      <w:rFonts w:ascii="Segoe UI Semibold" w:eastAsia="Times New Roman" w:hAnsi="Segoe UI Semibold" w:cs="Times New Roman"/>
      <w:color w:val="00264D"/>
      <w:sz w:val="18"/>
      <w:szCs w:val="17"/>
      <w:lang w:val="en-AU" w:eastAsia="en-AU"/>
    </w:rPr>
  </w:style>
  <w:style w:type="table" w:customStyle="1" w:styleId="NOUSSideTable">
    <w:name w:val="NOUS Side Table"/>
    <w:basedOn w:val="TableNormal"/>
    <w:uiPriority w:val="99"/>
    <w:rsid w:val="008D4B40"/>
    <w:pPr>
      <w:spacing w:after="0" w:line="240" w:lineRule="auto"/>
    </w:pPr>
    <w:rPr>
      <w:rFonts w:ascii="Segoe UI" w:hAnsi="Segoe UI"/>
      <w:sz w:val="17"/>
    </w:rPr>
    <w:tblPr>
      <w:tblBorders>
        <w:insideH w:val="single" w:sz="8" w:space="0" w:color="EDEDE8" w:themeColor="accent5"/>
      </w:tblBorders>
      <w:tblCellMar>
        <w:top w:w="57" w:type="dxa"/>
        <w:left w:w="85" w:type="dxa"/>
        <w:bottom w:w="57" w:type="dxa"/>
        <w:right w:w="85" w:type="dxa"/>
      </w:tblCellMar>
    </w:tblPr>
    <w:tcPr>
      <w:shd w:val="clear" w:color="auto" w:fill="FFFFFF" w:themeFill="background1"/>
    </w:tcPr>
    <w:tblStylePr w:type="firstCol">
      <w:pPr>
        <w:wordWrap/>
        <w:jc w:val="center"/>
      </w:pPr>
      <w:rPr>
        <w:rFonts w:ascii="Segoe UI" w:hAnsi="Segoe UI"/>
        <w:b/>
        <w:color w:val="00264D" w:themeColor="background2"/>
        <w:sz w:val="18"/>
      </w:rPr>
      <w:tblPr/>
      <w:tcPr>
        <w:tcBorders>
          <w:top w:val="single" w:sz="8" w:space="0" w:color="FFFFFF" w:themeColor="background1"/>
          <w:left w:val="single" w:sz="24" w:space="0" w:color="F8981D" w:themeColor="accent3"/>
          <w:bottom w:val="single" w:sz="8" w:space="0" w:color="FFFFFF" w:themeColor="background1"/>
          <w:right w:val="nil"/>
          <w:insideH w:val="nil"/>
          <w:insideV w:val="nil"/>
          <w:tl2br w:val="nil"/>
          <w:tr2bl w:val="nil"/>
        </w:tcBorders>
        <w:shd w:val="clear" w:color="auto" w:fill="EDEDE8" w:themeFill="accent5"/>
      </w:tcPr>
    </w:tblStylePr>
  </w:style>
  <w:style w:type="paragraph" w:styleId="BalloonText">
    <w:name w:val="Balloon Text"/>
    <w:basedOn w:val="Normal"/>
    <w:link w:val="BalloonTextChar"/>
    <w:uiPriority w:val="99"/>
    <w:semiHidden/>
    <w:unhideWhenUsed/>
    <w:rsid w:val="007D54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4BB"/>
    <w:rPr>
      <w:rFonts w:ascii="Tahoma" w:hAnsi="Tahoma" w:cs="Tahoma"/>
      <w:sz w:val="16"/>
      <w:szCs w:val="16"/>
      <w:lang w:val="en-AU"/>
    </w:rPr>
  </w:style>
  <w:style w:type="paragraph" w:customStyle="1" w:styleId="URL-groupcomau">
    <w:name w:val="URL - group.com.au"/>
    <w:basedOn w:val="Normal"/>
    <w:link w:val="URL-groupcomauChar"/>
    <w:uiPriority w:val="89"/>
    <w:semiHidden/>
    <w:qFormat/>
    <w:rsid w:val="007D54BB"/>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7D54BB"/>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qFormat/>
    <w:rsid w:val="007D54BB"/>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7D54BB"/>
    <w:rPr>
      <w:rFonts w:ascii="Segoe UI" w:eastAsia="Times New Roman" w:hAnsi="Segoe UI" w:cs="Times New Roman"/>
      <w:color w:val="FF3A40" w:themeColor="accent1"/>
      <w:spacing w:val="20"/>
      <w:sz w:val="14"/>
      <w:szCs w:val="19"/>
      <w:lang w:val="en-AU" w:eastAsia="en-AU"/>
    </w:rPr>
  </w:style>
  <w:style w:type="paragraph" w:customStyle="1" w:styleId="ContentsHeading">
    <w:name w:val="Contents Heading"/>
    <w:basedOn w:val="Normal"/>
    <w:uiPriority w:val="19"/>
    <w:rsid w:val="007D54BB"/>
    <w:pPr>
      <w:spacing w:before="360" w:after="600" w:line="560" w:lineRule="exact"/>
    </w:pPr>
    <w:rPr>
      <w:rFonts w:eastAsia="Times New Roman" w:cs="Segoe UI"/>
      <w:b/>
      <w:color w:val="00264D"/>
      <w:sz w:val="36"/>
      <w:szCs w:val="36"/>
      <w:lang w:eastAsia="en-AU"/>
    </w:rPr>
  </w:style>
  <w:style w:type="paragraph" w:styleId="BodyText">
    <w:name w:val="Body Text"/>
    <w:basedOn w:val="Normal"/>
    <w:link w:val="BodyTextChar"/>
    <w:uiPriority w:val="1"/>
    <w:rsid w:val="00621CEB"/>
    <w:pPr>
      <w:widowControl w:val="0"/>
    </w:pPr>
    <w:rPr>
      <w:rFonts w:eastAsia="Source Sans Pro Light"/>
      <w:szCs w:val="17"/>
    </w:rPr>
  </w:style>
  <w:style w:type="character" w:customStyle="1" w:styleId="BodyTextChar">
    <w:name w:val="Body Text Char"/>
    <w:basedOn w:val="DefaultParagraphFont"/>
    <w:link w:val="BodyText"/>
    <w:uiPriority w:val="1"/>
    <w:rsid w:val="00621CEB"/>
    <w:rPr>
      <w:rFonts w:ascii="Segoe UI" w:eastAsia="Source Sans Pro Light" w:hAnsi="Segoe UI"/>
      <w:sz w:val="19"/>
      <w:szCs w:val="17"/>
    </w:rPr>
  </w:style>
  <w:style w:type="character" w:customStyle="1" w:styleId="BulletChar">
    <w:name w:val="Bullet Char"/>
    <w:basedOn w:val="DefaultParagraphFont"/>
    <w:link w:val="Bullet"/>
    <w:uiPriority w:val="2"/>
    <w:rsid w:val="007D54BB"/>
    <w:rPr>
      <w:rFonts w:ascii="Segoe UI" w:eastAsia="Times New Roman" w:hAnsi="Segoe UI" w:cs="Times New Roman"/>
      <w:sz w:val="19"/>
      <w:szCs w:val="19"/>
      <w:lang w:val="en-AU" w:eastAsia="en-AU"/>
    </w:rPr>
  </w:style>
  <w:style w:type="paragraph" w:customStyle="1" w:styleId="Sectiondividerheading">
    <w:name w:val="Section divider heading"/>
    <w:basedOn w:val="Normal"/>
    <w:link w:val="SectiondividerheadingChar"/>
    <w:uiPriority w:val="99"/>
    <w:rsid w:val="00A10340"/>
    <w:pPr>
      <w:spacing w:after="0"/>
    </w:pPr>
    <w:rPr>
      <w:rFonts w:eastAsia="Source Sans Pro" w:cs="Segoe UI"/>
      <w:b/>
      <w:bCs/>
      <w:color w:val="F8981D"/>
      <w:sz w:val="56"/>
      <w:szCs w:val="56"/>
      <w:lang w:eastAsia="en-AU"/>
    </w:rPr>
  </w:style>
  <w:style w:type="character" w:customStyle="1" w:styleId="SectiondividerheadingChar">
    <w:name w:val="Section divider heading Char"/>
    <w:basedOn w:val="DefaultParagraphFont"/>
    <w:link w:val="Sectiondividerheading"/>
    <w:uiPriority w:val="99"/>
    <w:rsid w:val="0088498D"/>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7D54BB"/>
    <w:pPr>
      <w:tabs>
        <w:tab w:val="left" w:pos="851"/>
        <w:tab w:val="right" w:leader="dot" w:pos="8920"/>
      </w:tabs>
      <w:spacing w:after="100" w:line="240" w:lineRule="auto"/>
      <w:ind w:left="426"/>
    </w:pPr>
    <w:rPr>
      <w:lang w:val="en-US"/>
    </w:rPr>
  </w:style>
  <w:style w:type="paragraph" w:styleId="TOC1">
    <w:name w:val="toc 1"/>
    <w:basedOn w:val="Normal"/>
    <w:next w:val="Normal"/>
    <w:autoRedefine/>
    <w:uiPriority w:val="39"/>
    <w:unhideWhenUsed/>
    <w:rsid w:val="00C242DC"/>
    <w:pPr>
      <w:tabs>
        <w:tab w:val="left" w:pos="426"/>
        <w:tab w:val="right" w:leader="dot" w:pos="8920"/>
      </w:tabs>
      <w:spacing w:after="100" w:line="240" w:lineRule="auto"/>
    </w:pPr>
    <w:rPr>
      <w:noProof/>
      <w:lang w:val="en-US"/>
    </w:rPr>
  </w:style>
  <w:style w:type="character" w:styleId="Hyperlink">
    <w:name w:val="Hyperlink"/>
    <w:basedOn w:val="DefaultParagraphFont"/>
    <w:uiPriority w:val="99"/>
    <w:unhideWhenUsed/>
    <w:rsid w:val="007D54BB"/>
    <w:rPr>
      <w:color w:val="00264D" w:themeColor="background2"/>
      <w:u w:val="single"/>
    </w:rPr>
  </w:style>
  <w:style w:type="table" w:styleId="TableGrid">
    <w:name w:val="Table Grid"/>
    <w:aliases w:val="NOUS,NOUS Side Header,Table,DPS Table Grid"/>
    <w:basedOn w:val="TableNormal"/>
    <w:rsid w:val="00467440"/>
    <w:pPr>
      <w:spacing w:after="0" w:line="240" w:lineRule="auto"/>
    </w:pPr>
    <w:rPr>
      <w:rFonts w:ascii="Segoe UI" w:hAnsi="Segoe UI"/>
      <w:color w:val="000000" w:themeColor="text1"/>
      <w:sz w:val="17"/>
    </w:rPr>
    <w:tblPr>
      <w:tblBorders>
        <w:bottom w:val="single" w:sz="8" w:space="0" w:color="EDEDE8" w:themeColor="accent5"/>
        <w:insideH w:val="single" w:sz="8" w:space="0" w:color="EDEDE8" w:themeColor="accent5"/>
      </w:tblBorders>
      <w:tblCellMar>
        <w:top w:w="57" w:type="dxa"/>
        <w:left w:w="85" w:type="dxa"/>
        <w:bottom w:w="57" w:type="dxa"/>
        <w:right w:w="85" w:type="dxa"/>
      </w:tblCellMar>
    </w:tblPr>
    <w:tcPr>
      <w:shd w:val="clear" w:color="auto" w:fill="FFFFFF" w:themeFill="background1"/>
    </w:tcPr>
    <w:tblStylePr w:type="firstRow">
      <w:rPr>
        <w:rFonts w:ascii="Segoe UI" w:hAnsi="Segoe UI"/>
        <w:b/>
        <w:color w:val="00264D" w:themeColor="background2"/>
        <w:sz w:val="18"/>
      </w:rPr>
      <w:tbl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DEDE8" w:themeFill="accent5"/>
      </w:tcPr>
    </w:tblStylePr>
  </w:style>
  <w:style w:type="table" w:styleId="LightGrid-Accent5">
    <w:name w:val="Light Grid Accent 5"/>
    <w:basedOn w:val="TableNormal"/>
    <w:uiPriority w:val="62"/>
    <w:rsid w:val="00071DFF"/>
    <w:pPr>
      <w:spacing w:after="0" w:line="240" w:lineRule="auto"/>
    </w:pPr>
    <w:tblPr>
      <w:tblStyleRowBandSize w:val="1"/>
      <w:tblStyleColBandSize w:val="1"/>
      <w:tblBorders>
        <w:top w:val="single" w:sz="8" w:space="0" w:color="EDEDE8" w:themeColor="accent5"/>
        <w:left w:val="single" w:sz="8" w:space="0" w:color="EDEDE8" w:themeColor="accent5"/>
        <w:bottom w:val="single" w:sz="8" w:space="0" w:color="EDEDE8" w:themeColor="accent5"/>
        <w:right w:val="single" w:sz="8" w:space="0" w:color="EDEDE8" w:themeColor="accent5"/>
        <w:insideH w:val="single" w:sz="8" w:space="0" w:color="EDEDE8" w:themeColor="accent5"/>
        <w:insideV w:val="single" w:sz="8" w:space="0" w:color="EDEDE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EDE8" w:themeColor="accent5"/>
          <w:left w:val="single" w:sz="8" w:space="0" w:color="EDEDE8" w:themeColor="accent5"/>
          <w:bottom w:val="single" w:sz="18" w:space="0" w:color="EDEDE8" w:themeColor="accent5"/>
          <w:right w:val="single" w:sz="8" w:space="0" w:color="EDEDE8" w:themeColor="accent5"/>
          <w:insideH w:val="nil"/>
          <w:insideV w:val="single" w:sz="8" w:space="0" w:color="EDEDE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EDE8" w:themeColor="accent5"/>
          <w:left w:val="single" w:sz="8" w:space="0" w:color="EDEDE8" w:themeColor="accent5"/>
          <w:bottom w:val="single" w:sz="8" w:space="0" w:color="EDEDE8" w:themeColor="accent5"/>
          <w:right w:val="single" w:sz="8" w:space="0" w:color="EDEDE8" w:themeColor="accent5"/>
          <w:insideH w:val="nil"/>
          <w:insideV w:val="single" w:sz="8" w:space="0" w:color="EDEDE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EDE8" w:themeColor="accent5"/>
          <w:left w:val="single" w:sz="8" w:space="0" w:color="EDEDE8" w:themeColor="accent5"/>
          <w:bottom w:val="single" w:sz="8" w:space="0" w:color="EDEDE8" w:themeColor="accent5"/>
          <w:right w:val="single" w:sz="8" w:space="0" w:color="EDEDE8" w:themeColor="accent5"/>
        </w:tcBorders>
      </w:tcPr>
    </w:tblStylePr>
    <w:tblStylePr w:type="band1Vert">
      <w:tblPr/>
      <w:tcPr>
        <w:tcBorders>
          <w:top w:val="single" w:sz="8" w:space="0" w:color="EDEDE8" w:themeColor="accent5"/>
          <w:left w:val="single" w:sz="8" w:space="0" w:color="EDEDE8" w:themeColor="accent5"/>
          <w:bottom w:val="single" w:sz="8" w:space="0" w:color="EDEDE8" w:themeColor="accent5"/>
          <w:right w:val="single" w:sz="8" w:space="0" w:color="EDEDE8" w:themeColor="accent5"/>
        </w:tcBorders>
        <w:shd w:val="clear" w:color="auto" w:fill="FAFAF9" w:themeFill="accent5" w:themeFillTint="3F"/>
      </w:tcPr>
    </w:tblStylePr>
    <w:tblStylePr w:type="band1Horz">
      <w:tblPr/>
      <w:tcPr>
        <w:tcBorders>
          <w:top w:val="single" w:sz="8" w:space="0" w:color="EDEDE8" w:themeColor="accent5"/>
          <w:left w:val="single" w:sz="8" w:space="0" w:color="EDEDE8" w:themeColor="accent5"/>
          <w:bottom w:val="single" w:sz="8" w:space="0" w:color="EDEDE8" w:themeColor="accent5"/>
          <w:right w:val="single" w:sz="8" w:space="0" w:color="EDEDE8" w:themeColor="accent5"/>
          <w:insideV w:val="single" w:sz="8" w:space="0" w:color="EDEDE8" w:themeColor="accent5"/>
        </w:tcBorders>
        <w:shd w:val="clear" w:color="auto" w:fill="FAFAF9" w:themeFill="accent5" w:themeFillTint="3F"/>
      </w:tcPr>
    </w:tblStylePr>
    <w:tblStylePr w:type="band2Horz">
      <w:tblPr/>
      <w:tcPr>
        <w:tcBorders>
          <w:top w:val="single" w:sz="8" w:space="0" w:color="EDEDE8" w:themeColor="accent5"/>
          <w:left w:val="single" w:sz="8" w:space="0" w:color="EDEDE8" w:themeColor="accent5"/>
          <w:bottom w:val="single" w:sz="8" w:space="0" w:color="EDEDE8" w:themeColor="accent5"/>
          <w:right w:val="single" w:sz="8" w:space="0" w:color="EDEDE8" w:themeColor="accent5"/>
          <w:insideV w:val="single" w:sz="8" w:space="0" w:color="EDEDE8" w:themeColor="accent5"/>
        </w:tcBorders>
      </w:tcPr>
    </w:tblStylePr>
  </w:style>
  <w:style w:type="table" w:styleId="LightList-Accent5">
    <w:name w:val="Light List Accent 5"/>
    <w:basedOn w:val="TableNormal"/>
    <w:uiPriority w:val="61"/>
    <w:rsid w:val="007D54BB"/>
    <w:pPr>
      <w:spacing w:after="0" w:line="240" w:lineRule="auto"/>
    </w:pPr>
    <w:tblPr>
      <w:tblStyleRowBandSize w:val="1"/>
      <w:tblStyleColBandSize w:val="1"/>
      <w:tblBorders>
        <w:top w:val="single" w:sz="8" w:space="0" w:color="EDEDE8" w:themeColor="accent5"/>
        <w:left w:val="single" w:sz="8" w:space="0" w:color="EDEDE8" w:themeColor="accent5"/>
        <w:bottom w:val="single" w:sz="8" w:space="0" w:color="EDEDE8" w:themeColor="accent5"/>
        <w:right w:val="single" w:sz="8" w:space="0" w:color="EDEDE8" w:themeColor="accent5"/>
      </w:tblBorders>
    </w:tblPr>
    <w:tblStylePr w:type="firstRow">
      <w:pPr>
        <w:spacing w:before="0" w:after="0" w:line="240" w:lineRule="auto"/>
      </w:pPr>
      <w:rPr>
        <w:b/>
        <w:bCs/>
        <w:color w:val="FFFFFF" w:themeColor="background1"/>
      </w:rPr>
      <w:tblPr/>
      <w:tcPr>
        <w:shd w:val="clear" w:color="auto" w:fill="EDEDE8" w:themeFill="accent5"/>
      </w:tcPr>
    </w:tblStylePr>
    <w:tblStylePr w:type="lastRow">
      <w:pPr>
        <w:spacing w:before="0" w:after="0" w:line="240" w:lineRule="auto"/>
      </w:pPr>
      <w:rPr>
        <w:b/>
        <w:bCs/>
      </w:rPr>
      <w:tblPr/>
      <w:tcPr>
        <w:tcBorders>
          <w:top w:val="double" w:sz="6" w:space="0" w:color="EDEDE8" w:themeColor="accent5"/>
          <w:left w:val="single" w:sz="8" w:space="0" w:color="EDEDE8" w:themeColor="accent5"/>
          <w:bottom w:val="single" w:sz="8" w:space="0" w:color="EDEDE8" w:themeColor="accent5"/>
          <w:right w:val="single" w:sz="8" w:space="0" w:color="EDEDE8" w:themeColor="accent5"/>
        </w:tcBorders>
      </w:tcPr>
    </w:tblStylePr>
    <w:tblStylePr w:type="firstCol">
      <w:rPr>
        <w:b/>
        <w:bCs/>
      </w:rPr>
    </w:tblStylePr>
    <w:tblStylePr w:type="lastCol">
      <w:rPr>
        <w:b/>
        <w:bCs/>
      </w:rPr>
    </w:tblStylePr>
    <w:tblStylePr w:type="band1Vert">
      <w:tblPr/>
      <w:tcPr>
        <w:tcBorders>
          <w:top w:val="single" w:sz="8" w:space="0" w:color="EDEDE8" w:themeColor="accent5"/>
          <w:left w:val="single" w:sz="8" w:space="0" w:color="EDEDE8" w:themeColor="accent5"/>
          <w:bottom w:val="single" w:sz="8" w:space="0" w:color="EDEDE8" w:themeColor="accent5"/>
          <w:right w:val="single" w:sz="8" w:space="0" w:color="EDEDE8" w:themeColor="accent5"/>
        </w:tcBorders>
      </w:tcPr>
    </w:tblStylePr>
    <w:tblStylePr w:type="band1Horz">
      <w:tblPr/>
      <w:tcPr>
        <w:tcBorders>
          <w:top w:val="single" w:sz="8" w:space="0" w:color="EDEDE8" w:themeColor="accent5"/>
          <w:left w:val="single" w:sz="8" w:space="0" w:color="EDEDE8" w:themeColor="accent5"/>
          <w:bottom w:val="single" w:sz="8" w:space="0" w:color="EDEDE8" w:themeColor="accent5"/>
          <w:right w:val="single" w:sz="8" w:space="0" w:color="EDEDE8" w:themeColor="accent5"/>
        </w:tcBorders>
      </w:tcPr>
    </w:tblStylePr>
  </w:style>
  <w:style w:type="table" w:styleId="MediumShading1-Accent5">
    <w:name w:val="Medium Shading 1 Accent 5"/>
    <w:basedOn w:val="TableNormal"/>
    <w:uiPriority w:val="63"/>
    <w:rsid w:val="007D54BB"/>
    <w:pPr>
      <w:spacing w:after="0" w:line="240" w:lineRule="auto"/>
    </w:pPr>
    <w:tblPr>
      <w:tblStyleRowBandSize w:val="1"/>
      <w:tblStyleColBandSize w:val="1"/>
      <w:tblBorders>
        <w:top w:val="single" w:sz="8" w:space="0" w:color="F1F1ED" w:themeColor="accent5" w:themeTint="BF"/>
        <w:left w:val="single" w:sz="8" w:space="0" w:color="F1F1ED" w:themeColor="accent5" w:themeTint="BF"/>
        <w:bottom w:val="single" w:sz="8" w:space="0" w:color="F1F1ED" w:themeColor="accent5" w:themeTint="BF"/>
        <w:right w:val="single" w:sz="8" w:space="0" w:color="F1F1ED" w:themeColor="accent5" w:themeTint="BF"/>
        <w:insideH w:val="single" w:sz="8" w:space="0" w:color="F1F1ED" w:themeColor="accent5" w:themeTint="BF"/>
      </w:tblBorders>
    </w:tblPr>
    <w:tblStylePr w:type="firstRow">
      <w:pPr>
        <w:spacing w:before="0" w:after="0" w:line="240" w:lineRule="auto"/>
      </w:pPr>
      <w:rPr>
        <w:b/>
        <w:bCs/>
        <w:color w:val="FFFFFF" w:themeColor="background1"/>
      </w:rPr>
      <w:tblPr/>
      <w:tcPr>
        <w:tcBorders>
          <w:top w:val="single" w:sz="8" w:space="0" w:color="F1F1ED" w:themeColor="accent5" w:themeTint="BF"/>
          <w:left w:val="single" w:sz="8" w:space="0" w:color="F1F1ED" w:themeColor="accent5" w:themeTint="BF"/>
          <w:bottom w:val="single" w:sz="8" w:space="0" w:color="F1F1ED" w:themeColor="accent5" w:themeTint="BF"/>
          <w:right w:val="single" w:sz="8" w:space="0" w:color="F1F1ED" w:themeColor="accent5" w:themeTint="BF"/>
          <w:insideH w:val="nil"/>
          <w:insideV w:val="nil"/>
        </w:tcBorders>
        <w:shd w:val="clear" w:color="auto" w:fill="EDEDE8" w:themeFill="accent5"/>
      </w:tcPr>
    </w:tblStylePr>
    <w:tblStylePr w:type="lastRow">
      <w:pPr>
        <w:spacing w:before="0" w:after="0" w:line="240" w:lineRule="auto"/>
      </w:pPr>
      <w:rPr>
        <w:b/>
        <w:bCs/>
      </w:rPr>
      <w:tblPr/>
      <w:tcPr>
        <w:tcBorders>
          <w:top w:val="double" w:sz="6" w:space="0" w:color="F1F1ED" w:themeColor="accent5" w:themeTint="BF"/>
          <w:left w:val="single" w:sz="8" w:space="0" w:color="F1F1ED" w:themeColor="accent5" w:themeTint="BF"/>
          <w:bottom w:val="single" w:sz="8" w:space="0" w:color="F1F1ED" w:themeColor="accent5" w:themeTint="BF"/>
          <w:right w:val="single" w:sz="8" w:space="0" w:color="F1F1E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AF9" w:themeFill="accent5" w:themeFillTint="3F"/>
      </w:tcPr>
    </w:tblStylePr>
    <w:tblStylePr w:type="band1Horz">
      <w:tblPr/>
      <w:tcPr>
        <w:tcBorders>
          <w:insideH w:val="nil"/>
          <w:insideV w:val="nil"/>
        </w:tcBorders>
        <w:shd w:val="clear" w:color="auto" w:fill="FAFAF9"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7D54BB"/>
    <w:rPr>
      <w:rFonts w:ascii="Segoe UI" w:eastAsia="Times New Roman" w:hAnsi="Segoe UI" w:cs="Times New Roman"/>
      <w:sz w:val="17"/>
      <w:szCs w:val="19"/>
      <w:lang w:val="en-AU" w:eastAsia="en-AU"/>
    </w:rPr>
  </w:style>
  <w:style w:type="paragraph" w:customStyle="1" w:styleId="Covertitle">
    <w:name w:val="Cover title"/>
    <w:basedOn w:val="Normal"/>
    <w:link w:val="CovertitleChar"/>
    <w:uiPriority w:val="99"/>
    <w:semiHidden/>
    <w:rsid w:val="007D54B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7D54B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7D54B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7D54B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7D54B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7D54B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7D54BB"/>
    <w:rPr>
      <w:color w:val="808080"/>
    </w:rPr>
  </w:style>
  <w:style w:type="character" w:customStyle="1" w:styleId="Heading8Char">
    <w:name w:val="Heading 8 Char"/>
    <w:basedOn w:val="DefaultParagraphFont"/>
    <w:link w:val="Heading8"/>
    <w:uiPriority w:val="19"/>
    <w:semiHidden/>
    <w:rsid w:val="007D54BB"/>
    <w:rPr>
      <w:rFonts w:ascii="Segoe UI" w:eastAsiaTheme="majorEastAsia" w:hAnsi="Segoe UI" w:cstheme="majorBidi"/>
      <w:color w:val="404040" w:themeColor="text1" w:themeTint="BF"/>
      <w:sz w:val="20"/>
      <w:szCs w:val="20"/>
      <w:lang w:val="en-AU"/>
    </w:rPr>
  </w:style>
  <w:style w:type="paragraph" w:styleId="Header">
    <w:name w:val="header"/>
    <w:basedOn w:val="Normal"/>
    <w:link w:val="HeaderChar"/>
    <w:uiPriority w:val="99"/>
    <w:unhideWhenUsed/>
    <w:rsid w:val="007D54BB"/>
    <w:pPr>
      <w:tabs>
        <w:tab w:val="center" w:pos="4513"/>
        <w:tab w:val="right" w:pos="9026"/>
      </w:tabs>
      <w:spacing w:after="0"/>
    </w:pPr>
  </w:style>
  <w:style w:type="character" w:customStyle="1" w:styleId="HeaderChar">
    <w:name w:val="Header Char"/>
    <w:basedOn w:val="DefaultParagraphFont"/>
    <w:link w:val="Header"/>
    <w:uiPriority w:val="99"/>
    <w:rsid w:val="007D54BB"/>
    <w:rPr>
      <w:rFonts w:ascii="Segoe UI" w:hAnsi="Segoe UI"/>
      <w:sz w:val="19"/>
      <w:lang w:val="en-AU"/>
    </w:rPr>
  </w:style>
  <w:style w:type="character" w:styleId="CommentReference">
    <w:name w:val="annotation reference"/>
    <w:basedOn w:val="DefaultParagraphFont"/>
    <w:uiPriority w:val="99"/>
    <w:semiHidden/>
    <w:unhideWhenUsed/>
    <w:rsid w:val="007D54BB"/>
    <w:rPr>
      <w:sz w:val="16"/>
      <w:szCs w:val="16"/>
    </w:rPr>
  </w:style>
  <w:style w:type="paragraph" w:styleId="CommentText">
    <w:name w:val="annotation text"/>
    <w:basedOn w:val="Normal"/>
    <w:link w:val="CommentTextChar"/>
    <w:uiPriority w:val="99"/>
    <w:unhideWhenUsed/>
    <w:rsid w:val="007D54BB"/>
    <w:pPr>
      <w:spacing w:line="240" w:lineRule="auto"/>
    </w:pPr>
    <w:rPr>
      <w:sz w:val="20"/>
      <w:szCs w:val="20"/>
    </w:rPr>
  </w:style>
  <w:style w:type="character" w:customStyle="1" w:styleId="CommentTextChar">
    <w:name w:val="Comment Text Char"/>
    <w:basedOn w:val="DefaultParagraphFont"/>
    <w:link w:val="CommentText"/>
    <w:uiPriority w:val="99"/>
    <w:rsid w:val="007D54BB"/>
    <w:rPr>
      <w:rFonts w:ascii="Segoe UI" w:hAnsi="Segoe UI"/>
      <w:sz w:val="20"/>
      <w:szCs w:val="20"/>
      <w:lang w:val="en-AU"/>
    </w:rPr>
  </w:style>
  <w:style w:type="paragraph" w:styleId="CommentSubject">
    <w:name w:val="annotation subject"/>
    <w:basedOn w:val="CommentText"/>
    <w:next w:val="CommentText"/>
    <w:link w:val="CommentSubjectChar"/>
    <w:uiPriority w:val="99"/>
    <w:semiHidden/>
    <w:unhideWhenUsed/>
    <w:rsid w:val="002A4539"/>
    <w:rPr>
      <w:b/>
      <w:bCs/>
    </w:rPr>
  </w:style>
  <w:style w:type="character" w:customStyle="1" w:styleId="CommentSubjectChar">
    <w:name w:val="Comment Subject Char"/>
    <w:basedOn w:val="CommentTextChar"/>
    <w:link w:val="CommentSubject"/>
    <w:uiPriority w:val="99"/>
    <w:semiHidden/>
    <w:rsid w:val="002A4539"/>
    <w:rPr>
      <w:rFonts w:ascii="Segoe UI" w:hAnsi="Segoe UI"/>
      <w:b/>
      <w:bCs/>
      <w:sz w:val="20"/>
      <w:szCs w:val="20"/>
      <w:lang w:val="en-AU"/>
    </w:rPr>
  </w:style>
  <w:style w:type="paragraph" w:styleId="NormalWeb">
    <w:name w:val="Normal (Web)"/>
    <w:basedOn w:val="Normal"/>
    <w:uiPriority w:val="99"/>
    <w:unhideWhenUsed/>
    <w:rsid w:val="000E1858"/>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7D54BB"/>
    <w:pPr>
      <w:spacing w:after="0" w:line="240" w:lineRule="auto"/>
    </w:pPr>
    <w:rPr>
      <w:sz w:val="15"/>
      <w:szCs w:val="20"/>
    </w:rPr>
  </w:style>
  <w:style w:type="character" w:customStyle="1" w:styleId="FootnoteTextChar">
    <w:name w:val="Footnote Text Char"/>
    <w:basedOn w:val="DefaultParagraphFont"/>
    <w:link w:val="FootnoteText"/>
    <w:uiPriority w:val="99"/>
    <w:rsid w:val="007D54BB"/>
    <w:rPr>
      <w:rFonts w:ascii="Segoe UI" w:hAnsi="Segoe UI"/>
      <w:sz w:val="15"/>
      <w:szCs w:val="20"/>
      <w:lang w:val="en-AU"/>
    </w:rPr>
  </w:style>
  <w:style w:type="character" w:styleId="FootnoteReference">
    <w:name w:val="footnote reference"/>
    <w:basedOn w:val="DefaultParagraphFont"/>
    <w:uiPriority w:val="89"/>
    <w:unhideWhenUsed/>
    <w:rsid w:val="007C6690"/>
    <w:rPr>
      <w:vertAlign w:val="superscript"/>
    </w:rPr>
  </w:style>
  <w:style w:type="paragraph" w:styleId="ListParagraph">
    <w:name w:val="List Paragraph"/>
    <w:aliases w:val="List Paragraph1,Recommendation,Body text,Bullet Point,Bullet point,Bullet- First level,Figure_name,L,List NUmber,List Paragraph Number,List Paragraph11,List Paragraph111,Listenabsatz1,NAST Quote,Numbered Indented Text,lp1,standard lewis"/>
    <w:basedOn w:val="Normal"/>
    <w:link w:val="ListParagraphChar"/>
    <w:uiPriority w:val="34"/>
    <w:qFormat/>
    <w:rsid w:val="00757B54"/>
    <w:pPr>
      <w:ind w:left="720"/>
      <w:contextualSpacing/>
    </w:pPr>
  </w:style>
  <w:style w:type="character" w:customStyle="1" w:styleId="ListParagraphChar">
    <w:name w:val="List Paragraph Char"/>
    <w:aliases w:val="List Paragraph1 Char,Recommendation Char,Body text Char,Bullet Point Char,Bullet point Char,Bullet- First level Char,Figure_name Char,L Char,List NUmber Char,List Paragraph Number Char,List Paragraph11 Char,List Paragraph111 Char"/>
    <w:link w:val="ListParagraph"/>
    <w:uiPriority w:val="34"/>
    <w:locked/>
    <w:rsid w:val="00EE6030"/>
    <w:rPr>
      <w:rFonts w:ascii="Segoe UI" w:hAnsi="Segoe UI"/>
      <w:sz w:val="19"/>
    </w:rPr>
  </w:style>
  <w:style w:type="paragraph" w:styleId="TOC3">
    <w:name w:val="toc 3"/>
    <w:basedOn w:val="Normal"/>
    <w:next w:val="Normal"/>
    <w:autoRedefine/>
    <w:uiPriority w:val="39"/>
    <w:unhideWhenUsed/>
    <w:rsid w:val="00065D5C"/>
    <w:pPr>
      <w:spacing w:after="100"/>
      <w:ind w:left="380"/>
    </w:pPr>
  </w:style>
  <w:style w:type="paragraph" w:styleId="Revision">
    <w:name w:val="Revision"/>
    <w:hidden/>
    <w:uiPriority w:val="99"/>
    <w:semiHidden/>
    <w:rsid w:val="00D90412"/>
    <w:pPr>
      <w:spacing w:after="0" w:line="240" w:lineRule="auto"/>
    </w:pPr>
    <w:rPr>
      <w:rFonts w:ascii="Segoe UI" w:hAnsi="Segoe UI"/>
      <w:sz w:val="19"/>
    </w:rPr>
  </w:style>
  <w:style w:type="character" w:styleId="FollowedHyperlink">
    <w:name w:val="FollowedHyperlink"/>
    <w:basedOn w:val="DefaultParagraphFont"/>
    <w:uiPriority w:val="99"/>
    <w:semiHidden/>
    <w:unhideWhenUsed/>
    <w:rsid w:val="00074A9D"/>
    <w:rPr>
      <w:color w:val="0048C7" w:themeColor="followedHyperlink"/>
      <w:u w:val="single"/>
    </w:rPr>
  </w:style>
  <w:style w:type="character" w:customStyle="1" w:styleId="TableNTextChar">
    <w:name w:val="Table N Text Char"/>
    <w:basedOn w:val="DefaultParagraphFont"/>
    <w:link w:val="TableNText"/>
    <w:uiPriority w:val="2"/>
    <w:rsid w:val="003221B9"/>
    <w:rPr>
      <w:rFonts w:ascii="Segoe UI" w:hAnsi="Segoe UI"/>
      <w:sz w:val="17"/>
      <w:lang w:val="en-AU"/>
    </w:rPr>
  </w:style>
  <w:style w:type="paragraph" w:customStyle="1" w:styleId="TableNListNumbered">
    <w:name w:val="Table N List (Numbered)"/>
    <w:basedOn w:val="Normal"/>
    <w:link w:val="TableNListNumberedChar"/>
    <w:uiPriority w:val="9"/>
    <w:rsid w:val="003221B9"/>
    <w:pPr>
      <w:numPr>
        <w:numId w:val="2"/>
      </w:numPr>
      <w:suppressAutoHyphens/>
      <w:spacing w:before="60" w:after="60"/>
    </w:pPr>
    <w:rPr>
      <w:rFonts w:asciiTheme="minorHAnsi" w:eastAsia="Times New Roman" w:hAnsiTheme="minorHAnsi" w:cs="Times New Roman"/>
      <w:sz w:val="18"/>
      <w:szCs w:val="19"/>
      <w:lang w:eastAsia="en-AU"/>
    </w:rPr>
  </w:style>
  <w:style w:type="character" w:customStyle="1" w:styleId="TableNListNumberedChar">
    <w:name w:val="Table N List (Numbered) Char"/>
    <w:basedOn w:val="DefaultParagraphFont"/>
    <w:link w:val="TableNListNumbered"/>
    <w:uiPriority w:val="9"/>
    <w:rsid w:val="003221B9"/>
    <w:rPr>
      <w:rFonts w:eastAsia="Times New Roman" w:cs="Times New Roman"/>
      <w:sz w:val="18"/>
      <w:szCs w:val="19"/>
      <w:lang w:val="en-AU" w:eastAsia="en-AU"/>
    </w:rPr>
  </w:style>
  <w:style w:type="character" w:customStyle="1" w:styleId="ListnumberedChar">
    <w:name w:val="List (numbered) Char"/>
    <w:basedOn w:val="DefaultParagraphFont"/>
    <w:link w:val="Listnumbered"/>
    <w:uiPriority w:val="1"/>
    <w:rsid w:val="001668BE"/>
    <w:rPr>
      <w:rFonts w:ascii="Segoe UI" w:hAnsi="Segoe UI"/>
      <w:sz w:val="19"/>
      <w:lang w:val="en-AU"/>
    </w:rPr>
  </w:style>
  <w:style w:type="character" w:styleId="Strong">
    <w:name w:val="Strong"/>
    <w:basedOn w:val="DefaultParagraphFont"/>
    <w:uiPriority w:val="22"/>
    <w:qFormat/>
    <w:rsid w:val="00680734"/>
    <w:rPr>
      <w:b/>
      <w:bCs/>
    </w:rPr>
  </w:style>
  <w:style w:type="paragraph" w:customStyle="1" w:styleId="Table-ExpText">
    <w:name w:val="Table - Exp Text"/>
    <w:basedOn w:val="TableNText"/>
    <w:uiPriority w:val="10"/>
    <w:rsid w:val="00E45516"/>
    <w:rPr>
      <w:rFonts w:asciiTheme="minorHAnsi" w:hAnsiTheme="minorHAnsi"/>
      <w:sz w:val="18"/>
      <w:szCs w:val="17"/>
    </w:rPr>
  </w:style>
  <w:style w:type="paragraph" w:customStyle="1" w:styleId="TableExpbullet0">
    <w:name w:val="Table Exp bullet"/>
    <w:basedOn w:val="Normal"/>
    <w:uiPriority w:val="3"/>
    <w:qFormat/>
    <w:rsid w:val="007D54BB"/>
    <w:pPr>
      <w:spacing w:before="60" w:after="60"/>
      <w:ind w:left="357" w:hanging="357"/>
    </w:pPr>
    <w:rPr>
      <w:sz w:val="16"/>
    </w:rPr>
  </w:style>
  <w:style w:type="character" w:customStyle="1" w:styleId="UnresolvedMention1">
    <w:name w:val="Unresolved Mention1"/>
    <w:basedOn w:val="DefaultParagraphFont"/>
    <w:uiPriority w:val="99"/>
    <w:semiHidden/>
    <w:unhideWhenUsed/>
    <w:rsid w:val="005D1846"/>
    <w:rPr>
      <w:color w:val="808080"/>
      <w:shd w:val="clear" w:color="auto" w:fill="E6E6E6"/>
    </w:rPr>
  </w:style>
  <w:style w:type="paragraph" w:customStyle="1" w:styleId="Default">
    <w:name w:val="Default"/>
    <w:rsid w:val="00C407C4"/>
    <w:pPr>
      <w:autoSpaceDE w:val="0"/>
      <w:autoSpaceDN w:val="0"/>
      <w:adjustRightInd w:val="0"/>
      <w:spacing w:after="0" w:line="240" w:lineRule="auto"/>
    </w:pPr>
    <w:rPr>
      <w:rFonts w:ascii="Arial" w:hAnsi="Arial" w:cs="Arial"/>
      <w:color w:val="000000"/>
      <w:sz w:val="24"/>
      <w:szCs w:val="24"/>
      <w:lang w:val="en-AU"/>
    </w:rPr>
  </w:style>
  <w:style w:type="paragraph" w:customStyle="1" w:styleId="NormalBullet">
    <w:name w:val="Normal Bullet"/>
    <w:basedOn w:val="Normal"/>
    <w:rsid w:val="00BF22DC"/>
    <w:pPr>
      <w:numPr>
        <w:numId w:val="3"/>
      </w:numPr>
      <w:spacing w:before="60" w:after="60"/>
      <w:jc w:val="both"/>
    </w:pPr>
    <w:rPr>
      <w:rFonts w:ascii="Arial" w:eastAsia="Times New Roman" w:hAnsi="Arial" w:cs="Times New Roman"/>
      <w:sz w:val="22"/>
      <w:szCs w:val="20"/>
    </w:rPr>
  </w:style>
  <w:style w:type="paragraph" w:customStyle="1" w:styleId="Body">
    <w:name w:val="Body"/>
    <w:rsid w:val="001914B4"/>
    <w:pPr>
      <w:pBdr>
        <w:top w:val="nil"/>
        <w:left w:val="nil"/>
        <w:bottom w:val="nil"/>
        <w:right w:val="nil"/>
        <w:between w:val="nil"/>
        <w:bar w:val="nil"/>
      </w:pBdr>
      <w:spacing w:after="120" w:line="240" w:lineRule="auto"/>
    </w:pPr>
    <w:rPr>
      <w:rFonts w:ascii="Segoe UI" w:eastAsia="Segoe UI" w:hAnsi="Segoe UI" w:cs="Segoe UI"/>
      <w:color w:val="000000"/>
      <w:sz w:val="19"/>
      <w:szCs w:val="19"/>
      <w:u w:color="000000"/>
      <w:bdr w:val="nil"/>
      <w:lang w:val="en-AU" w:eastAsia="en-AU"/>
    </w:rPr>
  </w:style>
  <w:style w:type="paragraph" w:customStyle="1" w:styleId="BulletA">
    <w:name w:val="Bullet A"/>
    <w:rsid w:val="001914B4"/>
    <w:pPr>
      <w:pBdr>
        <w:top w:val="nil"/>
        <w:left w:val="nil"/>
        <w:bottom w:val="nil"/>
        <w:right w:val="nil"/>
        <w:between w:val="nil"/>
        <w:bar w:val="nil"/>
      </w:pBdr>
      <w:suppressAutoHyphens/>
      <w:spacing w:after="120" w:line="240" w:lineRule="auto"/>
    </w:pPr>
    <w:rPr>
      <w:rFonts w:ascii="Segoe UI" w:eastAsia="Segoe UI" w:hAnsi="Segoe UI" w:cs="Segoe UI"/>
      <w:color w:val="000000"/>
      <w:sz w:val="19"/>
      <w:szCs w:val="19"/>
      <w:u w:color="000000"/>
      <w:bdr w:val="nil"/>
      <w:lang w:eastAsia="en-AU"/>
    </w:rPr>
  </w:style>
  <w:style w:type="character" w:customStyle="1" w:styleId="Link">
    <w:name w:val="Link"/>
    <w:rsid w:val="001914B4"/>
    <w:rPr>
      <w:color w:val="0048C7"/>
      <w:u w:val="single" w:color="0048C7"/>
    </w:rPr>
  </w:style>
  <w:style w:type="character" w:customStyle="1" w:styleId="Hyperlink2">
    <w:name w:val="Hyperlink.2"/>
    <w:basedOn w:val="Link"/>
    <w:rsid w:val="001914B4"/>
    <w:rPr>
      <w:color w:val="0048C7"/>
      <w:u w:val="single" w:color="0048C7"/>
      <w:lang w:val="en-US"/>
    </w:rPr>
  </w:style>
  <w:style w:type="numbering" w:customStyle="1" w:styleId="Bullets">
    <w:name w:val="Bullets"/>
    <w:rsid w:val="001914B4"/>
    <w:pPr>
      <w:numPr>
        <w:numId w:val="4"/>
      </w:numPr>
    </w:pPr>
  </w:style>
  <w:style w:type="table" w:customStyle="1" w:styleId="SideTitle">
    <w:name w:val="Side Title"/>
    <w:basedOn w:val="TableNormal"/>
    <w:uiPriority w:val="99"/>
    <w:rsid w:val="009B555A"/>
    <w:pPr>
      <w:spacing w:after="0" w:line="240" w:lineRule="auto"/>
    </w:pPr>
    <w:rPr>
      <w:rFonts w:ascii="Segoe UI" w:hAnsi="Segoe UI"/>
      <w:sz w:val="18"/>
    </w:rPr>
    <w:tblPr>
      <w:tblBorders>
        <w:insideH w:val="single" w:sz="8" w:space="0" w:color="EDEDE8" w:themeColor="accent5"/>
      </w:tblBorders>
      <w:tblCellMar>
        <w:top w:w="57" w:type="dxa"/>
        <w:left w:w="85" w:type="dxa"/>
        <w:bottom w:w="57" w:type="dxa"/>
        <w:right w:w="85" w:type="dxa"/>
      </w:tblCellMar>
    </w:tblPr>
    <w:tblStylePr w:type="firstCol">
      <w:pPr>
        <w:jc w:val="center"/>
      </w:pPr>
      <w:rPr>
        <w:rFonts w:ascii="Segoe UI" w:hAnsi="Segoe UI"/>
        <w:b/>
        <w:color w:val="00264D" w:themeColor="background2"/>
        <w:sz w:val="18"/>
      </w:rPr>
      <w:tblPr/>
      <w:tcPr>
        <w:tcBorders>
          <w:top w:val="nil"/>
          <w:left w:val="single" w:sz="24" w:space="0" w:color="F8981D" w:themeColor="accent3"/>
          <w:bottom w:val="single" w:sz="8" w:space="0" w:color="FFFFFF" w:themeColor="background1"/>
          <w:right w:val="nil"/>
          <w:insideH w:val="nil"/>
          <w:insideV w:val="nil"/>
          <w:tl2br w:val="nil"/>
          <w:tr2bl w:val="nil"/>
        </w:tcBorders>
        <w:shd w:val="clear" w:color="auto" w:fill="EDEDE8" w:themeFill="accent5"/>
      </w:tcPr>
    </w:tblStylePr>
  </w:style>
  <w:style w:type="character" w:customStyle="1" w:styleId="UnresolvedMention2">
    <w:name w:val="Unresolved Mention2"/>
    <w:basedOn w:val="DefaultParagraphFont"/>
    <w:uiPriority w:val="99"/>
    <w:semiHidden/>
    <w:unhideWhenUsed/>
    <w:rsid w:val="000632E4"/>
    <w:rPr>
      <w:color w:val="808080"/>
      <w:shd w:val="clear" w:color="auto" w:fill="E6E6E6"/>
    </w:rPr>
  </w:style>
  <w:style w:type="paragraph" w:customStyle="1" w:styleId="PFNumLevel2">
    <w:name w:val="PF (Num) Level 2"/>
    <w:basedOn w:val="Normal"/>
    <w:rsid w:val="00EE1936"/>
    <w:pPr>
      <w:tabs>
        <w:tab w:val="left" w:pos="2773"/>
        <w:tab w:val="left" w:pos="3697"/>
        <w:tab w:val="left" w:pos="4621"/>
        <w:tab w:val="left" w:pos="5545"/>
        <w:tab w:val="left" w:pos="6469"/>
        <w:tab w:val="left" w:pos="7394"/>
        <w:tab w:val="left" w:pos="8318"/>
        <w:tab w:val="right" w:pos="8930"/>
      </w:tabs>
      <w:spacing w:before="120" w:line="276" w:lineRule="auto"/>
      <w:ind w:left="510" w:hanging="226"/>
    </w:pPr>
    <w:rPr>
      <w:rFonts w:ascii="Arial" w:eastAsia="Times New Roman" w:hAnsi="Arial" w:cs="Times New Roman"/>
      <w:color w:val="000000"/>
      <w:sz w:val="21"/>
      <w:szCs w:val="20"/>
    </w:rPr>
  </w:style>
  <w:style w:type="paragraph" w:customStyle="1" w:styleId="PFNumLevel3">
    <w:name w:val="PF (Num) Level 3"/>
    <w:basedOn w:val="Normal"/>
    <w:rsid w:val="00EE1936"/>
    <w:pPr>
      <w:tabs>
        <w:tab w:val="left" w:pos="3697"/>
        <w:tab w:val="left" w:pos="4621"/>
        <w:tab w:val="left" w:pos="5545"/>
        <w:tab w:val="left" w:pos="6469"/>
        <w:tab w:val="left" w:pos="7394"/>
        <w:tab w:val="left" w:pos="8318"/>
        <w:tab w:val="right" w:pos="8930"/>
      </w:tabs>
      <w:spacing w:before="120" w:line="276" w:lineRule="auto"/>
      <w:ind w:left="794" w:hanging="227"/>
    </w:pPr>
    <w:rPr>
      <w:rFonts w:ascii="Arial" w:eastAsia="Times New Roman" w:hAnsi="Arial" w:cs="Times New Roman"/>
      <w:color w:val="000000"/>
      <w:sz w:val="21"/>
      <w:szCs w:val="20"/>
    </w:rPr>
  </w:style>
  <w:style w:type="paragraph" w:customStyle="1" w:styleId="PFNumLevel4">
    <w:name w:val="PF (Num) Level 4"/>
    <w:basedOn w:val="Normal"/>
    <w:rsid w:val="00EE1936"/>
    <w:pPr>
      <w:tabs>
        <w:tab w:val="left" w:pos="4621"/>
        <w:tab w:val="left" w:pos="5545"/>
        <w:tab w:val="left" w:pos="6469"/>
        <w:tab w:val="left" w:pos="7394"/>
        <w:tab w:val="left" w:pos="8318"/>
        <w:tab w:val="right" w:pos="8930"/>
      </w:tabs>
      <w:spacing w:before="120" w:line="276" w:lineRule="auto"/>
      <w:ind w:left="680" w:hanging="170"/>
    </w:pPr>
    <w:rPr>
      <w:rFonts w:ascii="Arial" w:eastAsia="Times New Roman" w:hAnsi="Arial" w:cs="Times New Roman"/>
      <w:color w:val="000000"/>
      <w:sz w:val="21"/>
      <w:szCs w:val="20"/>
    </w:rPr>
  </w:style>
  <w:style w:type="paragraph" w:customStyle="1" w:styleId="PFNumLevel5">
    <w:name w:val="PF (Num) Level 5"/>
    <w:basedOn w:val="Normal"/>
    <w:rsid w:val="00EE1936"/>
    <w:pPr>
      <w:tabs>
        <w:tab w:val="left" w:pos="2773"/>
        <w:tab w:val="left" w:pos="3697"/>
        <w:tab w:val="left" w:pos="4621"/>
        <w:tab w:val="left" w:pos="5545"/>
        <w:tab w:val="left" w:pos="6469"/>
        <w:tab w:val="left" w:pos="7394"/>
        <w:tab w:val="left" w:pos="8318"/>
        <w:tab w:val="right" w:pos="8930"/>
      </w:tabs>
      <w:spacing w:before="120" w:line="276" w:lineRule="auto"/>
      <w:ind w:left="850" w:hanging="170"/>
    </w:pPr>
    <w:rPr>
      <w:rFonts w:ascii="Arial" w:eastAsia="Times New Roman" w:hAnsi="Arial" w:cs="Times New Roman"/>
      <w:color w:val="000000"/>
      <w:sz w:val="21"/>
      <w:szCs w:val="20"/>
    </w:rPr>
  </w:style>
  <w:style w:type="paragraph" w:customStyle="1" w:styleId="Heading1A">
    <w:name w:val="Heading 1A"/>
    <w:basedOn w:val="Heading1"/>
    <w:next w:val="Normal"/>
    <w:rsid w:val="00EE1936"/>
    <w:pPr>
      <w:tabs>
        <w:tab w:val="left" w:pos="1848"/>
        <w:tab w:val="left" w:pos="2773"/>
        <w:tab w:val="left" w:pos="3697"/>
        <w:tab w:val="left" w:pos="4621"/>
        <w:tab w:val="left" w:pos="5545"/>
        <w:tab w:val="left" w:pos="6469"/>
        <w:tab w:val="left" w:pos="7394"/>
        <w:tab w:val="left" w:pos="8318"/>
        <w:tab w:val="right" w:pos="8930"/>
      </w:tabs>
      <w:spacing w:before="400" w:after="120" w:line="276" w:lineRule="auto"/>
      <w:ind w:left="227" w:hanging="227"/>
    </w:pPr>
    <w:rPr>
      <w:rFonts w:ascii="Arial" w:hAnsi="Arial"/>
      <w:color w:val="000000"/>
      <w:kern w:val="28"/>
      <w:sz w:val="28"/>
      <w:szCs w:val="28"/>
      <w:lang w:eastAsia="en-US"/>
    </w:rPr>
  </w:style>
  <w:style w:type="paragraph" w:customStyle="1" w:styleId="PFNumLevel6">
    <w:name w:val="PF (Num) Level 6"/>
    <w:basedOn w:val="PFNumLevel4"/>
    <w:rsid w:val="00EE1936"/>
    <w:pPr>
      <w:numPr>
        <w:ilvl w:val="5"/>
      </w:numPr>
      <w:ind w:left="680" w:hanging="170"/>
    </w:pPr>
  </w:style>
  <w:style w:type="character" w:customStyle="1" w:styleId="st1">
    <w:name w:val="st1"/>
    <w:basedOn w:val="DefaultParagraphFont"/>
    <w:rsid w:val="00EE3139"/>
  </w:style>
  <w:style w:type="character" w:styleId="Emphasis">
    <w:name w:val="Emphasis"/>
    <w:basedOn w:val="DefaultParagraphFont"/>
    <w:uiPriority w:val="20"/>
    <w:qFormat/>
    <w:rsid w:val="00506D66"/>
    <w:rPr>
      <w:i/>
      <w:iCs/>
    </w:rPr>
  </w:style>
  <w:style w:type="character" w:customStyle="1" w:styleId="UnresolvedMention3">
    <w:name w:val="Unresolved Mention3"/>
    <w:basedOn w:val="DefaultParagraphFont"/>
    <w:uiPriority w:val="99"/>
    <w:semiHidden/>
    <w:unhideWhenUsed/>
    <w:rsid w:val="009B0AD3"/>
    <w:rPr>
      <w:color w:val="808080"/>
      <w:shd w:val="clear" w:color="auto" w:fill="E6E6E6"/>
    </w:rPr>
  </w:style>
  <w:style w:type="table" w:customStyle="1" w:styleId="TableGridLight1">
    <w:name w:val="Table Grid Light1"/>
    <w:basedOn w:val="TableNormal"/>
    <w:uiPriority w:val="40"/>
    <w:rsid w:val="005B3F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ExpListNumbered">
    <w:name w:val="Table - Exp List (Numbered)"/>
    <w:basedOn w:val="Listnumbered"/>
    <w:link w:val="Table-ExpListNumberedChar"/>
    <w:uiPriority w:val="10"/>
    <w:rsid w:val="00446B12"/>
    <w:pPr>
      <w:suppressAutoHyphens/>
      <w:spacing w:before="60" w:after="60"/>
      <w:ind w:left="170" w:hanging="170"/>
    </w:pPr>
    <w:rPr>
      <w:rFonts w:eastAsia="Times New Roman" w:cs="Times New Roman"/>
      <w:sz w:val="18"/>
      <w:szCs w:val="19"/>
      <w:lang w:eastAsia="en-AU"/>
    </w:rPr>
  </w:style>
  <w:style w:type="character" w:customStyle="1" w:styleId="UnresolvedMention4">
    <w:name w:val="Unresolved Mention4"/>
    <w:basedOn w:val="DefaultParagraphFont"/>
    <w:uiPriority w:val="99"/>
    <w:semiHidden/>
    <w:unhideWhenUsed/>
    <w:rsid w:val="00963AEC"/>
    <w:rPr>
      <w:color w:val="808080"/>
      <w:shd w:val="clear" w:color="auto" w:fill="E6E6E6"/>
    </w:rPr>
  </w:style>
  <w:style w:type="paragraph" w:customStyle="1" w:styleId="Table-Expbullet">
    <w:name w:val="Table - Exp bullet"/>
    <w:basedOn w:val="TableNBullet"/>
    <w:link w:val="Table-ExpbulletChar"/>
    <w:uiPriority w:val="10"/>
    <w:rsid w:val="008F3AB3"/>
    <w:pPr>
      <w:numPr>
        <w:numId w:val="0"/>
      </w:numPr>
      <w:spacing w:line="240" w:lineRule="auto"/>
      <w:ind w:left="170" w:hanging="170"/>
    </w:pPr>
    <w:rPr>
      <w:sz w:val="18"/>
      <w:szCs w:val="17"/>
    </w:rPr>
  </w:style>
  <w:style w:type="character" w:customStyle="1" w:styleId="Table-ExpbulletChar">
    <w:name w:val="Table - Exp bullet Char"/>
    <w:basedOn w:val="TableNBulletChar"/>
    <w:link w:val="Table-Expbullet"/>
    <w:uiPriority w:val="10"/>
    <w:rsid w:val="008F3AB3"/>
    <w:rPr>
      <w:rFonts w:ascii="Segoe UI" w:eastAsia="Times New Roman" w:hAnsi="Segoe UI" w:cs="Times New Roman"/>
      <w:sz w:val="18"/>
      <w:szCs w:val="17"/>
      <w:lang w:val="en-AU" w:eastAsia="en-AU"/>
    </w:rPr>
  </w:style>
  <w:style w:type="character" w:customStyle="1" w:styleId="Table-ExpListNumberedChar">
    <w:name w:val="Table - Exp List (Numbered) Char"/>
    <w:basedOn w:val="ListnumberedChar"/>
    <w:link w:val="Table-ExpListNumbered"/>
    <w:uiPriority w:val="10"/>
    <w:rsid w:val="00446B12"/>
    <w:rPr>
      <w:rFonts w:ascii="Segoe UI" w:eastAsia="Times New Roman" w:hAnsi="Segoe UI" w:cs="Times New Roman"/>
      <w:sz w:val="18"/>
      <w:szCs w:val="19"/>
      <w:lang w:val="en-AU" w:eastAsia="en-AU"/>
    </w:rPr>
  </w:style>
  <w:style w:type="paragraph" w:customStyle="1" w:styleId="BioName">
    <w:name w:val="Bio Name"/>
    <w:basedOn w:val="Normal"/>
    <w:uiPriority w:val="97"/>
    <w:qFormat/>
    <w:rsid w:val="007D54BB"/>
    <w:pPr>
      <w:spacing w:before="60" w:after="60" w:line="240" w:lineRule="auto"/>
      <w:jc w:val="center"/>
    </w:pPr>
    <w:rPr>
      <w:b/>
      <w:caps/>
      <w:color w:val="00264D" w:themeColor="background2"/>
      <w:szCs w:val="19"/>
    </w:rPr>
  </w:style>
  <w:style w:type="paragraph" w:customStyle="1" w:styleId="BioPosition">
    <w:name w:val="Bio Position"/>
    <w:basedOn w:val="Normal"/>
    <w:uiPriority w:val="97"/>
    <w:qFormat/>
    <w:rsid w:val="007D54BB"/>
    <w:pPr>
      <w:spacing w:line="240" w:lineRule="auto"/>
      <w:jc w:val="center"/>
    </w:pPr>
    <w:rPr>
      <w:color w:val="00264D" w:themeColor="background2"/>
      <w:szCs w:val="19"/>
    </w:rPr>
  </w:style>
  <w:style w:type="paragraph" w:customStyle="1" w:styleId="BioQualifications">
    <w:name w:val="Bio Qualifications"/>
    <w:basedOn w:val="Normal"/>
    <w:uiPriority w:val="97"/>
    <w:qFormat/>
    <w:rsid w:val="007D54BB"/>
    <w:pPr>
      <w:spacing w:before="240" w:after="60" w:line="240" w:lineRule="auto"/>
      <w:jc w:val="center"/>
    </w:pPr>
    <w:rPr>
      <w:b/>
      <w:color w:val="00264D" w:themeColor="background2"/>
      <w:szCs w:val="17"/>
    </w:rPr>
  </w:style>
  <w:style w:type="paragraph" w:customStyle="1" w:styleId="BioQualificationsText">
    <w:name w:val="Bio Qualifications Text"/>
    <w:basedOn w:val="Normal"/>
    <w:uiPriority w:val="97"/>
    <w:qFormat/>
    <w:rsid w:val="007D54BB"/>
    <w:pPr>
      <w:spacing w:line="240" w:lineRule="auto"/>
      <w:jc w:val="center"/>
    </w:pPr>
  </w:style>
  <w:style w:type="paragraph" w:customStyle="1" w:styleId="Callout">
    <w:name w:val="Call out"/>
    <w:basedOn w:val="Normal"/>
    <w:uiPriority w:val="98"/>
    <w:qFormat/>
    <w:rsid w:val="007D54BB"/>
    <w:pPr>
      <w:pBdr>
        <w:top w:val="single" w:sz="18" w:space="4" w:color="EDEDE8" w:themeColor="accent5"/>
      </w:pBdr>
    </w:pPr>
    <w:rPr>
      <w:rFonts w:ascii="Segoe UI Semilight" w:hAnsi="Segoe UI Semilight"/>
      <w:color w:val="F8981D" w:themeColor="accent3"/>
      <w:kern w:val="24"/>
      <w:sz w:val="22"/>
    </w:rPr>
  </w:style>
  <w:style w:type="paragraph" w:customStyle="1" w:styleId="Sectionintroduction">
    <w:name w:val="Section introduction"/>
    <w:uiPriority w:val="21"/>
    <w:qFormat/>
    <w:rsid w:val="007D54BB"/>
    <w:pPr>
      <w:spacing w:before="120" w:after="120"/>
    </w:pPr>
    <w:rPr>
      <w:rFonts w:ascii="Segoe UI Semilight" w:hAnsi="Segoe UI Semilight"/>
      <w:color w:val="00264D" w:themeColor="background2"/>
      <w:sz w:val="21"/>
      <w:szCs w:val="21"/>
      <w:lang w:val="en-AU"/>
    </w:rPr>
  </w:style>
  <w:style w:type="paragraph" w:customStyle="1" w:styleId="intoductionbullet">
    <w:name w:val="intoduction bullet"/>
    <w:basedOn w:val="Sectionintroduction"/>
    <w:uiPriority w:val="21"/>
    <w:qFormat/>
    <w:rsid w:val="007D54BB"/>
    <w:pPr>
      <w:numPr>
        <w:numId w:val="7"/>
      </w:numPr>
    </w:pPr>
  </w:style>
  <w:style w:type="paragraph" w:customStyle="1" w:styleId="introductionlist">
    <w:name w:val="introduction list"/>
    <w:basedOn w:val="Sectionintroduction"/>
    <w:uiPriority w:val="21"/>
    <w:qFormat/>
    <w:rsid w:val="007D54BB"/>
    <w:pPr>
      <w:numPr>
        <w:numId w:val="8"/>
      </w:numPr>
      <w:spacing w:before="60"/>
    </w:pPr>
  </w:style>
  <w:style w:type="numbering" w:customStyle="1" w:styleId="Listnumberedmultilevel">
    <w:name w:val="List (numbered)_multilevel"/>
    <w:uiPriority w:val="99"/>
    <w:rsid w:val="007D54BB"/>
  </w:style>
  <w:style w:type="paragraph" w:customStyle="1" w:styleId="Longformcallout">
    <w:name w:val="Long form callout"/>
    <w:basedOn w:val="Normal"/>
    <w:uiPriority w:val="20"/>
    <w:qFormat/>
    <w:rsid w:val="007D54BB"/>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qFormat/>
    <w:rsid w:val="007D54BB"/>
    <w:pPr>
      <w:numPr>
        <w:numId w:val="10"/>
      </w:numPr>
    </w:pPr>
  </w:style>
  <w:style w:type="paragraph" w:customStyle="1" w:styleId="longformcalloutnumber">
    <w:name w:val="long form callout number"/>
    <w:basedOn w:val="longformcalloutbullet"/>
    <w:uiPriority w:val="20"/>
    <w:qFormat/>
    <w:rsid w:val="007D54BB"/>
    <w:pPr>
      <w:numPr>
        <w:numId w:val="11"/>
      </w:numPr>
    </w:pPr>
  </w:style>
  <w:style w:type="paragraph" w:customStyle="1" w:styleId="NousFooter">
    <w:name w:val="Nous Footer"/>
    <w:basedOn w:val="Normal"/>
    <w:uiPriority w:val="96"/>
    <w:qFormat/>
    <w:rsid w:val="007D54BB"/>
    <w:pPr>
      <w:spacing w:after="0"/>
    </w:pPr>
    <w:rPr>
      <w:color w:val="808080" w:themeColor="background1" w:themeShade="80"/>
      <w:sz w:val="15"/>
      <w:szCs w:val="15"/>
      <w:lang w:eastAsia="en-AU"/>
    </w:rPr>
  </w:style>
  <w:style w:type="table" w:customStyle="1" w:styleId="NousTableSide">
    <w:name w:val="Nous Table_Side"/>
    <w:basedOn w:val="TableNormal"/>
    <w:uiPriority w:val="99"/>
    <w:rsid w:val="007D54BB"/>
    <w:pPr>
      <w:spacing w:after="0" w:line="240" w:lineRule="auto"/>
    </w:pPr>
    <w:rPr>
      <w:rFonts w:ascii="Segoe UI" w:hAnsi="Segoe UI"/>
      <w:sz w:val="17"/>
    </w:rPr>
    <w:tblPr>
      <w:tblBorders>
        <w:top w:val="single" w:sz="8" w:space="0" w:color="EDEDE8" w:themeColor="accent5"/>
        <w:bottom w:val="single" w:sz="8" w:space="0" w:color="EDEDE8" w:themeColor="accent5"/>
        <w:insideH w:val="single" w:sz="8" w:space="0" w:color="EDEDE8"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DEDE8" w:themeFill="accent5"/>
      </w:tcPr>
    </w:tblStylePr>
  </w:style>
  <w:style w:type="table" w:customStyle="1" w:styleId="NousTableTopandside">
    <w:name w:val="Nous Table_Top and side"/>
    <w:basedOn w:val="TableNormal"/>
    <w:uiPriority w:val="99"/>
    <w:rsid w:val="007D54BB"/>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DEDE8" w:themeFill="accent5"/>
        <w:vAlign w:val="center"/>
      </w:tcPr>
    </w:tblStylePr>
    <w:tblStylePr w:type="firstCol">
      <w:pPr>
        <w:jc w:val="left"/>
      </w:pPr>
      <w:rPr>
        <w:rFonts w:ascii="Segoe UI Semibold" w:hAnsi="Segoe UI Semibold"/>
        <w:b w:val="0"/>
        <w:color w:val="00264D" w:themeColor="background2"/>
        <w:sz w:val="18"/>
      </w:rPr>
      <w:tblPr/>
      <w:tcPr>
        <w:tcBorders>
          <w:left w:val="single" w:sz="24" w:space="0" w:color="F8981D" w:themeColor="accent3"/>
        </w:tcBorders>
        <w:shd w:val="clear" w:color="auto" w:fill="EDEDE8" w:themeFill="accent5"/>
        <w:vAlign w:val="center"/>
      </w:tcPr>
    </w:tblStylePr>
  </w:style>
  <w:style w:type="table" w:customStyle="1" w:styleId="NousLongformcallout">
    <w:name w:val="Nous_Long form call out"/>
    <w:basedOn w:val="TableNormal"/>
    <w:uiPriority w:val="99"/>
    <w:rsid w:val="007D54BB"/>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DEDE8" w:themeFill="accent5"/>
    </w:tcPr>
  </w:style>
  <w:style w:type="table" w:customStyle="1" w:styleId="Sectionintroductiontable">
    <w:name w:val="Section introduction table"/>
    <w:basedOn w:val="TableNormal"/>
    <w:uiPriority w:val="99"/>
    <w:rsid w:val="007D54BB"/>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TableexpListnumberedmultilevel">
    <w:name w:val="Table exp List (numbered) multilevel"/>
    <w:uiPriority w:val="99"/>
    <w:rsid w:val="007D54BB"/>
    <w:pPr>
      <w:numPr>
        <w:numId w:val="12"/>
      </w:numPr>
    </w:pPr>
  </w:style>
  <w:style w:type="numbering" w:customStyle="1" w:styleId="TableNListnumberedmultilevel">
    <w:name w:val="Table N List (numbered) multilevel"/>
    <w:uiPriority w:val="99"/>
    <w:rsid w:val="007D54BB"/>
    <w:pPr>
      <w:numPr>
        <w:numId w:val="9"/>
      </w:numPr>
    </w:pPr>
  </w:style>
  <w:style w:type="character" w:customStyle="1" w:styleId="UnresolvedMention5">
    <w:name w:val="Unresolved Mention5"/>
    <w:basedOn w:val="DefaultParagraphFont"/>
    <w:uiPriority w:val="99"/>
    <w:semiHidden/>
    <w:unhideWhenUsed/>
    <w:rsid w:val="007951FA"/>
    <w:rPr>
      <w:color w:val="808080"/>
      <w:shd w:val="clear" w:color="auto" w:fill="E6E6E6"/>
    </w:rPr>
  </w:style>
  <w:style w:type="table" w:styleId="LightList-Accent3">
    <w:name w:val="Light List Accent 3"/>
    <w:basedOn w:val="TableNormal"/>
    <w:uiPriority w:val="61"/>
    <w:rsid w:val="006D58ED"/>
    <w:pPr>
      <w:spacing w:after="0" w:line="240" w:lineRule="auto"/>
    </w:pPr>
    <w:tblPr>
      <w:tblStyleRowBandSize w:val="1"/>
      <w:tblStyleColBandSize w:val="1"/>
      <w:tblBorders>
        <w:top w:val="single" w:sz="8" w:space="0" w:color="F8981D" w:themeColor="accent3"/>
        <w:left w:val="single" w:sz="8" w:space="0" w:color="F8981D" w:themeColor="accent3"/>
        <w:bottom w:val="single" w:sz="8" w:space="0" w:color="F8981D" w:themeColor="accent3"/>
        <w:right w:val="single" w:sz="8" w:space="0" w:color="F8981D" w:themeColor="accent3"/>
      </w:tblBorders>
    </w:tblPr>
    <w:tblStylePr w:type="firstRow">
      <w:pPr>
        <w:spacing w:before="0" w:after="0" w:line="240" w:lineRule="auto"/>
      </w:pPr>
      <w:rPr>
        <w:b/>
        <w:bCs/>
        <w:color w:val="FFFFFF" w:themeColor="background1"/>
      </w:rPr>
      <w:tblPr/>
      <w:tcPr>
        <w:shd w:val="clear" w:color="auto" w:fill="F8981D" w:themeFill="accent3"/>
      </w:tcPr>
    </w:tblStylePr>
    <w:tblStylePr w:type="lastRow">
      <w:pPr>
        <w:spacing w:before="0" w:after="0" w:line="240" w:lineRule="auto"/>
      </w:pPr>
      <w:rPr>
        <w:b/>
        <w:bCs/>
      </w:rPr>
      <w:tblPr/>
      <w:tcPr>
        <w:tcBorders>
          <w:top w:val="double" w:sz="6" w:space="0" w:color="F8981D" w:themeColor="accent3"/>
          <w:left w:val="single" w:sz="8" w:space="0" w:color="F8981D" w:themeColor="accent3"/>
          <w:bottom w:val="single" w:sz="8" w:space="0" w:color="F8981D" w:themeColor="accent3"/>
          <w:right w:val="single" w:sz="8" w:space="0" w:color="F8981D" w:themeColor="accent3"/>
        </w:tcBorders>
      </w:tcPr>
    </w:tblStylePr>
    <w:tblStylePr w:type="firstCol">
      <w:rPr>
        <w:b/>
        <w:bCs/>
      </w:rPr>
    </w:tblStylePr>
    <w:tblStylePr w:type="lastCol">
      <w:rPr>
        <w:b/>
        <w:bCs/>
      </w:rPr>
    </w:tblStylePr>
    <w:tblStylePr w:type="band1Vert">
      <w:tblPr/>
      <w:tcPr>
        <w:tcBorders>
          <w:top w:val="single" w:sz="8" w:space="0" w:color="F8981D" w:themeColor="accent3"/>
          <w:left w:val="single" w:sz="8" w:space="0" w:color="F8981D" w:themeColor="accent3"/>
          <w:bottom w:val="single" w:sz="8" w:space="0" w:color="F8981D" w:themeColor="accent3"/>
          <w:right w:val="single" w:sz="8" w:space="0" w:color="F8981D" w:themeColor="accent3"/>
        </w:tcBorders>
      </w:tcPr>
    </w:tblStylePr>
    <w:tblStylePr w:type="band1Horz">
      <w:tblPr/>
      <w:tcPr>
        <w:tcBorders>
          <w:top w:val="single" w:sz="8" w:space="0" w:color="F8981D" w:themeColor="accent3"/>
          <w:left w:val="single" w:sz="8" w:space="0" w:color="F8981D" w:themeColor="accent3"/>
          <w:bottom w:val="single" w:sz="8" w:space="0" w:color="F8981D" w:themeColor="accent3"/>
          <w:right w:val="single" w:sz="8" w:space="0" w:color="F8981D" w:themeColor="accent3"/>
        </w:tcBorders>
      </w:tcPr>
    </w:tblStylePr>
  </w:style>
  <w:style w:type="table" w:styleId="ColorfulList-Accent5">
    <w:name w:val="Colorful List Accent 5"/>
    <w:basedOn w:val="TableNormal"/>
    <w:uiPriority w:val="72"/>
    <w:rsid w:val="006D58ED"/>
    <w:pPr>
      <w:spacing w:after="0" w:line="240" w:lineRule="auto"/>
    </w:pPr>
    <w:rPr>
      <w:color w:val="000000" w:themeColor="text1"/>
    </w:rPr>
    <w:tblPr>
      <w:tblStyleRowBandSize w:val="1"/>
      <w:tblStyleColBandSize w:val="1"/>
    </w:tblPr>
    <w:tcPr>
      <w:shd w:val="clear" w:color="auto" w:fill="FDFDFC" w:themeFill="accent5" w:themeFillTint="19"/>
    </w:tcPr>
    <w:tblStylePr w:type="firstRow">
      <w:rPr>
        <w:b/>
        <w:bCs/>
        <w:color w:val="FFFFFF" w:themeColor="background1"/>
      </w:rPr>
      <w:tblPr/>
      <w:tcPr>
        <w:tcBorders>
          <w:bottom w:val="single" w:sz="12" w:space="0" w:color="FFFFFF" w:themeColor="background1"/>
        </w:tcBorders>
        <w:shd w:val="clear" w:color="auto" w:fill="1A90B6" w:themeFill="accent6" w:themeFillShade="CC"/>
      </w:tcPr>
    </w:tblStylePr>
    <w:tblStylePr w:type="lastRow">
      <w:rPr>
        <w:b/>
        <w:bCs/>
        <w:color w:val="1A90B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AF9" w:themeFill="accent5" w:themeFillTint="3F"/>
      </w:tcPr>
    </w:tblStylePr>
    <w:tblStylePr w:type="band1Horz">
      <w:tblPr/>
      <w:tcPr>
        <w:shd w:val="clear" w:color="auto" w:fill="FBFBFA" w:themeFill="accent5" w:themeFillTint="33"/>
      </w:tcPr>
    </w:tblStylePr>
  </w:style>
  <w:style w:type="paragraph" w:customStyle="1" w:styleId="ScheduleLevel3">
    <w:name w:val="Schedule Level 3"/>
    <w:rsid w:val="00016188"/>
    <w:pPr>
      <w:numPr>
        <w:numId w:val="18"/>
      </w:numPr>
      <w:suppressAutoHyphens/>
      <w:spacing w:before="140" w:after="140" w:line="280" w:lineRule="atLeast"/>
    </w:pPr>
    <w:rPr>
      <w:rFonts w:ascii="Arial" w:eastAsia="Arial" w:hAnsi="Arial" w:cs="Arial"/>
      <w:lang w:val="en-AU" w:eastAsia="ar-SA"/>
    </w:rPr>
  </w:style>
  <w:style w:type="paragraph" w:customStyle="1" w:styleId="ScheduleL1">
    <w:name w:val="Schedule L1"/>
    <w:basedOn w:val="Normal"/>
    <w:next w:val="Normal"/>
    <w:rsid w:val="00016188"/>
    <w:pPr>
      <w:widowControl w:val="0"/>
      <w:numPr>
        <w:numId w:val="19"/>
      </w:numPr>
      <w:pBdr>
        <w:bottom w:val="single" w:sz="4" w:space="1" w:color="000000"/>
      </w:pBdr>
      <w:suppressAutoHyphens/>
      <w:spacing w:before="140" w:after="480" w:line="480" w:lineRule="exact"/>
    </w:pPr>
    <w:rPr>
      <w:rFonts w:ascii="Arial" w:eastAsia="SimSun" w:hAnsi="Arial" w:cs="Mangal"/>
      <w:spacing w:val="-10"/>
      <w:w w:val="95"/>
      <w:kern w:val="1"/>
      <w:sz w:val="48"/>
      <w:szCs w:val="48"/>
      <w:lang w:val="en-GB" w:eastAsia="hi-IN" w:bidi="hi-IN"/>
    </w:rPr>
  </w:style>
  <w:style w:type="paragraph" w:customStyle="1" w:styleId="MEBasic1">
    <w:name w:val="ME Basic 1"/>
    <w:basedOn w:val="Normal"/>
    <w:rsid w:val="00016188"/>
    <w:pPr>
      <w:widowControl w:val="0"/>
      <w:tabs>
        <w:tab w:val="num" w:pos="720"/>
      </w:tabs>
      <w:suppressAutoHyphens/>
      <w:spacing w:after="0" w:line="240" w:lineRule="auto"/>
      <w:ind w:left="720" w:hanging="720"/>
    </w:pPr>
    <w:rPr>
      <w:rFonts w:ascii="Times New Roman" w:eastAsia="SimSun" w:hAnsi="Times New Roman" w:cs="Mangal"/>
      <w:kern w:val="1"/>
      <w:sz w:val="24"/>
      <w:szCs w:val="24"/>
      <w:lang w:val="en-GB" w:eastAsia="hi-IN" w:bidi="hi-IN"/>
    </w:rPr>
  </w:style>
  <w:style w:type="character" w:customStyle="1" w:styleId="UnresolvedMention6">
    <w:name w:val="Unresolved Mention6"/>
    <w:basedOn w:val="DefaultParagraphFont"/>
    <w:uiPriority w:val="99"/>
    <w:semiHidden/>
    <w:unhideWhenUsed/>
    <w:rsid w:val="00F8136C"/>
    <w:rPr>
      <w:color w:val="808080"/>
      <w:shd w:val="clear" w:color="auto" w:fill="E6E6E6"/>
    </w:rPr>
  </w:style>
  <w:style w:type="character" w:customStyle="1" w:styleId="UnresolvedMention">
    <w:name w:val="Unresolved Mention"/>
    <w:basedOn w:val="DefaultParagraphFont"/>
    <w:uiPriority w:val="99"/>
    <w:semiHidden/>
    <w:unhideWhenUsed/>
    <w:rsid w:val="00B53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877">
      <w:bodyDiv w:val="1"/>
      <w:marLeft w:val="0"/>
      <w:marRight w:val="0"/>
      <w:marTop w:val="0"/>
      <w:marBottom w:val="0"/>
      <w:divBdr>
        <w:top w:val="none" w:sz="0" w:space="0" w:color="auto"/>
        <w:left w:val="none" w:sz="0" w:space="0" w:color="auto"/>
        <w:bottom w:val="none" w:sz="0" w:space="0" w:color="auto"/>
        <w:right w:val="none" w:sz="0" w:space="0" w:color="auto"/>
      </w:divBdr>
    </w:div>
    <w:div w:id="92434241">
      <w:bodyDiv w:val="1"/>
      <w:marLeft w:val="0"/>
      <w:marRight w:val="0"/>
      <w:marTop w:val="0"/>
      <w:marBottom w:val="0"/>
      <w:divBdr>
        <w:top w:val="none" w:sz="0" w:space="0" w:color="auto"/>
        <w:left w:val="none" w:sz="0" w:space="0" w:color="auto"/>
        <w:bottom w:val="none" w:sz="0" w:space="0" w:color="auto"/>
        <w:right w:val="none" w:sz="0" w:space="0" w:color="auto"/>
      </w:divBdr>
    </w:div>
    <w:div w:id="110979170">
      <w:bodyDiv w:val="1"/>
      <w:marLeft w:val="0"/>
      <w:marRight w:val="0"/>
      <w:marTop w:val="0"/>
      <w:marBottom w:val="0"/>
      <w:divBdr>
        <w:top w:val="none" w:sz="0" w:space="0" w:color="auto"/>
        <w:left w:val="none" w:sz="0" w:space="0" w:color="auto"/>
        <w:bottom w:val="none" w:sz="0" w:space="0" w:color="auto"/>
        <w:right w:val="none" w:sz="0" w:space="0" w:color="auto"/>
      </w:divBdr>
    </w:div>
    <w:div w:id="119346832">
      <w:bodyDiv w:val="1"/>
      <w:marLeft w:val="0"/>
      <w:marRight w:val="0"/>
      <w:marTop w:val="0"/>
      <w:marBottom w:val="0"/>
      <w:divBdr>
        <w:top w:val="none" w:sz="0" w:space="0" w:color="auto"/>
        <w:left w:val="none" w:sz="0" w:space="0" w:color="auto"/>
        <w:bottom w:val="none" w:sz="0" w:space="0" w:color="auto"/>
        <w:right w:val="none" w:sz="0" w:space="0" w:color="auto"/>
      </w:divBdr>
    </w:div>
    <w:div w:id="123888531">
      <w:bodyDiv w:val="1"/>
      <w:marLeft w:val="0"/>
      <w:marRight w:val="0"/>
      <w:marTop w:val="0"/>
      <w:marBottom w:val="0"/>
      <w:divBdr>
        <w:top w:val="none" w:sz="0" w:space="0" w:color="auto"/>
        <w:left w:val="none" w:sz="0" w:space="0" w:color="auto"/>
        <w:bottom w:val="none" w:sz="0" w:space="0" w:color="auto"/>
        <w:right w:val="none" w:sz="0" w:space="0" w:color="auto"/>
      </w:divBdr>
    </w:div>
    <w:div w:id="135878597">
      <w:bodyDiv w:val="1"/>
      <w:marLeft w:val="0"/>
      <w:marRight w:val="0"/>
      <w:marTop w:val="0"/>
      <w:marBottom w:val="0"/>
      <w:divBdr>
        <w:top w:val="none" w:sz="0" w:space="0" w:color="auto"/>
        <w:left w:val="none" w:sz="0" w:space="0" w:color="auto"/>
        <w:bottom w:val="none" w:sz="0" w:space="0" w:color="auto"/>
        <w:right w:val="none" w:sz="0" w:space="0" w:color="auto"/>
      </w:divBdr>
    </w:div>
    <w:div w:id="141431513">
      <w:bodyDiv w:val="1"/>
      <w:marLeft w:val="0"/>
      <w:marRight w:val="0"/>
      <w:marTop w:val="0"/>
      <w:marBottom w:val="0"/>
      <w:divBdr>
        <w:top w:val="none" w:sz="0" w:space="0" w:color="auto"/>
        <w:left w:val="none" w:sz="0" w:space="0" w:color="auto"/>
        <w:bottom w:val="none" w:sz="0" w:space="0" w:color="auto"/>
        <w:right w:val="none" w:sz="0" w:space="0" w:color="auto"/>
      </w:divBdr>
    </w:div>
    <w:div w:id="237180931">
      <w:bodyDiv w:val="1"/>
      <w:marLeft w:val="0"/>
      <w:marRight w:val="0"/>
      <w:marTop w:val="0"/>
      <w:marBottom w:val="0"/>
      <w:divBdr>
        <w:top w:val="none" w:sz="0" w:space="0" w:color="auto"/>
        <w:left w:val="none" w:sz="0" w:space="0" w:color="auto"/>
        <w:bottom w:val="none" w:sz="0" w:space="0" w:color="auto"/>
        <w:right w:val="none" w:sz="0" w:space="0" w:color="auto"/>
      </w:divBdr>
    </w:div>
    <w:div w:id="296301953">
      <w:bodyDiv w:val="1"/>
      <w:marLeft w:val="0"/>
      <w:marRight w:val="0"/>
      <w:marTop w:val="0"/>
      <w:marBottom w:val="0"/>
      <w:divBdr>
        <w:top w:val="none" w:sz="0" w:space="0" w:color="auto"/>
        <w:left w:val="none" w:sz="0" w:space="0" w:color="auto"/>
        <w:bottom w:val="none" w:sz="0" w:space="0" w:color="auto"/>
        <w:right w:val="none" w:sz="0" w:space="0" w:color="auto"/>
      </w:divBdr>
    </w:div>
    <w:div w:id="303892866">
      <w:bodyDiv w:val="1"/>
      <w:marLeft w:val="0"/>
      <w:marRight w:val="0"/>
      <w:marTop w:val="0"/>
      <w:marBottom w:val="0"/>
      <w:divBdr>
        <w:top w:val="none" w:sz="0" w:space="0" w:color="auto"/>
        <w:left w:val="none" w:sz="0" w:space="0" w:color="auto"/>
        <w:bottom w:val="none" w:sz="0" w:space="0" w:color="auto"/>
        <w:right w:val="none" w:sz="0" w:space="0" w:color="auto"/>
      </w:divBdr>
    </w:div>
    <w:div w:id="306010472">
      <w:bodyDiv w:val="1"/>
      <w:marLeft w:val="0"/>
      <w:marRight w:val="0"/>
      <w:marTop w:val="0"/>
      <w:marBottom w:val="0"/>
      <w:divBdr>
        <w:top w:val="none" w:sz="0" w:space="0" w:color="auto"/>
        <w:left w:val="none" w:sz="0" w:space="0" w:color="auto"/>
        <w:bottom w:val="none" w:sz="0" w:space="0" w:color="auto"/>
        <w:right w:val="none" w:sz="0" w:space="0" w:color="auto"/>
      </w:divBdr>
    </w:div>
    <w:div w:id="333385728">
      <w:bodyDiv w:val="1"/>
      <w:marLeft w:val="0"/>
      <w:marRight w:val="0"/>
      <w:marTop w:val="0"/>
      <w:marBottom w:val="0"/>
      <w:divBdr>
        <w:top w:val="none" w:sz="0" w:space="0" w:color="auto"/>
        <w:left w:val="none" w:sz="0" w:space="0" w:color="auto"/>
        <w:bottom w:val="none" w:sz="0" w:space="0" w:color="auto"/>
        <w:right w:val="none" w:sz="0" w:space="0" w:color="auto"/>
      </w:divBdr>
    </w:div>
    <w:div w:id="340856380">
      <w:bodyDiv w:val="1"/>
      <w:marLeft w:val="0"/>
      <w:marRight w:val="0"/>
      <w:marTop w:val="0"/>
      <w:marBottom w:val="0"/>
      <w:divBdr>
        <w:top w:val="none" w:sz="0" w:space="0" w:color="auto"/>
        <w:left w:val="none" w:sz="0" w:space="0" w:color="auto"/>
        <w:bottom w:val="none" w:sz="0" w:space="0" w:color="auto"/>
        <w:right w:val="none" w:sz="0" w:space="0" w:color="auto"/>
      </w:divBdr>
    </w:div>
    <w:div w:id="355429625">
      <w:bodyDiv w:val="1"/>
      <w:marLeft w:val="0"/>
      <w:marRight w:val="0"/>
      <w:marTop w:val="0"/>
      <w:marBottom w:val="0"/>
      <w:divBdr>
        <w:top w:val="none" w:sz="0" w:space="0" w:color="auto"/>
        <w:left w:val="none" w:sz="0" w:space="0" w:color="auto"/>
        <w:bottom w:val="none" w:sz="0" w:space="0" w:color="auto"/>
        <w:right w:val="none" w:sz="0" w:space="0" w:color="auto"/>
      </w:divBdr>
    </w:div>
    <w:div w:id="356858352">
      <w:bodyDiv w:val="1"/>
      <w:marLeft w:val="0"/>
      <w:marRight w:val="0"/>
      <w:marTop w:val="0"/>
      <w:marBottom w:val="0"/>
      <w:divBdr>
        <w:top w:val="none" w:sz="0" w:space="0" w:color="auto"/>
        <w:left w:val="none" w:sz="0" w:space="0" w:color="auto"/>
        <w:bottom w:val="none" w:sz="0" w:space="0" w:color="auto"/>
        <w:right w:val="none" w:sz="0" w:space="0" w:color="auto"/>
      </w:divBdr>
    </w:div>
    <w:div w:id="396897929">
      <w:bodyDiv w:val="1"/>
      <w:marLeft w:val="0"/>
      <w:marRight w:val="0"/>
      <w:marTop w:val="0"/>
      <w:marBottom w:val="0"/>
      <w:divBdr>
        <w:top w:val="none" w:sz="0" w:space="0" w:color="auto"/>
        <w:left w:val="none" w:sz="0" w:space="0" w:color="auto"/>
        <w:bottom w:val="none" w:sz="0" w:space="0" w:color="auto"/>
        <w:right w:val="none" w:sz="0" w:space="0" w:color="auto"/>
      </w:divBdr>
    </w:div>
    <w:div w:id="397634178">
      <w:bodyDiv w:val="1"/>
      <w:marLeft w:val="0"/>
      <w:marRight w:val="0"/>
      <w:marTop w:val="0"/>
      <w:marBottom w:val="0"/>
      <w:divBdr>
        <w:top w:val="none" w:sz="0" w:space="0" w:color="auto"/>
        <w:left w:val="none" w:sz="0" w:space="0" w:color="auto"/>
        <w:bottom w:val="none" w:sz="0" w:space="0" w:color="auto"/>
        <w:right w:val="none" w:sz="0" w:space="0" w:color="auto"/>
      </w:divBdr>
      <w:divsChild>
        <w:div w:id="1411930829">
          <w:marLeft w:val="274"/>
          <w:marRight w:val="0"/>
          <w:marTop w:val="0"/>
          <w:marBottom w:val="0"/>
          <w:divBdr>
            <w:top w:val="none" w:sz="0" w:space="0" w:color="auto"/>
            <w:left w:val="none" w:sz="0" w:space="0" w:color="auto"/>
            <w:bottom w:val="none" w:sz="0" w:space="0" w:color="auto"/>
            <w:right w:val="none" w:sz="0" w:space="0" w:color="auto"/>
          </w:divBdr>
        </w:div>
      </w:divsChild>
    </w:div>
    <w:div w:id="426081962">
      <w:bodyDiv w:val="1"/>
      <w:marLeft w:val="0"/>
      <w:marRight w:val="0"/>
      <w:marTop w:val="0"/>
      <w:marBottom w:val="0"/>
      <w:divBdr>
        <w:top w:val="none" w:sz="0" w:space="0" w:color="auto"/>
        <w:left w:val="none" w:sz="0" w:space="0" w:color="auto"/>
        <w:bottom w:val="none" w:sz="0" w:space="0" w:color="auto"/>
        <w:right w:val="none" w:sz="0" w:space="0" w:color="auto"/>
      </w:divBdr>
    </w:div>
    <w:div w:id="447167390">
      <w:bodyDiv w:val="1"/>
      <w:marLeft w:val="0"/>
      <w:marRight w:val="0"/>
      <w:marTop w:val="0"/>
      <w:marBottom w:val="0"/>
      <w:divBdr>
        <w:top w:val="none" w:sz="0" w:space="0" w:color="auto"/>
        <w:left w:val="none" w:sz="0" w:space="0" w:color="auto"/>
        <w:bottom w:val="none" w:sz="0" w:space="0" w:color="auto"/>
        <w:right w:val="none" w:sz="0" w:space="0" w:color="auto"/>
      </w:divBdr>
    </w:div>
    <w:div w:id="460609383">
      <w:bodyDiv w:val="1"/>
      <w:marLeft w:val="0"/>
      <w:marRight w:val="0"/>
      <w:marTop w:val="0"/>
      <w:marBottom w:val="0"/>
      <w:divBdr>
        <w:top w:val="none" w:sz="0" w:space="0" w:color="auto"/>
        <w:left w:val="none" w:sz="0" w:space="0" w:color="auto"/>
        <w:bottom w:val="none" w:sz="0" w:space="0" w:color="auto"/>
        <w:right w:val="none" w:sz="0" w:space="0" w:color="auto"/>
      </w:divBdr>
    </w:div>
    <w:div w:id="473910186">
      <w:bodyDiv w:val="1"/>
      <w:marLeft w:val="0"/>
      <w:marRight w:val="0"/>
      <w:marTop w:val="0"/>
      <w:marBottom w:val="0"/>
      <w:divBdr>
        <w:top w:val="none" w:sz="0" w:space="0" w:color="auto"/>
        <w:left w:val="none" w:sz="0" w:space="0" w:color="auto"/>
        <w:bottom w:val="none" w:sz="0" w:space="0" w:color="auto"/>
        <w:right w:val="none" w:sz="0" w:space="0" w:color="auto"/>
      </w:divBdr>
    </w:div>
    <w:div w:id="487596722">
      <w:bodyDiv w:val="1"/>
      <w:marLeft w:val="0"/>
      <w:marRight w:val="0"/>
      <w:marTop w:val="0"/>
      <w:marBottom w:val="0"/>
      <w:divBdr>
        <w:top w:val="none" w:sz="0" w:space="0" w:color="auto"/>
        <w:left w:val="none" w:sz="0" w:space="0" w:color="auto"/>
        <w:bottom w:val="none" w:sz="0" w:space="0" w:color="auto"/>
        <w:right w:val="none" w:sz="0" w:space="0" w:color="auto"/>
      </w:divBdr>
    </w:div>
    <w:div w:id="573005671">
      <w:bodyDiv w:val="1"/>
      <w:marLeft w:val="0"/>
      <w:marRight w:val="0"/>
      <w:marTop w:val="0"/>
      <w:marBottom w:val="0"/>
      <w:divBdr>
        <w:top w:val="none" w:sz="0" w:space="0" w:color="auto"/>
        <w:left w:val="none" w:sz="0" w:space="0" w:color="auto"/>
        <w:bottom w:val="none" w:sz="0" w:space="0" w:color="auto"/>
        <w:right w:val="none" w:sz="0" w:space="0" w:color="auto"/>
      </w:divBdr>
    </w:div>
    <w:div w:id="609242466">
      <w:bodyDiv w:val="1"/>
      <w:marLeft w:val="0"/>
      <w:marRight w:val="0"/>
      <w:marTop w:val="0"/>
      <w:marBottom w:val="0"/>
      <w:divBdr>
        <w:top w:val="none" w:sz="0" w:space="0" w:color="auto"/>
        <w:left w:val="none" w:sz="0" w:space="0" w:color="auto"/>
        <w:bottom w:val="none" w:sz="0" w:space="0" w:color="auto"/>
        <w:right w:val="none" w:sz="0" w:space="0" w:color="auto"/>
      </w:divBdr>
    </w:div>
    <w:div w:id="695277086">
      <w:bodyDiv w:val="1"/>
      <w:marLeft w:val="0"/>
      <w:marRight w:val="0"/>
      <w:marTop w:val="0"/>
      <w:marBottom w:val="0"/>
      <w:divBdr>
        <w:top w:val="none" w:sz="0" w:space="0" w:color="auto"/>
        <w:left w:val="none" w:sz="0" w:space="0" w:color="auto"/>
        <w:bottom w:val="none" w:sz="0" w:space="0" w:color="auto"/>
        <w:right w:val="none" w:sz="0" w:space="0" w:color="auto"/>
      </w:divBdr>
    </w:div>
    <w:div w:id="717629166">
      <w:bodyDiv w:val="1"/>
      <w:marLeft w:val="0"/>
      <w:marRight w:val="0"/>
      <w:marTop w:val="0"/>
      <w:marBottom w:val="0"/>
      <w:divBdr>
        <w:top w:val="none" w:sz="0" w:space="0" w:color="auto"/>
        <w:left w:val="none" w:sz="0" w:space="0" w:color="auto"/>
        <w:bottom w:val="none" w:sz="0" w:space="0" w:color="auto"/>
        <w:right w:val="none" w:sz="0" w:space="0" w:color="auto"/>
      </w:divBdr>
    </w:div>
    <w:div w:id="743727068">
      <w:bodyDiv w:val="1"/>
      <w:marLeft w:val="150"/>
      <w:marRight w:val="150"/>
      <w:marTop w:val="0"/>
      <w:marBottom w:val="0"/>
      <w:divBdr>
        <w:top w:val="none" w:sz="0" w:space="0" w:color="auto"/>
        <w:left w:val="none" w:sz="0" w:space="0" w:color="auto"/>
        <w:bottom w:val="none" w:sz="0" w:space="0" w:color="auto"/>
        <w:right w:val="none" w:sz="0" w:space="0" w:color="auto"/>
      </w:divBdr>
      <w:divsChild>
        <w:div w:id="1352755448">
          <w:marLeft w:val="0"/>
          <w:marRight w:val="0"/>
          <w:marTop w:val="0"/>
          <w:marBottom w:val="0"/>
          <w:divBdr>
            <w:top w:val="none" w:sz="0" w:space="0" w:color="auto"/>
            <w:left w:val="none" w:sz="0" w:space="0" w:color="auto"/>
            <w:bottom w:val="none" w:sz="0" w:space="0" w:color="auto"/>
            <w:right w:val="none" w:sz="0" w:space="0" w:color="auto"/>
          </w:divBdr>
          <w:divsChild>
            <w:div w:id="1491169143">
              <w:marLeft w:val="0"/>
              <w:marRight w:val="0"/>
              <w:marTop w:val="0"/>
              <w:marBottom w:val="0"/>
              <w:divBdr>
                <w:top w:val="single" w:sz="18" w:space="0" w:color="auto"/>
                <w:left w:val="none" w:sz="0" w:space="0" w:color="auto"/>
                <w:bottom w:val="none" w:sz="0" w:space="0" w:color="auto"/>
                <w:right w:val="none" w:sz="0" w:space="0" w:color="auto"/>
              </w:divBdr>
              <w:divsChild>
                <w:div w:id="1133671057">
                  <w:marLeft w:val="0"/>
                  <w:marRight w:val="0"/>
                  <w:marTop w:val="0"/>
                  <w:marBottom w:val="150"/>
                  <w:divBdr>
                    <w:top w:val="single" w:sz="18" w:space="0" w:color="222222"/>
                    <w:left w:val="none" w:sz="0" w:space="0" w:color="auto"/>
                    <w:bottom w:val="none" w:sz="0" w:space="0" w:color="auto"/>
                    <w:right w:val="none" w:sz="0" w:space="0" w:color="auto"/>
                  </w:divBdr>
                  <w:divsChild>
                    <w:div w:id="1760637647">
                      <w:marLeft w:val="0"/>
                      <w:marRight w:val="0"/>
                      <w:marTop w:val="0"/>
                      <w:marBottom w:val="0"/>
                      <w:divBdr>
                        <w:top w:val="none" w:sz="0" w:space="0" w:color="auto"/>
                        <w:left w:val="none" w:sz="0" w:space="0" w:color="auto"/>
                        <w:bottom w:val="none" w:sz="0" w:space="0" w:color="auto"/>
                        <w:right w:val="none" w:sz="0" w:space="0" w:color="auto"/>
                      </w:divBdr>
                      <w:divsChild>
                        <w:div w:id="447356616">
                          <w:marLeft w:val="0"/>
                          <w:marRight w:val="0"/>
                          <w:marTop w:val="0"/>
                          <w:marBottom w:val="0"/>
                          <w:divBdr>
                            <w:top w:val="none" w:sz="0" w:space="0" w:color="auto"/>
                            <w:left w:val="none" w:sz="0" w:space="0" w:color="auto"/>
                            <w:bottom w:val="none" w:sz="0" w:space="0" w:color="auto"/>
                            <w:right w:val="none" w:sz="0" w:space="0" w:color="auto"/>
                          </w:divBdr>
                          <w:divsChild>
                            <w:div w:id="17555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9567">
      <w:bodyDiv w:val="1"/>
      <w:marLeft w:val="0"/>
      <w:marRight w:val="0"/>
      <w:marTop w:val="0"/>
      <w:marBottom w:val="0"/>
      <w:divBdr>
        <w:top w:val="none" w:sz="0" w:space="0" w:color="auto"/>
        <w:left w:val="none" w:sz="0" w:space="0" w:color="auto"/>
        <w:bottom w:val="none" w:sz="0" w:space="0" w:color="auto"/>
        <w:right w:val="none" w:sz="0" w:space="0" w:color="auto"/>
      </w:divBdr>
    </w:div>
    <w:div w:id="787503521">
      <w:bodyDiv w:val="1"/>
      <w:marLeft w:val="0"/>
      <w:marRight w:val="0"/>
      <w:marTop w:val="0"/>
      <w:marBottom w:val="0"/>
      <w:divBdr>
        <w:top w:val="none" w:sz="0" w:space="0" w:color="auto"/>
        <w:left w:val="none" w:sz="0" w:space="0" w:color="auto"/>
        <w:bottom w:val="none" w:sz="0" w:space="0" w:color="auto"/>
        <w:right w:val="none" w:sz="0" w:space="0" w:color="auto"/>
      </w:divBdr>
    </w:div>
    <w:div w:id="803428592">
      <w:bodyDiv w:val="1"/>
      <w:marLeft w:val="0"/>
      <w:marRight w:val="0"/>
      <w:marTop w:val="0"/>
      <w:marBottom w:val="0"/>
      <w:divBdr>
        <w:top w:val="none" w:sz="0" w:space="0" w:color="auto"/>
        <w:left w:val="none" w:sz="0" w:space="0" w:color="auto"/>
        <w:bottom w:val="none" w:sz="0" w:space="0" w:color="auto"/>
        <w:right w:val="none" w:sz="0" w:space="0" w:color="auto"/>
      </w:divBdr>
    </w:div>
    <w:div w:id="831681002">
      <w:bodyDiv w:val="1"/>
      <w:marLeft w:val="0"/>
      <w:marRight w:val="0"/>
      <w:marTop w:val="0"/>
      <w:marBottom w:val="0"/>
      <w:divBdr>
        <w:top w:val="none" w:sz="0" w:space="0" w:color="auto"/>
        <w:left w:val="none" w:sz="0" w:space="0" w:color="auto"/>
        <w:bottom w:val="none" w:sz="0" w:space="0" w:color="auto"/>
        <w:right w:val="none" w:sz="0" w:space="0" w:color="auto"/>
      </w:divBdr>
    </w:div>
    <w:div w:id="867370759">
      <w:bodyDiv w:val="1"/>
      <w:marLeft w:val="0"/>
      <w:marRight w:val="0"/>
      <w:marTop w:val="0"/>
      <w:marBottom w:val="0"/>
      <w:divBdr>
        <w:top w:val="none" w:sz="0" w:space="0" w:color="auto"/>
        <w:left w:val="none" w:sz="0" w:space="0" w:color="auto"/>
        <w:bottom w:val="none" w:sz="0" w:space="0" w:color="auto"/>
        <w:right w:val="none" w:sz="0" w:space="0" w:color="auto"/>
      </w:divBdr>
    </w:div>
    <w:div w:id="978847508">
      <w:bodyDiv w:val="1"/>
      <w:marLeft w:val="0"/>
      <w:marRight w:val="0"/>
      <w:marTop w:val="0"/>
      <w:marBottom w:val="0"/>
      <w:divBdr>
        <w:top w:val="none" w:sz="0" w:space="0" w:color="auto"/>
        <w:left w:val="none" w:sz="0" w:space="0" w:color="auto"/>
        <w:bottom w:val="none" w:sz="0" w:space="0" w:color="auto"/>
        <w:right w:val="none" w:sz="0" w:space="0" w:color="auto"/>
      </w:divBdr>
    </w:div>
    <w:div w:id="1027024455">
      <w:bodyDiv w:val="1"/>
      <w:marLeft w:val="0"/>
      <w:marRight w:val="0"/>
      <w:marTop w:val="0"/>
      <w:marBottom w:val="0"/>
      <w:divBdr>
        <w:top w:val="none" w:sz="0" w:space="0" w:color="auto"/>
        <w:left w:val="none" w:sz="0" w:space="0" w:color="auto"/>
        <w:bottom w:val="none" w:sz="0" w:space="0" w:color="auto"/>
        <w:right w:val="none" w:sz="0" w:space="0" w:color="auto"/>
      </w:divBdr>
    </w:div>
    <w:div w:id="1033849025">
      <w:bodyDiv w:val="1"/>
      <w:marLeft w:val="0"/>
      <w:marRight w:val="0"/>
      <w:marTop w:val="0"/>
      <w:marBottom w:val="0"/>
      <w:divBdr>
        <w:top w:val="none" w:sz="0" w:space="0" w:color="auto"/>
        <w:left w:val="none" w:sz="0" w:space="0" w:color="auto"/>
        <w:bottom w:val="none" w:sz="0" w:space="0" w:color="auto"/>
        <w:right w:val="none" w:sz="0" w:space="0" w:color="auto"/>
      </w:divBdr>
    </w:div>
    <w:div w:id="1144587217">
      <w:bodyDiv w:val="1"/>
      <w:marLeft w:val="0"/>
      <w:marRight w:val="0"/>
      <w:marTop w:val="0"/>
      <w:marBottom w:val="0"/>
      <w:divBdr>
        <w:top w:val="none" w:sz="0" w:space="0" w:color="auto"/>
        <w:left w:val="none" w:sz="0" w:space="0" w:color="auto"/>
        <w:bottom w:val="none" w:sz="0" w:space="0" w:color="auto"/>
        <w:right w:val="none" w:sz="0" w:space="0" w:color="auto"/>
      </w:divBdr>
    </w:div>
    <w:div w:id="1167818125">
      <w:bodyDiv w:val="1"/>
      <w:marLeft w:val="0"/>
      <w:marRight w:val="0"/>
      <w:marTop w:val="0"/>
      <w:marBottom w:val="0"/>
      <w:divBdr>
        <w:top w:val="none" w:sz="0" w:space="0" w:color="auto"/>
        <w:left w:val="none" w:sz="0" w:space="0" w:color="auto"/>
        <w:bottom w:val="none" w:sz="0" w:space="0" w:color="auto"/>
        <w:right w:val="none" w:sz="0" w:space="0" w:color="auto"/>
      </w:divBdr>
    </w:div>
    <w:div w:id="1207372015">
      <w:bodyDiv w:val="1"/>
      <w:marLeft w:val="0"/>
      <w:marRight w:val="0"/>
      <w:marTop w:val="0"/>
      <w:marBottom w:val="0"/>
      <w:divBdr>
        <w:top w:val="none" w:sz="0" w:space="0" w:color="auto"/>
        <w:left w:val="none" w:sz="0" w:space="0" w:color="auto"/>
        <w:bottom w:val="none" w:sz="0" w:space="0" w:color="auto"/>
        <w:right w:val="none" w:sz="0" w:space="0" w:color="auto"/>
      </w:divBdr>
    </w:div>
    <w:div w:id="1226989996">
      <w:bodyDiv w:val="1"/>
      <w:marLeft w:val="0"/>
      <w:marRight w:val="0"/>
      <w:marTop w:val="0"/>
      <w:marBottom w:val="0"/>
      <w:divBdr>
        <w:top w:val="none" w:sz="0" w:space="0" w:color="auto"/>
        <w:left w:val="none" w:sz="0" w:space="0" w:color="auto"/>
        <w:bottom w:val="none" w:sz="0" w:space="0" w:color="auto"/>
        <w:right w:val="none" w:sz="0" w:space="0" w:color="auto"/>
      </w:divBdr>
    </w:div>
    <w:div w:id="1235386120">
      <w:bodyDiv w:val="1"/>
      <w:marLeft w:val="0"/>
      <w:marRight w:val="0"/>
      <w:marTop w:val="0"/>
      <w:marBottom w:val="0"/>
      <w:divBdr>
        <w:top w:val="none" w:sz="0" w:space="0" w:color="auto"/>
        <w:left w:val="none" w:sz="0" w:space="0" w:color="auto"/>
        <w:bottom w:val="none" w:sz="0" w:space="0" w:color="auto"/>
        <w:right w:val="none" w:sz="0" w:space="0" w:color="auto"/>
      </w:divBdr>
    </w:div>
    <w:div w:id="1253902940">
      <w:bodyDiv w:val="1"/>
      <w:marLeft w:val="0"/>
      <w:marRight w:val="0"/>
      <w:marTop w:val="0"/>
      <w:marBottom w:val="0"/>
      <w:divBdr>
        <w:top w:val="none" w:sz="0" w:space="0" w:color="auto"/>
        <w:left w:val="none" w:sz="0" w:space="0" w:color="auto"/>
        <w:bottom w:val="none" w:sz="0" w:space="0" w:color="auto"/>
        <w:right w:val="none" w:sz="0" w:space="0" w:color="auto"/>
      </w:divBdr>
    </w:div>
    <w:div w:id="1280261575">
      <w:bodyDiv w:val="1"/>
      <w:marLeft w:val="0"/>
      <w:marRight w:val="0"/>
      <w:marTop w:val="0"/>
      <w:marBottom w:val="0"/>
      <w:divBdr>
        <w:top w:val="none" w:sz="0" w:space="0" w:color="auto"/>
        <w:left w:val="none" w:sz="0" w:space="0" w:color="auto"/>
        <w:bottom w:val="none" w:sz="0" w:space="0" w:color="auto"/>
        <w:right w:val="none" w:sz="0" w:space="0" w:color="auto"/>
      </w:divBdr>
    </w:div>
    <w:div w:id="1303735966">
      <w:bodyDiv w:val="1"/>
      <w:marLeft w:val="0"/>
      <w:marRight w:val="0"/>
      <w:marTop w:val="0"/>
      <w:marBottom w:val="0"/>
      <w:divBdr>
        <w:top w:val="none" w:sz="0" w:space="0" w:color="auto"/>
        <w:left w:val="none" w:sz="0" w:space="0" w:color="auto"/>
        <w:bottom w:val="none" w:sz="0" w:space="0" w:color="auto"/>
        <w:right w:val="none" w:sz="0" w:space="0" w:color="auto"/>
      </w:divBdr>
    </w:div>
    <w:div w:id="1334533553">
      <w:bodyDiv w:val="1"/>
      <w:marLeft w:val="0"/>
      <w:marRight w:val="0"/>
      <w:marTop w:val="0"/>
      <w:marBottom w:val="0"/>
      <w:divBdr>
        <w:top w:val="none" w:sz="0" w:space="0" w:color="auto"/>
        <w:left w:val="none" w:sz="0" w:space="0" w:color="auto"/>
        <w:bottom w:val="none" w:sz="0" w:space="0" w:color="auto"/>
        <w:right w:val="none" w:sz="0" w:space="0" w:color="auto"/>
      </w:divBdr>
    </w:div>
    <w:div w:id="1376540168">
      <w:bodyDiv w:val="1"/>
      <w:marLeft w:val="0"/>
      <w:marRight w:val="0"/>
      <w:marTop w:val="0"/>
      <w:marBottom w:val="0"/>
      <w:divBdr>
        <w:top w:val="none" w:sz="0" w:space="0" w:color="auto"/>
        <w:left w:val="none" w:sz="0" w:space="0" w:color="auto"/>
        <w:bottom w:val="none" w:sz="0" w:space="0" w:color="auto"/>
        <w:right w:val="none" w:sz="0" w:space="0" w:color="auto"/>
      </w:divBdr>
    </w:div>
    <w:div w:id="1417631696">
      <w:bodyDiv w:val="1"/>
      <w:marLeft w:val="0"/>
      <w:marRight w:val="0"/>
      <w:marTop w:val="0"/>
      <w:marBottom w:val="0"/>
      <w:divBdr>
        <w:top w:val="none" w:sz="0" w:space="0" w:color="auto"/>
        <w:left w:val="none" w:sz="0" w:space="0" w:color="auto"/>
        <w:bottom w:val="none" w:sz="0" w:space="0" w:color="auto"/>
        <w:right w:val="none" w:sz="0" w:space="0" w:color="auto"/>
      </w:divBdr>
    </w:div>
    <w:div w:id="1466191934">
      <w:bodyDiv w:val="1"/>
      <w:marLeft w:val="0"/>
      <w:marRight w:val="0"/>
      <w:marTop w:val="0"/>
      <w:marBottom w:val="0"/>
      <w:divBdr>
        <w:top w:val="none" w:sz="0" w:space="0" w:color="auto"/>
        <w:left w:val="none" w:sz="0" w:space="0" w:color="auto"/>
        <w:bottom w:val="none" w:sz="0" w:space="0" w:color="auto"/>
        <w:right w:val="none" w:sz="0" w:space="0" w:color="auto"/>
      </w:divBdr>
    </w:div>
    <w:div w:id="1475221750">
      <w:bodyDiv w:val="1"/>
      <w:marLeft w:val="0"/>
      <w:marRight w:val="0"/>
      <w:marTop w:val="0"/>
      <w:marBottom w:val="0"/>
      <w:divBdr>
        <w:top w:val="none" w:sz="0" w:space="0" w:color="auto"/>
        <w:left w:val="none" w:sz="0" w:space="0" w:color="auto"/>
        <w:bottom w:val="none" w:sz="0" w:space="0" w:color="auto"/>
        <w:right w:val="none" w:sz="0" w:space="0" w:color="auto"/>
      </w:divBdr>
    </w:div>
    <w:div w:id="1482036563">
      <w:bodyDiv w:val="1"/>
      <w:marLeft w:val="0"/>
      <w:marRight w:val="0"/>
      <w:marTop w:val="0"/>
      <w:marBottom w:val="0"/>
      <w:divBdr>
        <w:top w:val="none" w:sz="0" w:space="0" w:color="auto"/>
        <w:left w:val="none" w:sz="0" w:space="0" w:color="auto"/>
        <w:bottom w:val="none" w:sz="0" w:space="0" w:color="auto"/>
        <w:right w:val="none" w:sz="0" w:space="0" w:color="auto"/>
      </w:divBdr>
    </w:div>
    <w:div w:id="1537934709">
      <w:bodyDiv w:val="1"/>
      <w:marLeft w:val="0"/>
      <w:marRight w:val="0"/>
      <w:marTop w:val="0"/>
      <w:marBottom w:val="0"/>
      <w:divBdr>
        <w:top w:val="none" w:sz="0" w:space="0" w:color="auto"/>
        <w:left w:val="none" w:sz="0" w:space="0" w:color="auto"/>
        <w:bottom w:val="none" w:sz="0" w:space="0" w:color="auto"/>
        <w:right w:val="none" w:sz="0" w:space="0" w:color="auto"/>
      </w:divBdr>
    </w:div>
    <w:div w:id="1619987070">
      <w:bodyDiv w:val="1"/>
      <w:marLeft w:val="0"/>
      <w:marRight w:val="0"/>
      <w:marTop w:val="0"/>
      <w:marBottom w:val="0"/>
      <w:divBdr>
        <w:top w:val="none" w:sz="0" w:space="0" w:color="auto"/>
        <w:left w:val="none" w:sz="0" w:space="0" w:color="auto"/>
        <w:bottom w:val="none" w:sz="0" w:space="0" w:color="auto"/>
        <w:right w:val="none" w:sz="0" w:space="0" w:color="auto"/>
      </w:divBdr>
    </w:div>
    <w:div w:id="1620793384">
      <w:bodyDiv w:val="1"/>
      <w:marLeft w:val="150"/>
      <w:marRight w:val="150"/>
      <w:marTop w:val="0"/>
      <w:marBottom w:val="0"/>
      <w:divBdr>
        <w:top w:val="none" w:sz="0" w:space="0" w:color="auto"/>
        <w:left w:val="none" w:sz="0" w:space="0" w:color="auto"/>
        <w:bottom w:val="none" w:sz="0" w:space="0" w:color="auto"/>
        <w:right w:val="none" w:sz="0" w:space="0" w:color="auto"/>
      </w:divBdr>
      <w:divsChild>
        <w:div w:id="685979774">
          <w:marLeft w:val="0"/>
          <w:marRight w:val="0"/>
          <w:marTop w:val="0"/>
          <w:marBottom w:val="0"/>
          <w:divBdr>
            <w:top w:val="none" w:sz="0" w:space="0" w:color="auto"/>
            <w:left w:val="none" w:sz="0" w:space="0" w:color="auto"/>
            <w:bottom w:val="none" w:sz="0" w:space="0" w:color="auto"/>
            <w:right w:val="none" w:sz="0" w:space="0" w:color="auto"/>
          </w:divBdr>
          <w:divsChild>
            <w:div w:id="1034040828">
              <w:marLeft w:val="0"/>
              <w:marRight w:val="0"/>
              <w:marTop w:val="0"/>
              <w:marBottom w:val="0"/>
              <w:divBdr>
                <w:top w:val="single" w:sz="18" w:space="0" w:color="auto"/>
                <w:left w:val="none" w:sz="0" w:space="0" w:color="auto"/>
                <w:bottom w:val="none" w:sz="0" w:space="0" w:color="auto"/>
                <w:right w:val="none" w:sz="0" w:space="0" w:color="auto"/>
              </w:divBdr>
              <w:divsChild>
                <w:div w:id="211161885">
                  <w:marLeft w:val="0"/>
                  <w:marRight w:val="0"/>
                  <w:marTop w:val="0"/>
                  <w:marBottom w:val="150"/>
                  <w:divBdr>
                    <w:top w:val="single" w:sz="18" w:space="0" w:color="222222"/>
                    <w:left w:val="none" w:sz="0" w:space="0" w:color="auto"/>
                    <w:bottom w:val="none" w:sz="0" w:space="0" w:color="auto"/>
                    <w:right w:val="none" w:sz="0" w:space="0" w:color="auto"/>
                  </w:divBdr>
                  <w:divsChild>
                    <w:div w:id="352731921">
                      <w:marLeft w:val="0"/>
                      <w:marRight w:val="0"/>
                      <w:marTop w:val="0"/>
                      <w:marBottom w:val="0"/>
                      <w:divBdr>
                        <w:top w:val="none" w:sz="0" w:space="0" w:color="auto"/>
                        <w:left w:val="none" w:sz="0" w:space="0" w:color="auto"/>
                        <w:bottom w:val="none" w:sz="0" w:space="0" w:color="auto"/>
                        <w:right w:val="none" w:sz="0" w:space="0" w:color="auto"/>
                      </w:divBdr>
                      <w:divsChild>
                        <w:div w:id="1591237696">
                          <w:marLeft w:val="0"/>
                          <w:marRight w:val="0"/>
                          <w:marTop w:val="0"/>
                          <w:marBottom w:val="0"/>
                          <w:divBdr>
                            <w:top w:val="none" w:sz="0" w:space="0" w:color="auto"/>
                            <w:left w:val="none" w:sz="0" w:space="0" w:color="auto"/>
                            <w:bottom w:val="none" w:sz="0" w:space="0" w:color="auto"/>
                            <w:right w:val="none" w:sz="0" w:space="0" w:color="auto"/>
                          </w:divBdr>
                          <w:divsChild>
                            <w:div w:id="5020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945243">
      <w:bodyDiv w:val="1"/>
      <w:marLeft w:val="0"/>
      <w:marRight w:val="0"/>
      <w:marTop w:val="0"/>
      <w:marBottom w:val="0"/>
      <w:divBdr>
        <w:top w:val="none" w:sz="0" w:space="0" w:color="auto"/>
        <w:left w:val="none" w:sz="0" w:space="0" w:color="auto"/>
        <w:bottom w:val="none" w:sz="0" w:space="0" w:color="auto"/>
        <w:right w:val="none" w:sz="0" w:space="0" w:color="auto"/>
      </w:divBdr>
    </w:div>
    <w:div w:id="1675299934">
      <w:bodyDiv w:val="1"/>
      <w:marLeft w:val="0"/>
      <w:marRight w:val="0"/>
      <w:marTop w:val="0"/>
      <w:marBottom w:val="0"/>
      <w:divBdr>
        <w:top w:val="none" w:sz="0" w:space="0" w:color="auto"/>
        <w:left w:val="none" w:sz="0" w:space="0" w:color="auto"/>
        <w:bottom w:val="none" w:sz="0" w:space="0" w:color="auto"/>
        <w:right w:val="none" w:sz="0" w:space="0" w:color="auto"/>
      </w:divBdr>
    </w:div>
    <w:div w:id="1694115064">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4701">
          <w:marLeft w:val="0"/>
          <w:marRight w:val="0"/>
          <w:marTop w:val="0"/>
          <w:marBottom w:val="0"/>
          <w:divBdr>
            <w:top w:val="none" w:sz="0" w:space="0" w:color="auto"/>
            <w:left w:val="none" w:sz="0" w:space="0" w:color="auto"/>
            <w:bottom w:val="none" w:sz="0" w:space="0" w:color="auto"/>
            <w:right w:val="none" w:sz="0" w:space="0" w:color="auto"/>
          </w:divBdr>
          <w:divsChild>
            <w:div w:id="581915162">
              <w:marLeft w:val="0"/>
              <w:marRight w:val="0"/>
              <w:marTop w:val="0"/>
              <w:marBottom w:val="0"/>
              <w:divBdr>
                <w:top w:val="single" w:sz="18" w:space="0" w:color="auto"/>
                <w:left w:val="none" w:sz="0" w:space="0" w:color="auto"/>
                <w:bottom w:val="none" w:sz="0" w:space="0" w:color="auto"/>
                <w:right w:val="none" w:sz="0" w:space="0" w:color="auto"/>
              </w:divBdr>
              <w:divsChild>
                <w:div w:id="701629938">
                  <w:marLeft w:val="0"/>
                  <w:marRight w:val="0"/>
                  <w:marTop w:val="0"/>
                  <w:marBottom w:val="150"/>
                  <w:divBdr>
                    <w:top w:val="single" w:sz="18" w:space="0" w:color="222222"/>
                    <w:left w:val="none" w:sz="0" w:space="0" w:color="auto"/>
                    <w:bottom w:val="none" w:sz="0" w:space="0" w:color="auto"/>
                    <w:right w:val="none" w:sz="0" w:space="0" w:color="auto"/>
                  </w:divBdr>
                  <w:divsChild>
                    <w:div w:id="122358636">
                      <w:marLeft w:val="0"/>
                      <w:marRight w:val="0"/>
                      <w:marTop w:val="0"/>
                      <w:marBottom w:val="0"/>
                      <w:divBdr>
                        <w:top w:val="none" w:sz="0" w:space="0" w:color="auto"/>
                        <w:left w:val="none" w:sz="0" w:space="0" w:color="auto"/>
                        <w:bottom w:val="none" w:sz="0" w:space="0" w:color="auto"/>
                        <w:right w:val="none" w:sz="0" w:space="0" w:color="auto"/>
                      </w:divBdr>
                      <w:divsChild>
                        <w:div w:id="962541602">
                          <w:marLeft w:val="0"/>
                          <w:marRight w:val="0"/>
                          <w:marTop w:val="0"/>
                          <w:marBottom w:val="0"/>
                          <w:divBdr>
                            <w:top w:val="none" w:sz="0" w:space="0" w:color="auto"/>
                            <w:left w:val="none" w:sz="0" w:space="0" w:color="auto"/>
                            <w:bottom w:val="none" w:sz="0" w:space="0" w:color="auto"/>
                            <w:right w:val="none" w:sz="0" w:space="0" w:color="auto"/>
                          </w:divBdr>
                          <w:divsChild>
                            <w:div w:id="17696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4343">
      <w:bodyDiv w:val="1"/>
      <w:marLeft w:val="0"/>
      <w:marRight w:val="0"/>
      <w:marTop w:val="0"/>
      <w:marBottom w:val="0"/>
      <w:divBdr>
        <w:top w:val="none" w:sz="0" w:space="0" w:color="auto"/>
        <w:left w:val="none" w:sz="0" w:space="0" w:color="auto"/>
        <w:bottom w:val="none" w:sz="0" w:space="0" w:color="auto"/>
        <w:right w:val="none" w:sz="0" w:space="0" w:color="auto"/>
      </w:divBdr>
    </w:div>
    <w:div w:id="1740982269">
      <w:bodyDiv w:val="1"/>
      <w:marLeft w:val="0"/>
      <w:marRight w:val="0"/>
      <w:marTop w:val="0"/>
      <w:marBottom w:val="0"/>
      <w:divBdr>
        <w:top w:val="none" w:sz="0" w:space="0" w:color="auto"/>
        <w:left w:val="none" w:sz="0" w:space="0" w:color="auto"/>
        <w:bottom w:val="none" w:sz="0" w:space="0" w:color="auto"/>
        <w:right w:val="none" w:sz="0" w:space="0" w:color="auto"/>
      </w:divBdr>
    </w:div>
    <w:div w:id="1749768218">
      <w:bodyDiv w:val="1"/>
      <w:marLeft w:val="0"/>
      <w:marRight w:val="0"/>
      <w:marTop w:val="0"/>
      <w:marBottom w:val="0"/>
      <w:divBdr>
        <w:top w:val="none" w:sz="0" w:space="0" w:color="auto"/>
        <w:left w:val="none" w:sz="0" w:space="0" w:color="auto"/>
        <w:bottom w:val="none" w:sz="0" w:space="0" w:color="auto"/>
        <w:right w:val="none" w:sz="0" w:space="0" w:color="auto"/>
      </w:divBdr>
    </w:div>
    <w:div w:id="1750271325">
      <w:bodyDiv w:val="1"/>
      <w:marLeft w:val="0"/>
      <w:marRight w:val="0"/>
      <w:marTop w:val="0"/>
      <w:marBottom w:val="0"/>
      <w:divBdr>
        <w:top w:val="none" w:sz="0" w:space="0" w:color="auto"/>
        <w:left w:val="none" w:sz="0" w:space="0" w:color="auto"/>
        <w:bottom w:val="none" w:sz="0" w:space="0" w:color="auto"/>
        <w:right w:val="none" w:sz="0" w:space="0" w:color="auto"/>
      </w:divBdr>
    </w:div>
    <w:div w:id="1791899122">
      <w:bodyDiv w:val="1"/>
      <w:marLeft w:val="0"/>
      <w:marRight w:val="0"/>
      <w:marTop w:val="0"/>
      <w:marBottom w:val="0"/>
      <w:divBdr>
        <w:top w:val="none" w:sz="0" w:space="0" w:color="auto"/>
        <w:left w:val="none" w:sz="0" w:space="0" w:color="auto"/>
        <w:bottom w:val="none" w:sz="0" w:space="0" w:color="auto"/>
        <w:right w:val="none" w:sz="0" w:space="0" w:color="auto"/>
      </w:divBdr>
      <w:divsChild>
        <w:div w:id="1217279569">
          <w:marLeft w:val="576"/>
          <w:marRight w:val="0"/>
          <w:marTop w:val="80"/>
          <w:marBottom w:val="0"/>
          <w:divBdr>
            <w:top w:val="none" w:sz="0" w:space="0" w:color="auto"/>
            <w:left w:val="none" w:sz="0" w:space="0" w:color="auto"/>
            <w:bottom w:val="none" w:sz="0" w:space="0" w:color="auto"/>
            <w:right w:val="none" w:sz="0" w:space="0" w:color="auto"/>
          </w:divBdr>
        </w:div>
      </w:divsChild>
    </w:div>
    <w:div w:id="1813329498">
      <w:bodyDiv w:val="1"/>
      <w:marLeft w:val="0"/>
      <w:marRight w:val="0"/>
      <w:marTop w:val="0"/>
      <w:marBottom w:val="0"/>
      <w:divBdr>
        <w:top w:val="none" w:sz="0" w:space="0" w:color="auto"/>
        <w:left w:val="none" w:sz="0" w:space="0" w:color="auto"/>
        <w:bottom w:val="none" w:sz="0" w:space="0" w:color="auto"/>
        <w:right w:val="none" w:sz="0" w:space="0" w:color="auto"/>
      </w:divBdr>
    </w:div>
    <w:div w:id="1889300957">
      <w:bodyDiv w:val="1"/>
      <w:marLeft w:val="0"/>
      <w:marRight w:val="0"/>
      <w:marTop w:val="0"/>
      <w:marBottom w:val="0"/>
      <w:divBdr>
        <w:top w:val="none" w:sz="0" w:space="0" w:color="auto"/>
        <w:left w:val="none" w:sz="0" w:space="0" w:color="auto"/>
        <w:bottom w:val="none" w:sz="0" w:space="0" w:color="auto"/>
        <w:right w:val="none" w:sz="0" w:space="0" w:color="auto"/>
      </w:divBdr>
    </w:div>
    <w:div w:id="1957442069">
      <w:bodyDiv w:val="1"/>
      <w:marLeft w:val="0"/>
      <w:marRight w:val="0"/>
      <w:marTop w:val="0"/>
      <w:marBottom w:val="0"/>
      <w:divBdr>
        <w:top w:val="none" w:sz="0" w:space="0" w:color="auto"/>
        <w:left w:val="none" w:sz="0" w:space="0" w:color="auto"/>
        <w:bottom w:val="none" w:sz="0" w:space="0" w:color="auto"/>
        <w:right w:val="none" w:sz="0" w:space="0" w:color="auto"/>
      </w:divBdr>
    </w:div>
    <w:div w:id="1963030139">
      <w:bodyDiv w:val="1"/>
      <w:marLeft w:val="0"/>
      <w:marRight w:val="0"/>
      <w:marTop w:val="0"/>
      <w:marBottom w:val="0"/>
      <w:divBdr>
        <w:top w:val="none" w:sz="0" w:space="0" w:color="auto"/>
        <w:left w:val="none" w:sz="0" w:space="0" w:color="auto"/>
        <w:bottom w:val="none" w:sz="0" w:space="0" w:color="auto"/>
        <w:right w:val="none" w:sz="0" w:space="0" w:color="auto"/>
      </w:divBdr>
    </w:div>
    <w:div w:id="2056536333">
      <w:bodyDiv w:val="1"/>
      <w:marLeft w:val="0"/>
      <w:marRight w:val="0"/>
      <w:marTop w:val="0"/>
      <w:marBottom w:val="0"/>
      <w:divBdr>
        <w:top w:val="none" w:sz="0" w:space="0" w:color="auto"/>
        <w:left w:val="none" w:sz="0" w:space="0" w:color="auto"/>
        <w:bottom w:val="none" w:sz="0" w:space="0" w:color="auto"/>
        <w:right w:val="none" w:sz="0" w:space="0" w:color="auto"/>
      </w:divBdr>
    </w:div>
    <w:div w:id="2097480951">
      <w:bodyDiv w:val="1"/>
      <w:marLeft w:val="150"/>
      <w:marRight w:val="150"/>
      <w:marTop w:val="0"/>
      <w:marBottom w:val="0"/>
      <w:divBdr>
        <w:top w:val="none" w:sz="0" w:space="0" w:color="auto"/>
        <w:left w:val="none" w:sz="0" w:space="0" w:color="auto"/>
        <w:bottom w:val="none" w:sz="0" w:space="0" w:color="auto"/>
        <w:right w:val="none" w:sz="0" w:space="0" w:color="auto"/>
      </w:divBdr>
      <w:divsChild>
        <w:div w:id="1417359356">
          <w:marLeft w:val="0"/>
          <w:marRight w:val="0"/>
          <w:marTop w:val="0"/>
          <w:marBottom w:val="0"/>
          <w:divBdr>
            <w:top w:val="none" w:sz="0" w:space="0" w:color="auto"/>
            <w:left w:val="none" w:sz="0" w:space="0" w:color="auto"/>
            <w:bottom w:val="none" w:sz="0" w:space="0" w:color="auto"/>
            <w:right w:val="none" w:sz="0" w:space="0" w:color="auto"/>
          </w:divBdr>
          <w:divsChild>
            <w:div w:id="2056470298">
              <w:marLeft w:val="0"/>
              <w:marRight w:val="0"/>
              <w:marTop w:val="0"/>
              <w:marBottom w:val="0"/>
              <w:divBdr>
                <w:top w:val="single" w:sz="18" w:space="0" w:color="auto"/>
                <w:left w:val="none" w:sz="0" w:space="0" w:color="auto"/>
                <w:bottom w:val="none" w:sz="0" w:space="0" w:color="auto"/>
                <w:right w:val="none" w:sz="0" w:space="0" w:color="auto"/>
              </w:divBdr>
              <w:divsChild>
                <w:div w:id="1344668118">
                  <w:marLeft w:val="0"/>
                  <w:marRight w:val="0"/>
                  <w:marTop w:val="0"/>
                  <w:marBottom w:val="150"/>
                  <w:divBdr>
                    <w:top w:val="single" w:sz="18" w:space="0" w:color="222222"/>
                    <w:left w:val="none" w:sz="0" w:space="0" w:color="auto"/>
                    <w:bottom w:val="none" w:sz="0" w:space="0" w:color="auto"/>
                    <w:right w:val="none" w:sz="0" w:space="0" w:color="auto"/>
                  </w:divBdr>
                  <w:divsChild>
                    <w:div w:id="156041288">
                      <w:marLeft w:val="0"/>
                      <w:marRight w:val="0"/>
                      <w:marTop w:val="0"/>
                      <w:marBottom w:val="0"/>
                      <w:divBdr>
                        <w:top w:val="none" w:sz="0" w:space="0" w:color="auto"/>
                        <w:left w:val="none" w:sz="0" w:space="0" w:color="auto"/>
                        <w:bottom w:val="none" w:sz="0" w:space="0" w:color="auto"/>
                        <w:right w:val="none" w:sz="0" w:space="0" w:color="auto"/>
                      </w:divBdr>
                      <w:divsChild>
                        <w:div w:id="1565993470">
                          <w:marLeft w:val="0"/>
                          <w:marRight w:val="0"/>
                          <w:marTop w:val="0"/>
                          <w:marBottom w:val="0"/>
                          <w:divBdr>
                            <w:top w:val="none" w:sz="0" w:space="0" w:color="auto"/>
                            <w:left w:val="none" w:sz="0" w:space="0" w:color="auto"/>
                            <w:bottom w:val="none" w:sz="0" w:space="0" w:color="auto"/>
                            <w:right w:val="none" w:sz="0" w:space="0" w:color="auto"/>
                          </w:divBdr>
                          <w:divsChild>
                            <w:div w:id="19005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96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apps.who.int/medicinedocs/en/d/Js4876e/5.5.html" TargetMode="External"/><Relationship Id="rId2" Type="http://schemas.openxmlformats.org/officeDocument/2006/relationships/hyperlink" Target="https://canceraustralia.gov.au/publications-and-resources/position-statements/overdiagnosis-mammographic-screening" TargetMode="External"/><Relationship Id="rId1" Type="http://schemas.openxmlformats.org/officeDocument/2006/relationships/hyperlink" Target="http://www.cancerscreening.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ayala\AppData\Roaming\Microsoft\Templates\1%20Proposal\Proposal%20template%20-%20Portrait.dotm" TargetMode="External"/></Relationships>
</file>

<file path=word/theme/theme1.xml><?xml version="1.0" encoding="utf-8"?>
<a:theme xmlns:a="http://schemas.openxmlformats.org/drawingml/2006/main" name="Office Theme">
  <a:themeElements>
    <a:clrScheme name="Nous">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DEDE8"/>
      </a:accent5>
      <a:accent6>
        <a:srgbClr val="25B3E0"/>
      </a:accent6>
      <a:hlink>
        <a:srgbClr val="0048C7"/>
      </a:hlink>
      <a:folHlink>
        <a:srgbClr val="0048C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2018-11-21T00:00:00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B462EA-10A7-4754-94DC-A6846B7C0C55}">
  <ds:schemaRefs>
    <ds:schemaRef ds:uri="176e9d42-f00c-4951-a3f2-ca011614ad33"/>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fb0f086-48d5-4e3a-9f7b-231172f33f89"/>
    <ds:schemaRef ds:uri="http://www.w3.org/XML/1998/namespace"/>
    <ds:schemaRef ds:uri="http://purl.org/dc/dcmitype/"/>
  </ds:schemaRefs>
</ds:datastoreItem>
</file>

<file path=customXml/itemProps3.xml><?xml version="1.0" encoding="utf-8"?>
<ds:datastoreItem xmlns:ds="http://schemas.openxmlformats.org/officeDocument/2006/customXml" ds:itemID="{183D5B4F-FB6D-4638-8E23-C9AABEEB5BF5}"/>
</file>

<file path=customXml/itemProps4.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5.xml><?xml version="1.0" encoding="utf-8"?>
<ds:datastoreItem xmlns:ds="http://schemas.openxmlformats.org/officeDocument/2006/customXml" ds:itemID="{E37E1996-25A5-4641-85EB-E5E9D5A4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template - Portrait.dotm</Template>
  <TotalTime>3</TotalTime>
  <Pages>27</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Evaluation Plan Summary – Accessible Version</vt:lpstr>
    </vt:vector>
  </TitlesOfParts>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Program expansion evaluation plan summary</dc:title>
  <dc:subject>Department of Health | Revised Evaluation Plan | 25 May 2018</dc:subject>
  <dc:creator>Department of Health</dc:creator>
  <cp:keywords>cancer; preventive health; women's health</cp:keywords>
  <cp:lastModifiedBy>McCay, Meryl</cp:lastModifiedBy>
  <cp:revision>3</cp:revision>
  <cp:lastPrinted>2018-11-21T06:00:00Z</cp:lastPrinted>
  <dcterms:created xsi:type="dcterms:W3CDTF">2018-12-20T02:56:00Z</dcterms:created>
  <dcterms:modified xsi:type="dcterms:W3CDTF">2019-09-16T05:29:00Z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y fmtid="{D5CDD505-2E9C-101B-9397-08002B2CF9AE}" pid="3" name="Document type">
    <vt:lpwstr>15;#Proposal (draft)|5388d702-2596-4c4c-a485-311bbbb96d1e</vt:lpwstr>
  </property>
  <property fmtid="{D5CDD505-2E9C-101B-9397-08002B2CF9AE}" pid="4" name="Project doc type">
    <vt:lpwstr>48;#E. Deliverables|0f05b71d-e5f3-4d2e-afe4-cc2f30331a3f</vt:lpwstr>
  </property>
  <property fmtid="{D5CDD505-2E9C-101B-9397-08002B2CF9AE}" pid="5" name="Doc type - level 2">
    <vt:lpwstr/>
  </property>
  <property fmtid="{D5CDD505-2E9C-101B-9397-08002B2CF9AE}" pid="6" name="Type 1 Doc - Level 1">
    <vt:lpwstr>48;#E. Deliverables|0f05b71d-e5f3-4d2e-afe4-cc2f30331a3f</vt:lpwstr>
  </property>
  <property fmtid="{D5CDD505-2E9C-101B-9397-08002B2CF9AE}" pid="7" name="Doc Type - Level 1">
    <vt:lpwstr/>
  </property>
</Properties>
</file>