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F0" w:rsidRDefault="00831CF0" w:rsidP="00831CF0">
      <w:pPr>
        <w:jc w:val="center"/>
        <w:outlineLvl w:val="0"/>
        <w:rPr>
          <w:rFonts w:ascii="Calibri" w:hAnsi="Calibri" w:cs="Calibri"/>
          <w:b/>
          <w:bCs/>
          <w:kern w:val="36"/>
          <w:sz w:val="32"/>
          <w:szCs w:val="32"/>
          <w:lang w:eastAsia="en-AU"/>
        </w:rPr>
      </w:pPr>
      <w:bookmarkStart w:id="0" w:name="_GoBack"/>
      <w:bookmarkEnd w:id="0"/>
      <w:r>
        <w:rPr>
          <w:rFonts w:ascii="Calibri" w:hAnsi="Calibri" w:cs="Calibri"/>
          <w:b/>
          <w:bCs/>
          <w:noProof/>
          <w:kern w:val="36"/>
          <w:sz w:val="32"/>
          <w:szCs w:val="32"/>
          <w:lang w:eastAsia="en-AU"/>
        </w:rPr>
        <w:drawing>
          <wp:inline distT="0" distB="0" distL="0" distR="0">
            <wp:extent cx="2046605" cy="830580"/>
            <wp:effectExtent l="0" t="0" r="0" b="7620"/>
            <wp:docPr id="2" name="Picture 2" title="BreastScree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 - tif - colour 300 dpi 7cm (D14-1475593).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605" cy="830580"/>
                    </a:xfrm>
                    <a:prstGeom prst="rect">
                      <a:avLst/>
                    </a:prstGeom>
                  </pic:spPr>
                </pic:pic>
              </a:graphicData>
            </a:graphic>
          </wp:inline>
        </w:drawing>
      </w:r>
    </w:p>
    <w:p w:rsidR="006941EE" w:rsidRPr="007A7888" w:rsidRDefault="006941EE" w:rsidP="00831CF0">
      <w:pPr>
        <w:jc w:val="center"/>
        <w:outlineLvl w:val="0"/>
        <w:rPr>
          <w:rFonts w:ascii="Calibri" w:hAnsi="Calibri" w:cs="Calibri"/>
          <w:b/>
          <w:bCs/>
          <w:kern w:val="36"/>
          <w:sz w:val="32"/>
          <w:szCs w:val="32"/>
          <w:lang w:eastAsia="en-AU"/>
        </w:rPr>
      </w:pPr>
      <w:r w:rsidRPr="007A7888">
        <w:rPr>
          <w:rFonts w:ascii="Calibri" w:hAnsi="Calibri" w:cs="Calibri"/>
          <w:b/>
          <w:bCs/>
          <w:kern w:val="36"/>
          <w:sz w:val="32"/>
          <w:szCs w:val="32"/>
          <w:lang w:eastAsia="en-AU"/>
        </w:rPr>
        <w:t xml:space="preserve">Position Statement on the use of Tomosynthesis within </w:t>
      </w:r>
      <w:r w:rsidRPr="007A7888">
        <w:rPr>
          <w:rFonts w:ascii="Calibri" w:hAnsi="Calibri" w:cs="Calibri"/>
          <w:b/>
          <w:bCs/>
          <w:kern w:val="36"/>
          <w:sz w:val="32"/>
          <w:szCs w:val="32"/>
          <w:lang w:eastAsia="en-AU"/>
        </w:rPr>
        <w:br/>
        <w:t>BreastScreen Australia Services</w:t>
      </w:r>
    </w:p>
    <w:p w:rsidR="006941EE" w:rsidRDefault="006941EE" w:rsidP="001224FB">
      <w:pPr>
        <w:spacing w:after="0"/>
        <w:rPr>
          <w:rFonts w:ascii="Calibri" w:hAnsi="Calibri" w:cs="Calibri"/>
          <w:sz w:val="22"/>
        </w:rPr>
      </w:pPr>
      <w:r w:rsidRPr="001224FB">
        <w:rPr>
          <w:rFonts w:ascii="Calibri" w:hAnsi="Calibri" w:cs="Calibri"/>
          <w:b/>
          <w:sz w:val="22"/>
        </w:rPr>
        <w:t>Breast tomosynthesis (3D mammography)</w:t>
      </w:r>
      <w:r w:rsidRPr="001224FB">
        <w:rPr>
          <w:rFonts w:ascii="Calibri" w:hAnsi="Calibri" w:cs="Calibri"/>
          <w:sz w:val="22"/>
        </w:rPr>
        <w:t xml:space="preserve"> is a new digital mammography technology that is in the early stages of testing and clinical evaluation for its possible benefits in screening and assessment.  Currently, BreastScreen Australia uses two-view digital mammography as the primary test to screen women for breast cancer</w:t>
      </w:r>
      <w:r w:rsidR="00413DED" w:rsidRPr="001224FB">
        <w:rPr>
          <w:rFonts w:ascii="Calibri" w:hAnsi="Calibri" w:cs="Calibri"/>
          <w:sz w:val="22"/>
        </w:rPr>
        <w:t>.</w:t>
      </w:r>
      <w:r w:rsidRPr="001224FB">
        <w:rPr>
          <w:rFonts w:ascii="Calibri" w:hAnsi="Calibri" w:cs="Calibri"/>
          <w:sz w:val="22"/>
        </w:rPr>
        <w:t xml:space="preserve"> </w:t>
      </w:r>
    </w:p>
    <w:p w:rsidR="001224FB" w:rsidRPr="001224FB" w:rsidRDefault="001224FB" w:rsidP="001224FB">
      <w:pPr>
        <w:spacing w:after="0"/>
        <w:rPr>
          <w:rFonts w:ascii="Calibri" w:hAnsi="Calibri" w:cs="Calibri"/>
          <w:sz w:val="22"/>
        </w:rPr>
      </w:pPr>
    </w:p>
    <w:p w:rsidR="00E106BC" w:rsidRDefault="00E106BC" w:rsidP="001224FB">
      <w:pPr>
        <w:spacing w:after="0"/>
        <w:rPr>
          <w:rFonts w:ascii="Calibri" w:hAnsi="Calibri" w:cs="Calibri"/>
          <w:sz w:val="22"/>
        </w:rPr>
      </w:pPr>
      <w:r w:rsidRPr="001224FB">
        <w:rPr>
          <w:rFonts w:ascii="Calibri" w:hAnsi="Calibri" w:cs="Calibri"/>
          <w:b/>
          <w:sz w:val="22"/>
        </w:rPr>
        <w:t xml:space="preserve">Tomosynthesis uses </w:t>
      </w:r>
      <w:r w:rsidRPr="001224FB">
        <w:rPr>
          <w:rFonts w:ascii="Calibri" w:hAnsi="Calibri" w:cs="Calibri"/>
          <w:sz w:val="22"/>
        </w:rPr>
        <w:t xml:space="preserve">a modified digital mammography unit </w:t>
      </w:r>
      <w:r w:rsidR="00364EF7" w:rsidRPr="001224FB">
        <w:rPr>
          <w:rFonts w:ascii="Calibri" w:hAnsi="Calibri" w:cs="Calibri"/>
          <w:sz w:val="22"/>
        </w:rPr>
        <w:t>to create</w:t>
      </w:r>
      <w:r w:rsidRPr="001224FB">
        <w:rPr>
          <w:rFonts w:ascii="Calibri" w:hAnsi="Calibri" w:cs="Calibri"/>
          <w:sz w:val="22"/>
        </w:rPr>
        <w:t xml:space="preserve"> 3D images</w:t>
      </w:r>
      <w:r w:rsidR="00E50D9B" w:rsidRPr="001224FB">
        <w:rPr>
          <w:rStyle w:val="EndnoteReference"/>
          <w:rFonts w:ascii="Calibri" w:hAnsi="Calibri"/>
          <w:sz w:val="22"/>
        </w:rPr>
        <w:endnoteReference w:id="2"/>
      </w:r>
      <w:r w:rsidRPr="001224FB">
        <w:rPr>
          <w:rFonts w:ascii="Calibri" w:hAnsi="Calibri" w:cs="Calibri"/>
          <w:sz w:val="22"/>
        </w:rPr>
        <w:t xml:space="preserve">.  A number of low-dose images (usually 11-25) </w:t>
      </w:r>
      <w:r w:rsidR="006C288C" w:rsidRPr="001224FB">
        <w:rPr>
          <w:rFonts w:ascii="Calibri" w:hAnsi="Calibri" w:cs="Calibri"/>
          <w:sz w:val="22"/>
        </w:rPr>
        <w:t xml:space="preserve">of a compressed breast </w:t>
      </w:r>
      <w:r w:rsidRPr="001224FB">
        <w:rPr>
          <w:rFonts w:ascii="Calibri" w:hAnsi="Calibri" w:cs="Calibri"/>
          <w:sz w:val="22"/>
        </w:rPr>
        <w:t>are taken from different angles</w:t>
      </w:r>
      <w:r w:rsidR="006D1FFE" w:rsidRPr="001224FB">
        <w:rPr>
          <w:rFonts w:ascii="Calibri" w:hAnsi="Calibri" w:cs="Calibri"/>
          <w:sz w:val="22"/>
        </w:rPr>
        <w:t xml:space="preserve"> and </w:t>
      </w:r>
      <w:r w:rsidRPr="001224FB">
        <w:rPr>
          <w:rFonts w:ascii="Calibri" w:hAnsi="Calibri" w:cs="Calibri"/>
          <w:sz w:val="22"/>
        </w:rPr>
        <w:t xml:space="preserve">then </w:t>
      </w:r>
      <w:r w:rsidR="006D1FFE" w:rsidRPr="001224FB">
        <w:rPr>
          <w:rFonts w:ascii="Calibri" w:hAnsi="Calibri" w:cs="Calibri"/>
          <w:sz w:val="22"/>
        </w:rPr>
        <w:t xml:space="preserve">digitally </w:t>
      </w:r>
      <w:r w:rsidRPr="001224FB">
        <w:rPr>
          <w:rFonts w:ascii="Calibri" w:hAnsi="Calibri" w:cs="Calibri"/>
          <w:sz w:val="22"/>
        </w:rPr>
        <w:t>reconstructed to create a 3D image</w:t>
      </w:r>
      <w:r w:rsidR="00A01D06" w:rsidRPr="001224FB">
        <w:rPr>
          <w:rStyle w:val="EndnoteReference"/>
          <w:rFonts w:ascii="Calibri" w:hAnsi="Calibri"/>
          <w:sz w:val="22"/>
        </w:rPr>
        <w:endnoteReference w:id="3"/>
      </w:r>
      <w:r w:rsidR="00E50D9B" w:rsidRPr="001224FB">
        <w:rPr>
          <w:rFonts w:ascii="Calibri" w:hAnsi="Calibri" w:cs="Calibri"/>
          <w:sz w:val="22"/>
        </w:rPr>
        <w:t>.</w:t>
      </w:r>
      <w:r w:rsidR="000D4BCD" w:rsidRPr="001224FB">
        <w:rPr>
          <w:rFonts w:ascii="Calibri" w:hAnsi="Calibri" w:cs="Calibri"/>
          <w:sz w:val="22"/>
        </w:rPr>
        <w:t xml:space="preserve">  The radiation dose with tomosynthesis may be higher </w:t>
      </w:r>
      <w:r w:rsidR="000A662F" w:rsidRPr="001224FB">
        <w:rPr>
          <w:rFonts w:ascii="Calibri" w:hAnsi="Calibri" w:cs="Calibri"/>
          <w:sz w:val="22"/>
        </w:rPr>
        <w:t xml:space="preserve">compared to </w:t>
      </w:r>
      <w:r w:rsidR="00FD2B04" w:rsidRPr="001224FB">
        <w:rPr>
          <w:rFonts w:ascii="Calibri" w:hAnsi="Calibri" w:cs="Calibri"/>
          <w:sz w:val="22"/>
        </w:rPr>
        <w:t>two-</w:t>
      </w:r>
      <w:r w:rsidR="000A662F" w:rsidRPr="001224FB">
        <w:rPr>
          <w:rFonts w:ascii="Calibri" w:hAnsi="Calibri" w:cs="Calibri"/>
          <w:sz w:val="22"/>
        </w:rPr>
        <w:t>view mammography</w:t>
      </w:r>
      <w:r w:rsidR="00D42662" w:rsidRPr="001224FB">
        <w:rPr>
          <w:rFonts w:ascii="Calibri" w:hAnsi="Calibri" w:cs="Calibri"/>
          <w:sz w:val="22"/>
        </w:rPr>
        <w:t>, however</w:t>
      </w:r>
      <w:r w:rsidR="000D4BCD" w:rsidRPr="001224FB">
        <w:rPr>
          <w:rFonts w:ascii="Calibri" w:hAnsi="Calibri" w:cs="Calibri"/>
          <w:sz w:val="22"/>
        </w:rPr>
        <w:t xml:space="preserve"> the evidence remains unclear</w:t>
      </w:r>
      <w:r w:rsidR="00A021FB" w:rsidRPr="001224FB">
        <w:rPr>
          <w:rFonts w:ascii="Calibri" w:hAnsi="Calibri" w:cs="Calibri"/>
          <w:sz w:val="22"/>
        </w:rPr>
        <w:t>.</w:t>
      </w:r>
      <w:r w:rsidR="00DF0DD8" w:rsidRPr="001224FB">
        <w:rPr>
          <w:rFonts w:ascii="Calibri" w:hAnsi="Calibri" w:cs="Calibri"/>
          <w:sz w:val="22"/>
        </w:rPr>
        <w:t xml:space="preserve"> </w:t>
      </w:r>
      <w:r w:rsidR="00A021FB" w:rsidRPr="001224FB">
        <w:rPr>
          <w:rStyle w:val="EndnoteReference"/>
          <w:rFonts w:ascii="Calibri" w:hAnsi="Calibri"/>
          <w:sz w:val="22"/>
        </w:rPr>
        <w:endnoteReference w:id="4"/>
      </w:r>
      <w:r w:rsidR="00DF0DD8" w:rsidRPr="001224FB">
        <w:rPr>
          <w:rFonts w:ascii="Calibri" w:hAnsi="Calibri" w:cs="Calibri"/>
          <w:sz w:val="22"/>
          <w:vertAlign w:val="superscript"/>
        </w:rPr>
        <w:t>,</w:t>
      </w:r>
      <w:r w:rsidR="00A021FB" w:rsidRPr="001224FB">
        <w:rPr>
          <w:rFonts w:ascii="Calibri" w:hAnsi="Calibri" w:cs="Calibri"/>
          <w:sz w:val="22"/>
          <w:vertAlign w:val="superscript"/>
        </w:rPr>
        <w:t xml:space="preserve"> </w:t>
      </w:r>
      <w:bookmarkStart w:id="1" w:name="_Ref400618359"/>
      <w:r w:rsidR="00A021FB" w:rsidRPr="001224FB">
        <w:rPr>
          <w:rStyle w:val="EndnoteReference"/>
          <w:rFonts w:ascii="Calibri" w:hAnsi="Calibri"/>
          <w:sz w:val="22"/>
        </w:rPr>
        <w:endnoteReference w:id="5"/>
      </w:r>
      <w:bookmarkEnd w:id="1"/>
      <w:r w:rsidR="000D4BCD" w:rsidRPr="001224FB">
        <w:rPr>
          <w:rFonts w:ascii="Calibri" w:hAnsi="Calibri" w:cs="Calibri"/>
          <w:sz w:val="22"/>
        </w:rPr>
        <w:t xml:space="preserve"> </w:t>
      </w:r>
    </w:p>
    <w:p w:rsidR="001224FB" w:rsidRPr="001224FB" w:rsidRDefault="001224FB" w:rsidP="001224FB">
      <w:pPr>
        <w:spacing w:after="0"/>
        <w:rPr>
          <w:rFonts w:ascii="Calibri" w:hAnsi="Calibri" w:cs="Calibri"/>
          <w:b/>
          <w:sz w:val="22"/>
        </w:rPr>
      </w:pPr>
    </w:p>
    <w:p w:rsidR="006941EE" w:rsidRDefault="006941EE" w:rsidP="001224FB">
      <w:pPr>
        <w:spacing w:after="0"/>
        <w:rPr>
          <w:rFonts w:ascii="Calibri" w:hAnsi="Calibri" w:cs="Calibri"/>
          <w:sz w:val="22"/>
        </w:rPr>
      </w:pPr>
      <w:r w:rsidRPr="001224FB">
        <w:rPr>
          <w:rFonts w:ascii="Calibri" w:hAnsi="Calibri" w:cs="Calibri"/>
          <w:b/>
          <w:sz w:val="22"/>
        </w:rPr>
        <w:t xml:space="preserve">Preliminary </w:t>
      </w:r>
      <w:r w:rsidR="005112F0" w:rsidRPr="001224FB">
        <w:rPr>
          <w:rFonts w:ascii="Calibri" w:hAnsi="Calibri" w:cs="Calibri"/>
          <w:b/>
          <w:sz w:val="22"/>
        </w:rPr>
        <w:t xml:space="preserve">study </w:t>
      </w:r>
      <w:r w:rsidRPr="001224FB">
        <w:rPr>
          <w:rFonts w:ascii="Calibri" w:hAnsi="Calibri" w:cs="Calibri"/>
          <w:b/>
          <w:sz w:val="22"/>
        </w:rPr>
        <w:t xml:space="preserve">results suggest </w:t>
      </w:r>
      <w:r w:rsidRPr="001224FB">
        <w:rPr>
          <w:rFonts w:ascii="Calibri" w:hAnsi="Calibri" w:cs="Calibri"/>
          <w:sz w:val="22"/>
        </w:rPr>
        <w:t xml:space="preserve">that tomosynthesis has </w:t>
      </w:r>
      <w:r w:rsidR="006E3710" w:rsidRPr="001224FB">
        <w:rPr>
          <w:rFonts w:ascii="Calibri" w:hAnsi="Calibri" w:cs="Calibri"/>
          <w:sz w:val="22"/>
        </w:rPr>
        <w:t xml:space="preserve">the </w:t>
      </w:r>
      <w:r w:rsidRPr="001224FB">
        <w:rPr>
          <w:rFonts w:ascii="Calibri" w:hAnsi="Calibri" w:cs="Calibri"/>
          <w:sz w:val="22"/>
        </w:rPr>
        <w:t>potential to decrease the number of women who are recalled for further tests (</w:t>
      </w:r>
      <w:r w:rsidR="00542A6C" w:rsidRPr="001224FB">
        <w:rPr>
          <w:rFonts w:ascii="Calibri" w:hAnsi="Calibri" w:cs="Calibri"/>
          <w:sz w:val="22"/>
        </w:rPr>
        <w:t xml:space="preserve">reduce </w:t>
      </w:r>
      <w:r w:rsidRPr="001224FB">
        <w:rPr>
          <w:rFonts w:ascii="Calibri" w:hAnsi="Calibri" w:cs="Calibri"/>
          <w:sz w:val="22"/>
        </w:rPr>
        <w:t>recall rates) and possibly increase the detection of breast cancer (</w:t>
      </w:r>
      <w:r w:rsidR="00542A6C" w:rsidRPr="001224FB">
        <w:rPr>
          <w:rFonts w:ascii="Calibri" w:hAnsi="Calibri" w:cs="Calibri"/>
          <w:sz w:val="22"/>
        </w:rPr>
        <w:t xml:space="preserve">improve </w:t>
      </w:r>
      <w:r w:rsidRPr="001224FB">
        <w:rPr>
          <w:rFonts w:ascii="Calibri" w:hAnsi="Calibri" w:cs="Calibri"/>
          <w:sz w:val="22"/>
        </w:rPr>
        <w:t xml:space="preserve">sensitivity). </w:t>
      </w:r>
      <w:r w:rsidR="00241972" w:rsidRPr="001224FB">
        <w:rPr>
          <w:rFonts w:ascii="Calibri" w:hAnsi="Calibri" w:cs="Calibri"/>
          <w:sz w:val="22"/>
        </w:rPr>
        <w:t xml:space="preserve"> </w:t>
      </w:r>
      <w:r w:rsidRPr="001224FB">
        <w:rPr>
          <w:rFonts w:ascii="Calibri" w:hAnsi="Calibri" w:cs="Calibri"/>
          <w:sz w:val="22"/>
        </w:rPr>
        <w:t xml:space="preserve">A number of small studies have shown favourable results when comparing tomosynthesis to digital mammography. </w:t>
      </w:r>
      <w:r w:rsidRPr="001224FB">
        <w:rPr>
          <w:rStyle w:val="EndnoteReference"/>
          <w:rFonts w:ascii="Calibri" w:hAnsi="Calibri" w:cs="Calibri"/>
          <w:sz w:val="22"/>
        </w:rPr>
        <w:endnoteReference w:id="6"/>
      </w:r>
      <w:r w:rsidRPr="001224FB">
        <w:rPr>
          <w:rFonts w:ascii="Calibri" w:hAnsi="Calibri" w:cs="Calibri"/>
          <w:sz w:val="22"/>
          <w:vertAlign w:val="superscript"/>
        </w:rPr>
        <w:t>,</w:t>
      </w:r>
      <w:r w:rsidRPr="001224FB">
        <w:rPr>
          <w:rStyle w:val="EndnoteReference"/>
          <w:rFonts w:ascii="Calibri" w:hAnsi="Calibri" w:cs="Calibri"/>
          <w:sz w:val="22"/>
        </w:rPr>
        <w:endnoteReference w:id="7"/>
      </w:r>
      <w:r w:rsidRPr="001224FB">
        <w:rPr>
          <w:rFonts w:ascii="Calibri" w:hAnsi="Calibri" w:cs="Calibri"/>
          <w:sz w:val="22"/>
          <w:vertAlign w:val="superscript"/>
        </w:rPr>
        <w:t>,</w:t>
      </w:r>
      <w:r w:rsidRPr="001224FB">
        <w:rPr>
          <w:rStyle w:val="EndnoteReference"/>
          <w:rFonts w:ascii="Calibri" w:hAnsi="Calibri" w:cs="Calibri"/>
          <w:sz w:val="22"/>
        </w:rPr>
        <w:endnoteReference w:id="8"/>
      </w:r>
      <w:r w:rsidRPr="001224FB">
        <w:rPr>
          <w:rFonts w:ascii="Calibri" w:hAnsi="Calibri" w:cs="Calibri"/>
          <w:sz w:val="22"/>
          <w:vertAlign w:val="superscript"/>
        </w:rPr>
        <w:t>,</w:t>
      </w:r>
      <w:r w:rsidRPr="001224FB">
        <w:rPr>
          <w:rStyle w:val="EndnoteReference"/>
          <w:rFonts w:ascii="Calibri" w:hAnsi="Calibri" w:cs="Calibri"/>
          <w:sz w:val="22"/>
        </w:rPr>
        <w:endnoteReference w:id="9"/>
      </w:r>
      <w:r w:rsidRPr="001224FB">
        <w:rPr>
          <w:rFonts w:ascii="Calibri" w:hAnsi="Calibri" w:cs="Calibri"/>
          <w:sz w:val="22"/>
          <w:vertAlign w:val="superscript"/>
        </w:rPr>
        <w:t>,</w:t>
      </w:r>
      <w:r w:rsidRPr="001224FB">
        <w:rPr>
          <w:rStyle w:val="EndnoteReference"/>
          <w:rFonts w:ascii="Calibri" w:hAnsi="Calibri" w:cs="Calibri"/>
          <w:sz w:val="22"/>
        </w:rPr>
        <w:endnoteReference w:id="10"/>
      </w:r>
      <w:r w:rsidRPr="001224FB">
        <w:rPr>
          <w:rFonts w:ascii="Calibri" w:hAnsi="Calibri" w:cs="Calibri"/>
          <w:sz w:val="22"/>
          <w:vertAlign w:val="superscript"/>
        </w:rPr>
        <w:t>,</w:t>
      </w:r>
      <w:r w:rsidRPr="001224FB">
        <w:rPr>
          <w:rStyle w:val="EndnoteReference"/>
          <w:rFonts w:ascii="Calibri" w:hAnsi="Calibri" w:cs="Calibri"/>
          <w:sz w:val="22"/>
        </w:rPr>
        <w:endnoteReference w:id="11"/>
      </w:r>
      <w:r w:rsidRPr="001224FB">
        <w:rPr>
          <w:rFonts w:ascii="Calibri" w:hAnsi="Calibri" w:cs="Calibri"/>
          <w:sz w:val="22"/>
        </w:rPr>
        <w:t xml:space="preserve"> </w:t>
      </w:r>
      <w:r w:rsidR="004258B4" w:rsidRPr="001224FB">
        <w:rPr>
          <w:rStyle w:val="EndnoteReference"/>
          <w:rFonts w:ascii="Calibri" w:hAnsi="Calibri"/>
          <w:sz w:val="22"/>
        </w:rPr>
        <w:endnoteReference w:id="12"/>
      </w:r>
    </w:p>
    <w:p w:rsidR="001224FB" w:rsidRPr="001224FB" w:rsidRDefault="001224FB" w:rsidP="001224FB">
      <w:pPr>
        <w:spacing w:after="0"/>
        <w:rPr>
          <w:rFonts w:ascii="Calibri" w:hAnsi="Calibri" w:cs="Calibri"/>
          <w:sz w:val="22"/>
        </w:rPr>
      </w:pPr>
    </w:p>
    <w:p w:rsidR="00266EBD" w:rsidRDefault="00266EBD" w:rsidP="001224FB">
      <w:pPr>
        <w:spacing w:after="0"/>
        <w:rPr>
          <w:rFonts w:ascii="Calibri" w:hAnsi="Calibri" w:cs="Calibri"/>
          <w:sz w:val="22"/>
        </w:rPr>
      </w:pPr>
      <w:r w:rsidRPr="001224FB">
        <w:rPr>
          <w:rFonts w:ascii="Calibri" w:hAnsi="Calibri" w:cs="Calibri"/>
          <w:b/>
          <w:sz w:val="22"/>
        </w:rPr>
        <w:t>BreastScreen Australia</w:t>
      </w:r>
      <w:r w:rsidRPr="001224FB">
        <w:rPr>
          <w:rFonts w:ascii="Calibri" w:hAnsi="Calibri" w:cs="Calibri"/>
          <w:sz w:val="22"/>
        </w:rPr>
        <w:t xml:space="preserve"> is a population based screening program for well women, and robust evidence is required before tomosynthesis could be used</w:t>
      </w:r>
      <w:r w:rsidR="00241972" w:rsidRPr="001224FB">
        <w:rPr>
          <w:rFonts w:ascii="Calibri" w:hAnsi="Calibri" w:cs="Calibri"/>
          <w:sz w:val="22"/>
        </w:rPr>
        <w:t xml:space="preserve"> as a routine screening tool. </w:t>
      </w:r>
      <w:r w:rsidRPr="001224FB">
        <w:rPr>
          <w:rFonts w:ascii="Calibri" w:hAnsi="Calibri" w:cs="Calibri"/>
          <w:sz w:val="22"/>
        </w:rPr>
        <w:t xml:space="preserve"> This is because the relative harms and benefits to well women of radiation dose, and the cost, efficiency and effectiveness </w:t>
      </w:r>
      <w:r w:rsidR="006E3710" w:rsidRPr="001224FB">
        <w:rPr>
          <w:rFonts w:ascii="Calibri" w:hAnsi="Calibri" w:cs="Calibri"/>
          <w:sz w:val="22"/>
        </w:rPr>
        <w:t xml:space="preserve">of using this technology </w:t>
      </w:r>
      <w:r w:rsidRPr="001224FB">
        <w:rPr>
          <w:rFonts w:ascii="Calibri" w:hAnsi="Calibri" w:cs="Calibri"/>
          <w:sz w:val="22"/>
        </w:rPr>
        <w:t xml:space="preserve">are as yet unclear. </w:t>
      </w:r>
      <w:r w:rsidR="00241972" w:rsidRPr="001224FB">
        <w:rPr>
          <w:rFonts w:ascii="Calibri" w:hAnsi="Calibri" w:cs="Calibri"/>
          <w:sz w:val="22"/>
        </w:rPr>
        <w:t xml:space="preserve"> </w:t>
      </w:r>
      <w:r w:rsidRPr="001224FB">
        <w:rPr>
          <w:rFonts w:ascii="Calibri" w:hAnsi="Calibri" w:cs="Calibri"/>
          <w:sz w:val="22"/>
        </w:rPr>
        <w:t xml:space="preserve">The results of further </w:t>
      </w:r>
      <w:r w:rsidR="006E3710" w:rsidRPr="001224FB">
        <w:rPr>
          <w:rFonts w:ascii="Calibri" w:hAnsi="Calibri" w:cs="Calibri"/>
          <w:sz w:val="22"/>
        </w:rPr>
        <w:t xml:space="preserve">clinical </w:t>
      </w:r>
      <w:r w:rsidRPr="001224FB">
        <w:rPr>
          <w:rFonts w:ascii="Calibri" w:hAnsi="Calibri" w:cs="Calibri"/>
          <w:sz w:val="22"/>
        </w:rPr>
        <w:t xml:space="preserve">trials are needed before the technology </w:t>
      </w:r>
      <w:r w:rsidR="006E3710" w:rsidRPr="001224FB">
        <w:rPr>
          <w:rFonts w:ascii="Calibri" w:hAnsi="Calibri" w:cs="Calibri"/>
          <w:sz w:val="22"/>
        </w:rPr>
        <w:t xml:space="preserve">could </w:t>
      </w:r>
      <w:r w:rsidRPr="001224FB">
        <w:rPr>
          <w:rFonts w:ascii="Calibri" w:hAnsi="Calibri" w:cs="Calibri"/>
          <w:sz w:val="22"/>
        </w:rPr>
        <w:t xml:space="preserve">be </w:t>
      </w:r>
      <w:r w:rsidR="006E3710" w:rsidRPr="001224FB">
        <w:rPr>
          <w:rFonts w:ascii="Calibri" w:hAnsi="Calibri" w:cs="Calibri"/>
          <w:sz w:val="22"/>
        </w:rPr>
        <w:t xml:space="preserve">recommended </w:t>
      </w:r>
      <w:r w:rsidRPr="001224FB">
        <w:rPr>
          <w:rFonts w:ascii="Calibri" w:hAnsi="Calibri" w:cs="Calibri"/>
          <w:sz w:val="22"/>
        </w:rPr>
        <w:t xml:space="preserve">for population screening. </w:t>
      </w:r>
    </w:p>
    <w:p w:rsidR="001224FB" w:rsidRPr="001224FB" w:rsidRDefault="001224FB" w:rsidP="001224FB">
      <w:pPr>
        <w:spacing w:after="0"/>
        <w:rPr>
          <w:rFonts w:ascii="Calibri" w:hAnsi="Calibri" w:cs="Calibri"/>
          <w:sz w:val="22"/>
        </w:rPr>
      </w:pPr>
    </w:p>
    <w:p w:rsidR="006941EE" w:rsidRDefault="006941EE" w:rsidP="001224FB">
      <w:pPr>
        <w:spacing w:after="0"/>
        <w:rPr>
          <w:rFonts w:ascii="Calibri" w:hAnsi="Calibri" w:cs="Calibri"/>
          <w:sz w:val="22"/>
        </w:rPr>
      </w:pPr>
      <w:r w:rsidRPr="001224FB">
        <w:rPr>
          <w:rFonts w:ascii="Calibri" w:hAnsi="Calibri" w:cs="Calibri"/>
          <w:b/>
          <w:sz w:val="22"/>
        </w:rPr>
        <w:t>At this time,</w:t>
      </w:r>
      <w:r w:rsidRPr="001224FB">
        <w:rPr>
          <w:rFonts w:ascii="Calibri" w:hAnsi="Calibri" w:cs="Calibri"/>
          <w:sz w:val="22"/>
        </w:rPr>
        <w:t xml:space="preserve"> two-view mammography continues to be the most effective population primary screening test for breast cancer.</w:t>
      </w:r>
      <w:r w:rsidRPr="001224FB">
        <w:rPr>
          <w:rStyle w:val="EndnoteReference"/>
          <w:rFonts w:ascii="Calibri" w:hAnsi="Calibri" w:cs="Calibri"/>
          <w:sz w:val="22"/>
        </w:rPr>
        <w:endnoteReference w:id="13"/>
      </w:r>
      <w:r w:rsidR="00241972" w:rsidRPr="001224FB">
        <w:rPr>
          <w:rFonts w:ascii="Calibri" w:hAnsi="Calibri" w:cs="Calibri"/>
          <w:sz w:val="22"/>
        </w:rPr>
        <w:t xml:space="preserve"> </w:t>
      </w:r>
      <w:r w:rsidRPr="001224FB">
        <w:rPr>
          <w:rFonts w:ascii="Calibri" w:hAnsi="Calibri" w:cs="Calibri"/>
          <w:sz w:val="22"/>
        </w:rPr>
        <w:t xml:space="preserve"> New technologies for breast cancer screening must meet the Australian criteria for population screening as outlined in the Population Based Screening Framework.</w:t>
      </w:r>
      <w:r w:rsidRPr="001224FB">
        <w:rPr>
          <w:rStyle w:val="EndnoteReference"/>
          <w:rFonts w:ascii="Calibri" w:hAnsi="Calibri" w:cs="Calibri"/>
          <w:sz w:val="22"/>
        </w:rPr>
        <w:t xml:space="preserve"> </w:t>
      </w:r>
      <w:r w:rsidRPr="001224FB">
        <w:rPr>
          <w:rStyle w:val="EndnoteReference"/>
          <w:rFonts w:ascii="Calibri" w:hAnsi="Calibri" w:cs="Calibri"/>
          <w:sz w:val="22"/>
        </w:rPr>
        <w:endnoteReference w:id="14"/>
      </w:r>
      <w:r w:rsidRPr="001224FB">
        <w:rPr>
          <w:rFonts w:ascii="Calibri" w:hAnsi="Calibri" w:cs="Calibri"/>
          <w:sz w:val="22"/>
          <w:vertAlign w:val="superscript"/>
        </w:rPr>
        <w:t>,</w:t>
      </w:r>
      <w:r w:rsidRPr="001224FB">
        <w:rPr>
          <w:rStyle w:val="EndnoteReference"/>
          <w:rFonts w:ascii="Calibri" w:hAnsi="Calibri" w:cs="Calibri"/>
          <w:sz w:val="22"/>
        </w:rPr>
        <w:endnoteReference w:id="15"/>
      </w:r>
      <w:r w:rsidR="00415748">
        <w:rPr>
          <w:rFonts w:ascii="Calibri" w:hAnsi="Calibri" w:cs="Calibri"/>
          <w:sz w:val="22"/>
        </w:rPr>
        <w:t xml:space="preserve"> </w:t>
      </w:r>
    </w:p>
    <w:p w:rsidR="001224FB" w:rsidRPr="001224FB" w:rsidRDefault="001224FB" w:rsidP="001224FB">
      <w:pPr>
        <w:spacing w:after="0"/>
        <w:rPr>
          <w:rFonts w:ascii="Calibri" w:hAnsi="Calibri" w:cs="Calibri"/>
          <w:sz w:val="22"/>
        </w:rPr>
      </w:pPr>
    </w:p>
    <w:p w:rsidR="006941EE" w:rsidRDefault="004E21E8" w:rsidP="001224FB">
      <w:pPr>
        <w:spacing w:after="0"/>
        <w:rPr>
          <w:rFonts w:ascii="Calibri" w:hAnsi="Calibri" w:cs="Calibri"/>
          <w:sz w:val="22"/>
        </w:rPr>
      </w:pPr>
      <w:r w:rsidRPr="001224FB">
        <w:rPr>
          <w:rFonts w:ascii="Calibri" w:hAnsi="Calibri" w:cs="Calibri"/>
          <w:b/>
          <w:sz w:val="22"/>
        </w:rPr>
        <w:t>There is evidence</w:t>
      </w:r>
      <w:r w:rsidRPr="001224FB">
        <w:rPr>
          <w:rFonts w:ascii="Calibri" w:hAnsi="Calibri" w:cs="Calibri"/>
          <w:sz w:val="22"/>
        </w:rPr>
        <w:t xml:space="preserve"> that tomosynthesis can be of benefit in an assessment setting.</w:t>
      </w:r>
      <w:r w:rsidR="007B7551" w:rsidRPr="001224FB">
        <w:rPr>
          <w:rStyle w:val="EndnoteReference"/>
          <w:rFonts w:ascii="Calibri" w:hAnsi="Calibri"/>
          <w:sz w:val="22"/>
        </w:rPr>
        <w:endnoteReference w:id="16"/>
      </w:r>
      <w:r w:rsidR="00D2756F" w:rsidRPr="001224FB">
        <w:rPr>
          <w:rFonts w:ascii="Calibri" w:hAnsi="Calibri" w:cs="Calibri"/>
          <w:sz w:val="22"/>
        </w:rPr>
        <w:t xml:space="preserve"> </w:t>
      </w:r>
      <w:r w:rsidR="007C194B" w:rsidRPr="001224FB">
        <w:rPr>
          <w:rStyle w:val="EndnoteReference"/>
          <w:rFonts w:ascii="Calibri" w:hAnsi="Calibri"/>
          <w:sz w:val="22"/>
        </w:rPr>
        <w:endnoteReference w:id="17"/>
      </w:r>
      <w:r w:rsidR="00D7552F" w:rsidRPr="001224FB">
        <w:rPr>
          <w:rFonts w:ascii="Calibri" w:hAnsi="Calibri" w:cs="Calibri"/>
          <w:sz w:val="22"/>
        </w:rPr>
        <w:t xml:space="preserve"> </w:t>
      </w:r>
      <w:r w:rsidR="00D7552F" w:rsidRPr="001224FB">
        <w:rPr>
          <w:rStyle w:val="EndnoteReference"/>
          <w:rFonts w:ascii="Calibri" w:hAnsi="Calibri"/>
          <w:sz w:val="22"/>
        </w:rPr>
        <w:endnoteReference w:id="18"/>
      </w:r>
      <w:r w:rsidR="006941EE" w:rsidRPr="001224FB">
        <w:rPr>
          <w:rFonts w:ascii="Calibri" w:hAnsi="Calibri" w:cs="Calibri"/>
          <w:sz w:val="22"/>
        </w:rPr>
        <w:t xml:space="preserve"> </w:t>
      </w:r>
      <w:r w:rsidR="00241972" w:rsidRPr="001224FB">
        <w:rPr>
          <w:rFonts w:ascii="Calibri" w:hAnsi="Calibri" w:cs="Calibri"/>
          <w:sz w:val="22"/>
        </w:rPr>
        <w:t xml:space="preserve"> </w:t>
      </w:r>
      <w:r w:rsidRPr="001224FB">
        <w:rPr>
          <w:rFonts w:ascii="Calibri" w:hAnsi="Calibri" w:cs="Calibri"/>
          <w:sz w:val="22"/>
        </w:rPr>
        <w:t>T</w:t>
      </w:r>
      <w:r w:rsidR="006941EE" w:rsidRPr="001224FB">
        <w:rPr>
          <w:rFonts w:ascii="Calibri" w:hAnsi="Calibri" w:cs="Calibri"/>
          <w:sz w:val="22"/>
        </w:rPr>
        <w:t xml:space="preserve">here is less </w:t>
      </w:r>
      <w:r w:rsidR="00E22BE5" w:rsidRPr="001224FB">
        <w:rPr>
          <w:rFonts w:ascii="Calibri" w:hAnsi="Calibri" w:cs="Calibri"/>
          <w:sz w:val="22"/>
        </w:rPr>
        <w:t xml:space="preserve">supporting </w:t>
      </w:r>
      <w:r w:rsidR="006941EE" w:rsidRPr="001224FB">
        <w:rPr>
          <w:rFonts w:ascii="Calibri" w:hAnsi="Calibri" w:cs="Calibri"/>
          <w:sz w:val="22"/>
        </w:rPr>
        <w:t xml:space="preserve">evidence </w:t>
      </w:r>
      <w:r w:rsidR="005A4C02" w:rsidRPr="001224FB">
        <w:rPr>
          <w:rFonts w:ascii="Calibri" w:hAnsi="Calibri" w:cs="Calibri"/>
          <w:sz w:val="22"/>
        </w:rPr>
        <w:t xml:space="preserve">for the benefit </w:t>
      </w:r>
      <w:r w:rsidR="00631EE5" w:rsidRPr="001224FB">
        <w:rPr>
          <w:rFonts w:ascii="Calibri" w:hAnsi="Calibri" w:cs="Calibri"/>
          <w:sz w:val="22"/>
        </w:rPr>
        <w:t xml:space="preserve">of tomosynthesis </w:t>
      </w:r>
      <w:r w:rsidRPr="001224FB">
        <w:rPr>
          <w:rFonts w:ascii="Calibri" w:hAnsi="Calibri" w:cs="Calibri"/>
          <w:sz w:val="22"/>
        </w:rPr>
        <w:t xml:space="preserve">as the screening test </w:t>
      </w:r>
      <w:r w:rsidR="006941EE" w:rsidRPr="001224FB">
        <w:rPr>
          <w:rFonts w:ascii="Calibri" w:hAnsi="Calibri" w:cs="Calibri"/>
          <w:sz w:val="22"/>
        </w:rPr>
        <w:t xml:space="preserve">for </w:t>
      </w:r>
      <w:r w:rsidR="004D1D32" w:rsidRPr="001224FB">
        <w:rPr>
          <w:rFonts w:ascii="Calibri" w:hAnsi="Calibri" w:cs="Calibri"/>
          <w:sz w:val="22"/>
        </w:rPr>
        <w:t xml:space="preserve">population </w:t>
      </w:r>
      <w:r w:rsidR="006941EE" w:rsidRPr="001224FB">
        <w:rPr>
          <w:rFonts w:ascii="Calibri" w:hAnsi="Calibri" w:cs="Calibri"/>
          <w:sz w:val="22"/>
        </w:rPr>
        <w:t>screening</w:t>
      </w:r>
      <w:r w:rsidR="004D1D32" w:rsidRPr="001224FB">
        <w:rPr>
          <w:rFonts w:ascii="Calibri" w:hAnsi="Calibri" w:cs="Calibri"/>
          <w:sz w:val="22"/>
        </w:rPr>
        <w:t xml:space="preserve"> of well women</w:t>
      </w:r>
      <w:r w:rsidR="006941EE" w:rsidRPr="001224FB">
        <w:rPr>
          <w:rFonts w:ascii="Calibri" w:hAnsi="Calibri" w:cs="Calibri"/>
          <w:sz w:val="22"/>
        </w:rPr>
        <w:t xml:space="preserve">. </w:t>
      </w:r>
      <w:r w:rsidR="00241972" w:rsidRPr="001224FB">
        <w:rPr>
          <w:rFonts w:ascii="Calibri" w:hAnsi="Calibri" w:cs="Calibri"/>
          <w:sz w:val="22"/>
        </w:rPr>
        <w:t xml:space="preserve"> </w:t>
      </w:r>
      <w:r w:rsidR="006941EE" w:rsidRPr="001224FB">
        <w:rPr>
          <w:rFonts w:ascii="Calibri" w:hAnsi="Calibri" w:cs="Calibri"/>
          <w:sz w:val="22"/>
        </w:rPr>
        <w:t xml:space="preserve">It is therefore important to wait for results from international and Australian clinical trials, before tomosynthesis is considered for routine </w:t>
      </w:r>
      <w:r w:rsidR="00631EE5" w:rsidRPr="001224FB">
        <w:rPr>
          <w:rFonts w:ascii="Calibri" w:hAnsi="Calibri" w:cs="Calibri"/>
          <w:sz w:val="22"/>
        </w:rPr>
        <w:t xml:space="preserve">screening </w:t>
      </w:r>
      <w:r w:rsidR="006941EE" w:rsidRPr="001224FB">
        <w:rPr>
          <w:rFonts w:ascii="Calibri" w:hAnsi="Calibri" w:cs="Calibri"/>
          <w:sz w:val="22"/>
        </w:rPr>
        <w:t>use within BreastScreen Australia.</w:t>
      </w:r>
      <w:r w:rsidR="00DF0DD8" w:rsidRPr="001224FB">
        <w:rPr>
          <w:rFonts w:ascii="Calibri" w:hAnsi="Calibri" w:cs="Calibri"/>
          <w:sz w:val="22"/>
        </w:rPr>
        <w:t xml:space="preserve"> </w:t>
      </w:r>
      <w:r w:rsidR="00DF0DD8" w:rsidRPr="001224FB">
        <w:rPr>
          <w:rFonts w:ascii="Calibri" w:hAnsi="Calibri" w:cs="Calibri"/>
          <w:sz w:val="22"/>
          <w:vertAlign w:val="superscript"/>
        </w:rPr>
        <w:fldChar w:fldCharType="begin"/>
      </w:r>
      <w:r w:rsidR="00DF0DD8" w:rsidRPr="001224FB">
        <w:rPr>
          <w:rFonts w:ascii="Calibri" w:hAnsi="Calibri" w:cs="Calibri"/>
          <w:sz w:val="22"/>
          <w:vertAlign w:val="superscript"/>
        </w:rPr>
        <w:instrText xml:space="preserve"> NOTEREF _Ref400618359 \h  \* MERGEFORMAT </w:instrText>
      </w:r>
      <w:r w:rsidR="00DF0DD8" w:rsidRPr="001224FB">
        <w:rPr>
          <w:rFonts w:ascii="Calibri" w:hAnsi="Calibri" w:cs="Calibri"/>
          <w:sz w:val="22"/>
          <w:vertAlign w:val="superscript"/>
        </w:rPr>
      </w:r>
      <w:r w:rsidR="00DF0DD8" w:rsidRPr="001224FB">
        <w:rPr>
          <w:rFonts w:ascii="Calibri" w:hAnsi="Calibri" w:cs="Calibri"/>
          <w:sz w:val="22"/>
          <w:vertAlign w:val="superscript"/>
        </w:rPr>
        <w:fldChar w:fldCharType="separate"/>
      </w:r>
      <w:r w:rsidR="001713EA" w:rsidRPr="001224FB">
        <w:rPr>
          <w:rFonts w:ascii="Calibri" w:hAnsi="Calibri" w:cs="Calibri"/>
          <w:sz w:val="22"/>
          <w:vertAlign w:val="superscript"/>
        </w:rPr>
        <w:t>4</w:t>
      </w:r>
      <w:r w:rsidR="00DF0DD8" w:rsidRPr="001224FB">
        <w:rPr>
          <w:rFonts w:ascii="Calibri" w:hAnsi="Calibri" w:cs="Calibri"/>
          <w:sz w:val="22"/>
          <w:vertAlign w:val="superscript"/>
        </w:rPr>
        <w:fldChar w:fldCharType="end"/>
      </w:r>
      <w:r w:rsidR="00DF0DD8" w:rsidRPr="001224FB">
        <w:rPr>
          <w:rFonts w:ascii="Calibri" w:hAnsi="Calibri" w:cs="Calibri"/>
          <w:sz w:val="22"/>
          <w:vertAlign w:val="superscript"/>
        </w:rPr>
        <w:t>,</w:t>
      </w:r>
      <w:r w:rsidR="006941EE" w:rsidRPr="001224FB">
        <w:rPr>
          <w:rStyle w:val="EndnoteReference"/>
          <w:rFonts w:ascii="Calibri" w:hAnsi="Calibri" w:cs="Calibri"/>
          <w:sz w:val="22"/>
        </w:rPr>
        <w:endnoteReference w:id="19"/>
      </w:r>
      <w:r w:rsidR="00DF0DD8" w:rsidRPr="001224FB">
        <w:rPr>
          <w:rFonts w:ascii="Calibri" w:hAnsi="Calibri" w:cs="Calibri"/>
          <w:sz w:val="22"/>
          <w:vertAlign w:val="superscript"/>
        </w:rPr>
        <w:t>,</w:t>
      </w:r>
      <w:r w:rsidR="006941EE" w:rsidRPr="001224FB">
        <w:rPr>
          <w:rStyle w:val="EndnoteReference"/>
          <w:rFonts w:ascii="Calibri" w:hAnsi="Calibri" w:cs="Calibri"/>
          <w:sz w:val="22"/>
        </w:rPr>
        <w:endnoteReference w:id="20"/>
      </w:r>
      <w:r w:rsidR="00415748">
        <w:rPr>
          <w:rFonts w:ascii="Calibri" w:hAnsi="Calibri" w:cs="Calibri"/>
          <w:sz w:val="22"/>
        </w:rPr>
        <w:t xml:space="preserve"> </w:t>
      </w:r>
    </w:p>
    <w:p w:rsidR="001224FB" w:rsidRPr="001224FB" w:rsidRDefault="001224FB" w:rsidP="001224FB">
      <w:pPr>
        <w:spacing w:after="0"/>
        <w:rPr>
          <w:rFonts w:ascii="Calibri" w:hAnsi="Calibri" w:cs="Calibri"/>
          <w:sz w:val="22"/>
        </w:rPr>
      </w:pPr>
    </w:p>
    <w:p w:rsidR="001224FB" w:rsidRPr="001224FB" w:rsidRDefault="00726731" w:rsidP="00726731">
      <w:pPr>
        <w:pBdr>
          <w:top w:val="single" w:sz="4" w:space="1" w:color="auto"/>
          <w:left w:val="single" w:sz="4" w:space="4" w:color="auto"/>
          <w:bottom w:val="single" w:sz="4" w:space="1" w:color="auto"/>
          <w:right w:val="single" w:sz="4" w:space="4" w:color="auto"/>
        </w:pBdr>
        <w:rPr>
          <w:rFonts w:ascii="Calibri" w:hAnsi="Calibri" w:cs="Calibri"/>
          <w:sz w:val="22"/>
        </w:rPr>
      </w:pPr>
      <w:r w:rsidRPr="001224FB">
        <w:rPr>
          <w:rFonts w:ascii="Calibri" w:hAnsi="Calibri" w:cs="Calibri"/>
          <w:b/>
          <w:sz w:val="22"/>
        </w:rPr>
        <w:t>The Standing Committee on Screening</w:t>
      </w:r>
      <w:r w:rsidRPr="001224FB">
        <w:rPr>
          <w:rFonts w:ascii="Calibri" w:hAnsi="Calibri" w:cs="Calibri"/>
          <w:sz w:val="22"/>
        </w:rPr>
        <w:t xml:space="preserve"> recommends that, based on current evidence, the use of tomosynthesis as a screening technology in BreastScreen Australia be confined to clinical trial settings.  </w:t>
      </w:r>
      <w:r w:rsidRPr="001224FB">
        <w:rPr>
          <w:rFonts w:ascii="Calibri" w:hAnsi="Calibri" w:cs="Calibri"/>
          <w:b/>
          <w:sz w:val="22"/>
        </w:rPr>
        <w:t>Two-view mammography remains the most effective screening test at this time</w:t>
      </w:r>
      <w:r w:rsidRPr="001224FB">
        <w:rPr>
          <w:rFonts w:ascii="Calibri" w:hAnsi="Calibri" w:cs="Calibri"/>
          <w:sz w:val="22"/>
        </w:rPr>
        <w:t>. Tomosynthesis can be of benefit in an assessment setting.</w:t>
      </w:r>
    </w:p>
    <w:sectPr w:rsidR="001224FB" w:rsidRPr="001224FB" w:rsidSect="001224FB">
      <w:headerReference w:type="even" r:id="rId8"/>
      <w:headerReference w:type="default" r:id="rId9"/>
      <w:footerReference w:type="even" r:id="rId10"/>
      <w:footerReference w:type="default" r:id="rId11"/>
      <w:headerReference w:type="first" r:id="rId12"/>
      <w:footerReference w:type="first" r:id="rId13"/>
      <w:footnotePr>
        <w:numStart w:val="4"/>
      </w:footnotePr>
      <w:endnotePr>
        <w:numFmt w:val="decimal"/>
      </w:endnotePr>
      <w:pgSz w:w="11906" w:h="16838"/>
      <w:pgMar w:top="709" w:right="1418" w:bottom="1135" w:left="1418" w:header="284" w:footer="3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C9" w:rsidRDefault="007964C9">
      <w:r>
        <w:separator/>
      </w:r>
    </w:p>
  </w:endnote>
  <w:endnote w:type="continuationSeparator" w:id="0">
    <w:p w:rsidR="007964C9" w:rsidRDefault="007964C9">
      <w:r>
        <w:continuationSeparator/>
      </w:r>
    </w:p>
  </w:endnote>
  <w:endnote w:type="continuationNotice" w:id="1">
    <w:p w:rsidR="007964C9" w:rsidRDefault="007964C9">
      <w:pPr>
        <w:spacing w:after="0" w:line="240" w:lineRule="auto"/>
      </w:pPr>
    </w:p>
  </w:endnote>
  <w:endnote w:id="2">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Department of Health and Ageing. Horizon Scanning Technology. Prioritising Summary: Breast tomosynthesis – a breast cancer screening tool. Update 2009, Commonwealth of Australia, 2009.</w:t>
      </w:r>
    </w:p>
  </w:endnote>
  <w:endnote w:id="3">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Tingberg A &amp; Zachrisson S. Digital mammography and tomosynthesis for breast cancer diagnosis. Expert Opinion. Med Diagn 2011: 5 (6))</w:t>
      </w:r>
    </w:p>
  </w:endnote>
  <w:endnote w:id="4">
    <w:p w:rsidR="00A021FB" w:rsidRPr="00D72804" w:rsidRDefault="00A021FB"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Dance DR, Strudley CJ, Young KC, et al. Comparison of breast doses for digital tomosynthesis estimated from patient exposures and using PMMA breast phantoms. In: Maidment AD, Bakic PR, Gavenonis S (eds) </w:t>
      </w:r>
      <w:r w:rsidRPr="00D72804">
        <w:rPr>
          <w:rFonts w:asciiTheme="minorHAnsi" w:hAnsiTheme="minorHAnsi"/>
          <w:i/>
          <w:iCs/>
          <w:sz w:val="22"/>
          <w:szCs w:val="22"/>
        </w:rPr>
        <w:t xml:space="preserve">Proceedings of the 11th international conference on breast imaging (IWDM 2012). </w:t>
      </w:r>
      <w:r w:rsidRPr="00D72804">
        <w:rPr>
          <w:rFonts w:asciiTheme="minorHAnsi" w:hAnsiTheme="minorHAnsi"/>
          <w:sz w:val="22"/>
          <w:szCs w:val="22"/>
        </w:rPr>
        <w:t>Berlin: Springer; 2012, 316</w:t>
      </w:r>
      <w:r w:rsidRPr="00D72804">
        <w:rPr>
          <w:rFonts w:asciiTheme="minorHAnsi" w:hAnsiTheme="minorHAnsi"/>
          <w:sz w:val="22"/>
          <w:szCs w:val="22"/>
        </w:rPr>
        <w:noBreakHyphen/>
        <w:t>321.</w:t>
      </w:r>
    </w:p>
  </w:endnote>
  <w:endnote w:id="5">
    <w:p w:rsidR="00A021FB" w:rsidRPr="00D72804" w:rsidRDefault="00A021FB"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Skaane P, Bandos A &amp; Gullien R. Comparison of Digital Mammography Alone and Digital Mammography Plus Tomosynthesis in a Population-based Screening Program. Radiology: Published online before print &amp; January 2013.</w:t>
      </w:r>
    </w:p>
  </w:endnote>
  <w:endnote w:id="6">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Gur D, Adams GS &amp; Chough DM et al. Digital breast tomosynthesis: observer performance study. AM J Roentgenol 2011: 196: 737-741.</w:t>
      </w:r>
    </w:p>
  </w:endnote>
  <w:endnote w:id="7">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Teertstra HJ, Loo CE, van den Bosch MA et al. Breast tomosynthesis in clinical practice: initial results. Eur Radiol 2010: 20: 16-24.</w:t>
      </w:r>
    </w:p>
  </w:endnote>
  <w:endnote w:id="8">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Gennaro G, Toledano A, di Maggio C et al. Digital breast tomosynthesis versus digital mammography: a clinical performance study. Eur Radiol 2009.</w:t>
      </w:r>
    </w:p>
  </w:endnote>
  <w:endnote w:id="9">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Svane G, Azavedo E, Lindman K et al. Clinical Experience of photon counting breast tomosynthesis: a comparison with traditional mammography. Acta radiol 2011: 52 92): 134-42.</w:t>
      </w:r>
    </w:p>
  </w:endnote>
  <w:endnote w:id="10">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Spangler M, Zuley M &amp; Sumkin J. Detection and Classifications of Calcifications on Digital Breast Tomosythesis and 2D Digital Mammography: A Comparison. Am J Roentgenol 2011: 196: 320-324.</w:t>
      </w:r>
    </w:p>
  </w:endnote>
  <w:endnote w:id="11">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Wallis MG, Moa E &amp; Zanca F. Two-view and single-view tomosynthesis versus full-field digital mammography: high-resolution X-ray imaging observer study. Radiology 2012: 262 (3): 788-96.</w:t>
      </w:r>
    </w:p>
  </w:endnote>
  <w:endnote w:id="12">
    <w:p w:rsidR="004258B4" w:rsidRPr="00D72804" w:rsidRDefault="004258B4" w:rsidP="00D72804">
      <w:pPr>
        <w:spacing w:after="60" w:line="240" w:lineRule="auto"/>
        <w:rPr>
          <w:rFonts w:asciiTheme="minorHAnsi" w:hAnsiTheme="minorHAnsi"/>
          <w:sz w:val="22"/>
        </w:rPr>
      </w:pPr>
      <w:r w:rsidRPr="00D72804">
        <w:rPr>
          <w:rStyle w:val="EndnoteReference"/>
          <w:rFonts w:asciiTheme="minorHAnsi" w:hAnsiTheme="minorHAnsi"/>
          <w:sz w:val="22"/>
        </w:rPr>
        <w:endnoteRef/>
      </w:r>
      <w:r w:rsidRPr="00D72804">
        <w:rPr>
          <w:rFonts w:asciiTheme="minorHAnsi" w:hAnsiTheme="minorHAnsi"/>
          <w:sz w:val="22"/>
        </w:rPr>
        <w:t xml:space="preserve"> Ciatto S, </w:t>
      </w:r>
      <w:hyperlink r:id="rId1" w:history="1">
        <w:r w:rsidRPr="00D72804">
          <w:rPr>
            <w:rFonts w:asciiTheme="minorHAnsi" w:hAnsiTheme="minorHAnsi"/>
            <w:sz w:val="22"/>
          </w:rPr>
          <w:t>Houssami</w:t>
        </w:r>
      </w:hyperlink>
      <w:r w:rsidRPr="00D72804">
        <w:rPr>
          <w:rFonts w:asciiTheme="minorHAnsi" w:hAnsiTheme="minorHAnsi"/>
          <w:sz w:val="22"/>
        </w:rPr>
        <w:t xml:space="preserve"> N, </w:t>
      </w:r>
      <w:hyperlink r:id="rId2" w:history="1">
        <w:r w:rsidRPr="00D72804">
          <w:rPr>
            <w:rFonts w:asciiTheme="minorHAnsi" w:hAnsiTheme="minorHAnsi"/>
            <w:sz w:val="22"/>
          </w:rPr>
          <w:t>Bernardi</w:t>
        </w:r>
      </w:hyperlink>
      <w:r w:rsidRPr="00D72804">
        <w:rPr>
          <w:rFonts w:asciiTheme="minorHAnsi" w:hAnsiTheme="minorHAnsi"/>
          <w:sz w:val="22"/>
        </w:rPr>
        <w:t xml:space="preserve"> D,</w:t>
      </w:r>
      <w:hyperlink r:id="rId3" w:history="1">
        <w:r w:rsidRPr="00D72804">
          <w:rPr>
            <w:rFonts w:asciiTheme="minorHAnsi" w:hAnsiTheme="minorHAnsi"/>
            <w:sz w:val="22"/>
          </w:rPr>
          <w:t>Caumo</w:t>
        </w:r>
      </w:hyperlink>
      <w:r w:rsidRPr="00D72804">
        <w:rPr>
          <w:rFonts w:asciiTheme="minorHAnsi" w:hAnsiTheme="minorHAnsi"/>
          <w:sz w:val="22"/>
        </w:rPr>
        <w:t xml:space="preserve"> F, </w:t>
      </w:r>
      <w:hyperlink r:id="rId4" w:history="1">
        <w:r w:rsidRPr="00D72804">
          <w:rPr>
            <w:rFonts w:asciiTheme="minorHAnsi" w:hAnsiTheme="minorHAnsi"/>
            <w:sz w:val="22"/>
          </w:rPr>
          <w:t>Pellegrini</w:t>
        </w:r>
      </w:hyperlink>
      <w:r w:rsidRPr="00D72804">
        <w:rPr>
          <w:rFonts w:asciiTheme="minorHAnsi" w:hAnsiTheme="minorHAnsi"/>
          <w:sz w:val="22"/>
        </w:rPr>
        <w:t xml:space="preserve"> M, </w:t>
      </w:r>
      <w:hyperlink r:id="rId5" w:history="1">
        <w:r w:rsidRPr="00D72804">
          <w:rPr>
            <w:rFonts w:asciiTheme="minorHAnsi" w:hAnsiTheme="minorHAnsi"/>
            <w:sz w:val="22"/>
          </w:rPr>
          <w:t>Brunelli</w:t>
        </w:r>
      </w:hyperlink>
      <w:r w:rsidRPr="00D72804">
        <w:rPr>
          <w:rFonts w:asciiTheme="minorHAnsi" w:hAnsiTheme="minorHAnsi"/>
          <w:sz w:val="22"/>
        </w:rPr>
        <w:t xml:space="preserve"> S, </w:t>
      </w:r>
      <w:hyperlink r:id="rId6" w:history="1">
        <w:r w:rsidRPr="00D72804">
          <w:rPr>
            <w:rFonts w:asciiTheme="minorHAnsi" w:hAnsiTheme="minorHAnsi"/>
            <w:sz w:val="22"/>
          </w:rPr>
          <w:t>Tuttobene</w:t>
        </w:r>
      </w:hyperlink>
      <w:r w:rsidRPr="00D72804">
        <w:rPr>
          <w:rFonts w:asciiTheme="minorHAnsi" w:hAnsiTheme="minorHAnsi"/>
          <w:sz w:val="22"/>
        </w:rPr>
        <w:t xml:space="preserve"> P, </w:t>
      </w:r>
      <w:hyperlink r:id="rId7" w:history="1">
        <w:r w:rsidRPr="00D72804">
          <w:rPr>
            <w:rFonts w:asciiTheme="minorHAnsi" w:hAnsiTheme="minorHAnsi"/>
            <w:sz w:val="22"/>
          </w:rPr>
          <w:t>Bricolo</w:t>
        </w:r>
      </w:hyperlink>
      <w:r w:rsidRPr="00D72804">
        <w:rPr>
          <w:rFonts w:asciiTheme="minorHAnsi" w:hAnsiTheme="minorHAnsi"/>
          <w:sz w:val="22"/>
        </w:rPr>
        <w:t xml:space="preserve"> P, </w:t>
      </w:r>
      <w:hyperlink r:id="rId8" w:history="1">
        <w:r w:rsidRPr="00D72804">
          <w:rPr>
            <w:rFonts w:asciiTheme="minorHAnsi" w:hAnsiTheme="minorHAnsi"/>
            <w:sz w:val="22"/>
          </w:rPr>
          <w:t>Fantò</w:t>
        </w:r>
      </w:hyperlink>
      <w:r w:rsidRPr="00D72804">
        <w:rPr>
          <w:rFonts w:asciiTheme="minorHAnsi" w:hAnsiTheme="minorHAnsi"/>
          <w:sz w:val="22"/>
        </w:rPr>
        <w:t xml:space="preserve"> C, </w:t>
      </w:r>
      <w:hyperlink r:id="rId9" w:history="1">
        <w:r w:rsidRPr="00D72804">
          <w:rPr>
            <w:rFonts w:asciiTheme="minorHAnsi" w:hAnsiTheme="minorHAnsi"/>
            <w:sz w:val="22"/>
          </w:rPr>
          <w:t>Valentini</w:t>
        </w:r>
      </w:hyperlink>
      <w:r w:rsidRPr="00D72804">
        <w:rPr>
          <w:rFonts w:asciiTheme="minorHAnsi" w:hAnsiTheme="minorHAnsi"/>
          <w:sz w:val="22"/>
        </w:rPr>
        <w:t xml:space="preserve"> M, </w:t>
      </w:r>
      <w:hyperlink r:id="rId10" w:history="1">
        <w:r w:rsidRPr="00D72804">
          <w:rPr>
            <w:rFonts w:asciiTheme="minorHAnsi" w:hAnsiTheme="minorHAnsi"/>
            <w:sz w:val="22"/>
          </w:rPr>
          <w:t>Montemezzi</w:t>
        </w:r>
      </w:hyperlink>
      <w:r w:rsidRPr="00D72804">
        <w:rPr>
          <w:rFonts w:asciiTheme="minorHAnsi" w:hAnsiTheme="minorHAnsi"/>
          <w:sz w:val="22"/>
        </w:rPr>
        <w:t xml:space="preserve"> S, </w:t>
      </w:r>
      <w:hyperlink r:id="rId11" w:history="1">
        <w:r w:rsidRPr="00D72804">
          <w:rPr>
            <w:rFonts w:asciiTheme="minorHAnsi" w:hAnsiTheme="minorHAnsi"/>
            <w:sz w:val="22"/>
          </w:rPr>
          <w:t>Macaskill</w:t>
        </w:r>
      </w:hyperlink>
      <w:r w:rsidRPr="00D72804">
        <w:rPr>
          <w:rFonts w:asciiTheme="minorHAnsi" w:hAnsiTheme="minorHAnsi"/>
          <w:sz w:val="22"/>
        </w:rPr>
        <w:t xml:space="preserve"> P. Integration of 3D digital mammography with tomosynthesis for population breast-cancer screening (STORM): A prospective comparison study. The Lancet Oncology 2013: 14 (7): 583-589.</w:t>
      </w:r>
    </w:p>
  </w:endnote>
  <w:endnote w:id="13">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Department of Health and Ageing, Evaluation of the BreastScreen Australia Program – Evaluation Final Report – June 2009. Commonwealth of Australia 2009.</w:t>
      </w:r>
    </w:p>
  </w:endnote>
  <w:endnote w:id="14">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Style w:val="EndnoteReference"/>
          <w:rFonts w:asciiTheme="minorHAnsi" w:hAnsiTheme="minorHAnsi"/>
          <w:sz w:val="22"/>
          <w:szCs w:val="22"/>
        </w:rPr>
        <w:t xml:space="preserve"> </w:t>
      </w:r>
      <w:r w:rsidRPr="00D72804">
        <w:rPr>
          <w:rFonts w:asciiTheme="minorHAnsi" w:hAnsiTheme="minorHAnsi"/>
          <w:sz w:val="22"/>
          <w:szCs w:val="22"/>
        </w:rPr>
        <w:t>Australian Population Health Development Principal Committee – Screening Subcommittee. Population Based Screening Framework. AHMAC 2008.</w:t>
      </w:r>
    </w:p>
  </w:endnote>
  <w:endnote w:id="15">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Department of Health and Ageing, Evaluation of the BreastScreen Australia Program – Evaluation Final Report – June 2009. Commonwealth of Australia 2009.</w:t>
      </w:r>
    </w:p>
    <w:p w:rsidR="007A5B74"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w:t>
      </w:r>
      <w:r w:rsidRPr="00D72804">
        <w:rPr>
          <w:rFonts w:asciiTheme="minorHAnsi" w:hAnsiTheme="minorHAnsi"/>
          <w:sz w:val="22"/>
          <w:szCs w:val="22"/>
          <w:lang w:val="en"/>
        </w:rPr>
        <w:t xml:space="preserve">Clincialtrials.gov – A service of the US National Institutes of Health. Study Record Detail: </w:t>
      </w:r>
      <w:r w:rsidRPr="00D72804">
        <w:rPr>
          <w:rFonts w:asciiTheme="minorHAnsi" w:hAnsiTheme="minorHAnsi"/>
          <w:i/>
          <w:sz w:val="22"/>
          <w:szCs w:val="22"/>
          <w:lang w:val="en"/>
        </w:rPr>
        <w:t>Malmö Breast Tomosynthesis Screening Trial</w:t>
      </w:r>
      <w:r w:rsidRPr="00D72804">
        <w:rPr>
          <w:rFonts w:asciiTheme="minorHAnsi" w:hAnsiTheme="minorHAnsi"/>
          <w:sz w:val="22"/>
          <w:szCs w:val="22"/>
        </w:rPr>
        <w:t xml:space="preserve"> </w:t>
      </w:r>
      <w:r w:rsidRPr="00447CAD">
        <w:rPr>
          <w:rFonts w:asciiTheme="minorHAnsi" w:hAnsiTheme="minorHAnsi"/>
          <w:sz w:val="22"/>
          <w:szCs w:val="22"/>
        </w:rPr>
        <w:t>http://clinicaltrials.gov/ct2/show/NCT01091545</w:t>
      </w:r>
      <w:r w:rsidRPr="00D72804">
        <w:rPr>
          <w:rFonts w:asciiTheme="minorHAnsi" w:hAnsiTheme="minorHAnsi"/>
          <w:sz w:val="22"/>
          <w:szCs w:val="22"/>
        </w:rPr>
        <w:t xml:space="preserve"> - accessed 17</w:t>
      </w:r>
      <w:r w:rsidR="007A5B74" w:rsidRPr="00D72804">
        <w:rPr>
          <w:rFonts w:asciiTheme="minorHAnsi" w:hAnsiTheme="minorHAnsi"/>
          <w:sz w:val="22"/>
          <w:szCs w:val="22"/>
        </w:rPr>
        <w:t> </w:t>
      </w:r>
      <w:r w:rsidRPr="00D72804">
        <w:rPr>
          <w:rFonts w:asciiTheme="minorHAnsi" w:hAnsiTheme="minorHAnsi"/>
          <w:sz w:val="22"/>
          <w:szCs w:val="22"/>
        </w:rPr>
        <w:t>June 2013.</w:t>
      </w:r>
    </w:p>
  </w:endnote>
  <w:endnote w:id="16">
    <w:p w:rsidR="007B7551" w:rsidRPr="00D72804" w:rsidRDefault="007B7551"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Public Health England, National Health Service Cancer Screening Programmes – Current position on use of tomosynthesis (DBT) in the NHS Breast Screening Programme. </w:t>
      </w:r>
      <w:r w:rsidR="00A93A04" w:rsidRPr="00D72804">
        <w:rPr>
          <w:rFonts w:asciiTheme="minorHAnsi" w:hAnsiTheme="minorHAnsi"/>
          <w:sz w:val="22"/>
          <w:szCs w:val="22"/>
        </w:rPr>
        <w:t>30 December 2013.</w:t>
      </w:r>
    </w:p>
  </w:endnote>
  <w:endnote w:id="17">
    <w:p w:rsidR="007C194B" w:rsidRPr="00D72804" w:rsidRDefault="007C194B" w:rsidP="00D72804">
      <w:pPr>
        <w:pStyle w:val="Default"/>
        <w:spacing w:after="60"/>
        <w:rPr>
          <w:rFonts w:asciiTheme="minorHAnsi" w:hAnsiTheme="minorHAnsi" w:cs="Times New Roman"/>
          <w:color w:val="auto"/>
          <w:sz w:val="22"/>
          <w:szCs w:val="22"/>
          <w:lang w:eastAsia="en-US"/>
        </w:rPr>
      </w:pPr>
      <w:r w:rsidRPr="00D72804">
        <w:rPr>
          <w:rFonts w:asciiTheme="minorHAnsi" w:hAnsiTheme="minorHAnsi"/>
          <w:color w:val="auto"/>
          <w:sz w:val="22"/>
          <w:szCs w:val="22"/>
          <w:lang w:eastAsia="en-US"/>
        </w:rPr>
        <w:endnoteRef/>
      </w:r>
      <w:r w:rsidRPr="00D72804">
        <w:rPr>
          <w:rFonts w:asciiTheme="minorHAnsi" w:hAnsiTheme="minorHAnsi" w:cs="Times New Roman"/>
          <w:color w:val="auto"/>
          <w:sz w:val="22"/>
          <w:szCs w:val="22"/>
          <w:lang w:eastAsia="en-US"/>
        </w:rPr>
        <w:t xml:space="preserve"> Michel M, Iqbal A, Wasan RKet al. A comparison of the accuracy of film screen mammography, full-field digital mammography and digital breast tomosynthesis. Clinical Radiology, 2012, 67: 976-981. </w:t>
      </w:r>
    </w:p>
  </w:endnote>
  <w:endnote w:id="18">
    <w:p w:rsidR="00D7552F" w:rsidRPr="00D72804" w:rsidRDefault="00D7552F" w:rsidP="00D72804">
      <w:pPr>
        <w:pStyle w:val="EndnoteText"/>
        <w:spacing w:after="60"/>
        <w:rPr>
          <w:rFonts w:asciiTheme="minorHAnsi" w:hAnsiTheme="minorHAnsi"/>
          <w:sz w:val="22"/>
          <w:szCs w:val="22"/>
        </w:rPr>
      </w:pPr>
      <w:r w:rsidRPr="00D72804">
        <w:rPr>
          <w:rFonts w:asciiTheme="minorHAnsi" w:hAnsiTheme="minorHAnsi"/>
          <w:sz w:val="22"/>
          <w:szCs w:val="22"/>
        </w:rPr>
        <w:endnoteRef/>
      </w:r>
      <w:r w:rsidRPr="00D72804">
        <w:rPr>
          <w:rFonts w:asciiTheme="minorHAnsi" w:hAnsiTheme="minorHAnsi"/>
          <w:sz w:val="22"/>
          <w:szCs w:val="22"/>
        </w:rPr>
        <w:t xml:space="preserve"> Zulley ML, Bandos AL, ,Gannott MA, Sumkin JH, Kelly AE, Catullo VJ, Rathfon GY, Lu AH, Gur D. Digital Breast Tomosynthesis versus Supplemental Diagnostic Mammographic Views for evaluation of Noncalcified Breast Lesions. Radiology.2013 January ;266(1):89-95. </w:t>
      </w:r>
    </w:p>
  </w:endnote>
  <w:endnote w:id="19">
    <w:p w:rsidR="00862A9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Gilbert F. J. TOMMY trial: A comparison of tomosynthesis with digital mammography in the UK NHS Breast Screening Programme. </w:t>
      </w:r>
      <w:r w:rsidRPr="00447CAD">
        <w:rPr>
          <w:rFonts w:asciiTheme="minorHAnsi" w:hAnsiTheme="minorHAnsi"/>
          <w:sz w:val="22"/>
          <w:szCs w:val="22"/>
        </w:rPr>
        <w:t>http://www.hta.ac.uk/2296</w:t>
      </w:r>
    </w:p>
  </w:endnote>
  <w:endnote w:id="20">
    <w:p w:rsidR="00F876DC" w:rsidRPr="00D72804" w:rsidRDefault="00862A9C" w:rsidP="00D72804">
      <w:pPr>
        <w:pStyle w:val="EndnoteText"/>
        <w:spacing w:after="60"/>
        <w:rPr>
          <w:rFonts w:asciiTheme="minorHAnsi" w:hAnsiTheme="minorHAnsi"/>
          <w:sz w:val="22"/>
          <w:szCs w:val="22"/>
        </w:rPr>
      </w:pPr>
      <w:r w:rsidRPr="00D72804">
        <w:rPr>
          <w:rStyle w:val="EndnoteReference"/>
          <w:rFonts w:asciiTheme="minorHAnsi" w:hAnsiTheme="minorHAnsi"/>
          <w:sz w:val="22"/>
          <w:szCs w:val="22"/>
        </w:rPr>
        <w:endnoteRef/>
      </w:r>
      <w:r w:rsidRPr="00D72804">
        <w:rPr>
          <w:rFonts w:asciiTheme="minorHAnsi" w:hAnsiTheme="minorHAnsi"/>
          <w:sz w:val="22"/>
          <w:szCs w:val="22"/>
        </w:rPr>
        <w:t xml:space="preserve"> Lockie D, Aitken Z &amp; Nickson C. Evaluation of the role of digital breast tomosynthesis in BreastScreen assessment – the Maroondah  trial (abstract only).</w:t>
      </w:r>
      <w:r w:rsidR="001751FD">
        <w:rPr>
          <w:rFonts w:asciiTheme="minorHAnsi" w:hAnsiTheme="minorHAnsi"/>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7D" w:rsidRDefault="00410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7D" w:rsidRDefault="00410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804" w:rsidRPr="008D00C1" w:rsidRDefault="00127DEF" w:rsidP="008D00C1">
    <w:pPr>
      <w:pStyle w:val="Footer"/>
      <w:pBdr>
        <w:top w:val="single" w:sz="4" w:space="1" w:color="auto"/>
      </w:pBdr>
      <w:jc w:val="center"/>
      <w:rPr>
        <w:rFonts w:asciiTheme="minorHAnsi" w:hAnsiTheme="minorHAnsi"/>
        <w:i/>
        <w:szCs w:val="24"/>
      </w:rPr>
    </w:pPr>
    <w:r w:rsidRPr="008D00C1">
      <w:rPr>
        <w:rFonts w:asciiTheme="minorHAnsi" w:hAnsiTheme="minorHAnsi"/>
        <w:i/>
        <w:szCs w:val="24"/>
      </w:rPr>
      <w:t xml:space="preserve">Endorsed by the </w:t>
    </w:r>
    <w:r w:rsidR="00D72804" w:rsidRPr="008D00C1">
      <w:rPr>
        <w:rFonts w:asciiTheme="minorHAnsi" w:hAnsiTheme="minorHAnsi"/>
        <w:i/>
        <w:szCs w:val="24"/>
      </w:rPr>
      <w:t xml:space="preserve">Community Care and Population Health Principal Committee </w:t>
    </w:r>
    <w:r w:rsidRPr="008D00C1">
      <w:rPr>
        <w:rFonts w:asciiTheme="minorHAnsi" w:hAnsiTheme="minorHAnsi"/>
        <w:i/>
        <w:szCs w:val="24"/>
      </w:rPr>
      <w:t>of the Australian Health Ministers’ Advisory Council on 13 November </w:t>
    </w:r>
    <w:r w:rsidR="00D72804" w:rsidRPr="008D00C1">
      <w:rPr>
        <w:rFonts w:asciiTheme="minorHAnsi" w:hAnsiTheme="minorHAnsi"/>
        <w:i/>
        <w:szCs w:val="24"/>
      </w:rPr>
      <w:t>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C9" w:rsidRDefault="007964C9">
      <w:r>
        <w:separator/>
      </w:r>
    </w:p>
  </w:footnote>
  <w:footnote w:type="continuationSeparator" w:id="0">
    <w:p w:rsidR="007964C9" w:rsidRDefault="007964C9">
      <w:r>
        <w:continuationSeparator/>
      </w:r>
    </w:p>
  </w:footnote>
  <w:footnote w:type="continuationNotice" w:id="1">
    <w:p w:rsidR="007964C9" w:rsidRDefault="007964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7D" w:rsidRDefault="00410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7D" w:rsidRDefault="00410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7D" w:rsidRDefault="00410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numStart w:val="4"/>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9EF8F8F0-3412-4870-B580-90DCCB4D157A}"/>
    <w:docVar w:name="dgnword-eventsink" w:val="75730464"/>
  </w:docVars>
  <w:rsids>
    <w:rsidRoot w:val="00DC457F"/>
    <w:rsid w:val="00027FF9"/>
    <w:rsid w:val="00032581"/>
    <w:rsid w:val="00037B96"/>
    <w:rsid w:val="00042EBA"/>
    <w:rsid w:val="000467B7"/>
    <w:rsid w:val="000475AD"/>
    <w:rsid w:val="00047DB2"/>
    <w:rsid w:val="00052F93"/>
    <w:rsid w:val="00057626"/>
    <w:rsid w:val="00071148"/>
    <w:rsid w:val="00093BB5"/>
    <w:rsid w:val="000A662F"/>
    <w:rsid w:val="000D4BCD"/>
    <w:rsid w:val="000D63EC"/>
    <w:rsid w:val="000F3345"/>
    <w:rsid w:val="00107B02"/>
    <w:rsid w:val="001224FB"/>
    <w:rsid w:val="00127DEF"/>
    <w:rsid w:val="001713EA"/>
    <w:rsid w:val="001751FD"/>
    <w:rsid w:val="001A3F1A"/>
    <w:rsid w:val="001B5A40"/>
    <w:rsid w:val="001E2F34"/>
    <w:rsid w:val="001F0ECA"/>
    <w:rsid w:val="00220388"/>
    <w:rsid w:val="00241972"/>
    <w:rsid w:val="00254D2A"/>
    <w:rsid w:val="00262C0E"/>
    <w:rsid w:val="00266EBD"/>
    <w:rsid w:val="002902F3"/>
    <w:rsid w:val="00291726"/>
    <w:rsid w:val="002A77CB"/>
    <w:rsid w:val="00304CFD"/>
    <w:rsid w:val="00314DD5"/>
    <w:rsid w:val="00325896"/>
    <w:rsid w:val="003418A4"/>
    <w:rsid w:val="00344C31"/>
    <w:rsid w:val="00347B82"/>
    <w:rsid w:val="00355608"/>
    <w:rsid w:val="00362813"/>
    <w:rsid w:val="00364EF7"/>
    <w:rsid w:val="00372741"/>
    <w:rsid w:val="003E353E"/>
    <w:rsid w:val="003F06D5"/>
    <w:rsid w:val="0041087D"/>
    <w:rsid w:val="00413DED"/>
    <w:rsid w:val="00415748"/>
    <w:rsid w:val="004258B4"/>
    <w:rsid w:val="004419F7"/>
    <w:rsid w:val="00447CAD"/>
    <w:rsid w:val="00473894"/>
    <w:rsid w:val="004742B4"/>
    <w:rsid w:val="0048297E"/>
    <w:rsid w:val="004B3E48"/>
    <w:rsid w:val="004D1D32"/>
    <w:rsid w:val="004E21E8"/>
    <w:rsid w:val="005112F0"/>
    <w:rsid w:val="00542A6C"/>
    <w:rsid w:val="00551511"/>
    <w:rsid w:val="00570BFC"/>
    <w:rsid w:val="00596027"/>
    <w:rsid w:val="005A4C02"/>
    <w:rsid w:val="005A6EF7"/>
    <w:rsid w:val="005C5E7A"/>
    <w:rsid w:val="005D45C3"/>
    <w:rsid w:val="00631EE5"/>
    <w:rsid w:val="0063656C"/>
    <w:rsid w:val="006417AB"/>
    <w:rsid w:val="00654A13"/>
    <w:rsid w:val="00656CE7"/>
    <w:rsid w:val="006941EE"/>
    <w:rsid w:val="00696770"/>
    <w:rsid w:val="006C288C"/>
    <w:rsid w:val="006D1FFE"/>
    <w:rsid w:val="006E3710"/>
    <w:rsid w:val="00705DB7"/>
    <w:rsid w:val="00706979"/>
    <w:rsid w:val="00726731"/>
    <w:rsid w:val="007549A8"/>
    <w:rsid w:val="00770EB4"/>
    <w:rsid w:val="00772DE4"/>
    <w:rsid w:val="0077684B"/>
    <w:rsid w:val="007949E7"/>
    <w:rsid w:val="007964C9"/>
    <w:rsid w:val="007A5B74"/>
    <w:rsid w:val="007B7551"/>
    <w:rsid w:val="007C194B"/>
    <w:rsid w:val="007C4265"/>
    <w:rsid w:val="007F4F03"/>
    <w:rsid w:val="00810C5E"/>
    <w:rsid w:val="00831CF0"/>
    <w:rsid w:val="00833594"/>
    <w:rsid w:val="00834C3B"/>
    <w:rsid w:val="008457DA"/>
    <w:rsid w:val="00852BBF"/>
    <w:rsid w:val="0085503F"/>
    <w:rsid w:val="00862A9C"/>
    <w:rsid w:val="00881D43"/>
    <w:rsid w:val="00895523"/>
    <w:rsid w:val="008C033F"/>
    <w:rsid w:val="008C0847"/>
    <w:rsid w:val="008D00C1"/>
    <w:rsid w:val="008F469B"/>
    <w:rsid w:val="009153C8"/>
    <w:rsid w:val="00920B4A"/>
    <w:rsid w:val="009377E7"/>
    <w:rsid w:val="009615DB"/>
    <w:rsid w:val="009A5078"/>
    <w:rsid w:val="009D0B68"/>
    <w:rsid w:val="009E610B"/>
    <w:rsid w:val="00A01D06"/>
    <w:rsid w:val="00A021FB"/>
    <w:rsid w:val="00A066C8"/>
    <w:rsid w:val="00A10EF9"/>
    <w:rsid w:val="00A21262"/>
    <w:rsid w:val="00A21839"/>
    <w:rsid w:val="00A2427D"/>
    <w:rsid w:val="00A247CA"/>
    <w:rsid w:val="00A8270E"/>
    <w:rsid w:val="00A84F45"/>
    <w:rsid w:val="00A93A04"/>
    <w:rsid w:val="00A9750A"/>
    <w:rsid w:val="00AA1550"/>
    <w:rsid w:val="00AA70BD"/>
    <w:rsid w:val="00AC22B1"/>
    <w:rsid w:val="00AC6FBC"/>
    <w:rsid w:val="00AF1832"/>
    <w:rsid w:val="00AF7F5D"/>
    <w:rsid w:val="00B032C4"/>
    <w:rsid w:val="00B21B41"/>
    <w:rsid w:val="00B36EC0"/>
    <w:rsid w:val="00B95451"/>
    <w:rsid w:val="00BD143C"/>
    <w:rsid w:val="00BD2783"/>
    <w:rsid w:val="00C20845"/>
    <w:rsid w:val="00C25960"/>
    <w:rsid w:val="00C33802"/>
    <w:rsid w:val="00C357FF"/>
    <w:rsid w:val="00C36259"/>
    <w:rsid w:val="00C37F44"/>
    <w:rsid w:val="00C445D9"/>
    <w:rsid w:val="00C74C9F"/>
    <w:rsid w:val="00C834C5"/>
    <w:rsid w:val="00CB7667"/>
    <w:rsid w:val="00CE49F9"/>
    <w:rsid w:val="00CE6BEB"/>
    <w:rsid w:val="00CF18D3"/>
    <w:rsid w:val="00CF34AE"/>
    <w:rsid w:val="00D2756F"/>
    <w:rsid w:val="00D3150B"/>
    <w:rsid w:val="00D42662"/>
    <w:rsid w:val="00D50DD7"/>
    <w:rsid w:val="00D60BC0"/>
    <w:rsid w:val="00D67F19"/>
    <w:rsid w:val="00D72804"/>
    <w:rsid w:val="00D7552F"/>
    <w:rsid w:val="00D85044"/>
    <w:rsid w:val="00D95844"/>
    <w:rsid w:val="00DC289A"/>
    <w:rsid w:val="00DC457F"/>
    <w:rsid w:val="00DF0DD8"/>
    <w:rsid w:val="00E003F3"/>
    <w:rsid w:val="00E106BC"/>
    <w:rsid w:val="00E22BE5"/>
    <w:rsid w:val="00E27CC4"/>
    <w:rsid w:val="00E50D9B"/>
    <w:rsid w:val="00E679DE"/>
    <w:rsid w:val="00F2489C"/>
    <w:rsid w:val="00F25903"/>
    <w:rsid w:val="00F261C9"/>
    <w:rsid w:val="00F3741F"/>
    <w:rsid w:val="00F77314"/>
    <w:rsid w:val="00F77AF7"/>
    <w:rsid w:val="00F876DC"/>
    <w:rsid w:val="00FD2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57F"/>
    <w:pPr>
      <w:spacing w:after="200" w:line="276" w:lineRule="auto"/>
    </w:pPr>
    <w:rPr>
      <w:sz w:val="24"/>
      <w:szCs w:val="22"/>
      <w:lang w:eastAsia="en-US"/>
    </w:rPr>
  </w:style>
  <w:style w:type="paragraph" w:styleId="Heading1">
    <w:name w:val="heading 1"/>
    <w:basedOn w:val="Normal"/>
    <w:link w:val="Heading1Char"/>
    <w:qFormat/>
    <w:rsid w:val="00DC457F"/>
    <w:pPr>
      <w:spacing w:before="100" w:beforeAutospacing="1" w:after="100" w:afterAutospacing="1" w:line="240" w:lineRule="auto"/>
      <w:outlineLvl w:val="0"/>
    </w:pPr>
    <w:rPr>
      <w:rFonts w:eastAsia="Calibri"/>
      <w:b/>
      <w:bCs/>
      <w:kern w:val="36"/>
      <w:sz w:val="28"/>
      <w:szCs w:val="48"/>
      <w:lang w:eastAsia="en-AU"/>
    </w:rPr>
  </w:style>
  <w:style w:type="paragraph" w:styleId="Heading2">
    <w:name w:val="heading 2"/>
    <w:basedOn w:val="Normal"/>
    <w:next w:val="Normal"/>
    <w:link w:val="Heading2Char"/>
    <w:qFormat/>
    <w:rsid w:val="00DC457F"/>
    <w:pPr>
      <w:keepNext/>
      <w:keepLines/>
      <w:spacing w:before="200" w:after="0"/>
      <w:outlineLvl w:val="1"/>
    </w:pPr>
    <w:rPr>
      <w:rFonts w:ascii="Cambria" w:eastAsia="Calibri" w:hAnsi="Cambria"/>
      <w:b/>
      <w:bCs/>
      <w:color w:val="1F497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C457F"/>
    <w:pPr>
      <w:spacing w:after="0" w:line="240" w:lineRule="auto"/>
    </w:pPr>
    <w:rPr>
      <w:sz w:val="20"/>
      <w:szCs w:val="20"/>
    </w:rPr>
  </w:style>
  <w:style w:type="character" w:customStyle="1" w:styleId="EndnoteTextChar">
    <w:name w:val="Endnote Text Char"/>
    <w:link w:val="EndnoteText"/>
    <w:semiHidden/>
    <w:locked/>
    <w:rsid w:val="00DC457F"/>
    <w:rPr>
      <w:lang w:val="en-AU" w:eastAsia="en-US" w:bidi="ar-SA"/>
    </w:rPr>
  </w:style>
  <w:style w:type="character" w:styleId="EndnoteReference">
    <w:name w:val="endnote reference"/>
    <w:semiHidden/>
    <w:rsid w:val="00DC457F"/>
    <w:rPr>
      <w:rFonts w:cs="Times New Roman"/>
      <w:vertAlign w:val="superscript"/>
    </w:rPr>
  </w:style>
  <w:style w:type="character" w:styleId="Hyperlink">
    <w:name w:val="Hyperlink"/>
    <w:rsid w:val="00DC457F"/>
    <w:rPr>
      <w:rFonts w:cs="Times New Roman"/>
      <w:color w:val="0000FF"/>
      <w:u w:val="single"/>
    </w:rPr>
  </w:style>
  <w:style w:type="character" w:customStyle="1" w:styleId="Heading1Char">
    <w:name w:val="Heading 1 Char"/>
    <w:link w:val="Heading1"/>
    <w:locked/>
    <w:rsid w:val="00DC457F"/>
    <w:rPr>
      <w:rFonts w:eastAsia="Calibri"/>
      <w:b/>
      <w:bCs/>
      <w:kern w:val="36"/>
      <w:sz w:val="28"/>
      <w:szCs w:val="48"/>
      <w:lang w:val="en-AU" w:eastAsia="en-AU" w:bidi="ar-SA"/>
    </w:rPr>
  </w:style>
  <w:style w:type="character" w:customStyle="1" w:styleId="Heading2Char">
    <w:name w:val="Heading 2 Char"/>
    <w:link w:val="Heading2"/>
    <w:locked/>
    <w:rsid w:val="00DC457F"/>
    <w:rPr>
      <w:rFonts w:ascii="Cambria" w:eastAsia="Calibri" w:hAnsi="Cambria"/>
      <w:b/>
      <w:bCs/>
      <w:color w:val="1F497D"/>
      <w:sz w:val="26"/>
      <w:szCs w:val="26"/>
      <w:lang w:val="en-AU" w:eastAsia="en-US" w:bidi="ar-SA"/>
    </w:rPr>
  </w:style>
  <w:style w:type="character" w:customStyle="1" w:styleId="normalchar">
    <w:name w:val="normal_char"/>
    <w:rsid w:val="00DC457F"/>
    <w:rPr>
      <w:color w:val="auto"/>
    </w:rPr>
  </w:style>
  <w:style w:type="paragraph" w:styleId="DocumentMap">
    <w:name w:val="Document Map"/>
    <w:basedOn w:val="Normal"/>
    <w:semiHidden/>
    <w:rsid w:val="00DC457F"/>
    <w:pPr>
      <w:shd w:val="clear" w:color="auto" w:fill="000080"/>
    </w:pPr>
    <w:rPr>
      <w:rFonts w:ascii="Tahoma" w:hAnsi="Tahoma" w:cs="Tahoma"/>
      <w:sz w:val="20"/>
      <w:szCs w:val="20"/>
    </w:rPr>
  </w:style>
  <w:style w:type="paragraph" w:styleId="FootnoteText">
    <w:name w:val="footnote text"/>
    <w:basedOn w:val="Normal"/>
    <w:semiHidden/>
    <w:rsid w:val="00E22E2E"/>
    <w:rPr>
      <w:sz w:val="20"/>
      <w:szCs w:val="20"/>
    </w:rPr>
  </w:style>
  <w:style w:type="character" w:styleId="FootnoteReference">
    <w:name w:val="footnote reference"/>
    <w:semiHidden/>
    <w:rsid w:val="00E22E2E"/>
    <w:rPr>
      <w:vertAlign w:val="superscript"/>
    </w:rPr>
  </w:style>
  <w:style w:type="paragraph" w:styleId="Header">
    <w:name w:val="header"/>
    <w:basedOn w:val="Normal"/>
    <w:rsid w:val="00376C02"/>
    <w:pPr>
      <w:tabs>
        <w:tab w:val="center" w:pos="4153"/>
        <w:tab w:val="right" w:pos="8306"/>
      </w:tabs>
    </w:pPr>
  </w:style>
  <w:style w:type="paragraph" w:styleId="Footer">
    <w:name w:val="footer"/>
    <w:basedOn w:val="Normal"/>
    <w:link w:val="FooterChar"/>
    <w:uiPriority w:val="99"/>
    <w:rsid w:val="00376C02"/>
    <w:pPr>
      <w:tabs>
        <w:tab w:val="center" w:pos="4153"/>
        <w:tab w:val="right" w:pos="8306"/>
      </w:tabs>
    </w:pPr>
  </w:style>
  <w:style w:type="paragraph" w:styleId="BalloonText">
    <w:name w:val="Balloon Text"/>
    <w:basedOn w:val="Normal"/>
    <w:link w:val="BalloonTextChar"/>
    <w:rsid w:val="00831CD0"/>
    <w:pPr>
      <w:spacing w:after="0" w:line="240" w:lineRule="auto"/>
    </w:pPr>
    <w:rPr>
      <w:rFonts w:ascii="Tahoma" w:hAnsi="Tahoma"/>
      <w:sz w:val="16"/>
      <w:szCs w:val="16"/>
      <w:lang w:val="x-none"/>
    </w:rPr>
  </w:style>
  <w:style w:type="character" w:customStyle="1" w:styleId="BalloonTextChar">
    <w:name w:val="Balloon Text Char"/>
    <w:link w:val="BalloonText"/>
    <w:rsid w:val="00831CD0"/>
    <w:rPr>
      <w:rFonts w:ascii="Tahoma" w:hAnsi="Tahoma" w:cs="Tahoma"/>
      <w:sz w:val="16"/>
      <w:szCs w:val="16"/>
      <w:lang w:eastAsia="en-US"/>
    </w:rPr>
  </w:style>
  <w:style w:type="character" w:styleId="CommentReference">
    <w:name w:val="annotation reference"/>
    <w:rsid w:val="00333C85"/>
    <w:rPr>
      <w:sz w:val="16"/>
      <w:szCs w:val="16"/>
    </w:rPr>
  </w:style>
  <w:style w:type="paragraph" w:styleId="CommentText">
    <w:name w:val="annotation text"/>
    <w:basedOn w:val="Normal"/>
    <w:link w:val="CommentTextChar"/>
    <w:rsid w:val="00333C85"/>
    <w:rPr>
      <w:sz w:val="20"/>
      <w:szCs w:val="20"/>
      <w:lang w:val="x-none"/>
    </w:rPr>
  </w:style>
  <w:style w:type="character" w:customStyle="1" w:styleId="CommentTextChar">
    <w:name w:val="Comment Text Char"/>
    <w:link w:val="CommentText"/>
    <w:rsid w:val="00333C85"/>
    <w:rPr>
      <w:lang w:eastAsia="en-US"/>
    </w:rPr>
  </w:style>
  <w:style w:type="paragraph" w:styleId="CommentSubject">
    <w:name w:val="annotation subject"/>
    <w:basedOn w:val="CommentText"/>
    <w:next w:val="CommentText"/>
    <w:link w:val="CommentSubjectChar"/>
    <w:rsid w:val="00333C85"/>
    <w:rPr>
      <w:b/>
      <w:bCs/>
    </w:rPr>
  </w:style>
  <w:style w:type="character" w:customStyle="1" w:styleId="CommentSubjectChar">
    <w:name w:val="Comment Subject Char"/>
    <w:link w:val="CommentSubject"/>
    <w:rsid w:val="00333C85"/>
    <w:rPr>
      <w:b/>
      <w:bCs/>
      <w:lang w:eastAsia="en-US"/>
    </w:rPr>
  </w:style>
  <w:style w:type="character" w:customStyle="1" w:styleId="greytext">
    <w:name w:val="greytext"/>
    <w:rsid w:val="00E97F7F"/>
  </w:style>
  <w:style w:type="paragraph" w:customStyle="1" w:styleId="Default">
    <w:name w:val="Default"/>
    <w:rsid w:val="007C194B"/>
    <w:pPr>
      <w:autoSpaceDE w:val="0"/>
      <w:autoSpaceDN w:val="0"/>
      <w:adjustRightInd w:val="0"/>
    </w:pPr>
    <w:rPr>
      <w:rFonts w:ascii="Arial" w:hAnsi="Arial" w:cs="Arial"/>
      <w:color w:val="000000"/>
      <w:sz w:val="24"/>
      <w:szCs w:val="24"/>
    </w:rPr>
  </w:style>
  <w:style w:type="character" w:customStyle="1" w:styleId="ja50-ce-sup">
    <w:name w:val="ja50-ce-sup"/>
    <w:basedOn w:val="DefaultParagraphFont"/>
    <w:rsid w:val="004258B4"/>
    <w:rPr>
      <w:sz w:val="19"/>
      <w:szCs w:val="19"/>
    </w:rPr>
  </w:style>
  <w:style w:type="character" w:customStyle="1" w:styleId="ja50-ce-author">
    <w:name w:val="ja50-ce-author"/>
    <w:basedOn w:val="DefaultParagraphFont"/>
    <w:rsid w:val="004258B4"/>
  </w:style>
  <w:style w:type="character" w:customStyle="1" w:styleId="previewtxt1">
    <w:name w:val="previewtxt1"/>
    <w:basedOn w:val="DefaultParagraphFont"/>
    <w:rsid w:val="004258B4"/>
    <w:rPr>
      <w:color w:val="C0C0C0"/>
    </w:rPr>
  </w:style>
  <w:style w:type="character" w:customStyle="1" w:styleId="citeddoctitle1">
    <w:name w:val="citeddoctitle1"/>
    <w:basedOn w:val="DefaultParagraphFont"/>
    <w:rsid w:val="004258B4"/>
    <w:rPr>
      <w:sz w:val="25"/>
      <w:szCs w:val="25"/>
    </w:rPr>
  </w:style>
  <w:style w:type="character" w:customStyle="1" w:styleId="citedauthor1">
    <w:name w:val="citedauthor1"/>
    <w:basedOn w:val="DefaultParagraphFont"/>
    <w:rsid w:val="004258B4"/>
    <w:rPr>
      <w:sz w:val="23"/>
      <w:szCs w:val="23"/>
    </w:rPr>
  </w:style>
  <w:style w:type="character" w:customStyle="1" w:styleId="citedjrnltitle1">
    <w:name w:val="citedjrnltitle1"/>
    <w:basedOn w:val="DefaultParagraphFont"/>
    <w:rsid w:val="004258B4"/>
    <w:rPr>
      <w:sz w:val="23"/>
      <w:szCs w:val="23"/>
    </w:rPr>
  </w:style>
  <w:style w:type="character" w:customStyle="1" w:styleId="FooterChar">
    <w:name w:val="Footer Char"/>
    <w:basedOn w:val="DefaultParagraphFont"/>
    <w:link w:val="Footer"/>
    <w:uiPriority w:val="99"/>
    <w:rsid w:val="00D72804"/>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3534">
      <w:bodyDiv w:val="1"/>
      <w:marLeft w:val="0"/>
      <w:marRight w:val="0"/>
      <w:marTop w:val="0"/>
      <w:marBottom w:val="0"/>
      <w:divBdr>
        <w:top w:val="none" w:sz="0" w:space="0" w:color="auto"/>
        <w:left w:val="none" w:sz="0" w:space="0" w:color="auto"/>
        <w:bottom w:val="none" w:sz="0" w:space="0" w:color="auto"/>
        <w:right w:val="none" w:sz="0" w:space="0" w:color="auto"/>
      </w:divBdr>
      <w:divsChild>
        <w:div w:id="916863204">
          <w:marLeft w:val="0"/>
          <w:marRight w:val="0"/>
          <w:marTop w:val="0"/>
          <w:marBottom w:val="0"/>
          <w:divBdr>
            <w:top w:val="none" w:sz="0" w:space="0" w:color="auto"/>
            <w:left w:val="none" w:sz="0" w:space="0" w:color="auto"/>
            <w:bottom w:val="none" w:sz="0" w:space="0" w:color="auto"/>
            <w:right w:val="none" w:sz="0" w:space="0" w:color="auto"/>
          </w:divBdr>
          <w:divsChild>
            <w:div w:id="1424447839">
              <w:marLeft w:val="0"/>
              <w:marRight w:val="0"/>
              <w:marTop w:val="105"/>
              <w:marBottom w:val="0"/>
              <w:divBdr>
                <w:top w:val="none" w:sz="0" w:space="0" w:color="auto"/>
                <w:left w:val="none" w:sz="0" w:space="0" w:color="auto"/>
                <w:bottom w:val="none" w:sz="0" w:space="0" w:color="auto"/>
                <w:right w:val="none" w:sz="0" w:space="0" w:color="auto"/>
              </w:divBdr>
              <w:divsChild>
                <w:div w:id="1941839456">
                  <w:marLeft w:val="150"/>
                  <w:marRight w:val="0"/>
                  <w:marTop w:val="0"/>
                  <w:marBottom w:val="0"/>
                  <w:divBdr>
                    <w:top w:val="none" w:sz="0" w:space="0" w:color="auto"/>
                    <w:left w:val="none" w:sz="0" w:space="0" w:color="auto"/>
                    <w:bottom w:val="none" w:sz="0" w:space="0" w:color="auto"/>
                    <w:right w:val="none" w:sz="0" w:space="0" w:color="auto"/>
                  </w:divBdr>
                  <w:divsChild>
                    <w:div w:id="430441612">
                      <w:marLeft w:val="0"/>
                      <w:marRight w:val="0"/>
                      <w:marTop w:val="0"/>
                      <w:marBottom w:val="0"/>
                      <w:divBdr>
                        <w:top w:val="none" w:sz="0" w:space="0" w:color="auto"/>
                        <w:left w:val="none" w:sz="0" w:space="0" w:color="auto"/>
                        <w:bottom w:val="none" w:sz="0" w:space="0" w:color="auto"/>
                        <w:right w:val="none" w:sz="0" w:space="0" w:color="auto"/>
                      </w:divBdr>
                      <w:divsChild>
                        <w:div w:id="832647943">
                          <w:marLeft w:val="0"/>
                          <w:marRight w:val="0"/>
                          <w:marTop w:val="0"/>
                          <w:marBottom w:val="150"/>
                          <w:divBdr>
                            <w:top w:val="none" w:sz="0" w:space="0" w:color="auto"/>
                            <w:left w:val="none" w:sz="0" w:space="0" w:color="auto"/>
                            <w:bottom w:val="none" w:sz="0" w:space="0" w:color="auto"/>
                            <w:right w:val="none" w:sz="0" w:space="0" w:color="auto"/>
                          </w:divBdr>
                          <w:divsChild>
                            <w:div w:id="1197888998">
                              <w:marLeft w:val="0"/>
                              <w:marRight w:val="0"/>
                              <w:marTop w:val="0"/>
                              <w:marBottom w:val="0"/>
                              <w:divBdr>
                                <w:top w:val="none" w:sz="0" w:space="0" w:color="auto"/>
                                <w:left w:val="none" w:sz="0" w:space="0" w:color="auto"/>
                                <w:bottom w:val="none" w:sz="0" w:space="0" w:color="auto"/>
                                <w:right w:val="none" w:sz="0" w:space="0" w:color="auto"/>
                              </w:divBdr>
                              <w:divsChild>
                                <w:div w:id="61762176">
                                  <w:marLeft w:val="0"/>
                                  <w:marRight w:val="0"/>
                                  <w:marTop w:val="15"/>
                                  <w:marBottom w:val="0"/>
                                  <w:divBdr>
                                    <w:top w:val="none" w:sz="0" w:space="0" w:color="auto"/>
                                    <w:left w:val="none" w:sz="0" w:space="0" w:color="auto"/>
                                    <w:bottom w:val="none" w:sz="0" w:space="0" w:color="auto"/>
                                    <w:right w:val="none" w:sz="0" w:space="0" w:color="auto"/>
                                  </w:divBdr>
                                </w:div>
                              </w:divsChild>
                            </w:div>
                            <w:div w:id="1843347728">
                              <w:marLeft w:val="0"/>
                              <w:marRight w:val="0"/>
                              <w:marTop w:val="15"/>
                              <w:marBottom w:val="0"/>
                              <w:divBdr>
                                <w:top w:val="none" w:sz="0" w:space="0" w:color="auto"/>
                                <w:left w:val="none" w:sz="0" w:space="0" w:color="auto"/>
                                <w:bottom w:val="none" w:sz="0" w:space="0" w:color="auto"/>
                                <w:right w:val="none" w:sz="0" w:space="0" w:color="auto"/>
                              </w:divBdr>
                            </w:div>
                            <w:div w:id="400830947">
                              <w:marLeft w:val="0"/>
                              <w:marRight w:val="0"/>
                              <w:marTop w:val="0"/>
                              <w:marBottom w:val="0"/>
                              <w:divBdr>
                                <w:top w:val="none" w:sz="0" w:space="0" w:color="auto"/>
                                <w:left w:val="none" w:sz="0" w:space="0" w:color="auto"/>
                                <w:bottom w:val="none" w:sz="0" w:space="0" w:color="auto"/>
                                <w:right w:val="none" w:sz="0" w:space="0" w:color="auto"/>
                              </w:divBdr>
                            </w:div>
                            <w:div w:id="1591742589">
                              <w:marLeft w:val="0"/>
                              <w:marRight w:val="0"/>
                              <w:marTop w:val="0"/>
                              <w:marBottom w:val="0"/>
                              <w:divBdr>
                                <w:top w:val="none" w:sz="0" w:space="0" w:color="auto"/>
                                <w:left w:val="none" w:sz="0" w:space="0" w:color="auto"/>
                                <w:bottom w:val="none" w:sz="0" w:space="0" w:color="auto"/>
                                <w:right w:val="none" w:sz="0" w:space="0" w:color="auto"/>
                              </w:divBdr>
                            </w:div>
                            <w:div w:id="450704422">
                              <w:marLeft w:val="0"/>
                              <w:marRight w:val="0"/>
                              <w:marTop w:val="0"/>
                              <w:marBottom w:val="0"/>
                              <w:divBdr>
                                <w:top w:val="none" w:sz="0" w:space="0" w:color="auto"/>
                                <w:left w:val="none" w:sz="0" w:space="0" w:color="auto"/>
                                <w:bottom w:val="none" w:sz="0" w:space="0" w:color="auto"/>
                                <w:right w:val="none" w:sz="0" w:space="0" w:color="auto"/>
                              </w:divBdr>
                              <w:divsChild>
                                <w:div w:id="2040087561">
                                  <w:marLeft w:val="0"/>
                                  <w:marRight w:val="0"/>
                                  <w:marTop w:val="0"/>
                                  <w:marBottom w:val="0"/>
                                  <w:divBdr>
                                    <w:top w:val="none" w:sz="0" w:space="0" w:color="auto"/>
                                    <w:left w:val="none" w:sz="0" w:space="0" w:color="auto"/>
                                    <w:bottom w:val="none" w:sz="0" w:space="0" w:color="auto"/>
                                    <w:right w:val="none" w:sz="0" w:space="0" w:color="auto"/>
                                  </w:divBdr>
                                  <w:divsChild>
                                    <w:div w:id="32108720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sChild>
        </w:div>
      </w:divsChild>
    </w:div>
    <w:div w:id="1301613389">
      <w:bodyDiv w:val="1"/>
      <w:marLeft w:val="0"/>
      <w:marRight w:val="0"/>
      <w:marTop w:val="0"/>
      <w:marBottom w:val="0"/>
      <w:divBdr>
        <w:top w:val="none" w:sz="0" w:space="0" w:color="auto"/>
        <w:left w:val="none" w:sz="0" w:space="0" w:color="auto"/>
        <w:bottom w:val="none" w:sz="0" w:space="0" w:color="auto"/>
        <w:right w:val="none" w:sz="0" w:space="0" w:color="auto"/>
      </w:divBdr>
      <w:divsChild>
        <w:div w:id="548347304">
          <w:marLeft w:val="0"/>
          <w:marRight w:val="0"/>
          <w:marTop w:val="0"/>
          <w:marBottom w:val="0"/>
          <w:divBdr>
            <w:top w:val="none" w:sz="0" w:space="0" w:color="auto"/>
            <w:left w:val="none" w:sz="0" w:space="0" w:color="auto"/>
            <w:bottom w:val="none" w:sz="0" w:space="0" w:color="auto"/>
            <w:right w:val="none" w:sz="0" w:space="0" w:color="auto"/>
          </w:divBdr>
          <w:divsChild>
            <w:div w:id="1447889157">
              <w:marLeft w:val="0"/>
              <w:marRight w:val="0"/>
              <w:marTop w:val="0"/>
              <w:marBottom w:val="0"/>
              <w:divBdr>
                <w:top w:val="none" w:sz="0" w:space="0" w:color="auto"/>
                <w:left w:val="none" w:sz="0" w:space="0" w:color="auto"/>
                <w:bottom w:val="none" w:sz="0" w:space="0" w:color="auto"/>
                <w:right w:val="none" w:sz="0" w:space="0" w:color="auto"/>
              </w:divBdr>
              <w:divsChild>
                <w:div w:id="1536037391">
                  <w:marLeft w:val="0"/>
                  <w:marRight w:val="0"/>
                  <w:marTop w:val="0"/>
                  <w:marBottom w:val="0"/>
                  <w:divBdr>
                    <w:top w:val="none" w:sz="0" w:space="0" w:color="auto"/>
                    <w:left w:val="none" w:sz="0" w:space="0" w:color="auto"/>
                    <w:bottom w:val="none" w:sz="0" w:space="0" w:color="auto"/>
                    <w:right w:val="none" w:sz="0" w:space="0" w:color="auto"/>
                  </w:divBdr>
                  <w:divsChild>
                    <w:div w:id="336035327">
                      <w:marLeft w:val="0"/>
                      <w:marRight w:val="0"/>
                      <w:marTop w:val="0"/>
                      <w:marBottom w:val="0"/>
                      <w:divBdr>
                        <w:top w:val="none" w:sz="0" w:space="0" w:color="auto"/>
                        <w:left w:val="none" w:sz="0" w:space="0" w:color="auto"/>
                        <w:bottom w:val="none" w:sz="0" w:space="0" w:color="auto"/>
                        <w:right w:val="none" w:sz="0" w:space="0" w:color="auto"/>
                      </w:divBdr>
                      <w:divsChild>
                        <w:div w:id="2042050314">
                          <w:marLeft w:val="0"/>
                          <w:marRight w:val="0"/>
                          <w:marTop w:val="0"/>
                          <w:marBottom w:val="0"/>
                          <w:divBdr>
                            <w:top w:val="none" w:sz="0" w:space="0" w:color="auto"/>
                            <w:left w:val="none" w:sz="0" w:space="0" w:color="auto"/>
                            <w:bottom w:val="none" w:sz="0" w:space="0" w:color="auto"/>
                            <w:right w:val="none" w:sz="0" w:space="0" w:color="auto"/>
                          </w:divBdr>
                          <w:divsChild>
                            <w:div w:id="524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thelancet.com/search/results?fieldName=Authors&amp;searchTerm=Carmine+Fant%C3%B2" TargetMode="External"/><Relationship Id="rId3" Type="http://schemas.openxmlformats.org/officeDocument/2006/relationships/hyperlink" Target="http://www.thelancet.com/search/results?fieldName=Authors&amp;searchTerm=Francesca+Caumo" TargetMode="External"/><Relationship Id="rId7" Type="http://schemas.openxmlformats.org/officeDocument/2006/relationships/hyperlink" Target="http://www.thelancet.com/search/results?fieldName=Authors&amp;searchTerm=Paola+Bricolo" TargetMode="External"/><Relationship Id="rId2" Type="http://schemas.openxmlformats.org/officeDocument/2006/relationships/hyperlink" Target="http://www.thelancet.com/search/results?fieldName=Authors&amp;searchTerm=Daniela+Bernardi" TargetMode="External"/><Relationship Id="rId1" Type="http://schemas.openxmlformats.org/officeDocument/2006/relationships/hyperlink" Target="http://www.thelancet.com/search/results?fieldName=Authors&amp;searchTerm=Nehmat+Houssami" TargetMode="External"/><Relationship Id="rId6" Type="http://schemas.openxmlformats.org/officeDocument/2006/relationships/hyperlink" Target="http://www.thelancet.com/search/results?fieldName=Authors&amp;searchTerm=Paola+Tuttobene" TargetMode="External"/><Relationship Id="rId11" Type="http://schemas.openxmlformats.org/officeDocument/2006/relationships/hyperlink" Target="http://www.thelancet.com/search/results?fieldName=Authors&amp;searchTerm=Petra+Macaskill" TargetMode="External"/><Relationship Id="rId5" Type="http://schemas.openxmlformats.org/officeDocument/2006/relationships/hyperlink" Target="http://www.thelancet.com/search/results?fieldName=Authors&amp;searchTerm=Silvia+Brunelli" TargetMode="External"/><Relationship Id="rId10" Type="http://schemas.openxmlformats.org/officeDocument/2006/relationships/hyperlink" Target="http://www.thelancet.com/search/results?fieldName=Authors&amp;searchTerm=Stefania+Montemezzi" TargetMode="External"/><Relationship Id="rId4" Type="http://schemas.openxmlformats.org/officeDocument/2006/relationships/hyperlink" Target="http://www.thelancet.com/search/results?fieldName=Authors&amp;searchTerm=Marco+Pellegrini" TargetMode="External"/><Relationship Id="rId9" Type="http://schemas.openxmlformats.org/officeDocument/2006/relationships/hyperlink" Target="http://www.thelancet.com/search/results?fieldName=Authors&amp;searchTerm=Marvi+Valent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B35F3-313D-4E22-A726-078D96675DE7}">
  <ds:schemaRefs>
    <ds:schemaRef ds:uri="http://schemas.openxmlformats.org/officeDocument/2006/bibliography"/>
  </ds:schemaRefs>
</ds:datastoreItem>
</file>

<file path=customXml/itemProps2.xml><?xml version="1.0" encoding="utf-8"?>
<ds:datastoreItem xmlns:ds="http://schemas.openxmlformats.org/officeDocument/2006/customXml" ds:itemID="{F7F37633-20E4-427C-AB50-AD785E44E66F}"/>
</file>

<file path=customXml/itemProps3.xml><?xml version="1.0" encoding="utf-8"?>
<ds:datastoreItem xmlns:ds="http://schemas.openxmlformats.org/officeDocument/2006/customXml" ds:itemID="{00B341C1-663B-4C89-88D1-A1F05FE8F14B}"/>
</file>

<file path=customXml/itemProps4.xml><?xml version="1.0" encoding="utf-8"?>
<ds:datastoreItem xmlns:ds="http://schemas.openxmlformats.org/officeDocument/2006/customXml" ds:itemID="{A5BCA3DC-AB36-4FB8-AAC6-F70D24CC5CD5}"/>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BreastScreen Australia Tomosynthesis Position Statement</vt:lpstr>
    </vt:vector>
  </TitlesOfParts>
  <LinksUpToDate>false</LinksUpToDate>
  <CharactersWithSpaces>2684</CharactersWithSpaces>
  <SharedDoc>false</SharedDoc>
  <HLinks>
    <vt:vector size="12" baseType="variant">
      <vt:variant>
        <vt:i4>851969</vt:i4>
      </vt:variant>
      <vt:variant>
        <vt:i4>3</vt:i4>
      </vt:variant>
      <vt:variant>
        <vt:i4>0</vt:i4>
      </vt:variant>
      <vt:variant>
        <vt:i4>5</vt:i4>
      </vt:variant>
      <vt:variant>
        <vt:lpwstr>http://www.hta.ac.uk/2296</vt:lpwstr>
      </vt:variant>
      <vt:variant>
        <vt:lpwstr/>
      </vt:variant>
      <vt:variant>
        <vt:i4>6291569</vt:i4>
      </vt:variant>
      <vt:variant>
        <vt:i4>0</vt:i4>
      </vt:variant>
      <vt:variant>
        <vt:i4>0</vt:i4>
      </vt:variant>
      <vt:variant>
        <vt:i4>5</vt:i4>
      </vt:variant>
      <vt:variant>
        <vt:lpwstr>http://clinicaltrials.gov/ct2/show/NCT01091545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Position statement on the use of tomosynthesis within breast screening</dc:title>
  <dc:creator/>
  <cp:keywords>cancer; preventive health; women's health</cp:keywords>
  <cp:lastModifiedBy/>
  <cp:revision>1</cp:revision>
  <dcterms:created xsi:type="dcterms:W3CDTF">2015-01-14T01:10:00Z</dcterms:created>
  <dcterms:modified xsi:type="dcterms:W3CDTF">2019-09-17T01:58:00Z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