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7.xml" ContentType="application/vnd.openxmlformats-officedocument.wordprocessingml.footer+xml"/>
  <Override PartName="/word/footer8.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7C58FCF" w14:textId="4B0D7889" w:rsidR="0055619E" w:rsidRDefault="00544A70" w:rsidP="00544A70">
      <w:pPr>
        <w:ind w:left="-709"/>
      </w:pPr>
      <w:r>
        <w:rPr>
          <w:noProof/>
          <w:lang w:val="en-AU" w:eastAsia="en-AU"/>
        </w:rPr>
        <mc:AlternateContent>
          <mc:Choice Requires="wpg">
            <w:drawing>
              <wp:inline distT="0" distB="0" distL="0" distR="0" wp14:anchorId="2E5920CF" wp14:editId="7C5E241F">
                <wp:extent cx="6853554" cy="9487575"/>
                <wp:effectExtent l="0" t="0" r="5080" b="0"/>
                <wp:docPr id="9" name="Group 9" descr="Cover page with title as follows: Breast Density - A literature review to inform BreastScreen Australia's position statement on breast density and screening. Final report: 28 September 2018. Allen+Clarke."/>
                <wp:cNvGraphicFramePr/>
                <a:graphic xmlns:a="http://schemas.openxmlformats.org/drawingml/2006/main">
                  <a:graphicData uri="http://schemas.microsoft.com/office/word/2010/wordprocessingGroup">
                    <wpg:wgp>
                      <wpg:cNvGrpSpPr/>
                      <wpg:grpSpPr>
                        <a:xfrm>
                          <a:off x="0" y="0"/>
                          <a:ext cx="6853554" cy="9487575"/>
                          <a:chOff x="0" y="0"/>
                          <a:chExt cx="6853554" cy="9487575"/>
                        </a:xfrm>
                      </wpg:grpSpPr>
                      <pic:pic xmlns:pic="http://schemas.openxmlformats.org/drawingml/2006/picture">
                        <pic:nvPicPr>
                          <pic:cNvPr id="1" name="Picture 1" descr="Related 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677" cy="5106074"/>
                          </a:xfrm>
                          <a:prstGeom prst="rect">
                            <a:avLst/>
                          </a:prstGeom>
                          <a:noFill/>
                          <a:ln>
                            <a:noFill/>
                          </a:ln>
                        </pic:spPr>
                      </pic:pic>
                      <wpg:grpSp>
                        <wpg:cNvPr id="78" name="Group 78" descr="Breast Density&#10;A literature review to inform BreastScreen Australia’s position statement on breast density and screening&#10;Final report: 28 September 2018&#10;"/>
                        <wpg:cNvGrpSpPr/>
                        <wpg:grpSpPr>
                          <a:xfrm>
                            <a:off x="0" y="5106074"/>
                            <a:ext cx="6853554" cy="4381501"/>
                            <a:chOff x="-321313" y="4758481"/>
                            <a:chExt cx="6856043" cy="4263959"/>
                          </a:xfrm>
                        </wpg:grpSpPr>
                        <wps:wsp>
                          <wps:cNvPr id="80" name="Text Box 2" descr="Breast Density&#10;A literature review to inform BreastScreen Australia’s position statement on breast density and screening&#10;Final report: 28 September 2018&#10;"/>
                          <wps:cNvSpPr txBox="1">
                            <a:spLocks noChangeArrowheads="1"/>
                          </wps:cNvSpPr>
                          <wps:spPr bwMode="auto">
                            <a:xfrm>
                              <a:off x="-314961" y="4758481"/>
                              <a:ext cx="6836188" cy="3083431"/>
                            </a:xfrm>
                            <a:prstGeom prst="rect">
                              <a:avLst/>
                            </a:prstGeom>
                            <a:solidFill>
                              <a:schemeClr val="tx2"/>
                            </a:solidFill>
                            <a:ln w="9525">
                              <a:noFill/>
                              <a:miter lim="800000"/>
                              <a:headEnd/>
                              <a:tailEnd/>
                            </a:ln>
                          </wps:spPr>
                          <wps:txbx>
                            <w:txbxContent>
                              <w:p w14:paraId="52E8D060" w14:textId="77777777" w:rsidR="0060223E" w:rsidRDefault="0060223E" w:rsidP="00544A70">
                                <w:pPr>
                                  <w:pStyle w:val="ACReport-MainTitle"/>
                                </w:pPr>
                                <w:r>
                                  <w:t>Breast Density</w:t>
                                </w:r>
                              </w:p>
                              <w:p w14:paraId="488EDDDF" w14:textId="77777777" w:rsidR="0060223E" w:rsidRDefault="0060223E" w:rsidP="00544A70">
                                <w:pPr>
                                  <w:pStyle w:val="ACReport-Subtitle"/>
                                </w:pPr>
                                <w:r>
                                  <w:t>A literature review to inform BreastScreen Australia’s position statement on breast density and screening</w:t>
                                </w:r>
                              </w:p>
                              <w:p w14:paraId="2BE29C8A" w14:textId="77777777" w:rsidR="0060223E" w:rsidRPr="003F7AF2" w:rsidRDefault="0060223E" w:rsidP="00544A70">
                                <w:pPr>
                                  <w:pStyle w:val="ACReportDate"/>
                                </w:pPr>
                                <w:r>
                                  <w:t>Final report: 28 September 2018</w:t>
                                </w:r>
                              </w:p>
                              <w:p w14:paraId="2F9C1C85" w14:textId="77777777" w:rsidR="0060223E" w:rsidRPr="003F7AF2" w:rsidRDefault="0060223E" w:rsidP="00544A70"/>
                            </w:txbxContent>
                          </wps:txbx>
                          <wps:bodyPr rot="0" vert="horz" wrap="square" lIns="91440" tIns="45720" rIns="91440" bIns="45720" anchor="t" anchorCtr="0">
                            <a:noAutofit/>
                          </wps:bodyPr>
                        </wps:wsp>
                        <wps:wsp>
                          <wps:cNvPr id="81" name="Text Box 2"/>
                          <wps:cNvSpPr txBox="1">
                            <a:spLocks noChangeArrowheads="1"/>
                          </wps:cNvSpPr>
                          <wps:spPr bwMode="auto">
                            <a:xfrm>
                              <a:off x="-321313" y="7841913"/>
                              <a:ext cx="6856043" cy="1180527"/>
                            </a:xfrm>
                            <a:prstGeom prst="rect">
                              <a:avLst/>
                            </a:prstGeom>
                            <a:solidFill>
                              <a:schemeClr val="bg2"/>
                            </a:solidFill>
                            <a:ln w="9525">
                              <a:noFill/>
                              <a:miter lim="800000"/>
                              <a:headEnd/>
                              <a:tailEnd/>
                            </a:ln>
                          </wps:spPr>
                          <wps:txbx>
                            <w:txbxContent>
                              <w:p w14:paraId="12FEF19C" w14:textId="77777777" w:rsidR="0060223E" w:rsidRDefault="0060223E" w:rsidP="00544A70">
                                <w:pPr>
                                  <w:jc w:val="center"/>
                                </w:pPr>
                                <w:r>
                                  <w:rPr>
                                    <w:noProof/>
                                    <w:lang w:val="en-AU" w:eastAsia="en-AU"/>
                                  </w:rPr>
                                  <w:drawing>
                                    <wp:inline distT="0" distB="0" distL="0" distR="0" wp14:anchorId="5987B899" wp14:editId="1B9A5A4F">
                                      <wp:extent cx="4053840" cy="930275"/>
                                      <wp:effectExtent l="0" t="0" r="3810" b="3175"/>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93027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wgp>
                  </a:graphicData>
                </a:graphic>
              </wp:inline>
            </w:drawing>
          </mc:Choice>
          <mc:Fallback>
            <w:pict>
              <v:group w14:anchorId="2E5920CF" id="Group 9" o:spid="_x0000_s1026" alt="Cover page with title as follows: Breast Density - A literature review to inform BreastScreen Australia's position statement on breast density and screening. Final report: 28 September 2018. Allen+Clarke." style="width:539.65pt;height:747.05pt;mso-position-horizontal-relative:char;mso-position-vertical-relative:line" coordsize="68535,9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Related image" style="position:absolute;width:68296;height:5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">
                  <v:imagedata r:id="rId11" o:title="Related image"/>
                  <v:path arrowok="t"/>
                </v:shape>
                <v:group id="Group 78" o:spid="_x0000_s1028" alt="Breast Density&#10;A literature review to inform BreastScreen Australia’s position statement on breast density and screening&#10;Final report: 28 September 2018&#10;" style="position:absolute;top:51060;width:68535;height:43815" coordorigin="-3213,47584" coordsize="68560,4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202" coordsize="21600,21600" o:spt="202" path="m,l,21600r21600,l21600,xe">
                    <v:stroke joinstyle="miter"/>
                    <v:path gradientshapeok="t" o:connecttype="rect"/>
                  </v:shapetype>
                  <v:shape id="Text Box 2" o:spid="_x0000_s1029" type="#_x0000_t202" alt="Breast Density&#10;A literature review to inform BreastScreen Australia’s position statement on breast density and screening&#10;Final report: 28 September 2018&#10;" style="position:absolute;left:-3149;top:47584;width:68361;height:30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" fillcolor="#36424a [3215]" stroked="f">
                    <v:textbox>
                      <w:txbxContent>
                        <w:p w14:paraId="52E8D060" w14:textId="77777777" w:rsidR="0060223E" w:rsidRDefault="0060223E" w:rsidP="00544A70">
                          <w:pPr>
                            <w:pStyle w:val="ACReport-MainTitle"/>
                          </w:pPr>
                          <w:r>
                            <w:t>Breast Density</w:t>
                          </w:r>
                        </w:p>
                        <w:p w14:paraId="488EDDDF" w14:textId="77777777" w:rsidR="0060223E" w:rsidRDefault="0060223E" w:rsidP="00544A70">
                          <w:pPr>
                            <w:pStyle w:val="ACReport-Subtitle"/>
                          </w:pPr>
                          <w:r>
                            <w:t xml:space="preserve">A literature review to inform </w:t>
                          </w:r>
                          <w:proofErr w:type="spellStart"/>
                          <w:r>
                            <w:t>BreastScreen</w:t>
                          </w:r>
                          <w:proofErr w:type="spellEnd"/>
                          <w:r>
                            <w:t xml:space="preserve"> Australia’s position statement on breast density and screening</w:t>
                          </w:r>
                        </w:p>
                        <w:p w14:paraId="2BE29C8A" w14:textId="77777777" w:rsidR="0060223E" w:rsidRPr="003F7AF2" w:rsidRDefault="0060223E" w:rsidP="00544A70">
                          <w:pPr>
                            <w:pStyle w:val="ACReportDate"/>
                          </w:pPr>
                          <w:r>
                            <w:t>Final report: 28 September 2018</w:t>
                          </w:r>
                        </w:p>
                        <w:p w14:paraId="2F9C1C85" w14:textId="77777777" w:rsidR="0060223E" w:rsidRPr="003F7AF2" w:rsidRDefault="0060223E" w:rsidP="00544A70"/>
                      </w:txbxContent>
                    </v:textbox>
                  </v:shape>
                  <v:shape id="Text Box 2" o:spid="_x0000_s1030" type="#_x0000_t202" style="position:absolute;left:-3213;top:78419;width:68560;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" fillcolor="#77b800 [3214]" stroked="f">
                    <v:textbox>
                      <w:txbxContent>
                        <w:p w14:paraId="12FEF19C" w14:textId="77777777" w:rsidR="0060223E" w:rsidRDefault="0060223E" w:rsidP="00544A70">
                          <w:pPr>
                            <w:jc w:val="center"/>
                          </w:pPr>
                          <w:r>
                            <w:rPr>
                              <w:noProof/>
                              <w:lang w:val="en-AU" w:eastAsia="en-AU"/>
                            </w:rPr>
                            <w:drawing>
                              <wp:inline distT="0" distB="0" distL="0" distR="0" wp14:anchorId="5987B899" wp14:editId="1B9A5A4F">
                                <wp:extent cx="4053840" cy="930275"/>
                                <wp:effectExtent l="0" t="0" r="3810" b="3175"/>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3840" cy="930275"/>
                                        </a:xfrm>
                                        <a:prstGeom prst="rect">
                                          <a:avLst/>
                                        </a:prstGeom>
                                        <a:noFill/>
                                        <a:ln>
                                          <a:noFill/>
                                        </a:ln>
                                      </pic:spPr>
                                    </pic:pic>
                                  </a:graphicData>
                                </a:graphic>
                              </wp:inline>
                            </w:drawing>
                          </w:r>
                        </w:p>
                      </w:txbxContent>
                    </v:textbox>
                  </v:shape>
                </v:group>
                <w10:anchorlock/>
              </v:group>
            </w:pict>
          </mc:Fallback>
        </mc:AlternateContent>
      </w:r>
    </w:p>
    <w:p w14:paraId="0865171C" w14:textId="77777777" w:rsidR="00FF61D8" w:rsidRDefault="00FF61D8" w:rsidP="00FF61D8">
      <w:pPr>
        <w:pStyle w:val="Table-para"/>
        <w:ind w:left="320"/>
      </w:pPr>
      <w:r>
        <w:rPr>
          <w:i/>
        </w:rPr>
        <w:lastRenderedPageBreak/>
        <w:t xml:space="preserve">Allen + Clarke </w:t>
      </w:r>
      <w:r>
        <w:t xml:space="preserve">has been </w:t>
      </w:r>
    </w:p>
    <w:p w14:paraId="29343FD3" w14:textId="77777777" w:rsidR="00FF61D8" w:rsidRDefault="00FF61D8" w:rsidP="00FF61D8">
      <w:pPr>
        <w:pStyle w:val="Table-para"/>
        <w:ind w:left="320"/>
      </w:pPr>
      <w:proofErr w:type="gramStart"/>
      <w:r>
        <w:t>independently</w:t>
      </w:r>
      <w:proofErr w:type="gramEnd"/>
      <w:r>
        <w:t xml:space="preserve"> certified as</w:t>
      </w:r>
    </w:p>
    <w:p w14:paraId="54815366" w14:textId="77777777" w:rsidR="00FF61D8" w:rsidRDefault="00FF61D8" w:rsidP="00FF61D8">
      <w:pPr>
        <w:pStyle w:val="Table-para"/>
        <w:ind w:left="320"/>
      </w:pPr>
      <w:proofErr w:type="gramStart"/>
      <w:r>
        <w:t>compliant</w:t>
      </w:r>
      <w:proofErr w:type="gramEnd"/>
      <w:r>
        <w:t xml:space="preserve"> with ISO9001:2015</w:t>
      </w:r>
    </w:p>
    <w:p w14:paraId="0069506B" w14:textId="77777777" w:rsidR="00FF61D8" w:rsidRDefault="00FF61D8" w:rsidP="00FF61D8">
      <w:pPr>
        <w:pStyle w:val="Table-para"/>
        <w:ind w:left="320"/>
      </w:pPr>
      <w:r>
        <w:t>Quality Management Systems</w:t>
      </w:r>
    </w:p>
    <w:p w14:paraId="633EBC9C" w14:textId="77777777" w:rsidR="00FF61D8" w:rsidRDefault="00FF61D8" w:rsidP="00FF61D8">
      <w:pPr>
        <w:pStyle w:val="Table-para"/>
        <w:ind w:left="320"/>
      </w:pPr>
      <w:r>
        <w:rPr>
          <w:i/>
          <w:noProof/>
          <w:lang w:val="en-AU" w:eastAsia="en-AU"/>
        </w:rPr>
        <w:drawing>
          <wp:inline distT="0" distB="0" distL="0" distR="0" wp14:anchorId="78D69F29" wp14:editId="5CA4E519">
            <wp:extent cx="537845" cy="1062355"/>
            <wp:effectExtent l="0" t="0" r="0" b="4445"/>
            <wp:docPr id="4" name="Picture 4" descr="Telarc registered TM. &#10;Quality ISO 9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arc registered TM. &#10;Quality ISO 900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845" cy="1062355"/>
                    </a:xfrm>
                    <a:prstGeom prst="rect">
                      <a:avLst/>
                    </a:prstGeom>
                    <a:noFill/>
                    <a:ln>
                      <a:noFill/>
                    </a:ln>
                  </pic:spPr>
                </pic:pic>
              </a:graphicData>
            </a:graphic>
          </wp:inline>
        </w:drawing>
      </w:r>
    </w:p>
    <w:tbl>
      <w:tblPr>
        <w:tblStyle w:val="TableGrid"/>
        <w:tblpPr w:leftFromText="180" w:rightFromText="180" w:vertAnchor="text" w:horzAnchor="margin" w:tblpY="6974"/>
        <w:tblW w:w="4793" w:type="pct"/>
        <w:tblLayout w:type="fixed"/>
        <w:tblLook w:val="04A0" w:firstRow="1" w:lastRow="0" w:firstColumn="1" w:lastColumn="0" w:noHBand="0" w:noVBand="1"/>
        <w:tblDescription w:val="Document status:  Final&#10;Version and date: 23 November 2018&#10;Author(s): Jacinta Cording, Alesha Smith, Anna Gribble, Sophie Bishop&#10;Filing Location: W/Department of Health/BreastScreen Australia/Breast Density and mammography/Literature review&#10;Peer / technical review: Dr Robyn Haisman&#10;Verification that QA changes made: Anna Gribble&#10;Proof read: Anna Gribble&#10;Formatting: Salman Abbasnejad&#10;Final QA check and approved for release: Anna Gribble&#10;"/>
      </w:tblPr>
      <w:tblGrid>
        <w:gridCol w:w="1780"/>
        <w:gridCol w:w="7020"/>
      </w:tblGrid>
      <w:tr w:rsidR="00C862C2" w:rsidRPr="00E44152" w14:paraId="4BA2061F" w14:textId="77777777" w:rsidTr="000D4C2F">
        <w:trPr>
          <w:trHeight w:val="207"/>
          <w:tblHeader/>
        </w:trPr>
        <w:tc>
          <w:tcPr>
            <w:tcW w:w="1820" w:type="dxa"/>
          </w:tcPr>
          <w:p w14:paraId="20455187" w14:textId="77777777" w:rsidR="00C862C2" w:rsidRPr="00E44152" w:rsidRDefault="00C862C2" w:rsidP="00C862C2">
            <w:pPr>
              <w:pStyle w:val="Footer"/>
              <w:rPr>
                <w:b/>
              </w:rPr>
            </w:pPr>
            <w:r w:rsidRPr="00E44152">
              <w:rPr>
                <w:b/>
              </w:rPr>
              <w:t xml:space="preserve">Document status: </w:t>
            </w:r>
          </w:p>
        </w:tc>
        <w:tc>
          <w:tcPr>
            <w:tcW w:w="7197" w:type="dxa"/>
            <w:tcBorders>
              <w:right w:val="single" w:sz="4" w:space="0" w:color="auto"/>
            </w:tcBorders>
          </w:tcPr>
          <w:p w14:paraId="1E555B73" w14:textId="77777777" w:rsidR="00C862C2" w:rsidRPr="00E44152" w:rsidRDefault="00C862C2" w:rsidP="00C862C2">
            <w:pPr>
              <w:pStyle w:val="Footer"/>
            </w:pPr>
            <w:r>
              <w:t>Final</w:t>
            </w:r>
          </w:p>
        </w:tc>
      </w:tr>
      <w:tr w:rsidR="00C862C2" w:rsidRPr="00E44152" w14:paraId="54D9E029" w14:textId="77777777" w:rsidTr="00C862C2">
        <w:trPr>
          <w:trHeight w:val="207"/>
        </w:trPr>
        <w:tc>
          <w:tcPr>
            <w:tcW w:w="1820" w:type="dxa"/>
          </w:tcPr>
          <w:p w14:paraId="21D1A7B5" w14:textId="77777777" w:rsidR="00C862C2" w:rsidRPr="00E44152" w:rsidRDefault="00C862C2" w:rsidP="00C862C2">
            <w:pPr>
              <w:pStyle w:val="Footer"/>
              <w:rPr>
                <w:b/>
              </w:rPr>
            </w:pPr>
            <w:r w:rsidRPr="00E44152">
              <w:rPr>
                <w:b/>
              </w:rPr>
              <w:t>Version and date:</w:t>
            </w:r>
          </w:p>
        </w:tc>
        <w:tc>
          <w:tcPr>
            <w:tcW w:w="7197" w:type="dxa"/>
            <w:tcBorders>
              <w:right w:val="single" w:sz="4" w:space="0" w:color="auto"/>
            </w:tcBorders>
          </w:tcPr>
          <w:p w14:paraId="031B996F" w14:textId="77777777" w:rsidR="00C862C2" w:rsidRPr="00E44152" w:rsidRDefault="00C862C2" w:rsidP="00C862C2">
            <w:pPr>
              <w:pStyle w:val="Footer"/>
            </w:pPr>
            <w:r>
              <w:t>23 November 2018</w:t>
            </w:r>
          </w:p>
        </w:tc>
      </w:tr>
      <w:tr w:rsidR="00C862C2" w:rsidRPr="00E44152" w14:paraId="0FF3F51D" w14:textId="77777777" w:rsidTr="00C862C2">
        <w:trPr>
          <w:trHeight w:val="395"/>
        </w:trPr>
        <w:tc>
          <w:tcPr>
            <w:tcW w:w="1820" w:type="dxa"/>
          </w:tcPr>
          <w:p w14:paraId="45795E83" w14:textId="77777777" w:rsidR="00C862C2" w:rsidRPr="00E44152" w:rsidRDefault="00C862C2" w:rsidP="00C862C2">
            <w:pPr>
              <w:pStyle w:val="Footer"/>
              <w:rPr>
                <w:b/>
              </w:rPr>
            </w:pPr>
            <w:r w:rsidRPr="00E44152">
              <w:rPr>
                <w:b/>
              </w:rPr>
              <w:t>Author(s):</w:t>
            </w:r>
          </w:p>
        </w:tc>
        <w:tc>
          <w:tcPr>
            <w:tcW w:w="7197" w:type="dxa"/>
            <w:tcBorders>
              <w:right w:val="single" w:sz="4" w:space="0" w:color="auto"/>
            </w:tcBorders>
          </w:tcPr>
          <w:p w14:paraId="5C2B9B5C" w14:textId="77777777" w:rsidR="00C862C2" w:rsidRPr="00E44152" w:rsidRDefault="00C862C2" w:rsidP="00C862C2">
            <w:pPr>
              <w:pStyle w:val="Footer"/>
            </w:pPr>
            <w:r>
              <w:t>Jacinta Cording, Alesha Smith, Anna Gribble, Sophie Bishop</w:t>
            </w:r>
          </w:p>
        </w:tc>
      </w:tr>
      <w:tr w:rsidR="00C862C2" w:rsidRPr="00E44152" w14:paraId="09C2369E" w14:textId="77777777" w:rsidTr="00C862C2">
        <w:trPr>
          <w:trHeight w:val="830"/>
        </w:trPr>
        <w:tc>
          <w:tcPr>
            <w:tcW w:w="1820" w:type="dxa"/>
          </w:tcPr>
          <w:p w14:paraId="1D0F011A" w14:textId="77777777" w:rsidR="00C862C2" w:rsidRPr="00E44152" w:rsidRDefault="00C862C2" w:rsidP="00C862C2">
            <w:pPr>
              <w:pStyle w:val="Footer"/>
              <w:rPr>
                <w:b/>
              </w:rPr>
            </w:pPr>
            <w:r w:rsidRPr="00E44152">
              <w:rPr>
                <w:b/>
              </w:rPr>
              <w:t>Filing Locat</w:t>
            </w:r>
            <w:r>
              <w:rPr>
                <w:b/>
              </w:rPr>
              <w:t>io</w:t>
            </w:r>
            <w:r w:rsidRPr="00E44152">
              <w:rPr>
                <w:b/>
              </w:rPr>
              <w:t>n:</w:t>
            </w:r>
          </w:p>
        </w:tc>
        <w:tc>
          <w:tcPr>
            <w:tcW w:w="7197" w:type="dxa"/>
            <w:tcBorders>
              <w:right w:val="single" w:sz="4" w:space="0" w:color="auto"/>
            </w:tcBorders>
          </w:tcPr>
          <w:p w14:paraId="63A9F253" w14:textId="77777777" w:rsidR="00C862C2" w:rsidRPr="00E44152" w:rsidRDefault="00C862C2" w:rsidP="00C862C2">
            <w:pPr>
              <w:pStyle w:val="Footer"/>
            </w:pPr>
            <w:r>
              <w:t>W:/Department of Health/BreastScreen Australia/Breast Density and mammography/Literature review</w:t>
            </w:r>
          </w:p>
        </w:tc>
      </w:tr>
      <w:tr w:rsidR="00C862C2" w:rsidRPr="00E44152" w14:paraId="755FA6A8" w14:textId="77777777" w:rsidTr="00C862C2">
        <w:trPr>
          <w:trHeight w:val="415"/>
        </w:trPr>
        <w:tc>
          <w:tcPr>
            <w:tcW w:w="1820" w:type="dxa"/>
          </w:tcPr>
          <w:p w14:paraId="7AB6046A" w14:textId="77777777" w:rsidR="00C862C2" w:rsidRPr="00E44152" w:rsidRDefault="00C862C2" w:rsidP="00C862C2">
            <w:pPr>
              <w:pStyle w:val="Footer"/>
              <w:rPr>
                <w:b/>
              </w:rPr>
            </w:pPr>
            <w:r w:rsidRPr="00E44152">
              <w:rPr>
                <w:b/>
              </w:rPr>
              <w:t>Peer / technical review:</w:t>
            </w:r>
          </w:p>
        </w:tc>
        <w:tc>
          <w:tcPr>
            <w:tcW w:w="7197" w:type="dxa"/>
            <w:tcBorders>
              <w:right w:val="single" w:sz="4" w:space="0" w:color="auto"/>
            </w:tcBorders>
          </w:tcPr>
          <w:p w14:paraId="33D45F7A" w14:textId="77777777" w:rsidR="00C862C2" w:rsidRPr="00E44152" w:rsidRDefault="00C862C2" w:rsidP="00C862C2">
            <w:pPr>
              <w:pStyle w:val="Footer"/>
            </w:pPr>
            <w:r>
              <w:t>Dr Robyn Haisman-Welsh</w:t>
            </w:r>
          </w:p>
        </w:tc>
      </w:tr>
      <w:tr w:rsidR="00C862C2" w:rsidRPr="00E44152" w14:paraId="28DA8146" w14:textId="77777777" w:rsidTr="00C862C2">
        <w:trPr>
          <w:trHeight w:val="415"/>
        </w:trPr>
        <w:tc>
          <w:tcPr>
            <w:tcW w:w="1820" w:type="dxa"/>
          </w:tcPr>
          <w:p w14:paraId="718964FA" w14:textId="77777777" w:rsidR="00C862C2" w:rsidRPr="00E44152" w:rsidRDefault="00C862C2" w:rsidP="00C862C2">
            <w:pPr>
              <w:pStyle w:val="Footer"/>
              <w:rPr>
                <w:b/>
              </w:rPr>
            </w:pPr>
            <w:r w:rsidRPr="00E44152">
              <w:rPr>
                <w:b/>
              </w:rPr>
              <w:t>Verification that QA changes made:</w:t>
            </w:r>
          </w:p>
        </w:tc>
        <w:tc>
          <w:tcPr>
            <w:tcW w:w="7197" w:type="dxa"/>
            <w:tcBorders>
              <w:right w:val="single" w:sz="4" w:space="0" w:color="auto"/>
            </w:tcBorders>
          </w:tcPr>
          <w:p w14:paraId="3EF3C507" w14:textId="77777777" w:rsidR="00C862C2" w:rsidRPr="00E44152" w:rsidRDefault="00C862C2" w:rsidP="00C862C2">
            <w:pPr>
              <w:pStyle w:val="Footer"/>
            </w:pPr>
            <w:r>
              <w:t>Anna Gribble</w:t>
            </w:r>
          </w:p>
        </w:tc>
      </w:tr>
      <w:tr w:rsidR="00C862C2" w:rsidRPr="00E44152" w14:paraId="00D57B49" w14:textId="77777777" w:rsidTr="00C862C2">
        <w:trPr>
          <w:trHeight w:val="207"/>
        </w:trPr>
        <w:tc>
          <w:tcPr>
            <w:tcW w:w="1820" w:type="dxa"/>
          </w:tcPr>
          <w:p w14:paraId="619E2B33" w14:textId="77777777" w:rsidR="00C862C2" w:rsidRPr="00E44152" w:rsidRDefault="00C862C2" w:rsidP="00C862C2">
            <w:pPr>
              <w:pStyle w:val="Footer"/>
              <w:rPr>
                <w:b/>
              </w:rPr>
            </w:pPr>
            <w:r w:rsidRPr="00E44152">
              <w:rPr>
                <w:b/>
              </w:rPr>
              <w:t>Proof read:</w:t>
            </w:r>
          </w:p>
        </w:tc>
        <w:tc>
          <w:tcPr>
            <w:tcW w:w="7197" w:type="dxa"/>
            <w:tcBorders>
              <w:right w:val="single" w:sz="4" w:space="0" w:color="auto"/>
            </w:tcBorders>
          </w:tcPr>
          <w:p w14:paraId="0BEC3C64" w14:textId="77777777" w:rsidR="00C862C2" w:rsidRPr="00E44152" w:rsidRDefault="00C862C2" w:rsidP="00C862C2">
            <w:pPr>
              <w:pStyle w:val="Footer"/>
            </w:pPr>
            <w:r w:rsidRPr="009762A6">
              <w:t>Anna Gribble</w:t>
            </w:r>
          </w:p>
        </w:tc>
      </w:tr>
      <w:tr w:rsidR="00C862C2" w:rsidRPr="00E44152" w14:paraId="3EC570B5" w14:textId="77777777" w:rsidTr="00C862C2">
        <w:trPr>
          <w:trHeight w:val="207"/>
        </w:trPr>
        <w:tc>
          <w:tcPr>
            <w:tcW w:w="1820" w:type="dxa"/>
            <w:tcBorders>
              <w:bottom w:val="single" w:sz="4" w:space="0" w:color="auto"/>
            </w:tcBorders>
          </w:tcPr>
          <w:p w14:paraId="18E7406A" w14:textId="77777777" w:rsidR="00C862C2" w:rsidRPr="00E44152" w:rsidRDefault="00C862C2" w:rsidP="00C862C2">
            <w:pPr>
              <w:pStyle w:val="Footer"/>
              <w:rPr>
                <w:b/>
              </w:rPr>
            </w:pPr>
            <w:r w:rsidRPr="00E44152">
              <w:rPr>
                <w:b/>
              </w:rPr>
              <w:t>Formatting:</w:t>
            </w:r>
          </w:p>
        </w:tc>
        <w:tc>
          <w:tcPr>
            <w:tcW w:w="7197" w:type="dxa"/>
            <w:tcBorders>
              <w:bottom w:val="single" w:sz="4" w:space="0" w:color="auto"/>
              <w:right w:val="single" w:sz="4" w:space="0" w:color="auto"/>
            </w:tcBorders>
          </w:tcPr>
          <w:p w14:paraId="7A9EF261" w14:textId="77777777" w:rsidR="00C862C2" w:rsidRPr="00E44152" w:rsidRDefault="00C862C2" w:rsidP="00C862C2">
            <w:pPr>
              <w:pStyle w:val="Footer"/>
            </w:pPr>
            <w:r>
              <w:t>Salman Abbasnejad</w:t>
            </w:r>
          </w:p>
        </w:tc>
      </w:tr>
      <w:tr w:rsidR="00C862C2" w:rsidRPr="00E44152" w14:paraId="3163F43E" w14:textId="77777777" w:rsidTr="00C862C2">
        <w:trPr>
          <w:trHeight w:val="415"/>
        </w:trPr>
        <w:tc>
          <w:tcPr>
            <w:tcW w:w="1820" w:type="dxa"/>
            <w:tcBorders>
              <w:bottom w:val="single" w:sz="4" w:space="0" w:color="auto"/>
            </w:tcBorders>
          </w:tcPr>
          <w:p w14:paraId="37819C8E" w14:textId="77777777" w:rsidR="00C862C2" w:rsidRPr="00E44152" w:rsidRDefault="00C862C2" w:rsidP="00C862C2">
            <w:pPr>
              <w:pStyle w:val="Footer"/>
              <w:rPr>
                <w:b/>
              </w:rPr>
            </w:pPr>
            <w:r w:rsidRPr="00E44152">
              <w:rPr>
                <w:b/>
              </w:rPr>
              <w:t>Final QA check and approved for release:</w:t>
            </w:r>
          </w:p>
        </w:tc>
        <w:tc>
          <w:tcPr>
            <w:tcW w:w="7197" w:type="dxa"/>
            <w:tcBorders>
              <w:bottom w:val="single" w:sz="4" w:space="0" w:color="auto"/>
              <w:right w:val="single" w:sz="4" w:space="0" w:color="auto"/>
            </w:tcBorders>
          </w:tcPr>
          <w:p w14:paraId="025FD466" w14:textId="77777777" w:rsidR="00C862C2" w:rsidRPr="00E44152" w:rsidRDefault="00C862C2" w:rsidP="00C862C2">
            <w:pPr>
              <w:pStyle w:val="Footer"/>
            </w:pPr>
            <w:r>
              <w:t>Anna Gribble</w:t>
            </w:r>
          </w:p>
        </w:tc>
      </w:tr>
    </w:tbl>
    <w:p w14:paraId="72051BC4" w14:textId="629DC84A" w:rsidR="0055619E" w:rsidRPr="00A73E92" w:rsidRDefault="00C862C2" w:rsidP="0024556E">
      <w:r>
        <w:t xml:space="preserve"> </w:t>
      </w:r>
      <w:r w:rsidR="0055619E">
        <w:br w:type="page"/>
      </w:r>
      <w:bookmarkStart w:id="1" w:name="_Toc507914407"/>
      <w:bookmarkStart w:id="2" w:name="_Toc507976132"/>
      <w:bookmarkStart w:id="3" w:name="_Toc518922178"/>
      <w:r w:rsidR="0055619E" w:rsidRPr="00A73E92">
        <w:lastRenderedPageBreak/>
        <w:t>CONTENTS</w:t>
      </w:r>
      <w:bookmarkEnd w:id="1"/>
      <w:bookmarkEnd w:id="2"/>
      <w:bookmarkEnd w:id="3"/>
    </w:p>
    <w:sdt>
      <w:sdtPr>
        <w:rPr>
          <w:rFonts w:asciiTheme="minorHAnsi" w:hAnsiTheme="minorHAnsi"/>
          <w:b w:val="0"/>
          <w:caps w:val="0"/>
          <w:noProof w:val="0"/>
        </w:rPr>
        <w:id w:val="219864929"/>
        <w:docPartObj>
          <w:docPartGallery w:val="Table of Contents"/>
          <w:docPartUnique/>
        </w:docPartObj>
      </w:sdtPr>
      <w:sdtEndPr>
        <w:rPr>
          <w:bCs/>
        </w:rPr>
      </w:sdtEndPr>
      <w:sdtContent>
        <w:p w14:paraId="5916ADBB" w14:textId="58B0D9EA" w:rsidR="00FE441F" w:rsidRDefault="00D2202B">
          <w:pPr>
            <w:pStyle w:val="TOC1"/>
            <w:rPr>
              <w:rFonts w:asciiTheme="minorHAnsi" w:eastAsiaTheme="minorEastAsia" w:hAnsiTheme="minorHAnsi"/>
              <w:b w:val="0"/>
              <w:caps w:val="0"/>
              <w:lang w:eastAsia="en-NZ"/>
            </w:rPr>
          </w:pPr>
          <w:r>
            <w:fldChar w:fldCharType="begin"/>
          </w:r>
          <w:r w:rsidRPr="00EA67E4">
            <w:instrText xml:space="preserve"> TOC \o "1-3" \h \z \u </w:instrText>
          </w:r>
          <w:r>
            <w:fldChar w:fldCharType="separate"/>
          </w:r>
        </w:p>
        <w:p w14:paraId="5613B374" w14:textId="3978EAB7" w:rsidR="00FE441F" w:rsidRDefault="007379CE">
          <w:pPr>
            <w:pStyle w:val="TOC1"/>
            <w:rPr>
              <w:rFonts w:asciiTheme="minorHAnsi" w:eastAsiaTheme="minorEastAsia" w:hAnsiTheme="minorHAnsi"/>
              <w:b w:val="0"/>
              <w:caps w:val="0"/>
              <w:lang w:eastAsia="en-NZ"/>
            </w:rPr>
          </w:pPr>
          <w:hyperlink w:anchor="_Toc518922179" w:history="1">
            <w:r w:rsidR="00FE441F" w:rsidRPr="00B06210">
              <w:rPr>
                <w:rStyle w:val="Hyperlink"/>
              </w:rPr>
              <w:t>Key terms</w:t>
            </w:r>
            <w:r w:rsidR="00FE441F">
              <w:rPr>
                <w:webHidden/>
              </w:rPr>
              <w:tab/>
            </w:r>
            <w:r w:rsidR="00FE441F">
              <w:rPr>
                <w:webHidden/>
              </w:rPr>
              <w:fldChar w:fldCharType="begin"/>
            </w:r>
            <w:r w:rsidR="00FE441F">
              <w:rPr>
                <w:webHidden/>
              </w:rPr>
              <w:instrText xml:space="preserve"> PAGEREF _Toc518922179 \h </w:instrText>
            </w:r>
            <w:r w:rsidR="00FE441F">
              <w:rPr>
                <w:webHidden/>
              </w:rPr>
            </w:r>
            <w:r w:rsidR="00FE441F">
              <w:rPr>
                <w:webHidden/>
              </w:rPr>
              <w:fldChar w:fldCharType="separate"/>
            </w:r>
            <w:r w:rsidR="00172547">
              <w:rPr>
                <w:webHidden/>
              </w:rPr>
              <w:t>4</w:t>
            </w:r>
            <w:r w:rsidR="00FE441F">
              <w:rPr>
                <w:webHidden/>
              </w:rPr>
              <w:fldChar w:fldCharType="end"/>
            </w:r>
          </w:hyperlink>
        </w:p>
        <w:p w14:paraId="4CD83EC9" w14:textId="69E51098" w:rsidR="00FE441F" w:rsidRDefault="007379CE">
          <w:pPr>
            <w:pStyle w:val="TOC1"/>
            <w:rPr>
              <w:rFonts w:asciiTheme="minorHAnsi" w:eastAsiaTheme="minorEastAsia" w:hAnsiTheme="minorHAnsi"/>
              <w:b w:val="0"/>
              <w:caps w:val="0"/>
              <w:lang w:eastAsia="en-NZ"/>
            </w:rPr>
          </w:pPr>
          <w:hyperlink w:anchor="_Toc518922180" w:history="1">
            <w:r w:rsidR="00FE441F" w:rsidRPr="00B06210">
              <w:rPr>
                <w:rStyle w:val="Hyperlink"/>
              </w:rPr>
              <w:t>Guidance on how to read this report</w:t>
            </w:r>
            <w:r w:rsidR="00FE441F">
              <w:rPr>
                <w:webHidden/>
              </w:rPr>
              <w:tab/>
            </w:r>
            <w:r w:rsidR="00FE441F">
              <w:rPr>
                <w:webHidden/>
              </w:rPr>
              <w:fldChar w:fldCharType="begin"/>
            </w:r>
            <w:r w:rsidR="00FE441F">
              <w:rPr>
                <w:webHidden/>
              </w:rPr>
              <w:instrText xml:space="preserve"> PAGEREF _Toc518922180 \h </w:instrText>
            </w:r>
            <w:r w:rsidR="00FE441F">
              <w:rPr>
                <w:webHidden/>
              </w:rPr>
            </w:r>
            <w:r w:rsidR="00FE441F">
              <w:rPr>
                <w:webHidden/>
              </w:rPr>
              <w:fldChar w:fldCharType="separate"/>
            </w:r>
            <w:r w:rsidR="00172547">
              <w:rPr>
                <w:webHidden/>
              </w:rPr>
              <w:t>4</w:t>
            </w:r>
            <w:r w:rsidR="00FE441F">
              <w:rPr>
                <w:webHidden/>
              </w:rPr>
              <w:fldChar w:fldCharType="end"/>
            </w:r>
          </w:hyperlink>
        </w:p>
        <w:p w14:paraId="1EED701A" w14:textId="75533E4E" w:rsidR="00FE441F" w:rsidRDefault="007379CE">
          <w:pPr>
            <w:pStyle w:val="TOC1"/>
            <w:rPr>
              <w:rFonts w:asciiTheme="minorHAnsi" w:eastAsiaTheme="minorEastAsia" w:hAnsiTheme="minorHAnsi"/>
              <w:b w:val="0"/>
              <w:caps w:val="0"/>
              <w:lang w:eastAsia="en-NZ"/>
            </w:rPr>
          </w:pPr>
          <w:hyperlink w:anchor="_Toc518922181" w:history="1">
            <w:r w:rsidR="00FE441F" w:rsidRPr="00B06210">
              <w:rPr>
                <w:rStyle w:val="Hyperlink"/>
              </w:rPr>
              <w:t>Key findings</w:t>
            </w:r>
            <w:r w:rsidR="00FE441F">
              <w:rPr>
                <w:webHidden/>
              </w:rPr>
              <w:tab/>
            </w:r>
            <w:r w:rsidR="00FE441F">
              <w:rPr>
                <w:webHidden/>
              </w:rPr>
              <w:fldChar w:fldCharType="begin"/>
            </w:r>
            <w:r w:rsidR="00FE441F">
              <w:rPr>
                <w:webHidden/>
              </w:rPr>
              <w:instrText xml:space="preserve"> PAGEREF _Toc518922181 \h </w:instrText>
            </w:r>
            <w:r w:rsidR="00FE441F">
              <w:rPr>
                <w:webHidden/>
              </w:rPr>
            </w:r>
            <w:r w:rsidR="00FE441F">
              <w:rPr>
                <w:webHidden/>
              </w:rPr>
              <w:fldChar w:fldCharType="separate"/>
            </w:r>
            <w:r w:rsidR="00172547">
              <w:rPr>
                <w:webHidden/>
              </w:rPr>
              <w:t>5</w:t>
            </w:r>
            <w:r w:rsidR="00FE441F">
              <w:rPr>
                <w:webHidden/>
              </w:rPr>
              <w:fldChar w:fldCharType="end"/>
            </w:r>
          </w:hyperlink>
        </w:p>
        <w:p w14:paraId="5186DDF4" w14:textId="6FD73AD9" w:rsidR="00FE441F" w:rsidRDefault="007379CE">
          <w:pPr>
            <w:pStyle w:val="TOC1"/>
            <w:rPr>
              <w:rFonts w:asciiTheme="minorHAnsi" w:eastAsiaTheme="minorEastAsia" w:hAnsiTheme="minorHAnsi"/>
              <w:b w:val="0"/>
              <w:caps w:val="0"/>
              <w:lang w:eastAsia="en-NZ"/>
            </w:rPr>
          </w:pPr>
          <w:hyperlink w:anchor="_Toc518922184" w:history="1">
            <w:r w:rsidR="00FE441F" w:rsidRPr="00B06210">
              <w:rPr>
                <w:rStyle w:val="Hyperlink"/>
              </w:rPr>
              <w:t>1.</w:t>
            </w:r>
            <w:r w:rsidR="00FE441F">
              <w:rPr>
                <w:rFonts w:asciiTheme="minorHAnsi" w:eastAsiaTheme="minorEastAsia" w:hAnsiTheme="minorHAnsi"/>
                <w:b w:val="0"/>
                <w:caps w:val="0"/>
                <w:lang w:eastAsia="en-NZ"/>
              </w:rPr>
              <w:tab/>
            </w:r>
            <w:r w:rsidR="00FE441F" w:rsidRPr="00B06210">
              <w:rPr>
                <w:rStyle w:val="Hyperlink"/>
              </w:rPr>
              <w:t>Introduction</w:t>
            </w:r>
            <w:r w:rsidR="00FE441F">
              <w:rPr>
                <w:webHidden/>
              </w:rPr>
              <w:tab/>
            </w:r>
            <w:r w:rsidR="00FE441F">
              <w:rPr>
                <w:webHidden/>
              </w:rPr>
              <w:fldChar w:fldCharType="begin"/>
            </w:r>
            <w:r w:rsidR="00FE441F">
              <w:rPr>
                <w:webHidden/>
              </w:rPr>
              <w:instrText xml:space="preserve"> PAGEREF _Toc518922184 \h </w:instrText>
            </w:r>
            <w:r w:rsidR="00FE441F">
              <w:rPr>
                <w:webHidden/>
              </w:rPr>
            </w:r>
            <w:r w:rsidR="00FE441F">
              <w:rPr>
                <w:webHidden/>
              </w:rPr>
              <w:fldChar w:fldCharType="separate"/>
            </w:r>
            <w:r w:rsidR="00172547">
              <w:rPr>
                <w:webHidden/>
              </w:rPr>
              <w:t>14</w:t>
            </w:r>
            <w:r w:rsidR="00FE441F">
              <w:rPr>
                <w:webHidden/>
              </w:rPr>
              <w:fldChar w:fldCharType="end"/>
            </w:r>
          </w:hyperlink>
        </w:p>
        <w:p w14:paraId="3DFDA89E" w14:textId="33BA58EB" w:rsidR="00FE441F" w:rsidRDefault="007379CE">
          <w:pPr>
            <w:pStyle w:val="TOC2"/>
            <w:rPr>
              <w:rFonts w:asciiTheme="minorHAnsi" w:eastAsiaTheme="minorEastAsia" w:hAnsiTheme="minorHAnsi"/>
              <w:lang w:eastAsia="en-NZ"/>
            </w:rPr>
          </w:pPr>
          <w:hyperlink w:anchor="_Toc518922185" w:history="1">
            <w:r w:rsidR="00FE441F" w:rsidRPr="00B06210">
              <w:rPr>
                <w:rStyle w:val="Hyperlink"/>
              </w:rPr>
              <w:t>1.1.</w:t>
            </w:r>
            <w:r w:rsidR="00FE441F">
              <w:rPr>
                <w:rFonts w:asciiTheme="minorHAnsi" w:eastAsiaTheme="minorEastAsia" w:hAnsiTheme="minorHAnsi"/>
                <w:lang w:eastAsia="en-NZ"/>
              </w:rPr>
              <w:tab/>
            </w:r>
            <w:r w:rsidR="00FE441F" w:rsidRPr="00B06210">
              <w:rPr>
                <w:rStyle w:val="Hyperlink"/>
              </w:rPr>
              <w:t>About breast density</w:t>
            </w:r>
            <w:r w:rsidR="00FE441F">
              <w:rPr>
                <w:webHidden/>
              </w:rPr>
              <w:tab/>
            </w:r>
            <w:r w:rsidR="00FE441F">
              <w:rPr>
                <w:webHidden/>
              </w:rPr>
              <w:fldChar w:fldCharType="begin"/>
            </w:r>
            <w:r w:rsidR="00FE441F">
              <w:rPr>
                <w:webHidden/>
              </w:rPr>
              <w:instrText xml:space="preserve"> PAGEREF _Toc518922185 \h </w:instrText>
            </w:r>
            <w:r w:rsidR="00FE441F">
              <w:rPr>
                <w:webHidden/>
              </w:rPr>
            </w:r>
            <w:r w:rsidR="00FE441F">
              <w:rPr>
                <w:webHidden/>
              </w:rPr>
              <w:fldChar w:fldCharType="separate"/>
            </w:r>
            <w:r w:rsidR="00172547">
              <w:rPr>
                <w:webHidden/>
              </w:rPr>
              <w:t>14</w:t>
            </w:r>
            <w:r w:rsidR="00FE441F">
              <w:rPr>
                <w:webHidden/>
              </w:rPr>
              <w:fldChar w:fldCharType="end"/>
            </w:r>
          </w:hyperlink>
        </w:p>
        <w:p w14:paraId="473A7A1C" w14:textId="73DCEADE" w:rsidR="00FE441F" w:rsidRDefault="007379CE">
          <w:pPr>
            <w:pStyle w:val="TOC2"/>
            <w:rPr>
              <w:rFonts w:asciiTheme="minorHAnsi" w:eastAsiaTheme="minorEastAsia" w:hAnsiTheme="minorHAnsi"/>
              <w:lang w:eastAsia="en-NZ"/>
            </w:rPr>
          </w:pPr>
          <w:hyperlink w:anchor="_Toc518922186" w:history="1">
            <w:r w:rsidR="00FE441F" w:rsidRPr="00B06210">
              <w:rPr>
                <w:rStyle w:val="Hyperlink"/>
              </w:rPr>
              <w:t>1.2.</w:t>
            </w:r>
            <w:r w:rsidR="00FE441F">
              <w:rPr>
                <w:rFonts w:asciiTheme="minorHAnsi" w:eastAsiaTheme="minorEastAsia" w:hAnsiTheme="minorHAnsi"/>
                <w:lang w:eastAsia="en-NZ"/>
              </w:rPr>
              <w:tab/>
            </w:r>
            <w:r w:rsidR="00FE441F" w:rsidRPr="00B06210">
              <w:rPr>
                <w:rStyle w:val="Hyperlink"/>
              </w:rPr>
              <w:t>BreastScreen Australia’s current position on breast density and screening</w:t>
            </w:r>
            <w:r w:rsidR="00FE441F">
              <w:rPr>
                <w:webHidden/>
              </w:rPr>
              <w:tab/>
            </w:r>
            <w:r w:rsidR="00FE441F">
              <w:rPr>
                <w:webHidden/>
              </w:rPr>
              <w:fldChar w:fldCharType="begin"/>
            </w:r>
            <w:r w:rsidR="00FE441F">
              <w:rPr>
                <w:webHidden/>
              </w:rPr>
              <w:instrText xml:space="preserve"> PAGEREF _Toc518922186 \h </w:instrText>
            </w:r>
            <w:r w:rsidR="00FE441F">
              <w:rPr>
                <w:webHidden/>
              </w:rPr>
            </w:r>
            <w:r w:rsidR="00FE441F">
              <w:rPr>
                <w:webHidden/>
              </w:rPr>
              <w:fldChar w:fldCharType="separate"/>
            </w:r>
            <w:r w:rsidR="00172547">
              <w:rPr>
                <w:webHidden/>
              </w:rPr>
              <w:t>15</w:t>
            </w:r>
            <w:r w:rsidR="00FE441F">
              <w:rPr>
                <w:webHidden/>
              </w:rPr>
              <w:fldChar w:fldCharType="end"/>
            </w:r>
          </w:hyperlink>
        </w:p>
        <w:p w14:paraId="296B4D4E" w14:textId="7EBA5CD7" w:rsidR="00FE441F" w:rsidRDefault="007379CE">
          <w:pPr>
            <w:pStyle w:val="TOC2"/>
            <w:rPr>
              <w:rFonts w:asciiTheme="minorHAnsi" w:eastAsiaTheme="minorEastAsia" w:hAnsiTheme="minorHAnsi"/>
              <w:lang w:eastAsia="en-NZ"/>
            </w:rPr>
          </w:pPr>
          <w:hyperlink w:anchor="_Toc518922187" w:history="1">
            <w:r w:rsidR="00FE441F" w:rsidRPr="00B06210">
              <w:rPr>
                <w:rStyle w:val="Hyperlink"/>
              </w:rPr>
              <w:t>1.3.</w:t>
            </w:r>
            <w:r w:rsidR="00FE441F">
              <w:rPr>
                <w:rFonts w:asciiTheme="minorHAnsi" w:eastAsiaTheme="minorEastAsia" w:hAnsiTheme="minorHAnsi"/>
                <w:lang w:eastAsia="en-NZ"/>
              </w:rPr>
              <w:tab/>
            </w:r>
            <w:r w:rsidR="00FE441F" w:rsidRPr="00B06210">
              <w:rPr>
                <w:rStyle w:val="Hyperlink"/>
              </w:rPr>
              <w:t>Purpose and scope of this literature review</w:t>
            </w:r>
            <w:r w:rsidR="00FE441F">
              <w:rPr>
                <w:webHidden/>
              </w:rPr>
              <w:tab/>
            </w:r>
            <w:r w:rsidR="00FE441F">
              <w:rPr>
                <w:webHidden/>
              </w:rPr>
              <w:fldChar w:fldCharType="begin"/>
            </w:r>
            <w:r w:rsidR="00FE441F">
              <w:rPr>
                <w:webHidden/>
              </w:rPr>
              <w:instrText xml:space="preserve"> PAGEREF _Toc518922187 \h </w:instrText>
            </w:r>
            <w:r w:rsidR="00FE441F">
              <w:rPr>
                <w:webHidden/>
              </w:rPr>
            </w:r>
            <w:r w:rsidR="00FE441F">
              <w:rPr>
                <w:webHidden/>
              </w:rPr>
              <w:fldChar w:fldCharType="separate"/>
            </w:r>
            <w:r w:rsidR="00172547">
              <w:rPr>
                <w:webHidden/>
              </w:rPr>
              <w:t>16</w:t>
            </w:r>
            <w:r w:rsidR="00FE441F">
              <w:rPr>
                <w:webHidden/>
              </w:rPr>
              <w:fldChar w:fldCharType="end"/>
            </w:r>
          </w:hyperlink>
        </w:p>
        <w:p w14:paraId="1481679B" w14:textId="6AA1419E" w:rsidR="00FE441F" w:rsidRDefault="007379CE">
          <w:pPr>
            <w:pStyle w:val="TOC2"/>
            <w:rPr>
              <w:rFonts w:asciiTheme="minorHAnsi" w:eastAsiaTheme="minorEastAsia" w:hAnsiTheme="minorHAnsi"/>
              <w:lang w:eastAsia="en-NZ"/>
            </w:rPr>
          </w:pPr>
          <w:hyperlink w:anchor="_Toc518922188" w:history="1">
            <w:r w:rsidR="00FE441F" w:rsidRPr="00B06210">
              <w:rPr>
                <w:rStyle w:val="Hyperlink"/>
              </w:rPr>
              <w:t>1.4.</w:t>
            </w:r>
            <w:r w:rsidR="00FE441F">
              <w:rPr>
                <w:rFonts w:asciiTheme="minorHAnsi" w:eastAsiaTheme="minorEastAsia" w:hAnsiTheme="minorHAnsi"/>
                <w:lang w:eastAsia="en-NZ"/>
              </w:rPr>
              <w:tab/>
            </w:r>
            <w:r w:rsidR="00FE441F" w:rsidRPr="00B06210">
              <w:rPr>
                <w:rStyle w:val="Hyperlink"/>
              </w:rPr>
              <w:t>Ongoing research</w:t>
            </w:r>
            <w:r w:rsidR="00FE441F">
              <w:rPr>
                <w:webHidden/>
              </w:rPr>
              <w:tab/>
            </w:r>
            <w:r w:rsidR="00FE441F">
              <w:rPr>
                <w:webHidden/>
              </w:rPr>
              <w:fldChar w:fldCharType="begin"/>
            </w:r>
            <w:r w:rsidR="00FE441F">
              <w:rPr>
                <w:webHidden/>
              </w:rPr>
              <w:instrText xml:space="preserve"> PAGEREF _Toc518922188 \h </w:instrText>
            </w:r>
            <w:r w:rsidR="00FE441F">
              <w:rPr>
                <w:webHidden/>
              </w:rPr>
            </w:r>
            <w:r w:rsidR="00FE441F">
              <w:rPr>
                <w:webHidden/>
              </w:rPr>
              <w:fldChar w:fldCharType="separate"/>
            </w:r>
            <w:r w:rsidR="00172547">
              <w:rPr>
                <w:webHidden/>
              </w:rPr>
              <w:t>17</w:t>
            </w:r>
            <w:r w:rsidR="00FE441F">
              <w:rPr>
                <w:webHidden/>
              </w:rPr>
              <w:fldChar w:fldCharType="end"/>
            </w:r>
          </w:hyperlink>
        </w:p>
        <w:p w14:paraId="4370569D" w14:textId="2AAD0AED" w:rsidR="00FE441F" w:rsidRDefault="007379CE">
          <w:pPr>
            <w:pStyle w:val="TOC1"/>
            <w:rPr>
              <w:rFonts w:asciiTheme="minorHAnsi" w:eastAsiaTheme="minorEastAsia" w:hAnsiTheme="minorHAnsi"/>
              <w:b w:val="0"/>
              <w:caps w:val="0"/>
              <w:lang w:eastAsia="en-NZ"/>
            </w:rPr>
          </w:pPr>
          <w:hyperlink w:anchor="_Toc518922189" w:history="1">
            <w:r w:rsidR="00FE441F" w:rsidRPr="00B06210">
              <w:rPr>
                <w:rStyle w:val="Hyperlink"/>
              </w:rPr>
              <w:t>2.</w:t>
            </w:r>
            <w:r w:rsidR="00FE441F">
              <w:rPr>
                <w:rFonts w:asciiTheme="minorHAnsi" w:eastAsiaTheme="minorEastAsia" w:hAnsiTheme="minorHAnsi"/>
                <w:b w:val="0"/>
                <w:caps w:val="0"/>
                <w:lang w:eastAsia="en-NZ"/>
              </w:rPr>
              <w:tab/>
            </w:r>
            <w:r w:rsidR="00FE441F" w:rsidRPr="00B06210">
              <w:rPr>
                <w:rStyle w:val="Hyperlink"/>
              </w:rPr>
              <w:t>Methodology</w:t>
            </w:r>
            <w:r w:rsidR="00FE441F">
              <w:rPr>
                <w:webHidden/>
              </w:rPr>
              <w:tab/>
            </w:r>
            <w:r w:rsidR="00FE441F">
              <w:rPr>
                <w:webHidden/>
              </w:rPr>
              <w:fldChar w:fldCharType="begin"/>
            </w:r>
            <w:r w:rsidR="00FE441F">
              <w:rPr>
                <w:webHidden/>
              </w:rPr>
              <w:instrText xml:space="preserve"> PAGEREF _Toc518922189 \h </w:instrText>
            </w:r>
            <w:r w:rsidR="00FE441F">
              <w:rPr>
                <w:webHidden/>
              </w:rPr>
            </w:r>
            <w:r w:rsidR="00FE441F">
              <w:rPr>
                <w:webHidden/>
              </w:rPr>
              <w:fldChar w:fldCharType="separate"/>
            </w:r>
            <w:r w:rsidR="00172547">
              <w:rPr>
                <w:webHidden/>
              </w:rPr>
              <w:t>18</w:t>
            </w:r>
            <w:r w:rsidR="00FE441F">
              <w:rPr>
                <w:webHidden/>
              </w:rPr>
              <w:fldChar w:fldCharType="end"/>
            </w:r>
          </w:hyperlink>
        </w:p>
        <w:p w14:paraId="47B78C71" w14:textId="5DDE7940" w:rsidR="00FE441F" w:rsidRDefault="007379CE">
          <w:pPr>
            <w:pStyle w:val="TOC2"/>
            <w:rPr>
              <w:rFonts w:asciiTheme="minorHAnsi" w:eastAsiaTheme="minorEastAsia" w:hAnsiTheme="minorHAnsi"/>
              <w:lang w:eastAsia="en-NZ"/>
            </w:rPr>
          </w:pPr>
          <w:hyperlink w:anchor="_Toc518922190" w:history="1">
            <w:r w:rsidR="00FE441F" w:rsidRPr="00B06210">
              <w:rPr>
                <w:rStyle w:val="Hyperlink"/>
              </w:rPr>
              <w:t>2.1.</w:t>
            </w:r>
            <w:r w:rsidR="00FE441F">
              <w:rPr>
                <w:rFonts w:asciiTheme="minorHAnsi" w:eastAsiaTheme="minorEastAsia" w:hAnsiTheme="minorHAnsi"/>
                <w:lang w:eastAsia="en-NZ"/>
              </w:rPr>
              <w:tab/>
            </w:r>
            <w:r w:rsidR="00FE441F" w:rsidRPr="00B06210">
              <w:rPr>
                <w:rStyle w:val="Hyperlink"/>
              </w:rPr>
              <w:t>Objectives</w:t>
            </w:r>
            <w:r w:rsidR="00FE441F">
              <w:rPr>
                <w:webHidden/>
              </w:rPr>
              <w:tab/>
            </w:r>
            <w:r w:rsidR="00FE441F">
              <w:rPr>
                <w:webHidden/>
              </w:rPr>
              <w:fldChar w:fldCharType="begin"/>
            </w:r>
            <w:r w:rsidR="00FE441F">
              <w:rPr>
                <w:webHidden/>
              </w:rPr>
              <w:instrText xml:space="preserve"> PAGEREF _Toc518922190 \h </w:instrText>
            </w:r>
            <w:r w:rsidR="00FE441F">
              <w:rPr>
                <w:webHidden/>
              </w:rPr>
            </w:r>
            <w:r w:rsidR="00FE441F">
              <w:rPr>
                <w:webHidden/>
              </w:rPr>
              <w:fldChar w:fldCharType="separate"/>
            </w:r>
            <w:r w:rsidR="00172547">
              <w:rPr>
                <w:webHidden/>
              </w:rPr>
              <w:t>18</w:t>
            </w:r>
            <w:r w:rsidR="00FE441F">
              <w:rPr>
                <w:webHidden/>
              </w:rPr>
              <w:fldChar w:fldCharType="end"/>
            </w:r>
          </w:hyperlink>
        </w:p>
        <w:p w14:paraId="6793A8DC" w14:textId="04FBC41F" w:rsidR="00FE441F" w:rsidRDefault="007379CE">
          <w:pPr>
            <w:pStyle w:val="TOC2"/>
            <w:rPr>
              <w:rFonts w:asciiTheme="minorHAnsi" w:eastAsiaTheme="minorEastAsia" w:hAnsiTheme="minorHAnsi"/>
              <w:lang w:eastAsia="en-NZ"/>
            </w:rPr>
          </w:pPr>
          <w:hyperlink w:anchor="_Toc518922191" w:history="1">
            <w:r w:rsidR="00FE441F" w:rsidRPr="00B06210">
              <w:rPr>
                <w:rStyle w:val="Hyperlink"/>
              </w:rPr>
              <w:t>2.2.</w:t>
            </w:r>
            <w:r w:rsidR="00FE441F">
              <w:rPr>
                <w:rFonts w:asciiTheme="minorHAnsi" w:eastAsiaTheme="minorEastAsia" w:hAnsiTheme="minorHAnsi"/>
                <w:lang w:eastAsia="en-NZ"/>
              </w:rPr>
              <w:tab/>
            </w:r>
            <w:r w:rsidR="00FE441F" w:rsidRPr="00B06210">
              <w:rPr>
                <w:rStyle w:val="Hyperlink"/>
              </w:rPr>
              <w:t>Research questions</w:t>
            </w:r>
            <w:r w:rsidR="00FE441F">
              <w:rPr>
                <w:webHidden/>
              </w:rPr>
              <w:tab/>
            </w:r>
            <w:r w:rsidR="00FE441F">
              <w:rPr>
                <w:webHidden/>
              </w:rPr>
              <w:fldChar w:fldCharType="begin"/>
            </w:r>
            <w:r w:rsidR="00FE441F">
              <w:rPr>
                <w:webHidden/>
              </w:rPr>
              <w:instrText xml:space="preserve"> PAGEREF _Toc518922191 \h </w:instrText>
            </w:r>
            <w:r w:rsidR="00FE441F">
              <w:rPr>
                <w:webHidden/>
              </w:rPr>
            </w:r>
            <w:r w:rsidR="00FE441F">
              <w:rPr>
                <w:webHidden/>
              </w:rPr>
              <w:fldChar w:fldCharType="separate"/>
            </w:r>
            <w:r w:rsidR="00172547">
              <w:rPr>
                <w:webHidden/>
              </w:rPr>
              <w:t>18</w:t>
            </w:r>
            <w:r w:rsidR="00FE441F">
              <w:rPr>
                <w:webHidden/>
              </w:rPr>
              <w:fldChar w:fldCharType="end"/>
            </w:r>
          </w:hyperlink>
        </w:p>
        <w:p w14:paraId="7B9A2ECC" w14:textId="080F6A09" w:rsidR="00FE441F" w:rsidRDefault="007379CE">
          <w:pPr>
            <w:pStyle w:val="TOC2"/>
            <w:rPr>
              <w:rFonts w:asciiTheme="minorHAnsi" w:eastAsiaTheme="minorEastAsia" w:hAnsiTheme="minorHAnsi"/>
              <w:lang w:eastAsia="en-NZ"/>
            </w:rPr>
          </w:pPr>
          <w:hyperlink w:anchor="_Toc518922194" w:history="1">
            <w:r w:rsidR="00FE441F" w:rsidRPr="00B06210">
              <w:rPr>
                <w:rStyle w:val="Hyperlink"/>
              </w:rPr>
              <w:t>2.3.</w:t>
            </w:r>
            <w:r w:rsidR="00FE441F">
              <w:rPr>
                <w:rFonts w:asciiTheme="minorHAnsi" w:eastAsiaTheme="minorEastAsia" w:hAnsiTheme="minorHAnsi"/>
                <w:lang w:eastAsia="en-NZ"/>
              </w:rPr>
              <w:tab/>
            </w:r>
            <w:r w:rsidR="00FE441F" w:rsidRPr="00B06210">
              <w:rPr>
                <w:rStyle w:val="Hyperlink"/>
              </w:rPr>
              <w:t>Literature search</w:t>
            </w:r>
            <w:r w:rsidR="00FE441F">
              <w:rPr>
                <w:webHidden/>
              </w:rPr>
              <w:tab/>
            </w:r>
            <w:r w:rsidR="00FE441F">
              <w:rPr>
                <w:webHidden/>
              </w:rPr>
              <w:fldChar w:fldCharType="begin"/>
            </w:r>
            <w:r w:rsidR="00FE441F">
              <w:rPr>
                <w:webHidden/>
              </w:rPr>
              <w:instrText xml:space="preserve"> PAGEREF _Toc518922194 \h </w:instrText>
            </w:r>
            <w:r w:rsidR="00FE441F">
              <w:rPr>
                <w:webHidden/>
              </w:rPr>
            </w:r>
            <w:r w:rsidR="00FE441F">
              <w:rPr>
                <w:webHidden/>
              </w:rPr>
              <w:fldChar w:fldCharType="separate"/>
            </w:r>
            <w:r w:rsidR="00172547">
              <w:rPr>
                <w:webHidden/>
              </w:rPr>
              <w:t>21</w:t>
            </w:r>
            <w:r w:rsidR="00FE441F">
              <w:rPr>
                <w:webHidden/>
              </w:rPr>
              <w:fldChar w:fldCharType="end"/>
            </w:r>
          </w:hyperlink>
        </w:p>
        <w:p w14:paraId="03407476" w14:textId="50AA2415" w:rsidR="00FE441F" w:rsidRDefault="007379CE">
          <w:pPr>
            <w:pStyle w:val="TOC2"/>
            <w:rPr>
              <w:rFonts w:asciiTheme="minorHAnsi" w:eastAsiaTheme="minorEastAsia" w:hAnsiTheme="minorHAnsi"/>
              <w:lang w:eastAsia="en-NZ"/>
            </w:rPr>
          </w:pPr>
          <w:hyperlink w:anchor="_Toc518922197" w:history="1">
            <w:r w:rsidR="00FE441F" w:rsidRPr="00B06210">
              <w:rPr>
                <w:rStyle w:val="Hyperlink"/>
              </w:rPr>
              <w:t>2.4.</w:t>
            </w:r>
            <w:r w:rsidR="00FE441F">
              <w:rPr>
                <w:rFonts w:asciiTheme="minorHAnsi" w:eastAsiaTheme="minorEastAsia" w:hAnsiTheme="minorHAnsi"/>
                <w:lang w:eastAsia="en-NZ"/>
              </w:rPr>
              <w:tab/>
            </w:r>
            <w:r w:rsidR="00FE441F" w:rsidRPr="00B06210">
              <w:rPr>
                <w:rStyle w:val="Hyperlink"/>
              </w:rPr>
              <w:t>Limitations and interpretation</w:t>
            </w:r>
            <w:r w:rsidR="00FE441F">
              <w:rPr>
                <w:webHidden/>
              </w:rPr>
              <w:tab/>
            </w:r>
            <w:r w:rsidR="00FE441F">
              <w:rPr>
                <w:webHidden/>
              </w:rPr>
              <w:fldChar w:fldCharType="begin"/>
            </w:r>
            <w:r w:rsidR="00FE441F">
              <w:rPr>
                <w:webHidden/>
              </w:rPr>
              <w:instrText xml:space="preserve"> PAGEREF _Toc518922197 \h </w:instrText>
            </w:r>
            <w:r w:rsidR="00FE441F">
              <w:rPr>
                <w:webHidden/>
              </w:rPr>
            </w:r>
            <w:r w:rsidR="00FE441F">
              <w:rPr>
                <w:webHidden/>
              </w:rPr>
              <w:fldChar w:fldCharType="separate"/>
            </w:r>
            <w:r w:rsidR="00172547">
              <w:rPr>
                <w:webHidden/>
              </w:rPr>
              <w:t>23</w:t>
            </w:r>
            <w:r w:rsidR="00FE441F">
              <w:rPr>
                <w:webHidden/>
              </w:rPr>
              <w:fldChar w:fldCharType="end"/>
            </w:r>
          </w:hyperlink>
        </w:p>
        <w:p w14:paraId="5AC09720" w14:textId="20EC71FF" w:rsidR="00FE441F" w:rsidRDefault="007379CE" w:rsidP="007318FA">
          <w:pPr>
            <w:pStyle w:val="TOC1"/>
            <w:ind w:left="567" w:hanging="567"/>
            <w:rPr>
              <w:rFonts w:asciiTheme="minorHAnsi" w:eastAsiaTheme="minorEastAsia" w:hAnsiTheme="minorHAnsi"/>
              <w:b w:val="0"/>
              <w:caps w:val="0"/>
              <w:lang w:eastAsia="en-NZ"/>
            </w:rPr>
          </w:pPr>
          <w:hyperlink w:anchor="_Toc518922198" w:history="1">
            <w:r w:rsidR="00FE441F" w:rsidRPr="00B06210">
              <w:rPr>
                <w:rStyle w:val="Hyperlink"/>
              </w:rPr>
              <w:t>3.</w:t>
            </w:r>
            <w:r w:rsidR="00FE441F">
              <w:rPr>
                <w:rFonts w:asciiTheme="minorHAnsi" w:eastAsiaTheme="minorEastAsia" w:hAnsiTheme="minorHAnsi"/>
                <w:b w:val="0"/>
                <w:caps w:val="0"/>
                <w:lang w:eastAsia="en-NZ"/>
              </w:rPr>
              <w:tab/>
            </w:r>
            <w:r w:rsidR="00FE441F" w:rsidRPr="00B06210">
              <w:rPr>
                <w:rStyle w:val="Hyperlink"/>
              </w:rPr>
              <w:t>Assessment of evidence and presentation of results: DENSITY CLASSIFICATION AND The impact of breast density on the risk and masking of breast cancer</w:t>
            </w:r>
            <w:r w:rsidR="00FE441F">
              <w:rPr>
                <w:webHidden/>
              </w:rPr>
              <w:tab/>
            </w:r>
            <w:r w:rsidR="00FE441F">
              <w:rPr>
                <w:webHidden/>
              </w:rPr>
              <w:fldChar w:fldCharType="begin"/>
            </w:r>
            <w:r w:rsidR="00FE441F">
              <w:rPr>
                <w:webHidden/>
              </w:rPr>
              <w:instrText xml:space="preserve"> PAGEREF _Toc518922198 \h </w:instrText>
            </w:r>
            <w:r w:rsidR="00FE441F">
              <w:rPr>
                <w:webHidden/>
              </w:rPr>
            </w:r>
            <w:r w:rsidR="00FE441F">
              <w:rPr>
                <w:webHidden/>
              </w:rPr>
              <w:fldChar w:fldCharType="separate"/>
            </w:r>
            <w:r w:rsidR="00172547">
              <w:rPr>
                <w:webHidden/>
              </w:rPr>
              <w:t>25</w:t>
            </w:r>
            <w:r w:rsidR="00FE441F">
              <w:rPr>
                <w:webHidden/>
              </w:rPr>
              <w:fldChar w:fldCharType="end"/>
            </w:r>
          </w:hyperlink>
        </w:p>
        <w:p w14:paraId="297292AD" w14:textId="465D62AD" w:rsidR="00FE441F" w:rsidRDefault="007379CE">
          <w:pPr>
            <w:pStyle w:val="TOC2"/>
            <w:rPr>
              <w:rFonts w:asciiTheme="minorHAnsi" w:eastAsiaTheme="minorEastAsia" w:hAnsiTheme="minorHAnsi"/>
              <w:lang w:eastAsia="en-NZ"/>
            </w:rPr>
          </w:pPr>
          <w:hyperlink w:anchor="_Toc518922199" w:history="1">
            <w:r w:rsidR="00FE441F" w:rsidRPr="00B06210">
              <w:rPr>
                <w:rStyle w:val="Hyperlink"/>
              </w:rPr>
              <w:t>3.1.</w:t>
            </w:r>
            <w:r w:rsidR="00FE441F">
              <w:rPr>
                <w:rFonts w:asciiTheme="minorHAnsi" w:eastAsiaTheme="minorEastAsia" w:hAnsiTheme="minorHAnsi"/>
                <w:lang w:eastAsia="en-NZ"/>
              </w:rPr>
              <w:tab/>
            </w:r>
            <w:r w:rsidR="00FE441F" w:rsidRPr="00B06210">
              <w:rPr>
                <w:rStyle w:val="Hyperlink"/>
              </w:rPr>
              <w:t>Classifying and validating breast density</w:t>
            </w:r>
            <w:r w:rsidR="00FE441F">
              <w:rPr>
                <w:webHidden/>
              </w:rPr>
              <w:tab/>
            </w:r>
            <w:r w:rsidR="00FE441F">
              <w:rPr>
                <w:webHidden/>
              </w:rPr>
              <w:fldChar w:fldCharType="begin"/>
            </w:r>
            <w:r w:rsidR="00FE441F">
              <w:rPr>
                <w:webHidden/>
              </w:rPr>
              <w:instrText xml:space="preserve"> PAGEREF _Toc518922199 \h </w:instrText>
            </w:r>
            <w:r w:rsidR="00FE441F">
              <w:rPr>
                <w:webHidden/>
              </w:rPr>
            </w:r>
            <w:r w:rsidR="00FE441F">
              <w:rPr>
                <w:webHidden/>
              </w:rPr>
              <w:fldChar w:fldCharType="separate"/>
            </w:r>
            <w:r w:rsidR="00172547">
              <w:rPr>
                <w:webHidden/>
              </w:rPr>
              <w:t>26</w:t>
            </w:r>
            <w:r w:rsidR="00FE441F">
              <w:rPr>
                <w:webHidden/>
              </w:rPr>
              <w:fldChar w:fldCharType="end"/>
            </w:r>
          </w:hyperlink>
        </w:p>
        <w:p w14:paraId="45A54109" w14:textId="0A105D4F" w:rsidR="00FE441F" w:rsidRDefault="007379CE">
          <w:pPr>
            <w:pStyle w:val="TOC2"/>
            <w:rPr>
              <w:rFonts w:asciiTheme="minorHAnsi" w:eastAsiaTheme="minorEastAsia" w:hAnsiTheme="minorHAnsi"/>
              <w:lang w:eastAsia="en-NZ"/>
            </w:rPr>
          </w:pPr>
          <w:hyperlink w:anchor="_Toc518922201" w:history="1">
            <w:r w:rsidR="00FE441F" w:rsidRPr="00B06210">
              <w:rPr>
                <w:rStyle w:val="Hyperlink"/>
              </w:rPr>
              <w:t>3.2.</w:t>
            </w:r>
            <w:r w:rsidR="00FE441F">
              <w:rPr>
                <w:rFonts w:asciiTheme="minorHAnsi" w:eastAsiaTheme="minorEastAsia" w:hAnsiTheme="minorHAnsi"/>
                <w:lang w:eastAsia="en-NZ"/>
              </w:rPr>
              <w:tab/>
            </w:r>
            <w:r w:rsidR="00FE441F" w:rsidRPr="00B06210">
              <w:rPr>
                <w:rStyle w:val="Hyperlink"/>
              </w:rPr>
              <w:t>Risk of breast cancer: the association with breast density</w:t>
            </w:r>
            <w:r w:rsidR="00FE441F">
              <w:rPr>
                <w:webHidden/>
              </w:rPr>
              <w:tab/>
            </w:r>
            <w:r w:rsidR="00FE441F">
              <w:rPr>
                <w:webHidden/>
              </w:rPr>
              <w:fldChar w:fldCharType="begin"/>
            </w:r>
            <w:r w:rsidR="00FE441F">
              <w:rPr>
                <w:webHidden/>
              </w:rPr>
              <w:instrText xml:space="preserve"> PAGEREF _Toc518922201 \h </w:instrText>
            </w:r>
            <w:r w:rsidR="00FE441F">
              <w:rPr>
                <w:webHidden/>
              </w:rPr>
            </w:r>
            <w:r w:rsidR="00FE441F">
              <w:rPr>
                <w:webHidden/>
              </w:rPr>
              <w:fldChar w:fldCharType="separate"/>
            </w:r>
            <w:r w:rsidR="00172547">
              <w:rPr>
                <w:webHidden/>
              </w:rPr>
              <w:t>37</w:t>
            </w:r>
            <w:r w:rsidR="00FE441F">
              <w:rPr>
                <w:webHidden/>
              </w:rPr>
              <w:fldChar w:fldCharType="end"/>
            </w:r>
          </w:hyperlink>
        </w:p>
        <w:p w14:paraId="021FA0FD" w14:textId="76B0CEDE" w:rsidR="00FE441F" w:rsidRDefault="007379CE">
          <w:pPr>
            <w:pStyle w:val="TOC2"/>
            <w:rPr>
              <w:rFonts w:asciiTheme="minorHAnsi" w:eastAsiaTheme="minorEastAsia" w:hAnsiTheme="minorHAnsi"/>
              <w:lang w:eastAsia="en-NZ"/>
            </w:rPr>
          </w:pPr>
          <w:hyperlink w:anchor="_Toc518922211" w:history="1">
            <w:r w:rsidR="00FE441F" w:rsidRPr="00B06210">
              <w:rPr>
                <w:rStyle w:val="Hyperlink"/>
              </w:rPr>
              <w:t>3.3.</w:t>
            </w:r>
            <w:r w:rsidR="00FE441F">
              <w:rPr>
                <w:rFonts w:asciiTheme="minorHAnsi" w:eastAsiaTheme="minorEastAsia" w:hAnsiTheme="minorHAnsi"/>
                <w:lang w:eastAsia="en-NZ"/>
              </w:rPr>
              <w:tab/>
            </w:r>
            <w:r w:rsidR="00FE441F" w:rsidRPr="00B06210">
              <w:rPr>
                <w:rStyle w:val="Hyperlink"/>
              </w:rPr>
              <w:t>Masking</w:t>
            </w:r>
            <w:r w:rsidR="00FE441F">
              <w:rPr>
                <w:webHidden/>
              </w:rPr>
              <w:tab/>
            </w:r>
            <w:r w:rsidR="00FE441F">
              <w:rPr>
                <w:webHidden/>
              </w:rPr>
              <w:fldChar w:fldCharType="begin"/>
            </w:r>
            <w:r w:rsidR="00FE441F">
              <w:rPr>
                <w:webHidden/>
              </w:rPr>
              <w:instrText xml:space="preserve"> PAGEREF _Toc518922211 \h </w:instrText>
            </w:r>
            <w:r w:rsidR="00FE441F">
              <w:rPr>
                <w:webHidden/>
              </w:rPr>
            </w:r>
            <w:r w:rsidR="00FE441F">
              <w:rPr>
                <w:webHidden/>
              </w:rPr>
              <w:fldChar w:fldCharType="separate"/>
            </w:r>
            <w:r w:rsidR="00172547">
              <w:rPr>
                <w:webHidden/>
              </w:rPr>
              <w:t>71</w:t>
            </w:r>
            <w:r w:rsidR="00FE441F">
              <w:rPr>
                <w:webHidden/>
              </w:rPr>
              <w:fldChar w:fldCharType="end"/>
            </w:r>
          </w:hyperlink>
        </w:p>
        <w:p w14:paraId="3723E685" w14:textId="4540C041" w:rsidR="00FE441F" w:rsidRDefault="007379CE">
          <w:pPr>
            <w:pStyle w:val="TOC2"/>
            <w:rPr>
              <w:rFonts w:asciiTheme="minorHAnsi" w:eastAsiaTheme="minorEastAsia" w:hAnsiTheme="minorHAnsi"/>
              <w:lang w:eastAsia="en-NZ"/>
            </w:rPr>
          </w:pPr>
          <w:hyperlink w:anchor="_Toc518922215" w:history="1">
            <w:r w:rsidR="00FE441F" w:rsidRPr="00B06210">
              <w:rPr>
                <w:rStyle w:val="Hyperlink"/>
              </w:rPr>
              <w:t>3.4.</w:t>
            </w:r>
            <w:r w:rsidR="00FE441F">
              <w:rPr>
                <w:rFonts w:asciiTheme="minorHAnsi" w:eastAsiaTheme="minorEastAsia" w:hAnsiTheme="minorHAnsi"/>
                <w:lang w:eastAsia="en-NZ"/>
              </w:rPr>
              <w:tab/>
            </w:r>
            <w:r w:rsidR="00FE441F" w:rsidRPr="00B06210">
              <w:rPr>
                <w:rStyle w:val="Hyperlink"/>
              </w:rPr>
              <w:t xml:space="preserve">The role of supplemental </w:t>
            </w:r>
            <w:r w:rsidR="007C3AE7">
              <w:rPr>
                <w:rStyle w:val="Hyperlink"/>
              </w:rPr>
              <w:t>testing</w:t>
            </w:r>
            <w:r w:rsidR="00FE441F">
              <w:rPr>
                <w:webHidden/>
              </w:rPr>
              <w:tab/>
            </w:r>
            <w:r w:rsidR="00FE441F">
              <w:rPr>
                <w:webHidden/>
              </w:rPr>
              <w:fldChar w:fldCharType="begin"/>
            </w:r>
            <w:r w:rsidR="00FE441F">
              <w:rPr>
                <w:webHidden/>
              </w:rPr>
              <w:instrText xml:space="preserve"> PAGEREF _Toc518922215 \h </w:instrText>
            </w:r>
            <w:r w:rsidR="00FE441F">
              <w:rPr>
                <w:webHidden/>
              </w:rPr>
            </w:r>
            <w:r w:rsidR="00FE441F">
              <w:rPr>
                <w:webHidden/>
              </w:rPr>
              <w:fldChar w:fldCharType="separate"/>
            </w:r>
            <w:r w:rsidR="00172547">
              <w:rPr>
                <w:webHidden/>
              </w:rPr>
              <w:t>76</w:t>
            </w:r>
            <w:r w:rsidR="00FE441F">
              <w:rPr>
                <w:webHidden/>
              </w:rPr>
              <w:fldChar w:fldCharType="end"/>
            </w:r>
          </w:hyperlink>
        </w:p>
        <w:p w14:paraId="053A35EC" w14:textId="397958A4" w:rsidR="00FE441F" w:rsidRDefault="007379CE" w:rsidP="007318FA">
          <w:pPr>
            <w:pStyle w:val="TOC1"/>
            <w:ind w:left="567" w:hanging="567"/>
            <w:rPr>
              <w:rFonts w:asciiTheme="minorHAnsi" w:eastAsiaTheme="minorEastAsia" w:hAnsiTheme="minorHAnsi"/>
              <w:b w:val="0"/>
              <w:caps w:val="0"/>
              <w:lang w:eastAsia="en-NZ"/>
            </w:rPr>
          </w:pPr>
          <w:hyperlink w:anchor="_Toc518922221" w:history="1">
            <w:r w:rsidR="00FE441F" w:rsidRPr="00B06210">
              <w:rPr>
                <w:rStyle w:val="Hyperlink"/>
              </w:rPr>
              <w:t>4.</w:t>
            </w:r>
            <w:r w:rsidR="00FE441F">
              <w:rPr>
                <w:rFonts w:asciiTheme="minorHAnsi" w:eastAsiaTheme="minorEastAsia" w:hAnsiTheme="minorHAnsi"/>
                <w:b w:val="0"/>
                <w:caps w:val="0"/>
                <w:lang w:eastAsia="en-NZ"/>
              </w:rPr>
              <w:tab/>
            </w:r>
            <w:r w:rsidR="00FE441F" w:rsidRPr="00B06210">
              <w:rPr>
                <w:rStyle w:val="Hyperlink"/>
              </w:rPr>
              <w:t>Assessment of evidence and presentation of results: The impact of breast density on clinical outcomes</w:t>
            </w:r>
            <w:r w:rsidR="00FE441F">
              <w:rPr>
                <w:webHidden/>
              </w:rPr>
              <w:tab/>
            </w:r>
            <w:r w:rsidR="00FE441F">
              <w:rPr>
                <w:webHidden/>
              </w:rPr>
              <w:fldChar w:fldCharType="begin"/>
            </w:r>
            <w:r w:rsidR="00FE441F">
              <w:rPr>
                <w:webHidden/>
              </w:rPr>
              <w:instrText xml:space="preserve"> PAGEREF _Toc518922221 \h </w:instrText>
            </w:r>
            <w:r w:rsidR="00FE441F">
              <w:rPr>
                <w:webHidden/>
              </w:rPr>
            </w:r>
            <w:r w:rsidR="00FE441F">
              <w:rPr>
                <w:webHidden/>
              </w:rPr>
              <w:fldChar w:fldCharType="separate"/>
            </w:r>
            <w:r w:rsidR="00172547">
              <w:rPr>
                <w:webHidden/>
              </w:rPr>
              <w:t>96</w:t>
            </w:r>
            <w:r w:rsidR="00FE441F">
              <w:rPr>
                <w:webHidden/>
              </w:rPr>
              <w:fldChar w:fldCharType="end"/>
            </w:r>
          </w:hyperlink>
        </w:p>
        <w:p w14:paraId="25334420" w14:textId="6501C174" w:rsidR="00FE441F" w:rsidRDefault="007379CE">
          <w:pPr>
            <w:pStyle w:val="TOC2"/>
            <w:rPr>
              <w:rFonts w:asciiTheme="minorHAnsi" w:eastAsiaTheme="minorEastAsia" w:hAnsiTheme="minorHAnsi"/>
              <w:lang w:eastAsia="en-NZ"/>
            </w:rPr>
          </w:pPr>
          <w:hyperlink w:anchor="_Toc518922222" w:history="1">
            <w:r w:rsidR="00FE441F" w:rsidRPr="00B06210">
              <w:rPr>
                <w:rStyle w:val="Hyperlink"/>
              </w:rPr>
              <w:t>4.1.</w:t>
            </w:r>
            <w:r w:rsidR="00FE441F">
              <w:rPr>
                <w:rFonts w:asciiTheme="minorHAnsi" w:eastAsiaTheme="minorEastAsia" w:hAnsiTheme="minorHAnsi"/>
                <w:lang w:eastAsia="en-NZ"/>
              </w:rPr>
              <w:tab/>
            </w:r>
            <w:r w:rsidR="00FE441F" w:rsidRPr="00B06210">
              <w:rPr>
                <w:rStyle w:val="Hyperlink"/>
              </w:rPr>
              <w:t>Physical health outcomes</w:t>
            </w:r>
            <w:r w:rsidR="00FE441F">
              <w:rPr>
                <w:webHidden/>
              </w:rPr>
              <w:tab/>
            </w:r>
            <w:r w:rsidR="00FE441F">
              <w:rPr>
                <w:webHidden/>
              </w:rPr>
              <w:fldChar w:fldCharType="begin"/>
            </w:r>
            <w:r w:rsidR="00FE441F">
              <w:rPr>
                <w:webHidden/>
              </w:rPr>
              <w:instrText xml:space="preserve"> PAGEREF _Toc518922222 \h </w:instrText>
            </w:r>
            <w:r w:rsidR="00FE441F">
              <w:rPr>
                <w:webHidden/>
              </w:rPr>
            </w:r>
            <w:r w:rsidR="00FE441F">
              <w:rPr>
                <w:webHidden/>
              </w:rPr>
              <w:fldChar w:fldCharType="separate"/>
            </w:r>
            <w:r w:rsidR="00172547">
              <w:rPr>
                <w:webHidden/>
              </w:rPr>
              <w:t>96</w:t>
            </w:r>
            <w:r w:rsidR="00FE441F">
              <w:rPr>
                <w:webHidden/>
              </w:rPr>
              <w:fldChar w:fldCharType="end"/>
            </w:r>
          </w:hyperlink>
        </w:p>
        <w:p w14:paraId="3AC94B9A" w14:textId="0E4E3E82" w:rsidR="00FE441F" w:rsidRDefault="007379CE">
          <w:pPr>
            <w:pStyle w:val="TOC2"/>
            <w:rPr>
              <w:rFonts w:asciiTheme="minorHAnsi" w:eastAsiaTheme="minorEastAsia" w:hAnsiTheme="minorHAnsi"/>
              <w:lang w:eastAsia="en-NZ"/>
            </w:rPr>
          </w:pPr>
          <w:hyperlink w:anchor="_Toc518922223" w:history="1">
            <w:r w:rsidR="00FE441F" w:rsidRPr="00B06210">
              <w:rPr>
                <w:rStyle w:val="Hyperlink"/>
              </w:rPr>
              <w:t>4.2.</w:t>
            </w:r>
            <w:r w:rsidR="00FE441F">
              <w:rPr>
                <w:rFonts w:asciiTheme="minorHAnsi" w:eastAsiaTheme="minorEastAsia" w:hAnsiTheme="minorHAnsi"/>
                <w:lang w:eastAsia="en-NZ"/>
              </w:rPr>
              <w:tab/>
            </w:r>
            <w:r w:rsidR="00FE441F" w:rsidRPr="00B06210">
              <w:rPr>
                <w:rStyle w:val="Hyperlink"/>
              </w:rPr>
              <w:t>Mental health outcomes</w:t>
            </w:r>
            <w:r w:rsidR="00FE441F">
              <w:rPr>
                <w:webHidden/>
              </w:rPr>
              <w:tab/>
            </w:r>
            <w:r w:rsidR="00FE441F">
              <w:rPr>
                <w:webHidden/>
              </w:rPr>
              <w:fldChar w:fldCharType="begin"/>
            </w:r>
            <w:r w:rsidR="00FE441F">
              <w:rPr>
                <w:webHidden/>
              </w:rPr>
              <w:instrText xml:space="preserve"> PAGEREF _Toc518922223 \h </w:instrText>
            </w:r>
            <w:r w:rsidR="00FE441F">
              <w:rPr>
                <w:webHidden/>
              </w:rPr>
            </w:r>
            <w:r w:rsidR="00FE441F">
              <w:rPr>
                <w:webHidden/>
              </w:rPr>
              <w:fldChar w:fldCharType="separate"/>
            </w:r>
            <w:r w:rsidR="00172547">
              <w:rPr>
                <w:webHidden/>
              </w:rPr>
              <w:t>98</w:t>
            </w:r>
            <w:r w:rsidR="00FE441F">
              <w:rPr>
                <w:webHidden/>
              </w:rPr>
              <w:fldChar w:fldCharType="end"/>
            </w:r>
          </w:hyperlink>
        </w:p>
        <w:p w14:paraId="38EFFD6A" w14:textId="0098CFC5" w:rsidR="00FE441F" w:rsidRDefault="007379CE">
          <w:pPr>
            <w:pStyle w:val="TOC1"/>
            <w:rPr>
              <w:rFonts w:asciiTheme="minorHAnsi" w:eastAsiaTheme="minorEastAsia" w:hAnsiTheme="minorHAnsi"/>
              <w:b w:val="0"/>
              <w:caps w:val="0"/>
              <w:lang w:eastAsia="en-NZ"/>
            </w:rPr>
          </w:pPr>
          <w:hyperlink w:anchor="_Toc518922226" w:history="1">
            <w:r w:rsidR="00FE441F" w:rsidRPr="00B06210">
              <w:rPr>
                <w:rStyle w:val="Hyperlink"/>
              </w:rPr>
              <w:t>5.</w:t>
            </w:r>
            <w:r w:rsidR="00FE441F">
              <w:rPr>
                <w:rFonts w:asciiTheme="minorHAnsi" w:eastAsiaTheme="minorEastAsia" w:hAnsiTheme="minorHAnsi"/>
                <w:b w:val="0"/>
                <w:caps w:val="0"/>
                <w:lang w:eastAsia="en-NZ"/>
              </w:rPr>
              <w:tab/>
            </w:r>
            <w:r w:rsidR="00FE441F" w:rsidRPr="00B06210">
              <w:rPr>
                <w:rStyle w:val="Hyperlink"/>
              </w:rPr>
              <w:t>Notification and reporting</w:t>
            </w:r>
            <w:r w:rsidR="00FE441F">
              <w:rPr>
                <w:webHidden/>
              </w:rPr>
              <w:tab/>
            </w:r>
            <w:r w:rsidR="00FE441F">
              <w:rPr>
                <w:webHidden/>
              </w:rPr>
              <w:fldChar w:fldCharType="begin"/>
            </w:r>
            <w:r w:rsidR="00FE441F">
              <w:rPr>
                <w:webHidden/>
              </w:rPr>
              <w:instrText xml:space="preserve"> PAGEREF _Toc518922226 \h </w:instrText>
            </w:r>
            <w:r w:rsidR="00FE441F">
              <w:rPr>
                <w:webHidden/>
              </w:rPr>
            </w:r>
            <w:r w:rsidR="00FE441F">
              <w:rPr>
                <w:webHidden/>
              </w:rPr>
              <w:fldChar w:fldCharType="separate"/>
            </w:r>
            <w:r w:rsidR="00172547">
              <w:rPr>
                <w:webHidden/>
              </w:rPr>
              <w:t>109</w:t>
            </w:r>
            <w:r w:rsidR="00FE441F">
              <w:rPr>
                <w:webHidden/>
              </w:rPr>
              <w:fldChar w:fldCharType="end"/>
            </w:r>
          </w:hyperlink>
        </w:p>
        <w:p w14:paraId="69D99695" w14:textId="779D342F" w:rsidR="00FE441F" w:rsidRDefault="007379CE">
          <w:pPr>
            <w:pStyle w:val="TOC2"/>
            <w:rPr>
              <w:rFonts w:asciiTheme="minorHAnsi" w:eastAsiaTheme="minorEastAsia" w:hAnsiTheme="minorHAnsi"/>
              <w:lang w:eastAsia="en-NZ"/>
            </w:rPr>
          </w:pPr>
          <w:hyperlink w:anchor="_Toc518922227" w:history="1">
            <w:r w:rsidR="00FE441F" w:rsidRPr="00B06210">
              <w:rPr>
                <w:rStyle w:val="Hyperlink"/>
              </w:rPr>
              <w:t>5.1.</w:t>
            </w:r>
            <w:r w:rsidR="00FE441F">
              <w:rPr>
                <w:rFonts w:asciiTheme="minorHAnsi" w:eastAsiaTheme="minorEastAsia" w:hAnsiTheme="minorHAnsi"/>
                <w:lang w:eastAsia="en-NZ"/>
              </w:rPr>
              <w:tab/>
            </w:r>
            <w:r w:rsidR="00FE441F" w:rsidRPr="00B06210">
              <w:rPr>
                <w:rStyle w:val="Hyperlink"/>
              </w:rPr>
              <w:t>Notification and reporting in other jurisdictions</w:t>
            </w:r>
            <w:r w:rsidR="00FE441F">
              <w:rPr>
                <w:webHidden/>
              </w:rPr>
              <w:tab/>
            </w:r>
            <w:r w:rsidR="00FE441F">
              <w:rPr>
                <w:webHidden/>
              </w:rPr>
              <w:fldChar w:fldCharType="begin"/>
            </w:r>
            <w:r w:rsidR="00FE441F">
              <w:rPr>
                <w:webHidden/>
              </w:rPr>
              <w:instrText xml:space="preserve"> PAGEREF _Toc518922227 \h </w:instrText>
            </w:r>
            <w:r w:rsidR="00FE441F">
              <w:rPr>
                <w:webHidden/>
              </w:rPr>
            </w:r>
            <w:r w:rsidR="00FE441F">
              <w:rPr>
                <w:webHidden/>
              </w:rPr>
              <w:fldChar w:fldCharType="separate"/>
            </w:r>
            <w:r w:rsidR="00172547">
              <w:rPr>
                <w:webHidden/>
              </w:rPr>
              <w:t>109</w:t>
            </w:r>
            <w:r w:rsidR="00FE441F">
              <w:rPr>
                <w:webHidden/>
              </w:rPr>
              <w:fldChar w:fldCharType="end"/>
            </w:r>
          </w:hyperlink>
        </w:p>
        <w:p w14:paraId="7613E7D4" w14:textId="2F33D430" w:rsidR="00FE441F" w:rsidRDefault="007379CE">
          <w:pPr>
            <w:pStyle w:val="TOC2"/>
            <w:rPr>
              <w:rFonts w:asciiTheme="minorHAnsi" w:eastAsiaTheme="minorEastAsia" w:hAnsiTheme="minorHAnsi"/>
              <w:lang w:eastAsia="en-NZ"/>
            </w:rPr>
          </w:pPr>
          <w:hyperlink w:anchor="_Toc518922232" w:history="1">
            <w:r w:rsidR="00FE441F" w:rsidRPr="00B06210">
              <w:rPr>
                <w:rStyle w:val="Hyperlink"/>
              </w:rPr>
              <w:t>5.2.</w:t>
            </w:r>
            <w:r w:rsidR="00FE441F">
              <w:rPr>
                <w:rFonts w:asciiTheme="minorHAnsi" w:eastAsiaTheme="minorEastAsia" w:hAnsiTheme="minorHAnsi"/>
                <w:lang w:eastAsia="en-NZ"/>
              </w:rPr>
              <w:tab/>
            </w:r>
            <w:r w:rsidR="00FE441F" w:rsidRPr="00B06210">
              <w:rPr>
                <w:rStyle w:val="Hyperlink"/>
              </w:rPr>
              <w:t>Information that women want and acceptability of reporting</w:t>
            </w:r>
            <w:r w:rsidR="00FE441F">
              <w:rPr>
                <w:webHidden/>
              </w:rPr>
              <w:tab/>
            </w:r>
            <w:r w:rsidR="00FE441F">
              <w:rPr>
                <w:webHidden/>
              </w:rPr>
              <w:fldChar w:fldCharType="begin"/>
            </w:r>
            <w:r w:rsidR="00FE441F">
              <w:rPr>
                <w:webHidden/>
              </w:rPr>
              <w:instrText xml:space="preserve"> PAGEREF _Toc518922232 \h </w:instrText>
            </w:r>
            <w:r w:rsidR="00FE441F">
              <w:rPr>
                <w:webHidden/>
              </w:rPr>
            </w:r>
            <w:r w:rsidR="00FE441F">
              <w:rPr>
                <w:webHidden/>
              </w:rPr>
              <w:fldChar w:fldCharType="separate"/>
            </w:r>
            <w:r w:rsidR="00172547">
              <w:rPr>
                <w:webHidden/>
              </w:rPr>
              <w:t>114</w:t>
            </w:r>
            <w:r w:rsidR="00FE441F">
              <w:rPr>
                <w:webHidden/>
              </w:rPr>
              <w:fldChar w:fldCharType="end"/>
            </w:r>
          </w:hyperlink>
        </w:p>
        <w:p w14:paraId="74B19F82" w14:textId="69485332" w:rsidR="00FE441F" w:rsidRDefault="007379CE">
          <w:pPr>
            <w:pStyle w:val="TOC1"/>
            <w:rPr>
              <w:rFonts w:asciiTheme="minorHAnsi" w:eastAsiaTheme="minorEastAsia" w:hAnsiTheme="minorHAnsi"/>
              <w:b w:val="0"/>
              <w:caps w:val="0"/>
              <w:lang w:eastAsia="en-NZ"/>
            </w:rPr>
          </w:pPr>
          <w:hyperlink w:anchor="_Toc518922233" w:history="1">
            <w:r w:rsidR="00FE441F" w:rsidRPr="00B06210">
              <w:rPr>
                <w:rStyle w:val="Hyperlink"/>
              </w:rPr>
              <w:t>References</w:t>
            </w:r>
            <w:r w:rsidR="00FE441F">
              <w:rPr>
                <w:webHidden/>
              </w:rPr>
              <w:tab/>
            </w:r>
            <w:r w:rsidR="00FE441F">
              <w:rPr>
                <w:webHidden/>
              </w:rPr>
              <w:fldChar w:fldCharType="begin"/>
            </w:r>
            <w:r w:rsidR="00FE441F">
              <w:rPr>
                <w:webHidden/>
              </w:rPr>
              <w:instrText xml:space="preserve"> PAGEREF _Toc518922233 \h </w:instrText>
            </w:r>
            <w:r w:rsidR="00FE441F">
              <w:rPr>
                <w:webHidden/>
              </w:rPr>
            </w:r>
            <w:r w:rsidR="00FE441F">
              <w:rPr>
                <w:webHidden/>
              </w:rPr>
              <w:fldChar w:fldCharType="separate"/>
            </w:r>
            <w:r w:rsidR="00172547">
              <w:rPr>
                <w:webHidden/>
              </w:rPr>
              <w:t>116</w:t>
            </w:r>
            <w:r w:rsidR="00FE441F">
              <w:rPr>
                <w:webHidden/>
              </w:rPr>
              <w:fldChar w:fldCharType="end"/>
            </w:r>
          </w:hyperlink>
        </w:p>
        <w:p w14:paraId="5D4122DB" w14:textId="77C6DF06" w:rsidR="00FE441F" w:rsidRDefault="007379CE">
          <w:pPr>
            <w:pStyle w:val="TOC1"/>
            <w:rPr>
              <w:rFonts w:asciiTheme="minorHAnsi" w:eastAsiaTheme="minorEastAsia" w:hAnsiTheme="minorHAnsi"/>
              <w:b w:val="0"/>
              <w:caps w:val="0"/>
              <w:lang w:eastAsia="en-NZ"/>
            </w:rPr>
          </w:pPr>
          <w:hyperlink w:anchor="_Toc518922234" w:history="1">
            <w:r w:rsidR="00FE441F" w:rsidRPr="00B06210">
              <w:rPr>
                <w:rStyle w:val="Hyperlink"/>
              </w:rPr>
              <w:t>Appendix A: quality assessment for each included study</w:t>
            </w:r>
            <w:r w:rsidR="00FE441F">
              <w:rPr>
                <w:webHidden/>
              </w:rPr>
              <w:tab/>
            </w:r>
            <w:r w:rsidR="00FE441F">
              <w:rPr>
                <w:webHidden/>
              </w:rPr>
              <w:fldChar w:fldCharType="begin"/>
            </w:r>
            <w:r w:rsidR="00FE441F">
              <w:rPr>
                <w:webHidden/>
              </w:rPr>
              <w:instrText xml:space="preserve"> PAGEREF _Toc518922234 \h </w:instrText>
            </w:r>
            <w:r w:rsidR="00FE441F">
              <w:rPr>
                <w:webHidden/>
              </w:rPr>
            </w:r>
            <w:r w:rsidR="00FE441F">
              <w:rPr>
                <w:webHidden/>
              </w:rPr>
              <w:fldChar w:fldCharType="separate"/>
            </w:r>
            <w:r w:rsidR="00172547">
              <w:rPr>
                <w:webHidden/>
              </w:rPr>
              <w:t>127</w:t>
            </w:r>
            <w:r w:rsidR="00FE441F">
              <w:rPr>
                <w:webHidden/>
              </w:rPr>
              <w:fldChar w:fldCharType="end"/>
            </w:r>
          </w:hyperlink>
        </w:p>
        <w:p w14:paraId="6D752005" w14:textId="3AF160AD" w:rsidR="00D2202B" w:rsidRDefault="00D2202B">
          <w:r>
            <w:rPr>
              <w:b/>
              <w:bCs/>
              <w:noProof/>
            </w:rPr>
            <w:fldChar w:fldCharType="end"/>
          </w:r>
        </w:p>
      </w:sdtContent>
    </w:sdt>
    <w:p w14:paraId="415A45DE" w14:textId="77777777" w:rsidR="0055619E" w:rsidRDefault="0055619E" w:rsidP="0055619E">
      <w:pPr>
        <w:pStyle w:val="BodyText"/>
      </w:pPr>
    </w:p>
    <w:p w14:paraId="3F373EC6" w14:textId="77777777" w:rsidR="0055619E" w:rsidRDefault="0055619E" w:rsidP="0055619E">
      <w:pPr>
        <w:rPr>
          <w:rFonts w:asciiTheme="majorHAnsi" w:hAnsiTheme="majorHAnsi"/>
          <w:b/>
          <w:caps/>
          <w:color w:val="36424A" w:themeColor="text2"/>
          <w:sz w:val="28"/>
        </w:rPr>
      </w:pPr>
      <w:r>
        <w:rPr>
          <w:b/>
          <w:caps/>
          <w:color w:val="36424A" w:themeColor="text2"/>
          <w:sz w:val="28"/>
        </w:rPr>
        <w:br w:type="page"/>
      </w:r>
    </w:p>
    <w:p w14:paraId="457005B3" w14:textId="77777777" w:rsidR="0055619E" w:rsidRDefault="0055619E" w:rsidP="0055619E">
      <w:pPr>
        <w:pStyle w:val="Heading1"/>
      </w:pPr>
      <w:bookmarkStart w:id="4" w:name="_Toc507657148"/>
      <w:bookmarkStart w:id="5" w:name="_Toc518922179"/>
      <w:r>
        <w:lastRenderedPageBreak/>
        <w:t>Key terms</w:t>
      </w:r>
      <w:bookmarkEnd w:id="4"/>
      <w:bookmarkEnd w:id="5"/>
    </w:p>
    <w:p w14:paraId="759780B6" w14:textId="77777777" w:rsidR="00A2322E" w:rsidRDefault="00A2322E" w:rsidP="00A2322E">
      <w:pPr>
        <w:pStyle w:val="BodyText"/>
      </w:pPr>
      <w:r>
        <w:t>BSA</w:t>
      </w:r>
      <w:r>
        <w:tab/>
      </w:r>
      <w:r>
        <w:tab/>
        <w:t>BreastScreen Australia</w:t>
      </w:r>
    </w:p>
    <w:p w14:paraId="5031BA68" w14:textId="77777777" w:rsidR="00A2322E" w:rsidRDefault="00A2322E" w:rsidP="00A2322E">
      <w:pPr>
        <w:pStyle w:val="BodyText"/>
      </w:pPr>
      <w:r>
        <w:t>BSGI</w:t>
      </w:r>
      <w:r>
        <w:tab/>
      </w:r>
      <w:r>
        <w:tab/>
        <w:t>B</w:t>
      </w:r>
      <w:r w:rsidRPr="007B5401">
        <w:t xml:space="preserve">reast-specific gamma imaging </w:t>
      </w:r>
    </w:p>
    <w:p w14:paraId="1EC8FE07" w14:textId="24BB7CA9" w:rsidR="00A2322E" w:rsidRDefault="00275D65" w:rsidP="00A2322E">
      <w:pPr>
        <w:pStyle w:val="BodyText"/>
      </w:pPr>
      <w:r>
        <w:t>BIRADS</w:t>
      </w:r>
      <w:r w:rsidR="00A2322E">
        <w:tab/>
      </w:r>
      <w:r w:rsidR="00A2322E" w:rsidRPr="0051300B">
        <w:t>Breast Imaging Reporting and Data System</w:t>
      </w:r>
    </w:p>
    <w:p w14:paraId="1FC608A5" w14:textId="77777777" w:rsidR="00A2322E" w:rsidRPr="00E44152" w:rsidRDefault="00A2322E" w:rsidP="00A2322E">
      <w:pPr>
        <w:pStyle w:val="BodyText"/>
      </w:pPr>
      <w:r w:rsidRPr="00E44152">
        <w:t>CDR</w:t>
      </w:r>
      <w:r w:rsidRPr="00E44152">
        <w:tab/>
      </w:r>
      <w:r>
        <w:tab/>
      </w:r>
      <w:r w:rsidRPr="00E44152">
        <w:t>Cancer detection rate</w:t>
      </w:r>
    </w:p>
    <w:p w14:paraId="0B465AF7" w14:textId="77777777" w:rsidR="00A2322E" w:rsidRDefault="00A2322E" w:rsidP="00A2322E">
      <w:pPr>
        <w:pStyle w:val="BodyText"/>
      </w:pPr>
      <w:r>
        <w:t>CI</w:t>
      </w:r>
      <w:r>
        <w:tab/>
      </w:r>
      <w:r>
        <w:tab/>
        <w:t>Confidence interval</w:t>
      </w:r>
    </w:p>
    <w:p w14:paraId="251C71FA" w14:textId="77777777" w:rsidR="00A2322E" w:rsidRDefault="00A2322E" w:rsidP="00A2322E">
      <w:pPr>
        <w:pStyle w:val="BodyText"/>
      </w:pPr>
      <w:r>
        <w:t>DBT</w:t>
      </w:r>
      <w:r>
        <w:tab/>
      </w:r>
      <w:r>
        <w:tab/>
        <w:t>Digital breast tomosynthesis</w:t>
      </w:r>
    </w:p>
    <w:p w14:paraId="4F4D38CB" w14:textId="77777777" w:rsidR="003A536A" w:rsidRDefault="003A536A" w:rsidP="003A536A">
      <w:pPr>
        <w:pStyle w:val="BodyText"/>
      </w:pPr>
      <w:r>
        <w:t>DCIS</w:t>
      </w:r>
      <w:r>
        <w:tab/>
      </w:r>
      <w:r>
        <w:tab/>
        <w:t>Ductal carcinoma in situ</w:t>
      </w:r>
    </w:p>
    <w:p w14:paraId="6088ADB1" w14:textId="77777777" w:rsidR="002E4D2A" w:rsidRDefault="00A42462" w:rsidP="002E4D2A">
      <w:pPr>
        <w:pStyle w:val="BodyText"/>
      </w:pPr>
      <w:r>
        <w:t>ER</w:t>
      </w:r>
      <w:r w:rsidR="00761B6F">
        <w:t xml:space="preserve"> </w:t>
      </w:r>
      <w:r>
        <w:tab/>
      </w:r>
      <w:r>
        <w:tab/>
      </w:r>
      <w:r w:rsidR="00761B6F">
        <w:t>Oe</w:t>
      </w:r>
      <w:r>
        <w:t xml:space="preserve">strogen receptor </w:t>
      </w:r>
    </w:p>
    <w:p w14:paraId="767C595B" w14:textId="5C7A50B9" w:rsidR="00A2322E" w:rsidRDefault="00A2322E" w:rsidP="00A2322E">
      <w:pPr>
        <w:pStyle w:val="BodyText"/>
      </w:pPr>
      <w:r>
        <w:t>FFDM</w:t>
      </w:r>
      <w:r>
        <w:tab/>
      </w:r>
      <w:r>
        <w:tab/>
        <w:t>F</w:t>
      </w:r>
      <w:r w:rsidRPr="00BD4332">
        <w:t>ull-field digital</w:t>
      </w:r>
      <w:r w:rsidR="00BB2B6B">
        <w:t xml:space="preserve"> </w:t>
      </w:r>
      <w:r w:rsidRPr="00BD4332">
        <w:t>mammography</w:t>
      </w:r>
    </w:p>
    <w:p w14:paraId="1B7CF424" w14:textId="77777777" w:rsidR="00A2322E" w:rsidRDefault="00A2322E" w:rsidP="00A2322E">
      <w:pPr>
        <w:pStyle w:val="BodyText"/>
      </w:pPr>
      <w:r>
        <w:t xml:space="preserve">MBI </w:t>
      </w:r>
      <w:r>
        <w:tab/>
      </w:r>
      <w:r>
        <w:tab/>
        <w:t>M</w:t>
      </w:r>
      <w:r w:rsidRPr="007B5401">
        <w:t>olecular breast imaging</w:t>
      </w:r>
    </w:p>
    <w:p w14:paraId="23AEDB20" w14:textId="77777777" w:rsidR="00A2322E" w:rsidRDefault="00A2322E" w:rsidP="00A2322E">
      <w:pPr>
        <w:pStyle w:val="BodyText"/>
      </w:pPr>
      <w:r>
        <w:t>MRI</w:t>
      </w:r>
      <w:r>
        <w:tab/>
      </w:r>
      <w:r>
        <w:tab/>
      </w:r>
      <w:r w:rsidRPr="00CF5781">
        <w:t>Magnetic resonance imaging</w:t>
      </w:r>
    </w:p>
    <w:p w14:paraId="0619307F" w14:textId="77777777" w:rsidR="0056766C" w:rsidRDefault="0056766C" w:rsidP="00A2322E">
      <w:pPr>
        <w:pStyle w:val="BodyText"/>
      </w:pPr>
      <w:r>
        <w:t>O</w:t>
      </w:r>
      <w:r w:rsidR="00761B6F">
        <w:t>R</w:t>
      </w:r>
      <w:r>
        <w:tab/>
      </w:r>
      <w:r>
        <w:tab/>
        <w:t>Odds ratio</w:t>
      </w:r>
    </w:p>
    <w:p w14:paraId="0F6631C3" w14:textId="2882175A" w:rsidR="00A2322E" w:rsidRPr="00E44152" w:rsidRDefault="00A2322E" w:rsidP="00A2322E">
      <w:pPr>
        <w:pStyle w:val="BodyText"/>
      </w:pPr>
      <w:r>
        <w:t>PD</w:t>
      </w:r>
      <w:r>
        <w:tab/>
      </w:r>
      <w:r>
        <w:tab/>
      </w:r>
      <w:r w:rsidR="00893AA8">
        <w:t>Percent density</w:t>
      </w:r>
    </w:p>
    <w:p w14:paraId="5E8FAD1A" w14:textId="77777777" w:rsidR="00A2322E" w:rsidRDefault="00A2322E" w:rsidP="00A2322E">
      <w:pPr>
        <w:pStyle w:val="BodyText"/>
      </w:pPr>
      <w:r w:rsidRPr="00E44152">
        <w:t>PPV</w:t>
      </w:r>
      <w:r w:rsidRPr="00E44152">
        <w:tab/>
      </w:r>
      <w:r>
        <w:tab/>
      </w:r>
      <w:r w:rsidRPr="00E44152">
        <w:t>Positive predictive value</w:t>
      </w:r>
    </w:p>
    <w:p w14:paraId="48F09F2D" w14:textId="77777777" w:rsidR="00A2322E" w:rsidRPr="00E44152" w:rsidRDefault="00A2322E" w:rsidP="00A2322E">
      <w:pPr>
        <w:pStyle w:val="BodyText"/>
      </w:pPr>
      <w:r>
        <w:t>RR</w:t>
      </w:r>
      <w:r>
        <w:tab/>
      </w:r>
      <w:r>
        <w:tab/>
        <w:t>Relative risk</w:t>
      </w:r>
    </w:p>
    <w:p w14:paraId="52176E4B" w14:textId="77777777" w:rsidR="0055619E" w:rsidRPr="0055619E" w:rsidRDefault="0055619E" w:rsidP="0055619E">
      <w:pPr>
        <w:pStyle w:val="BodyText"/>
      </w:pPr>
    </w:p>
    <w:p w14:paraId="67EF1121" w14:textId="77777777" w:rsidR="0055619E" w:rsidRDefault="0055619E" w:rsidP="0055619E">
      <w:pPr>
        <w:pStyle w:val="Heading1"/>
      </w:pPr>
      <w:bookmarkStart w:id="6" w:name="_Toc507657149"/>
      <w:bookmarkStart w:id="7" w:name="_Toc518922180"/>
      <w:r>
        <w:t>Guidance on how to read this report</w:t>
      </w:r>
      <w:bookmarkEnd w:id="6"/>
      <w:bookmarkEnd w:id="7"/>
    </w:p>
    <w:p w14:paraId="59710FAE" w14:textId="77777777" w:rsidR="0055619E" w:rsidRDefault="0055619E" w:rsidP="00713A09">
      <w:pPr>
        <w:pStyle w:val="BodyText"/>
      </w:pPr>
      <w:r w:rsidRPr="00BE7CBE">
        <w:t>This</w:t>
      </w:r>
      <w:r>
        <w:t xml:space="preserve"> report contains two parts:</w:t>
      </w:r>
    </w:p>
    <w:p w14:paraId="6173673E" w14:textId="68851B2F" w:rsidR="0055619E" w:rsidRPr="0055619E" w:rsidRDefault="0055619E" w:rsidP="009A4F68">
      <w:pPr>
        <w:pStyle w:val="List-AlphanumericLvl1"/>
        <w:numPr>
          <w:ilvl w:val="0"/>
          <w:numId w:val="6"/>
        </w:numPr>
        <w:tabs>
          <w:tab w:val="left" w:pos="851"/>
        </w:tabs>
        <w:ind w:left="851"/>
        <w:jc w:val="both"/>
      </w:pPr>
      <w:bookmarkStart w:id="8" w:name="_Ref507668530"/>
      <w:r>
        <w:t xml:space="preserve">The </w:t>
      </w:r>
      <w:r w:rsidRPr="00EA67E4">
        <w:t>Key</w:t>
      </w:r>
      <w:r w:rsidRPr="0055619E">
        <w:rPr>
          <w:i/>
        </w:rPr>
        <w:t xml:space="preserve"> </w:t>
      </w:r>
      <w:r w:rsidRPr="0055619E">
        <w:t xml:space="preserve">Findings section provides a summary </w:t>
      </w:r>
      <w:r w:rsidR="007C343B">
        <w:t xml:space="preserve">of </w:t>
      </w:r>
      <w:r w:rsidRPr="0055619E">
        <w:t xml:space="preserve">the findings of this literature review presented by the research questions. A summary of the evidence and </w:t>
      </w:r>
      <w:r w:rsidR="0096240B">
        <w:t>quality</w:t>
      </w:r>
      <w:r w:rsidRPr="0055619E">
        <w:t xml:space="preserve"> assessment is also provided.</w:t>
      </w:r>
      <w:bookmarkEnd w:id="8"/>
      <w:r w:rsidRPr="0055619E">
        <w:t xml:space="preserve"> </w:t>
      </w:r>
    </w:p>
    <w:p w14:paraId="234C97FB" w14:textId="77777777" w:rsidR="0055619E" w:rsidRDefault="0055619E" w:rsidP="009A4F68">
      <w:pPr>
        <w:pStyle w:val="List-AlphanumericLvl1"/>
        <w:tabs>
          <w:tab w:val="left" w:pos="851"/>
        </w:tabs>
        <w:jc w:val="both"/>
      </w:pPr>
      <w:r w:rsidRPr="0055619E">
        <w:t>The main report provides detailed findings on to inform the research questions. Relevant data from all primary</w:t>
      </w:r>
      <w:r>
        <w:t xml:space="preserve"> studies is included in evidence tables.</w:t>
      </w:r>
    </w:p>
    <w:p w14:paraId="58AB0857" w14:textId="682A8688" w:rsidR="0055619E" w:rsidRDefault="0055619E" w:rsidP="0055619E">
      <w:pPr>
        <w:pStyle w:val="BodyText"/>
      </w:pPr>
      <w:bookmarkStart w:id="9" w:name="_Hlk507916250"/>
      <w:r w:rsidRPr="00F538C3">
        <w:t xml:space="preserve">Appendix </w:t>
      </w:r>
      <w:r w:rsidR="00174065" w:rsidRPr="00F538C3">
        <w:t xml:space="preserve">A </w:t>
      </w:r>
      <w:r w:rsidRPr="00F538C3">
        <w:t xml:space="preserve">includes the quality assessment tables </w:t>
      </w:r>
      <w:r w:rsidR="00DC6AA2" w:rsidRPr="00F538C3">
        <w:t>(based on AMSTAR2 and the Scottish Intercollegiate Guidelines Network</w:t>
      </w:r>
      <w:r w:rsidR="00BB2B6B" w:rsidRPr="00F538C3">
        <w:t xml:space="preserve"> </w:t>
      </w:r>
      <w:r w:rsidR="00DC6AA2" w:rsidRPr="00F538C3">
        <w:t xml:space="preserve">tools) </w:t>
      </w:r>
      <w:r w:rsidRPr="00F538C3">
        <w:t xml:space="preserve">for included </w:t>
      </w:r>
      <w:r w:rsidR="00EA67E4">
        <w:t>systematic and narrative reviews</w:t>
      </w:r>
      <w:r w:rsidR="00EB3C19">
        <w:t>, and RCTs</w:t>
      </w:r>
      <w:r w:rsidRPr="00F538C3">
        <w:t>.</w:t>
      </w:r>
      <w:bookmarkEnd w:id="9"/>
    </w:p>
    <w:p w14:paraId="346BEA17" w14:textId="77777777" w:rsidR="00761B6F" w:rsidRDefault="00761B6F">
      <w:pPr>
        <w:rPr>
          <w:rFonts w:asciiTheme="majorHAnsi" w:hAnsiTheme="majorHAnsi"/>
          <w:b/>
          <w:caps/>
          <w:color w:val="36424A" w:themeColor="text2"/>
          <w:sz w:val="28"/>
        </w:rPr>
      </w:pPr>
      <w:r>
        <w:br w:type="page"/>
      </w:r>
    </w:p>
    <w:p w14:paraId="2B005131" w14:textId="77777777" w:rsidR="0055619E" w:rsidRDefault="0055619E" w:rsidP="0055619E">
      <w:pPr>
        <w:pStyle w:val="Heading1"/>
      </w:pPr>
      <w:bookmarkStart w:id="10" w:name="_Toc518922181"/>
      <w:r>
        <w:lastRenderedPageBreak/>
        <w:t>Key findings</w:t>
      </w:r>
      <w:bookmarkEnd w:id="10"/>
      <w:r>
        <w:t xml:space="preserve"> </w:t>
      </w:r>
    </w:p>
    <w:p w14:paraId="4637A0AA" w14:textId="21C69A9C" w:rsidR="0055619E" w:rsidRPr="0055619E" w:rsidRDefault="0055619E" w:rsidP="00A6450F">
      <w:pPr>
        <w:pStyle w:val="BodyText"/>
      </w:pPr>
      <w:r w:rsidRPr="0055619E">
        <w:t xml:space="preserve">The BreastScreen Australia </w:t>
      </w:r>
      <w:r w:rsidR="00761B6F">
        <w:t xml:space="preserve">(BSA) </w:t>
      </w:r>
      <w:r w:rsidRPr="0055619E">
        <w:t xml:space="preserve">program currently uses bilateral full-field digital mammography (FFDM) as the “gold standard” screening </w:t>
      </w:r>
      <w:r w:rsidRPr="00A6450F">
        <w:t>test</w:t>
      </w:r>
      <w:r w:rsidRPr="0055619E">
        <w:t xml:space="preserve"> for the early detection of breast cancer in </w:t>
      </w:r>
      <w:r w:rsidR="003B6BE5">
        <w:t xml:space="preserve">all </w:t>
      </w:r>
      <w:r w:rsidRPr="0055619E">
        <w:t>asymptomatic, average-risk women</w:t>
      </w:r>
      <w:r w:rsidR="003B6BE5">
        <w:t xml:space="preserve"> (including those with </w:t>
      </w:r>
      <w:r w:rsidR="003B6BE5" w:rsidRPr="003C1F8E">
        <w:t>more</w:t>
      </w:r>
      <w:r w:rsidR="003B6BE5">
        <w:t xml:space="preserve"> dense breasts)</w:t>
      </w:r>
      <w:r w:rsidRPr="0055619E">
        <w:t xml:space="preserve">. Breast density (also known as mammographic </w:t>
      </w:r>
      <w:r w:rsidR="00C84FBC">
        <w:t xml:space="preserve">or parenchymal </w:t>
      </w:r>
      <w:r w:rsidRPr="0055619E">
        <w:t>density) is not routinely assessed or reported to women</w:t>
      </w:r>
      <w:r w:rsidR="00A6450F">
        <w:t xml:space="preserve"> </w:t>
      </w:r>
      <w:r w:rsidR="00400215">
        <w:t>participating in the BSA</w:t>
      </w:r>
      <w:r w:rsidR="00A6450F">
        <w:t xml:space="preserve"> </w:t>
      </w:r>
      <w:r w:rsidR="00400215">
        <w:t xml:space="preserve">program </w:t>
      </w:r>
      <w:r w:rsidRPr="0055619E">
        <w:t xml:space="preserve">(except in the Western Australia BSA program); however, consumer requests for consistent individualised </w:t>
      </w:r>
      <w:r w:rsidR="00C84FBC">
        <w:t>data</w:t>
      </w:r>
      <w:r w:rsidR="00C84FBC" w:rsidRPr="0055619E">
        <w:t xml:space="preserve"> </w:t>
      </w:r>
      <w:r w:rsidR="00400215">
        <w:t xml:space="preserve">about breast density </w:t>
      </w:r>
      <w:r w:rsidR="00C84FBC">
        <w:t xml:space="preserve">to inform choices about breast cancer screening </w:t>
      </w:r>
      <w:r w:rsidR="00400215">
        <w:t xml:space="preserve">are </w:t>
      </w:r>
      <w:r w:rsidRPr="0055619E">
        <w:t xml:space="preserve">increasing. </w:t>
      </w:r>
    </w:p>
    <w:p w14:paraId="5F1B67C2" w14:textId="00F58D36" w:rsidR="00F84BC5" w:rsidRDefault="0055619E" w:rsidP="00F84BC5">
      <w:pPr>
        <w:pStyle w:val="BodyText"/>
      </w:pPr>
      <w:r w:rsidRPr="0055619E">
        <w:t xml:space="preserve">The Department of Health (Australia) contracted </w:t>
      </w:r>
      <w:r w:rsidRPr="003B6BE5">
        <w:rPr>
          <w:i/>
        </w:rPr>
        <w:t>Allen + Clarke</w:t>
      </w:r>
      <w:r w:rsidRPr="0055619E">
        <w:t xml:space="preserve"> to undertake a literature review (not systematic review) of the evidence base informing the BSA position statement on breast density </w:t>
      </w:r>
      <w:r w:rsidR="00A6450F">
        <w:t xml:space="preserve">and screening </w:t>
      </w:r>
      <w:r w:rsidRPr="0055619E">
        <w:t>in asymptomatic women aged over 40 years.</w:t>
      </w:r>
      <w:r w:rsidR="003B6BE5">
        <w:t xml:space="preserve"> </w:t>
      </w:r>
      <w:r w:rsidR="00F84BC5">
        <w:t>We want to know:</w:t>
      </w:r>
    </w:p>
    <w:p w14:paraId="39685AB0" w14:textId="77777777" w:rsidR="004A00DD" w:rsidRPr="00261D24" w:rsidRDefault="004A00DD" w:rsidP="004A00DD">
      <w:pPr>
        <w:pStyle w:val="List-BulletLvl1"/>
      </w:pPr>
      <w:r>
        <w:t xml:space="preserve">the best (and </w:t>
      </w:r>
      <w:r w:rsidRPr="00261D24">
        <w:t>validated</w:t>
      </w:r>
      <w:r>
        <w:t xml:space="preserve">) ways to measure </w:t>
      </w:r>
      <w:r w:rsidRPr="00261D24">
        <w:t>breast density</w:t>
      </w:r>
    </w:p>
    <w:p w14:paraId="736BEA46" w14:textId="77777777" w:rsidR="00F84BC5" w:rsidRDefault="003A47C1" w:rsidP="00F84BC5">
      <w:pPr>
        <w:pStyle w:val="List-BulletLvl1"/>
      </w:pPr>
      <w:r w:rsidRPr="00261D24">
        <w:t>the established increase in risk of breast cancer for women with more dense breasts, the relative risk of breast cancer by age and by breast density and how</w:t>
      </w:r>
      <w:r>
        <w:t xml:space="preserve"> (or if)</w:t>
      </w:r>
      <w:r w:rsidRPr="00261D24">
        <w:t xml:space="preserve"> the association between breast density and risk changes with adjustment for age</w:t>
      </w:r>
    </w:p>
    <w:p w14:paraId="0E07858E" w14:textId="77777777" w:rsidR="009770CF" w:rsidRPr="00261D24" w:rsidRDefault="009770CF" w:rsidP="009770CF">
      <w:pPr>
        <w:pStyle w:val="List-BulletLvl1"/>
      </w:pPr>
      <w:r>
        <w:t xml:space="preserve">the </w:t>
      </w:r>
      <w:r w:rsidRPr="00261D24">
        <w:t xml:space="preserve">degree </w:t>
      </w:r>
      <w:r>
        <w:t xml:space="preserve">to which </w:t>
      </w:r>
      <w:r w:rsidRPr="00261D24">
        <w:t>breast density masks breast cancer in modern digital mammogra</w:t>
      </w:r>
      <w:r>
        <w:t>phy</w:t>
      </w:r>
    </w:p>
    <w:p w14:paraId="519B5175" w14:textId="08206B91" w:rsidR="00F84BC5" w:rsidRDefault="00F84BC5" w:rsidP="00B56335">
      <w:pPr>
        <w:pStyle w:val="List-BulletLvl1"/>
      </w:pPr>
      <w:r>
        <w:t xml:space="preserve">the role of supplemental </w:t>
      </w:r>
      <w:r w:rsidR="0027402E">
        <w:t xml:space="preserve">testing </w:t>
      </w:r>
      <w:r w:rsidR="00A6450F">
        <w:t>in breast cancer screening for asymptomatic women with more dense breasts</w:t>
      </w:r>
    </w:p>
    <w:p w14:paraId="4E90CA2C" w14:textId="77777777" w:rsidR="00F84BC5" w:rsidRDefault="00F84BC5" w:rsidP="00F84BC5">
      <w:pPr>
        <w:pStyle w:val="List-BulletLvl1"/>
      </w:pPr>
      <w:r>
        <w:t xml:space="preserve">if there have been any changes in screening participation or health and psychosocial outcomes for women who have received information about their breast density, and </w:t>
      </w:r>
    </w:p>
    <w:p w14:paraId="23A8DD91" w14:textId="77777777" w:rsidR="00F84BC5" w:rsidRDefault="00F84BC5" w:rsidP="00F84BC5">
      <w:pPr>
        <w:pStyle w:val="List-BulletLvl1"/>
      </w:pPr>
      <w:proofErr w:type="gramStart"/>
      <w:r>
        <w:t>notification</w:t>
      </w:r>
      <w:proofErr w:type="gramEnd"/>
      <w:r>
        <w:t xml:space="preserve"> and reporting of breast density to women and health practitioners</w:t>
      </w:r>
      <w:r w:rsidR="00D23723">
        <w:t xml:space="preserve">. </w:t>
      </w:r>
    </w:p>
    <w:p w14:paraId="5CFC7589" w14:textId="2EDDB652" w:rsidR="00400215" w:rsidRDefault="00400215" w:rsidP="0055619E">
      <w:pPr>
        <w:pStyle w:val="BodyText"/>
      </w:pPr>
      <w:r>
        <w:t xml:space="preserve">Included study types were </w:t>
      </w:r>
      <w:r w:rsidR="00ED56EF">
        <w:t xml:space="preserve">epidemiological studies including </w:t>
      </w:r>
      <w:r>
        <w:t>systematic reviews</w:t>
      </w:r>
      <w:r w:rsidR="0047398A">
        <w:t>,</w:t>
      </w:r>
      <w:r>
        <w:t xml:space="preserve"> randomised controlled trials</w:t>
      </w:r>
      <w:r w:rsidR="0047398A">
        <w:t xml:space="preserve"> and </w:t>
      </w:r>
      <w:r w:rsidR="0085124B">
        <w:t xml:space="preserve">prospective cohort or case-control </w:t>
      </w:r>
      <w:r w:rsidR="0047398A">
        <w:t>studies</w:t>
      </w:r>
      <w:r>
        <w:t>.</w:t>
      </w:r>
      <w:r w:rsidR="0047398A">
        <w:t xml:space="preserve"> </w:t>
      </w:r>
    </w:p>
    <w:p w14:paraId="2048C684" w14:textId="24349349" w:rsidR="0055619E" w:rsidRPr="0055619E" w:rsidRDefault="0055619E" w:rsidP="0055619E">
      <w:pPr>
        <w:pStyle w:val="BodyText"/>
      </w:pPr>
      <w:r w:rsidRPr="0055619E">
        <w:t xml:space="preserve">This </w:t>
      </w:r>
      <w:r w:rsidR="00400215">
        <w:t xml:space="preserve">literature </w:t>
      </w:r>
      <w:r w:rsidRPr="0055619E">
        <w:t xml:space="preserve">review will support the Breast Screening Technical Reference Group’s consideration of what updates (if any) are needed to </w:t>
      </w:r>
      <w:r w:rsidR="00761B6F">
        <w:t>BSA</w:t>
      </w:r>
      <w:r w:rsidRPr="0055619E">
        <w:t xml:space="preserve">’s position statement on breast density. Further updates to the BSA position statement may be required as recruiting or active studies report interim or final findings. </w:t>
      </w:r>
    </w:p>
    <w:p w14:paraId="22F46A55" w14:textId="6C071E28" w:rsidR="0055619E" w:rsidRPr="00A6450F" w:rsidRDefault="0055619E" w:rsidP="00A6450F">
      <w:pPr>
        <w:pStyle w:val="BodyText"/>
      </w:pPr>
      <w:r w:rsidRPr="0055619E">
        <w:t xml:space="preserve">Although a range of classification systems exist to describe breast density, </w:t>
      </w:r>
      <w:r w:rsidR="00A6450F">
        <w:t xml:space="preserve">much </w:t>
      </w:r>
      <w:r w:rsidR="00400215">
        <w:t xml:space="preserve">of the </w:t>
      </w:r>
      <w:r w:rsidRPr="0055619E">
        <w:t>research discussed in this report used the Breast Imaging Reporting and Data System (</w:t>
      </w:r>
      <w:r w:rsidR="00275D65">
        <w:t>BIRADS</w:t>
      </w:r>
      <w:r w:rsidRPr="0055619E">
        <w:t>) classification system</w:t>
      </w:r>
      <w:r w:rsidR="00400215">
        <w:t xml:space="preserve">. Under </w:t>
      </w:r>
      <w:r w:rsidR="00275D65">
        <w:t>BIRADS</w:t>
      </w:r>
      <w:r w:rsidR="00400215">
        <w:t xml:space="preserve">, </w:t>
      </w:r>
      <w:r w:rsidRPr="0055619E">
        <w:t>women with more dense breasts are classified as 3</w:t>
      </w:r>
      <w:r w:rsidR="008C3284">
        <w:t>/c</w:t>
      </w:r>
      <w:r w:rsidRPr="0055619E">
        <w:t xml:space="preserve"> or 4</w:t>
      </w:r>
      <w:r w:rsidR="008C3284">
        <w:t>/d</w:t>
      </w:r>
      <w:r w:rsidRPr="0055619E">
        <w:t>; women with more fatt</w:t>
      </w:r>
      <w:r w:rsidR="003B6BE5">
        <w:t>y</w:t>
      </w:r>
      <w:r w:rsidRPr="0055619E">
        <w:t>/less dense breasts are classified as 1</w:t>
      </w:r>
      <w:r w:rsidR="008C3284">
        <w:t>/</w:t>
      </w:r>
      <w:proofErr w:type="gramStart"/>
      <w:r w:rsidR="008C3284">
        <w:t>a</w:t>
      </w:r>
      <w:r w:rsidRPr="0055619E">
        <w:t xml:space="preserve"> or</w:t>
      </w:r>
      <w:proofErr w:type="gramEnd"/>
      <w:r w:rsidRPr="0055619E">
        <w:t xml:space="preserve"> 2</w:t>
      </w:r>
      <w:r w:rsidR="008C3284">
        <w:t>/b</w:t>
      </w:r>
      <w:r w:rsidR="0033168E">
        <w:t xml:space="preserve">. Other classification </w:t>
      </w:r>
      <w:r w:rsidR="00A6450F">
        <w:t>systems are also used</w:t>
      </w:r>
      <w:r w:rsidR="0033168E">
        <w:t xml:space="preserve">. This </w:t>
      </w:r>
      <w:r w:rsidR="00A6450F">
        <w:t xml:space="preserve">complicates the reporting of results as there is no consensus </w:t>
      </w:r>
      <w:r w:rsidR="00BE144B">
        <w:t xml:space="preserve">on </w:t>
      </w:r>
      <w:r w:rsidR="00A6450F">
        <w:t xml:space="preserve">or widely preferred system </w:t>
      </w:r>
      <w:r w:rsidR="00BE144B">
        <w:t xml:space="preserve">used </w:t>
      </w:r>
      <w:r w:rsidR="00A6450F">
        <w:t>to classify mammographic density.</w:t>
      </w:r>
    </w:p>
    <w:p w14:paraId="159FF115" w14:textId="77777777" w:rsidR="0055619E" w:rsidRPr="00BE2E91" w:rsidRDefault="0055619E" w:rsidP="0055619E">
      <w:pPr>
        <w:pStyle w:val="Heading2-NOTinTOC"/>
      </w:pPr>
      <w:bookmarkStart w:id="11" w:name="_Toc507089555"/>
      <w:r w:rsidRPr="00BE2E91">
        <w:t>Methodology</w:t>
      </w:r>
      <w:bookmarkEnd w:id="11"/>
    </w:p>
    <w:p w14:paraId="33F080EE" w14:textId="1FB689FC" w:rsidR="0055619E" w:rsidRDefault="0055619E">
      <w:pPr>
        <w:pStyle w:val="BodyText"/>
      </w:pPr>
      <w:r w:rsidRPr="00BE2E91">
        <w:rPr>
          <w:i/>
        </w:rPr>
        <w:t>Allen + Clarke</w:t>
      </w:r>
      <w:r w:rsidRPr="00BE2E91">
        <w:t xml:space="preserve"> completed a systematic search of the Ovid Medline, CINAHL, Embase, ProQuest and Scopus databases as well as searches of health technology assessment</w:t>
      </w:r>
      <w:r>
        <w:t>, NICE, Cochrane</w:t>
      </w:r>
      <w:r w:rsidRPr="00BE2E91">
        <w:t xml:space="preserve"> and clinical trial databases</w:t>
      </w:r>
      <w:r>
        <w:t xml:space="preserve"> and other key websites relating to breast cancer screening</w:t>
      </w:r>
      <w:r w:rsidRPr="00BE2E91">
        <w:t xml:space="preserve">. We used combinations of subject/index terms as appropriate to the search functionality of each database (eg, exploded term ‘mammography’ or exploded ‘breast neoplasm’ in combination with key words, or key words alone). Articles were </w:t>
      </w:r>
      <w:r w:rsidRPr="00135DBA">
        <w:t>included</w:t>
      </w:r>
      <w:r w:rsidRPr="00BE2E91">
        <w:t xml:space="preserve"> if they</w:t>
      </w:r>
      <w:r w:rsidR="00ED56EF">
        <w:t xml:space="preserve"> were epidemiological in nature and</w:t>
      </w:r>
      <w:r w:rsidRPr="00BE2E91">
        <w:t xml:space="preserve"> met the </w:t>
      </w:r>
      <w:proofErr w:type="gramStart"/>
      <w:r w:rsidRPr="00BE2E91">
        <w:t>PICO(</w:t>
      </w:r>
      <w:proofErr w:type="gramEnd"/>
      <w:r w:rsidRPr="00BE2E91">
        <w:t xml:space="preserve">T) criteria. </w:t>
      </w:r>
    </w:p>
    <w:p w14:paraId="2E88A006" w14:textId="77777777" w:rsidR="002E250F" w:rsidRDefault="0055619E" w:rsidP="00A6450F">
      <w:pPr>
        <w:pStyle w:val="BodyText"/>
      </w:pPr>
      <w:bookmarkStart w:id="12" w:name="_Toc507089556"/>
      <w:r>
        <w:t>For three research questions (related to classification</w:t>
      </w:r>
      <w:r w:rsidR="00BE144B">
        <w:t>, risk and masking</w:t>
      </w:r>
      <w:r>
        <w:t xml:space="preserve">), our </w:t>
      </w:r>
      <w:r w:rsidRPr="00A6450F">
        <w:t>inclusion</w:t>
      </w:r>
      <w:r>
        <w:t xml:space="preserve"> criteria </w:t>
      </w:r>
      <w:r w:rsidR="00BE144B">
        <w:t>w</w:t>
      </w:r>
      <w:r w:rsidR="00236210">
        <w:t>ere originally</w:t>
      </w:r>
      <w:r w:rsidR="00BE144B">
        <w:t xml:space="preserve"> limited </w:t>
      </w:r>
      <w:r w:rsidR="00236210">
        <w:t xml:space="preserve">to </w:t>
      </w:r>
      <w:r>
        <w:t>systematic rev</w:t>
      </w:r>
      <w:r w:rsidR="0048531B">
        <w:t>iews</w:t>
      </w:r>
      <w:r w:rsidR="00522EBC">
        <w:t xml:space="preserve"> and RCTs</w:t>
      </w:r>
      <w:r w:rsidR="00BE144B">
        <w:t xml:space="preserve"> as previously agreed with the Technical </w:t>
      </w:r>
      <w:r w:rsidR="00BE144B">
        <w:lastRenderedPageBreak/>
        <w:t>Reference Group</w:t>
      </w:r>
      <w:r>
        <w:t xml:space="preserve">. Due to the limited number of systematic reviews or meta-analyses available, </w:t>
      </w:r>
      <w:r w:rsidR="00BE144B">
        <w:t xml:space="preserve">we </w:t>
      </w:r>
      <w:r w:rsidR="008C3284">
        <w:t xml:space="preserve">also </w:t>
      </w:r>
      <w:r>
        <w:t xml:space="preserve">included </w:t>
      </w:r>
      <w:r w:rsidR="00BE144B">
        <w:t xml:space="preserve">some </w:t>
      </w:r>
      <w:r>
        <w:t xml:space="preserve">narrative and non-systematic reviews </w:t>
      </w:r>
      <w:r w:rsidR="00BE144B">
        <w:t xml:space="preserve">(although these </w:t>
      </w:r>
      <w:r>
        <w:rPr>
          <w:color w:val="000000"/>
          <w:shd w:val="clear" w:color="auto" w:fill="FFFFFF"/>
        </w:rPr>
        <w:t xml:space="preserve">lack some essential components </w:t>
      </w:r>
      <w:r w:rsidR="00BE144B">
        <w:rPr>
          <w:color w:val="000000"/>
          <w:shd w:val="clear" w:color="auto" w:fill="FFFFFF"/>
        </w:rPr>
        <w:t xml:space="preserve">like </w:t>
      </w:r>
      <w:r>
        <w:rPr>
          <w:color w:val="000000"/>
          <w:shd w:val="clear" w:color="auto" w:fill="FFFFFF"/>
        </w:rPr>
        <w:t>clear eligibility criteria, search strategies, study selection processes, outcomes, and assessment of bias in individual studies</w:t>
      </w:r>
      <w:r w:rsidR="00BE144B">
        <w:rPr>
          <w:color w:val="000000"/>
          <w:shd w:val="clear" w:color="auto" w:fill="FFFFFF"/>
        </w:rPr>
        <w:t>)</w:t>
      </w:r>
      <w:r>
        <w:t xml:space="preserve">. </w:t>
      </w:r>
      <w:r w:rsidR="00236210">
        <w:t xml:space="preserve">This initial search identified 42 articles that met the inclusion criteria. </w:t>
      </w:r>
    </w:p>
    <w:p w14:paraId="6AD0B791" w14:textId="334776CA" w:rsidR="002E250F" w:rsidRDefault="00236210" w:rsidP="00A6450F">
      <w:pPr>
        <w:pStyle w:val="BodyText"/>
      </w:pPr>
      <w:r>
        <w:t>It was decided that for specific research questions, including those relating to the measurement of breast density, risk, and masking, the search criteria would be extended to ensure that emerging evidence was included in the literature review. For information related to these questions, the literature search was repeated</w:t>
      </w:r>
      <w:r w:rsidR="002E250F">
        <w:t xml:space="preserve"> using the same parameters and methodology outlined above, but inclusion criteria were expanded to include prospective cohort and case-control studies. An additional 26 articles were identified that met the extended inclusion criteria.</w:t>
      </w:r>
      <w:r w:rsidR="00357306">
        <w:t xml:space="preserve"> An additional narrative review was also identified from responses to the consumer survey on breast density.</w:t>
      </w:r>
    </w:p>
    <w:p w14:paraId="2C8EFD2F" w14:textId="1917E560" w:rsidR="0055619E" w:rsidRDefault="002E250F" w:rsidP="00A6450F">
      <w:pPr>
        <w:pStyle w:val="BodyText"/>
      </w:pPr>
      <w:r>
        <w:t>While w</w:t>
      </w:r>
      <w:r w:rsidR="0055619E">
        <w:t>e understand that while inclusion of narrative literature reviews</w:t>
      </w:r>
      <w:r>
        <w:t xml:space="preserve"> and prospective studies</w:t>
      </w:r>
      <w:r w:rsidR="0055619E">
        <w:t xml:space="preserve"> may introduce reporting bias</w:t>
      </w:r>
      <w:r>
        <w:t xml:space="preserve"> and evidence that is less robust than RCTs or systematic reviews</w:t>
      </w:r>
      <w:r w:rsidR="0055619E">
        <w:t>,</w:t>
      </w:r>
      <w:r>
        <w:t xml:space="preserve"> their</w:t>
      </w:r>
      <w:r w:rsidR="0055619E">
        <w:t xml:space="preserve"> inclusion is </w:t>
      </w:r>
      <w:r w:rsidR="0055619E" w:rsidRPr="00A6450F">
        <w:t>warranted</w:t>
      </w:r>
      <w:r w:rsidR="0055619E">
        <w:t xml:space="preserve"> as this provides a bigger picture view and a wider look at the current evidence available related to breast density.</w:t>
      </w:r>
      <w:r w:rsidR="00BE144B">
        <w:t xml:space="preserve"> </w:t>
      </w:r>
    </w:p>
    <w:p w14:paraId="19EF5638" w14:textId="328F27C1" w:rsidR="00A6450F" w:rsidRDefault="00A6450F" w:rsidP="00A6450F">
      <w:pPr>
        <w:pStyle w:val="BodyText"/>
      </w:pPr>
      <w:r>
        <w:t xml:space="preserve">A total of </w:t>
      </w:r>
      <w:r w:rsidR="00236210">
        <w:t>6</w:t>
      </w:r>
      <w:r w:rsidR="0027402E">
        <w:t>9</w:t>
      </w:r>
      <w:r>
        <w:t xml:space="preserve"> studies </w:t>
      </w:r>
      <w:r w:rsidR="002E250F">
        <w:t>were identified that met final inclusion criteria</w:t>
      </w:r>
      <w:r>
        <w:t>.</w:t>
      </w:r>
    </w:p>
    <w:p w14:paraId="0493BBEF" w14:textId="526A90DD" w:rsidR="0055619E" w:rsidRDefault="0055619E" w:rsidP="00A6450F">
      <w:pPr>
        <w:pStyle w:val="BodyText"/>
      </w:pPr>
      <w:r>
        <w:t xml:space="preserve">The Department of Health has commissioned two other literature reviews: one investigating digital breast </w:t>
      </w:r>
      <w:r w:rsidRPr="00A6450F">
        <w:t>tomosynthesis’</w:t>
      </w:r>
      <w:r>
        <w:t xml:space="preserve"> (DBT) role in breast cancer screening for all women (including those with more dense breasts) and the other underpinning a horizon scan of incremental improvements to imaging modalities or new imaging techniques, which included a focus on </w:t>
      </w:r>
      <w:r w:rsidR="00F77CCD">
        <w:t xml:space="preserve">screening outcomes </w:t>
      </w:r>
      <w:r>
        <w:t xml:space="preserve">for women with more dense breasts. Additional information about the role of DBT, ultrasound, magnetic resonance imaging (MRI) and molecular breast imaging (MBI) in the early detection of cancer in asymptomatic women with more dense breasts and the role in primary screening is </w:t>
      </w:r>
      <w:r w:rsidR="008C3284">
        <w:t xml:space="preserve">also available in these </w:t>
      </w:r>
      <w:r>
        <w:t>literature review</w:t>
      </w:r>
      <w:r w:rsidR="008C3284">
        <w:t>s</w:t>
      </w:r>
      <w:r>
        <w:t>.</w:t>
      </w:r>
    </w:p>
    <w:p w14:paraId="329D7AB8" w14:textId="120970A6" w:rsidR="00D32A29" w:rsidRDefault="00D32A29" w:rsidP="00A6450F">
      <w:pPr>
        <w:pStyle w:val="BodyText"/>
      </w:pPr>
      <w:r>
        <w:t xml:space="preserve">This is not a systematic review but an assessment of the quality of each </w:t>
      </w:r>
      <w:r w:rsidR="00EA67E4">
        <w:t xml:space="preserve">systematic </w:t>
      </w:r>
      <w:r w:rsidR="00EB3C19">
        <w:t>review,</w:t>
      </w:r>
      <w:r w:rsidR="00EA67E4">
        <w:t xml:space="preserve"> narrative review </w:t>
      </w:r>
      <w:r w:rsidR="00EB3C19">
        <w:t xml:space="preserve">and RCT </w:t>
      </w:r>
      <w:r w:rsidR="00EA67E4">
        <w:t>included in the report</w:t>
      </w:r>
      <w:r>
        <w:t xml:space="preserve"> was completed</w:t>
      </w:r>
      <w:r w:rsidR="008C3284">
        <w:t>.</w:t>
      </w:r>
      <w:r w:rsidR="008C3284" w:rsidRPr="008C3284">
        <w:t xml:space="preserve"> </w:t>
      </w:r>
      <w:r w:rsidR="008C3284">
        <w:t>An overall summary table provides an indication of the strength of findings.</w:t>
      </w:r>
    </w:p>
    <w:p w14:paraId="5E79B5D7" w14:textId="77777777" w:rsidR="0055619E" w:rsidRPr="00BE2E91" w:rsidRDefault="0055619E" w:rsidP="0055619E">
      <w:pPr>
        <w:pStyle w:val="Heading2-NOTinTOC"/>
      </w:pPr>
      <w:r w:rsidRPr="00BE2E91">
        <w:t>Results</w:t>
      </w:r>
      <w:bookmarkEnd w:id="12"/>
    </w:p>
    <w:p w14:paraId="404EA82E" w14:textId="77777777" w:rsidR="0055619E" w:rsidRPr="00746470" w:rsidRDefault="0055619E" w:rsidP="0055619E">
      <w:pPr>
        <w:pStyle w:val="Heading3-NOTinTOC"/>
      </w:pPr>
      <w:bookmarkStart w:id="13" w:name="_Hlk520805729"/>
      <w:r w:rsidRPr="00746470">
        <w:t>Classifying</w:t>
      </w:r>
      <w:r w:rsidR="00111DC4">
        <w:t xml:space="preserve"> and validating</w:t>
      </w:r>
      <w:r w:rsidRPr="00746470">
        <w:t xml:space="preserve"> breast density</w:t>
      </w:r>
    </w:p>
    <w:p w14:paraId="1255B0C6" w14:textId="77777777" w:rsidR="00E954EC" w:rsidRDefault="00E954EC" w:rsidP="00E954EC">
      <w:pPr>
        <w:pStyle w:val="BodyText"/>
      </w:pPr>
      <w:r>
        <w:t>Breast tissue comprises skin, blood vessels, ductal and stromal elements of the glands (which appear radio-opaque or white on mammography) and fat (which appears radiolucent or black on mammography). Mammographic breast density is defined as the relative amount of radio-opaque (white) elements to radiolucent (black) fat on the image. Increase in the proportion of radio-opaque elements leads to greater mammographic breast density.</w:t>
      </w:r>
    </w:p>
    <w:p w14:paraId="7C6B625C" w14:textId="0ECD668B" w:rsidR="00E954EC" w:rsidRDefault="00E954EC" w:rsidP="00E954EC">
      <w:pPr>
        <w:pStyle w:val="BodyText"/>
      </w:pPr>
      <w:r>
        <w:t xml:space="preserve">High mammographic density is relatively common. One of the most common methods currently used to report breast density is the American College of Radiologists’ </w:t>
      </w:r>
      <w:r w:rsidR="00275D65">
        <w:t>BIRADS</w:t>
      </w:r>
      <w:r>
        <w:t xml:space="preserve"> system. </w:t>
      </w:r>
      <w:r w:rsidR="00275D65">
        <w:t>BIRADS</w:t>
      </w:r>
      <w:r>
        <w:t xml:space="preserve"> estimates indicate that approximately 10% of women have almost entirely fatty breasts (</w:t>
      </w:r>
      <w:r w:rsidR="00275D65">
        <w:t>BIRADS</w:t>
      </w:r>
      <w:r>
        <w:t xml:space="preserve"> 1), 40% of women have scattered ﬁbroglandular densities (</w:t>
      </w:r>
      <w:r w:rsidR="00275D65">
        <w:t>BIRADS</w:t>
      </w:r>
      <w:r>
        <w:t xml:space="preserve"> 2), another 40% have heterogeneously dense breasts (</w:t>
      </w:r>
      <w:r w:rsidR="00275D65">
        <w:t>BIRADS</w:t>
      </w:r>
      <w:r>
        <w:t xml:space="preserve"> 3), and 10% have extremely dense breasts (</w:t>
      </w:r>
      <w:r w:rsidR="00275D65">
        <w:t>BIRADS</w:t>
      </w:r>
      <w:r>
        <w:t xml:space="preserve"> 4). Dense breasts are deﬁned as either heterogeneously dense (</w:t>
      </w:r>
      <w:r w:rsidR="00275D65">
        <w:t>BIRADS</w:t>
      </w:r>
      <w:r>
        <w:t xml:space="preserve"> 3) or extremely dense (</w:t>
      </w:r>
      <w:r w:rsidR="00275D65">
        <w:t>BIRADS</w:t>
      </w:r>
      <w:r>
        <w:t xml:space="preserve"> 4). Thus, approximately 50% of the population undergoing mammography could be categorised as having dense breasts. In addition, the same women can be classified as having dense or fatty breasts depending on how the results are read or interpreted. This can then affect clinical </w:t>
      </w:r>
      <w:r>
        <w:lastRenderedPageBreak/>
        <w:t xml:space="preserve">decision making around the information women receive on whether they should undergo supplementary screening. </w:t>
      </w:r>
    </w:p>
    <w:p w14:paraId="3EA959BC" w14:textId="519519BE" w:rsidR="00E954EC" w:rsidRDefault="00E954EC" w:rsidP="00E954EC">
      <w:pPr>
        <w:pStyle w:val="BodyText"/>
      </w:pPr>
      <w:r>
        <w:t xml:space="preserve">There are six common systems used to classify breast density: </w:t>
      </w:r>
      <w:r w:rsidR="00275D65">
        <w:t>BIRADS</w:t>
      </w:r>
      <w:r>
        <w:t>, Wolfe, Tabár, semi-automated visual estimation (</w:t>
      </w:r>
      <w:r w:rsidR="00CC24AA">
        <w:t>eg,</w:t>
      </w:r>
      <w:r>
        <w:t xml:space="preserve"> Cumulus), automated area-based methods, and volumetric estimation (</w:t>
      </w:r>
      <w:r w:rsidR="00CC24AA">
        <w:t>eg,</w:t>
      </w:r>
      <w:r>
        <w:t xml:space="preserve"> Volpara). The BSA position statement on breast density states that there is no consensus on the best measure of breast density. The evidence reported in this literature review still finds no consensus about which method is the most accurate. All classification systems have been shown to have high sensitivity in detecting density. All systems have been shown to have inter- and intra- report variability, particularly when categorising less dense breasts. This is because even though each system is underpinned by semi-objective measures, assessment still requires a reader’s subjective assessment. Newer technologies such as fully-automated assessment methods (</w:t>
      </w:r>
      <w:r w:rsidR="00CC24AA">
        <w:t>eg,</w:t>
      </w:r>
      <w:r>
        <w:t xml:space="preserve"> Volpara) reduce this variability and have been found to have a strong association with breast cancer risk, but further work to develop consistent algorithms is still required.</w:t>
      </w:r>
    </w:p>
    <w:p w14:paraId="01E453F2" w14:textId="77777777" w:rsidR="00E954EC" w:rsidRDefault="00E954EC" w:rsidP="00ED56EF">
      <w:pPr>
        <w:pStyle w:val="BodyText"/>
      </w:pPr>
      <w:r>
        <w:t>Evaluating the impact of breast density on cancer risk and clinical outcome for screen-detected cancers requires thorough studies with consistent mammographic procedures, standardised methods of density measurement and breast density classification, as well as a standardised definition of high breast density; however, there is currently no consensus on any of these factors. This results in variations in estimates of the association between breast density and breast cancer risk, depending on the screening procedures and assessment methods used. These findings are consistent with the 2016 BSA position statement on the measurement and classification of breast density. The uncertainty described in the BSA program’s 2016 position statement remains.</w:t>
      </w:r>
    </w:p>
    <w:p w14:paraId="77ABF533" w14:textId="77777777" w:rsidR="0055619E" w:rsidRPr="00746470" w:rsidRDefault="000F0BE4" w:rsidP="0055619E">
      <w:pPr>
        <w:pStyle w:val="Heading3-NOTinTOC"/>
      </w:pPr>
      <w:r>
        <w:t>Breast density and cancer risk</w:t>
      </w:r>
    </w:p>
    <w:p w14:paraId="07F025F0" w14:textId="7428E502" w:rsidR="00E954EC" w:rsidRDefault="00E954EC" w:rsidP="00E954EC">
      <w:pPr>
        <w:pStyle w:val="BodyText"/>
      </w:pPr>
      <w:r>
        <w:t xml:space="preserve">Breast density is an established risk factor for breast cancer </w:t>
      </w:r>
      <w:r w:rsidR="00132FEC">
        <w:t xml:space="preserve">through cumulative exposure over the lifetime, </w:t>
      </w:r>
      <w:r>
        <w:t xml:space="preserve">but the extent to which breast density affects risk for breast cancer is not absolutely established. Many (but not all) studies compare women with a percent density of more than 75% compared to women with a percent density of &lt;5%, with the former group having four to six times higher risk for breast cancer. These studies inflate the breast cancer risk because this risk does not represent that posed to the average women (as these categories are at the extreme ends of the population continuum). When risk is compared between women with heterogeneously or extremely dense breast tissue and women with average breast density, the relative risk decreases to approximately 1.2 to 2.1. </w:t>
      </w:r>
    </w:p>
    <w:p w14:paraId="22EC1A18" w14:textId="77777777" w:rsidR="00E954EC" w:rsidRDefault="00E954EC" w:rsidP="00E954EC">
      <w:pPr>
        <w:pStyle w:val="BodyText"/>
      </w:pPr>
      <w:r>
        <w:t>Despite the lack in standardisation of breast density thresholds, there is still an association between breast density and breast cancer regardless of how breast density is defined. When mammographic phenotypes are examined, percent density area (calculated by dividing the dense area by the total breast area) is generally found to have a stronger association to breast cancer than absolute dense area (i.e., the amount of fibroglandular tissue per mm</w:t>
      </w:r>
      <w:r>
        <w:rPr>
          <w:vertAlign w:val="superscript"/>
        </w:rPr>
        <w:t>2</w:t>
      </w:r>
      <w:r>
        <w:t xml:space="preserve"> or cm</w:t>
      </w:r>
      <w:r>
        <w:rPr>
          <w:vertAlign w:val="superscript"/>
        </w:rPr>
        <w:t>2</w:t>
      </w:r>
      <w:r>
        <w:t>). That said, one large cohort study found that combining information on both absolute dense area and percent density significantly improved risk prediction compared to using the information independently.</w:t>
      </w:r>
    </w:p>
    <w:p w14:paraId="56B1BD25" w14:textId="3DFD50C1" w:rsidR="00E954EC" w:rsidRDefault="00E954EC" w:rsidP="00E954EC">
      <w:pPr>
        <w:pStyle w:val="BodyText"/>
      </w:pPr>
      <w:r>
        <w:t>The relative risk conferred by breast density in part depends on a woman's other risk factors for breast cancer. Many studies investigating breast density and breast cancer risk (and screening) comprise women with an elevated risk of breast cancer, independent of their breast density (</w:t>
      </w:r>
      <w:r w:rsidR="00CC24AA">
        <w:t>eg,</w:t>
      </w:r>
      <w:r>
        <w:t xml:space="preserve"> familial risk). Therefore, it is difficult to conclude what the risk and screening options for women with dense breasts and other </w:t>
      </w:r>
      <w:r w:rsidR="00D85465">
        <w:t xml:space="preserve">moderate or strong </w:t>
      </w:r>
      <w:r>
        <w:t>risk factors would be and much of the research is silent on this issue. That said, most studies that control for these potential confounding factors find that they do not have a significant impact on the association between breast density and breast cancer risk. This suggests that breast density is an independent predictor of breast cancer risk.</w:t>
      </w:r>
    </w:p>
    <w:p w14:paraId="7BB217A5" w14:textId="000E212A" w:rsidR="00E954EC" w:rsidRDefault="00E954EC" w:rsidP="00E954EC">
      <w:pPr>
        <w:pStyle w:val="BodyText"/>
      </w:pPr>
      <w:r>
        <w:lastRenderedPageBreak/>
        <w:t>Kerlikowske et al. (2015) reported that breast density should not be the sole criterion for deciding whether supplemental imaging is justified because not all women with dense breasts have high interval cancer rates. Age and breast cancer risk influence cancer incidence and tumour stage at diagnosis</w:t>
      </w:r>
      <w:r w:rsidR="00174900">
        <w:t xml:space="preserve"> (and therefore screening performance)</w:t>
      </w:r>
      <w:r>
        <w:t xml:space="preserve">. These factors should be considered along with breast density to optimise identification of women with high interval cancer rates or high rates of false-positive results who may benefit from supplemental </w:t>
      </w:r>
      <w:r w:rsidR="007C3AE7">
        <w:t xml:space="preserve">testing </w:t>
      </w:r>
      <w:r>
        <w:t>or alternative screening tests.</w:t>
      </w:r>
    </w:p>
    <w:p w14:paraId="7A4201A9" w14:textId="222BB4C9" w:rsidR="00E954EC" w:rsidRDefault="00E954EC" w:rsidP="00E954EC">
      <w:pPr>
        <w:pStyle w:val="BodyText"/>
      </w:pPr>
      <w:r>
        <w:t>There is some evidence that breast density differs due to genetic variation and ethnicity, and that breast density is associated with different biological factors such as receptor subtypes. Increased breast density was found to be a risk factor for most breast cancer subtypes; however, the particular association for each subtype needs to be further explored, as current evidence is mixed regarding the association between breast density and specific subtypes of breast cancer. Similarly, high breast density was found to be associated with gene variation in a number of genes. It is likely that breast density will be affected by several genes that are largely unknown at the present time.</w:t>
      </w:r>
    </w:p>
    <w:p w14:paraId="51469FD0" w14:textId="77777777" w:rsidR="00E954EC" w:rsidRDefault="00E954EC" w:rsidP="00E954EC">
      <w:pPr>
        <w:pStyle w:val="BodyText"/>
      </w:pPr>
      <w:r>
        <w:t>A number of studies were identified that reported women of Asian ethnicity have a lower risk of breast cancer related to breast density than that reported for European women. The reason for these findings are unknown. Further research is needed in women of different ethnicities.</w:t>
      </w:r>
    </w:p>
    <w:p w14:paraId="1D6DCC4D" w14:textId="107A571B" w:rsidR="00E954EC" w:rsidRDefault="00E954EC" w:rsidP="00E954EC">
      <w:r>
        <w:t xml:space="preserve">There were limited studies focusing on the relationship between age and </w:t>
      </w:r>
      <w:r w:rsidR="00EB0EC7">
        <w:t xml:space="preserve">breast </w:t>
      </w:r>
      <w:r>
        <w:t xml:space="preserve">density. Findings from those studies suggest that the association between breast density </w:t>
      </w:r>
      <w:r w:rsidR="00EB0EC7">
        <w:t xml:space="preserve">(and screening performance) </w:t>
      </w:r>
      <w:r>
        <w:t>and breast cancer risk may be stronger for younger women. Even taking this into consideration, the risk of breast cancer remains low and the harms of screening (listed below in this review) are likely to outweigh the small benefits of screening for this population.</w:t>
      </w:r>
    </w:p>
    <w:p w14:paraId="326396FC" w14:textId="77777777" w:rsidR="0055619E" w:rsidRPr="00746470" w:rsidRDefault="0055619E" w:rsidP="0055619E">
      <w:pPr>
        <w:pStyle w:val="Heading3-NOTinTOC"/>
      </w:pPr>
      <w:r w:rsidRPr="00746470">
        <w:t>Masking</w:t>
      </w:r>
    </w:p>
    <w:p w14:paraId="3D6A2402" w14:textId="77777777" w:rsidR="00E954EC" w:rsidRDefault="00E954EC" w:rsidP="00E954EC">
      <w:pPr>
        <w:pStyle w:val="BodyText"/>
      </w:pPr>
      <w:r>
        <w:t>The proportion of women aged over 40 years who have dense breasts is estimated to be between 30-60%. This is inversely proportional with age: a higher proportion of women in their 40s have more dense breasts compared to those in their 70s.</w:t>
      </w:r>
    </w:p>
    <w:p w14:paraId="2BF43FF6" w14:textId="3816CFD6" w:rsidR="00E954EC" w:rsidRDefault="00E954EC" w:rsidP="00E954EC">
      <w:pPr>
        <w:pStyle w:val="BodyText"/>
      </w:pPr>
      <w:r>
        <w:t xml:space="preserve">It is well accepted that mammography is the primary screening tool for breast cancer and has been shown in multiple RCTs to reduce the death rate from breast cancer. However, even in the best circumstances, mammography may miss up to 20 percent of breast cancers. The sensitivity of mammography reduces further with increasing breast density, resulting in the potential for masking of cancer and non-detection; current evidence suggests that the sensitivity of mammography reduces from around 85-90% for women with average </w:t>
      </w:r>
      <w:r w:rsidR="000B56A8">
        <w:t xml:space="preserve">breast </w:t>
      </w:r>
      <w:r>
        <w:t>density to around 60-65% for women with dense breasts.</w:t>
      </w:r>
    </w:p>
    <w:p w14:paraId="54469509" w14:textId="16406701" w:rsidR="00E954EC" w:rsidRDefault="00E954EC" w:rsidP="00E954EC">
      <w:pPr>
        <w:pStyle w:val="BodyText"/>
      </w:pPr>
      <w:r>
        <w:t xml:space="preserve">The increased risk of interval cancer attributed to masking cannot easily be separated from the potentially rapid growth of tumours in dense tissue, although there is preliminary evidence that higher density is related to increased risk of interval cancers after controlling for fast-growing tumours. One study found lower rates of mortality reduction from screening for women with dense breasts compared to those with fatty breasts, although this difference was not </w:t>
      </w:r>
      <w:r w:rsidR="000B56A8">
        <w:t xml:space="preserve">statistically </w:t>
      </w:r>
      <w:r>
        <w:t>significant.</w:t>
      </w:r>
    </w:p>
    <w:p w14:paraId="32D05DDA" w14:textId="0B25939C" w:rsidR="00E954EC" w:rsidRDefault="00E954EC" w:rsidP="00E954EC">
      <w:r>
        <w:t xml:space="preserve"> The number of studies specifically assessing the masking effect of breast density (</w:t>
      </w:r>
      <w:r w:rsidR="00CC24AA">
        <w:t>eg,</w:t>
      </w:r>
      <w:r>
        <w:t xml:space="preserve"> reduced sensitivity and higher interval cancer rates) is relatively small, and further evidence is needed to gain a clear understanding of this relationship. That said, the growing recognition of the likely negative impact of breast density on the performance of mammography screening has resulted in an increasing focus on the potential of supplemental </w:t>
      </w:r>
      <w:r w:rsidR="0027402E">
        <w:t xml:space="preserve">testing </w:t>
      </w:r>
      <w:r>
        <w:t>as a method that could reduce the masking effect of breast density.</w:t>
      </w:r>
    </w:p>
    <w:p w14:paraId="770E3D81" w14:textId="3240C5EB" w:rsidR="0055619E" w:rsidRDefault="000F0BE4" w:rsidP="0055619E">
      <w:pPr>
        <w:pStyle w:val="Heading3-NOTinTOC"/>
      </w:pPr>
      <w:r>
        <w:lastRenderedPageBreak/>
        <w:t>The role of s</w:t>
      </w:r>
      <w:r w:rsidR="0055619E">
        <w:t xml:space="preserve">upplemental </w:t>
      </w:r>
      <w:r w:rsidR="0027402E">
        <w:t>testing</w:t>
      </w:r>
    </w:p>
    <w:p w14:paraId="2252F549" w14:textId="323C23C5" w:rsidR="00E954EC" w:rsidRDefault="00E954EC" w:rsidP="00E954EC">
      <w:pPr>
        <w:pStyle w:val="BodyText"/>
      </w:pPr>
      <w:r>
        <w:t xml:space="preserve">Approximately one-half of women undergoing screening mammography have dense breasts. As discussed in previous sections, there is evidence to suggest that increased breast density is associated with higher breast cancer risk and a decrease in mammography performance. This suggests that supplemental </w:t>
      </w:r>
      <w:r w:rsidR="0027402E">
        <w:t xml:space="preserve">imaging </w:t>
      </w:r>
      <w:r>
        <w:t xml:space="preserve">could be beneficial for women with dense breasts; however, there is no direct, robust evidence that supplemental </w:t>
      </w:r>
      <w:r w:rsidR="0027402E">
        <w:t xml:space="preserve">imaging </w:t>
      </w:r>
      <w:r>
        <w:t xml:space="preserve">reduces mortality from breast cancer. </w:t>
      </w:r>
    </w:p>
    <w:p w14:paraId="6398AD3C" w14:textId="2736A958" w:rsidR="00E954EC" w:rsidRDefault="00E954EC" w:rsidP="00E954EC">
      <w:pPr>
        <w:pStyle w:val="BodyText"/>
      </w:pPr>
      <w:r>
        <w:t xml:space="preserve">Furthermore, there are a number of potential harms associated with supplemental </w:t>
      </w:r>
      <w:r w:rsidR="0027402E">
        <w:t xml:space="preserve">imaging </w:t>
      </w:r>
      <w:r>
        <w:t xml:space="preserve">following a negative mammography, including increased false-positive screening results, recall rates and </w:t>
      </w:r>
      <w:r w:rsidR="000B56A8">
        <w:t xml:space="preserve">unnecessary </w:t>
      </w:r>
      <w:r>
        <w:t xml:space="preserve">breast biopsies, and potential increases in screening-related anxiety. These potential harms become more pertinent when one considers the variability of breast density classification. The classification of breast density for individual women has been found to vary between readers, and across time due to several factors, including age and weight changes. It is therefore possible to receive incorrect or outdated information about breast density, which could unduly influence clinical or personal decision-making regarding screening. </w:t>
      </w:r>
    </w:p>
    <w:p w14:paraId="733ACE14" w14:textId="009C950A" w:rsidR="00E954EC" w:rsidRDefault="00E954EC" w:rsidP="00E954EC">
      <w:pPr>
        <w:pStyle w:val="BodyText"/>
      </w:pPr>
      <w:r>
        <w:t xml:space="preserve">Evidence and expert consensus remains unclear as to the risk-benefit balance of supplemental </w:t>
      </w:r>
      <w:r w:rsidR="0027402E">
        <w:t>imaging</w:t>
      </w:r>
      <w:r>
        <w:t xml:space="preserve"> </w:t>
      </w:r>
      <w:r w:rsidR="000B56A8">
        <w:t xml:space="preserve">using </w:t>
      </w:r>
      <w:r>
        <w:t xml:space="preserve">DBT, ultrasound, MRI, and MBI for women whose </w:t>
      </w:r>
      <w:r>
        <w:rPr>
          <w:u w:val="single"/>
        </w:rPr>
        <w:t>only</w:t>
      </w:r>
      <w:r>
        <w:t xml:space="preserve"> risk factor is mammographic density and who have an average lifetime risk of developing breast cancer. Each of these adjunct modalities has advantages and disadvantages related to factors such as accuracy, cost, radiation dose, acceptability, and availability. Not surprisingly, there is therefore no one measure that is best at overcoming the masking issues seen with mammography for women with more dense breasts. For this reason, there are also no guidelines or consensus established in Australia or other jurisdictions as to which screening modality women should undergo if they have the denser breasts (as the only risk factor). </w:t>
      </w:r>
    </w:p>
    <w:p w14:paraId="3200DC10" w14:textId="77777777" w:rsidR="00E954EC" w:rsidRDefault="00E954EC" w:rsidP="00E954EC">
      <w:pPr>
        <w:pStyle w:val="BodyText"/>
      </w:pPr>
      <w:r>
        <w:t>The Connecticut Experiment suggested that supplementary screening with ultrasound benefits all women through improved CDR (even those with fatty breasts). There are still gaps regarding whether women with more dense breasts benefit more from different screening strategies compared to women with less dense breasts, or if their screening-related clinical outcomes differ.</w:t>
      </w:r>
    </w:p>
    <w:p w14:paraId="660722F5" w14:textId="7F478916" w:rsidR="00E954EC" w:rsidRDefault="00E954EC" w:rsidP="0027402E">
      <w:pPr>
        <w:pStyle w:val="BodyText"/>
      </w:pPr>
      <w:r>
        <w:t xml:space="preserve">Some cancers are mammographically occult and can be detected only by other (non-mammography based) breast imaging. Whether performing supplemental </w:t>
      </w:r>
      <w:r w:rsidR="0027402E">
        <w:t xml:space="preserve">imaging </w:t>
      </w:r>
      <w:r>
        <w:t>to identify mammographically occult cancers provides more benefit in terms of reduced cancer mortality than harm is not established.</w:t>
      </w:r>
    </w:p>
    <w:p w14:paraId="56BA1984" w14:textId="3D6C6061" w:rsidR="0055619E" w:rsidRDefault="00BD0238" w:rsidP="0055619E">
      <w:pPr>
        <w:pStyle w:val="Heading3-NOTinTOC"/>
      </w:pPr>
      <w:r>
        <w:t xml:space="preserve">Physical </w:t>
      </w:r>
      <w:r w:rsidR="00B43976">
        <w:t xml:space="preserve">health </w:t>
      </w:r>
      <w:r w:rsidR="0055619E">
        <w:t>outcomes</w:t>
      </w:r>
      <w:r w:rsidR="000F0BE4">
        <w:t xml:space="preserve"> associated with breast density reporting</w:t>
      </w:r>
    </w:p>
    <w:p w14:paraId="3C71CF12" w14:textId="100E7AB7" w:rsidR="00C31008" w:rsidRDefault="00A51F15" w:rsidP="00A51F15">
      <w:pPr>
        <w:pStyle w:val="BodyText"/>
      </w:pPr>
      <w:r>
        <w:t xml:space="preserve">A total of 31 </w:t>
      </w:r>
      <w:r w:rsidR="00C31008">
        <w:t>states in the United States and Western Australia</w:t>
      </w:r>
      <w:r w:rsidR="00C31008" w:rsidRPr="007D184A">
        <w:t xml:space="preserve"> have ad</w:t>
      </w:r>
      <w:r w:rsidR="00C31008">
        <w:t xml:space="preserve">opted legislation and/or recommendations </w:t>
      </w:r>
      <w:r w:rsidR="00C31008" w:rsidRPr="007D184A">
        <w:t xml:space="preserve">that </w:t>
      </w:r>
      <w:r w:rsidR="00AB7545">
        <w:t>women</w:t>
      </w:r>
      <w:r w:rsidR="00C31008" w:rsidRPr="007D184A">
        <w:t xml:space="preserve"> be informed of their breast density, that dense breast tissue may be a risk factor for breast cancer, and that dense </w:t>
      </w:r>
      <w:r w:rsidR="00BB07E7">
        <w:t xml:space="preserve">breast </w:t>
      </w:r>
      <w:r w:rsidR="00C31008" w:rsidRPr="007D184A">
        <w:t xml:space="preserve">tissue may interfere with </w:t>
      </w:r>
      <w:r w:rsidR="00B43976">
        <w:t xml:space="preserve">early </w:t>
      </w:r>
      <w:r w:rsidR="00C31008" w:rsidRPr="007D184A">
        <w:t>cancer detection</w:t>
      </w:r>
      <w:r w:rsidR="00B43976">
        <w:t xml:space="preserve"> by </w:t>
      </w:r>
      <w:r w:rsidR="000B56A8">
        <w:t xml:space="preserve">mammography </w:t>
      </w:r>
      <w:r w:rsidR="00B43976">
        <w:t>screening</w:t>
      </w:r>
      <w:r w:rsidR="00C31008" w:rsidRPr="007D184A">
        <w:t>.</w:t>
      </w:r>
    </w:p>
    <w:p w14:paraId="7521B183" w14:textId="785638FA" w:rsidR="00C31008" w:rsidRDefault="00C31008" w:rsidP="00A51F15">
      <w:pPr>
        <w:pStyle w:val="BodyText"/>
      </w:pPr>
      <w:r w:rsidRPr="007D184A">
        <w:t xml:space="preserve">When women are informed about mammographically identified increased breast density, it is </w:t>
      </w:r>
      <w:r w:rsidR="00295E19">
        <w:t xml:space="preserve">recommended that clinicians </w:t>
      </w:r>
      <w:r w:rsidRPr="007D184A">
        <w:t xml:space="preserve">discuss the </w:t>
      </w:r>
      <w:r w:rsidR="00295E19">
        <w:t>risks and benefits</w:t>
      </w:r>
      <w:r w:rsidRPr="007D184A">
        <w:t xml:space="preserve"> of supplemental </w:t>
      </w:r>
      <w:r w:rsidR="0027402E">
        <w:t>imaging</w:t>
      </w:r>
      <w:r w:rsidR="00295E19">
        <w:t xml:space="preserve"> with </w:t>
      </w:r>
      <w:r w:rsidR="00AB7545">
        <w:t>women</w:t>
      </w:r>
      <w:r w:rsidRPr="007D184A">
        <w:t xml:space="preserve"> pri</w:t>
      </w:r>
      <w:r w:rsidR="00295E19">
        <w:t>or to initiating such screening</w:t>
      </w:r>
      <w:r w:rsidR="00B43976">
        <w:t>. Topics for discussion include</w:t>
      </w:r>
      <w:r w:rsidR="00A51F15">
        <w:t>:</w:t>
      </w:r>
      <w:r w:rsidRPr="007D184A">
        <w:t xml:space="preserve"> the risk of a false-negative mammogram, the risk of a false-positive ultrasound finding leading to unnecessary breast biopsy, and the risk of overdiagnosis</w:t>
      </w:r>
      <w:r w:rsidR="00DC4CFB">
        <w:t xml:space="preserve"> (or, perhaps more accurately, over-treatment)</w:t>
      </w:r>
      <w:r w:rsidRPr="007D184A">
        <w:t xml:space="preserve"> if breast cancer is detected.</w:t>
      </w:r>
      <w:r w:rsidR="00295E19">
        <w:t xml:space="preserve"> Few studies have investigat</w:t>
      </w:r>
      <w:r w:rsidR="00B43976">
        <w:t>ed</w:t>
      </w:r>
      <w:r w:rsidR="00295E19">
        <w:t xml:space="preserve"> if, when and how information is delivered and the related outcomes for the women.</w:t>
      </w:r>
    </w:p>
    <w:p w14:paraId="27C67B78" w14:textId="672ACE8C" w:rsidR="00A51F15" w:rsidRDefault="00A51F15" w:rsidP="00A51F15">
      <w:pPr>
        <w:pStyle w:val="BodyText"/>
      </w:pPr>
      <w:r>
        <w:t xml:space="preserve">Our literature review found </w:t>
      </w:r>
      <w:r w:rsidR="00BD0238">
        <w:t xml:space="preserve">insufficient evidence to draw </w:t>
      </w:r>
      <w:r w:rsidR="00BD0238" w:rsidRPr="00A51F15">
        <w:t>conclusions</w:t>
      </w:r>
      <w:r w:rsidR="00BD0238">
        <w:t xml:space="preserve"> on the impact of </w:t>
      </w:r>
      <w:r w:rsidR="005A10FA">
        <w:t>breast density notification on</w:t>
      </w:r>
      <w:r w:rsidR="00BD0238">
        <w:t xml:space="preserve"> physical health outcomes. No studies reported on outcomes such as </w:t>
      </w:r>
      <w:r w:rsidR="00BD0238">
        <w:lastRenderedPageBreak/>
        <w:t>mortality or interval cancer rates in asymptomatic women with dense breasts</w:t>
      </w:r>
      <w:r w:rsidR="001050DA">
        <w:t xml:space="preserve"> who have been notified of their density</w:t>
      </w:r>
      <w:r w:rsidR="00BD0238">
        <w:t xml:space="preserve">. </w:t>
      </w:r>
      <w:r w:rsidR="001050DA">
        <w:t>Other e</w:t>
      </w:r>
      <w:r w:rsidR="00DC4CFB">
        <w:t>arly research report</w:t>
      </w:r>
      <w:r w:rsidR="001050DA">
        <w:t>ed</w:t>
      </w:r>
      <w:r w:rsidR="00DC4CFB">
        <w:t xml:space="preserve"> that </w:t>
      </w:r>
      <w:r w:rsidR="00BD0238">
        <w:t xml:space="preserve">breast density notification </w:t>
      </w:r>
      <w:r w:rsidR="001050DA">
        <w:t xml:space="preserve">may </w:t>
      </w:r>
      <w:r w:rsidR="00BD0238">
        <w:t xml:space="preserve">drive an increase in </w:t>
      </w:r>
      <w:r w:rsidR="00DC4CFB">
        <w:t xml:space="preserve">demand for </w:t>
      </w:r>
      <w:r w:rsidR="00BD0238">
        <w:t xml:space="preserve">supplemental </w:t>
      </w:r>
      <w:r w:rsidR="007C3AE7">
        <w:t xml:space="preserve">testing </w:t>
      </w:r>
      <w:r w:rsidR="00BD0238">
        <w:t xml:space="preserve">and as a result, it </w:t>
      </w:r>
      <w:r w:rsidR="001050DA">
        <w:t xml:space="preserve">may be </w:t>
      </w:r>
      <w:r w:rsidR="00BD0238">
        <w:t>associated with an increased detection of breast cancer. However, it is unclear if thi</w:t>
      </w:r>
      <w:r w:rsidR="00DB62DA">
        <w:t xml:space="preserve">s association indicates earlier or </w:t>
      </w:r>
      <w:r w:rsidR="00BD0238">
        <w:t xml:space="preserve">improved detection of cancers or an over-diagnosis </w:t>
      </w:r>
      <w:r w:rsidR="00DC4CFB">
        <w:t xml:space="preserve">(over-treatment) </w:t>
      </w:r>
      <w:r w:rsidR="00BD0238">
        <w:t>of cancers.</w:t>
      </w:r>
      <w:r>
        <w:t xml:space="preserve"> </w:t>
      </w:r>
    </w:p>
    <w:p w14:paraId="351AE756" w14:textId="129112EB" w:rsidR="00BD0238" w:rsidRDefault="00BD0238" w:rsidP="00BD0238">
      <w:pPr>
        <w:pStyle w:val="Heading3-NOTinTOC"/>
      </w:pPr>
      <w:r>
        <w:t>Mental</w:t>
      </w:r>
      <w:r w:rsidR="0016178E">
        <w:t xml:space="preserve"> health</w:t>
      </w:r>
      <w:r>
        <w:t xml:space="preserve"> outcomes associated with </w:t>
      </w:r>
      <w:r w:rsidR="006310F0">
        <w:t xml:space="preserve">receiving advice on </w:t>
      </w:r>
      <w:r>
        <w:t xml:space="preserve">breast density </w:t>
      </w:r>
    </w:p>
    <w:p w14:paraId="23F3B4B4" w14:textId="002F8FD2" w:rsidR="00A4027B" w:rsidRDefault="00A4027B" w:rsidP="00A4027B">
      <w:pPr>
        <w:pStyle w:val="BodyText"/>
      </w:pPr>
      <w:r w:rsidRPr="00146ACA">
        <w:t xml:space="preserve">While </w:t>
      </w:r>
      <w:r>
        <w:t xml:space="preserve">there is some association between </w:t>
      </w:r>
      <w:r w:rsidR="00A21048">
        <w:t xml:space="preserve">notifying women about their </w:t>
      </w:r>
      <w:r>
        <w:t>breast density and negative mental health outcomes (</w:t>
      </w:r>
      <w:r w:rsidR="00CC24AA">
        <w:t>eg,</w:t>
      </w:r>
      <w:r>
        <w:t xml:space="preserve"> </w:t>
      </w:r>
      <w:r w:rsidR="006310F0">
        <w:t>knowing that she has extremely dense breasts may increase a woman’s</w:t>
      </w:r>
      <w:r>
        <w:t xml:space="preserve"> anxiety about developing breast cancer) in women, the identified</w:t>
      </w:r>
      <w:r w:rsidRPr="00146ACA">
        <w:t xml:space="preserve"> studies </w:t>
      </w:r>
      <w:r>
        <w:t xml:space="preserve">do not </w:t>
      </w:r>
      <w:r w:rsidRPr="00146ACA">
        <w:t xml:space="preserve">indicate a </w:t>
      </w:r>
      <w:r>
        <w:t xml:space="preserve">consistent and </w:t>
      </w:r>
      <w:r w:rsidRPr="00146ACA">
        <w:t>significant relationship</w:t>
      </w:r>
      <w:r>
        <w:t>. However, this c</w:t>
      </w:r>
      <w:r w:rsidRPr="00146ACA">
        <w:t xml:space="preserve">ould also signal </w:t>
      </w:r>
      <w:r>
        <w:t>that women generally have a</w:t>
      </w:r>
      <w:r w:rsidRPr="00146ACA">
        <w:t xml:space="preserve"> poor understanding of the summary letter or a lack of knowledge of the relationship between breast density and cancer risk. </w:t>
      </w:r>
      <w:r>
        <w:t>There is also a limited body of evidence in this area, including a lack of studies that assess mental health outcomes</w:t>
      </w:r>
      <w:r w:rsidR="00A21048">
        <w:t xml:space="preserve"> </w:t>
      </w:r>
      <w:r w:rsidR="006310F0">
        <w:t xml:space="preserve">associated with </w:t>
      </w:r>
      <w:r w:rsidR="00A21048">
        <w:t>notification</w:t>
      </w:r>
      <w:r>
        <w:t xml:space="preserve"> in women with more dense breasts only, and cohort studies following women before and after the implementation of legislation (with a long-term follow up) to understand how the notifications impact on screening behaviour. </w:t>
      </w:r>
    </w:p>
    <w:p w14:paraId="57681E0D" w14:textId="77777777" w:rsidR="00A4027B" w:rsidRPr="00CE738F" w:rsidRDefault="00A4027B" w:rsidP="00A4027B">
      <w:pPr>
        <w:pStyle w:val="BodyText"/>
      </w:pPr>
      <w:r w:rsidRPr="00CE738F">
        <w:t xml:space="preserve">Two </w:t>
      </w:r>
      <w:r>
        <w:t>American</w:t>
      </w:r>
      <w:r w:rsidRPr="00CE738F">
        <w:t xml:space="preserve"> studies reported on ethnic differences in emotional responses to breast density notification. Both studies found African American women to have more breast density-related anxiety compared to European women, however socioeconomic status and knowledge partially accounted for the effect of ethnicity on psychological response. </w:t>
      </w:r>
    </w:p>
    <w:p w14:paraId="24EC9A99" w14:textId="5055CF8F" w:rsidR="00A4027B" w:rsidRDefault="00A4027B" w:rsidP="00A4027B">
      <w:pPr>
        <w:pStyle w:val="BodyText"/>
      </w:pPr>
      <w:r w:rsidRPr="00CE738F">
        <w:t>A small number of studies examined the association between breast density awareness or knowledge (as a result of breast density notification) and women’s responses to breast cancer screening. The studies indicate that breast density notification may increase women’s engagement in screening</w:t>
      </w:r>
      <w:r>
        <w:t xml:space="preserve"> but further research to determine this relationship is needed</w:t>
      </w:r>
      <w:r w:rsidRPr="00CE738F">
        <w:t>.</w:t>
      </w:r>
    </w:p>
    <w:p w14:paraId="07447322" w14:textId="1B862228" w:rsidR="0016178E" w:rsidRPr="00CD5911" w:rsidRDefault="0016178E" w:rsidP="00AF155B">
      <w:pPr>
        <w:pStyle w:val="Heading3-NOTinTOC"/>
      </w:pPr>
      <w:bookmarkStart w:id="14" w:name="_Toc518922182"/>
      <w:r>
        <w:t>Notification and reporting</w:t>
      </w:r>
      <w:bookmarkEnd w:id="14"/>
    </w:p>
    <w:p w14:paraId="7C795450" w14:textId="7042BB08" w:rsidR="00BD0238" w:rsidRPr="001D235E" w:rsidRDefault="00BD0238" w:rsidP="00A51F15">
      <w:pPr>
        <w:pStyle w:val="BodyText"/>
      </w:pPr>
      <w:r w:rsidRPr="001D235E">
        <w:t xml:space="preserve">No studies identified what information women </w:t>
      </w:r>
      <w:r w:rsidR="008C2D9A">
        <w:t>need in (or additional to)</w:t>
      </w:r>
      <w:r w:rsidRPr="001D235E">
        <w:t xml:space="preserve"> a breast density notification letter. Legislation has been implemented at an individual state level in the U</w:t>
      </w:r>
      <w:r w:rsidR="00BB07E7">
        <w:t>nited States</w:t>
      </w:r>
      <w:r w:rsidRPr="001D235E">
        <w:t xml:space="preserve"> (as opposed to federal legislation)</w:t>
      </w:r>
      <w:r w:rsidR="008C2D9A">
        <w:t>, which</w:t>
      </w:r>
      <w:r w:rsidRPr="001D235E">
        <w:t xml:space="preserve"> has resulted in variations in the language of the notifications</w:t>
      </w:r>
      <w:r w:rsidR="008C2D9A">
        <w:t xml:space="preserve"> and </w:t>
      </w:r>
      <w:r w:rsidRPr="001D235E">
        <w:t>can impact on the quality of care delivered</w:t>
      </w:r>
      <w:r w:rsidR="005F5FFB">
        <w:t xml:space="preserve"> </w:t>
      </w:r>
      <w:r w:rsidR="000B56A8">
        <w:t xml:space="preserve">(for example, inconsistent referral for supplemental </w:t>
      </w:r>
      <w:r w:rsidR="007C3AE7">
        <w:t>testing</w:t>
      </w:r>
      <w:r w:rsidR="00174900">
        <w:t>)</w:t>
      </w:r>
      <w:r w:rsidR="000B56A8">
        <w:t xml:space="preserve"> </w:t>
      </w:r>
      <w:r w:rsidR="005F5FFB">
        <w:t>and women’s understanding</w:t>
      </w:r>
      <w:r w:rsidRPr="001D235E">
        <w:t xml:space="preserve">. </w:t>
      </w:r>
    </w:p>
    <w:p w14:paraId="55A48383" w14:textId="14F9D3D0" w:rsidR="0055619E" w:rsidRPr="00BD0238" w:rsidRDefault="00A51F15" w:rsidP="003700F6">
      <w:pPr>
        <w:pStyle w:val="BodyText"/>
      </w:pPr>
      <w:r>
        <w:t>S</w:t>
      </w:r>
      <w:r w:rsidR="00BD0238" w:rsidRPr="00BD0238">
        <w:t xml:space="preserve">tudies highlight that where breast density notification occurs, it is critical for </w:t>
      </w:r>
      <w:r w:rsidR="00AB7545">
        <w:t>women</w:t>
      </w:r>
      <w:r w:rsidR="00BD0238" w:rsidRPr="00BD0238">
        <w:t xml:space="preserve"> and providers to be informed of the meaning of the information in the notification, and how it should influence their approach to breast screening. This relies on providers being confident in communicating </w:t>
      </w:r>
      <w:r w:rsidR="008C2D9A">
        <w:t xml:space="preserve">the complexity around </w:t>
      </w:r>
      <w:r w:rsidR="00BD0238" w:rsidRPr="00BD0238">
        <w:t>breast density</w:t>
      </w:r>
      <w:r w:rsidR="008C2D9A">
        <w:t xml:space="preserve">, risk and screening </w:t>
      </w:r>
      <w:r w:rsidR="003700F6" w:rsidRPr="00BD0238">
        <w:t>and</w:t>
      </w:r>
      <w:r w:rsidR="00BD0238" w:rsidRPr="00BD0238">
        <w:t xml:space="preserve"> emphasises the need for physician education and evidence-based guidelines for the management of women with </w:t>
      </w:r>
      <w:r w:rsidR="008C2D9A">
        <w:t xml:space="preserve">more </w:t>
      </w:r>
      <w:r w:rsidR="00BD0238" w:rsidRPr="00BD0238">
        <w:t xml:space="preserve">dense breasts. </w:t>
      </w:r>
    </w:p>
    <w:bookmarkEnd w:id="13"/>
    <w:p w14:paraId="23561B92" w14:textId="77777777" w:rsidR="00441B6B" w:rsidRDefault="00441B6B" w:rsidP="00441B6B">
      <w:pPr>
        <w:pStyle w:val="Heading2-NOTinTOC"/>
      </w:pPr>
      <w:r>
        <w:t>The developing evidence base</w:t>
      </w:r>
    </w:p>
    <w:p w14:paraId="396C87DB" w14:textId="676EB217" w:rsidR="00E868FC" w:rsidRDefault="00182CB7" w:rsidP="00E868FC">
      <w:pPr>
        <w:pStyle w:val="BodyText"/>
      </w:pPr>
      <w:r w:rsidRPr="007D184A">
        <w:t>Breast density is a mammographic finding. Multiple factors contribute to breast density in</w:t>
      </w:r>
      <w:r w:rsidR="00E868FC">
        <w:t xml:space="preserve"> women, including age, genetics</w:t>
      </w:r>
      <w:r w:rsidR="00A51F15">
        <w:t>,</w:t>
      </w:r>
      <w:r w:rsidR="00E868FC">
        <w:t xml:space="preserve"> and BMI</w:t>
      </w:r>
      <w:r w:rsidRPr="007D184A">
        <w:t>. Dense breasts are found in approximately 50 percent o</w:t>
      </w:r>
      <w:r w:rsidR="00E868FC">
        <w:t>f women undergoing mammography</w:t>
      </w:r>
      <w:r w:rsidR="00E61D70">
        <w:t xml:space="preserve"> (depending on the classification system used)</w:t>
      </w:r>
      <w:r w:rsidR="00E868FC">
        <w:t xml:space="preserve">. </w:t>
      </w:r>
      <w:r w:rsidRPr="007D184A">
        <w:t xml:space="preserve">For most purposes, the term "dense breasts" refers to either heterogeneously dense or extremely dense breasts (categories </w:t>
      </w:r>
      <w:r w:rsidR="005F5FFB">
        <w:t>3/</w:t>
      </w:r>
      <w:r w:rsidRPr="007D184A">
        <w:t xml:space="preserve">c or </w:t>
      </w:r>
      <w:r w:rsidR="005F5FFB">
        <w:t>4/</w:t>
      </w:r>
      <w:r w:rsidRPr="007D184A">
        <w:t xml:space="preserve">d of </w:t>
      </w:r>
      <w:r w:rsidR="00275D65">
        <w:t>BIRADS</w:t>
      </w:r>
      <w:r w:rsidR="00122E42">
        <w:t>)</w:t>
      </w:r>
      <w:r w:rsidRPr="007D184A">
        <w:t>. There is variability in classification of breast density</w:t>
      </w:r>
      <w:r w:rsidR="00E61D70">
        <w:t xml:space="preserve"> </w:t>
      </w:r>
      <w:r w:rsidRPr="007D184A">
        <w:t>with 13 to 19</w:t>
      </w:r>
      <w:r w:rsidR="00A51F15">
        <w:t>%</w:t>
      </w:r>
      <w:r w:rsidR="005A10FA">
        <w:t xml:space="preserve"> of women re</w:t>
      </w:r>
      <w:r w:rsidR="005F5FFB">
        <w:t>-</w:t>
      </w:r>
      <w:r w:rsidR="005A10FA">
        <w:t>categoris</w:t>
      </w:r>
      <w:r w:rsidRPr="007D184A">
        <w:t>ed between "dense" and "non</w:t>
      </w:r>
      <w:r w:rsidR="003700F6">
        <w:t>-</w:t>
      </w:r>
      <w:r w:rsidRPr="007D184A">
        <w:t>dense" breasts on sequential screenings</w:t>
      </w:r>
      <w:r w:rsidR="005F5FFB">
        <w:t xml:space="preserve"> in some </w:t>
      </w:r>
      <w:r w:rsidR="005F5FFB">
        <w:lastRenderedPageBreak/>
        <w:t>American settings</w:t>
      </w:r>
      <w:r w:rsidRPr="007D184A">
        <w:t xml:space="preserve">. </w:t>
      </w:r>
      <w:r w:rsidR="00E61D70">
        <w:t>Computer-aided m</w:t>
      </w:r>
      <w:r w:rsidRPr="007D184A">
        <w:t>ethodolog</w:t>
      </w:r>
      <w:r w:rsidR="00E61D70">
        <w:t xml:space="preserve">ies (which may </w:t>
      </w:r>
      <w:r w:rsidRPr="007D184A">
        <w:t xml:space="preserve">allow more </w:t>
      </w:r>
      <w:r w:rsidR="00E61D70">
        <w:t xml:space="preserve">consistent and </w:t>
      </w:r>
      <w:r w:rsidRPr="007D184A">
        <w:t>objective breast density assessment</w:t>
      </w:r>
      <w:r w:rsidR="00E61D70">
        <w:t>)</w:t>
      </w:r>
      <w:r w:rsidRPr="007D184A">
        <w:t xml:space="preserve"> </w:t>
      </w:r>
      <w:r w:rsidR="00E61D70">
        <w:t xml:space="preserve">are currently </w:t>
      </w:r>
      <w:r w:rsidRPr="007D184A">
        <w:t xml:space="preserve">not widely </w:t>
      </w:r>
      <w:r w:rsidR="00E61D70">
        <w:t>used to determine density classification</w:t>
      </w:r>
      <w:r w:rsidR="00E868FC">
        <w:t>. Studies are needed to provide consensus on</w:t>
      </w:r>
      <w:r w:rsidR="00E868FC" w:rsidRPr="00120545">
        <w:t xml:space="preserve"> mammographic procedures, methods of density measurement, breast density classi</w:t>
      </w:r>
      <w:r w:rsidR="00E868FC">
        <w:t>fication as well as a standardis</w:t>
      </w:r>
      <w:r w:rsidR="00E868FC" w:rsidRPr="00120545">
        <w:t>ed definition of high breast density</w:t>
      </w:r>
      <w:r w:rsidR="005F5FFB">
        <w:t>. U</w:t>
      </w:r>
      <w:r w:rsidR="00E868FC">
        <w:t xml:space="preserve">ntil this occurs, it will be hard to gain conclusive evidence on </w:t>
      </w:r>
      <w:r w:rsidR="00E61D70">
        <w:t xml:space="preserve">the preferred </w:t>
      </w:r>
      <w:r w:rsidR="00E868FC">
        <w:t xml:space="preserve">screening and </w:t>
      </w:r>
      <w:r w:rsidR="00174900">
        <w:t>clinical pathways</w:t>
      </w:r>
      <w:r w:rsidR="00E868FC">
        <w:t xml:space="preserve"> for women with </w:t>
      </w:r>
      <w:r w:rsidR="00E61D70">
        <w:t xml:space="preserve">more </w:t>
      </w:r>
      <w:r w:rsidR="00E868FC">
        <w:t>dense breasts. These findings are consistent with the 2016 BSA position statement on breast density.</w:t>
      </w:r>
    </w:p>
    <w:p w14:paraId="3049C07D" w14:textId="11854BAA" w:rsidR="00182CB7" w:rsidRPr="007D184A" w:rsidRDefault="00182CB7" w:rsidP="00A51F15">
      <w:pPr>
        <w:pStyle w:val="BodyText"/>
      </w:pPr>
      <w:r w:rsidRPr="007D184A">
        <w:t>The presence of dense breast tissue on mammography both decreases the sensitivity of mammography and increases the risk of breast cancer, as most cancers develop in the glandular parenchyma. However, increased breast density has not been associated with increased</w:t>
      </w:r>
      <w:r w:rsidR="00DB62DA">
        <w:t xml:space="preserve"> mortality from breast cancer</w:t>
      </w:r>
      <w:r w:rsidR="00D23723">
        <w:t xml:space="preserve">. </w:t>
      </w:r>
      <w:r w:rsidRPr="007D184A">
        <w:t xml:space="preserve">To date, there have been no </w:t>
      </w:r>
      <w:r w:rsidR="005F5FFB">
        <w:t xml:space="preserve">RCTs </w:t>
      </w:r>
      <w:r w:rsidRPr="007D184A">
        <w:t xml:space="preserve">comparing screening with a combination </w:t>
      </w:r>
      <w:r w:rsidR="005F5FFB">
        <w:t xml:space="preserve">of </w:t>
      </w:r>
      <w:r w:rsidRPr="007D184A">
        <w:t>ultrasound and mammography and screening with mammography alone in average-risk women. The addition of ultr</w:t>
      </w:r>
      <w:r w:rsidR="00DB62DA">
        <w:t>asonography, DBT, MRI</w:t>
      </w:r>
      <w:r w:rsidR="00E61D70">
        <w:t>,</w:t>
      </w:r>
      <w:r w:rsidR="00DB62DA">
        <w:t xml:space="preserve"> and MBI </w:t>
      </w:r>
      <w:r w:rsidRPr="007D184A">
        <w:t xml:space="preserve">to mammography increases sensitivity for small cancers, but </w:t>
      </w:r>
      <w:r w:rsidR="00174900">
        <w:t xml:space="preserve">often </w:t>
      </w:r>
      <w:r w:rsidRPr="007D184A">
        <w:t xml:space="preserve">greatly decreases specificity. In studies of supplemental </w:t>
      </w:r>
      <w:bookmarkStart w:id="15" w:name="_Hlk528758534"/>
      <w:r w:rsidR="0027402E">
        <w:t xml:space="preserve">testing </w:t>
      </w:r>
      <w:bookmarkEnd w:id="15"/>
      <w:r w:rsidRPr="007D184A">
        <w:t xml:space="preserve">with ultrasound, greater than 90 percent of positive test results were false-positive. Supplemental </w:t>
      </w:r>
      <w:r w:rsidR="0027402E">
        <w:t xml:space="preserve">testing </w:t>
      </w:r>
      <w:r w:rsidRPr="007D184A">
        <w:t>with MRI is also limited by high false-positives and additionally by higher cost, lack of wide av</w:t>
      </w:r>
      <w:r w:rsidR="00DB62DA">
        <w:t>ailability, and increased radiation.</w:t>
      </w:r>
    </w:p>
    <w:p w14:paraId="24E6FC65" w14:textId="01ECAEAA" w:rsidR="00A51F15" w:rsidRDefault="00C31008" w:rsidP="00A51F15">
      <w:pPr>
        <w:pStyle w:val="BodyText"/>
        <w:rPr>
          <w:highlight w:val="yellow"/>
        </w:rPr>
      </w:pPr>
      <w:r w:rsidRPr="007D184A">
        <w:t xml:space="preserve">There are no major guidelines for breast cancer screening that </w:t>
      </w:r>
      <w:proofErr w:type="gramStart"/>
      <w:r w:rsidRPr="007D184A">
        <w:t>advise</w:t>
      </w:r>
      <w:proofErr w:type="gramEnd"/>
      <w:r w:rsidRPr="007D184A">
        <w:t xml:space="preserve"> breast density as the sole factor in determining the need for </w:t>
      </w:r>
      <w:r w:rsidR="00DB62DA">
        <w:t>supplemental</w:t>
      </w:r>
      <w:r w:rsidRPr="007D184A">
        <w:t xml:space="preserve"> </w:t>
      </w:r>
      <w:r w:rsidR="0027402E">
        <w:t>testing.</w:t>
      </w:r>
      <w:r w:rsidRPr="007D184A">
        <w:t xml:space="preserve"> There is accumulating medical evidence and expert consensus guidelines to support risk stratification as a means to determine strategies for supplemental breast cancer </w:t>
      </w:r>
      <w:r w:rsidR="0027402E" w:rsidRPr="0027402E">
        <w:t>testing</w:t>
      </w:r>
      <w:r w:rsidRPr="007D184A">
        <w:t>.</w:t>
      </w:r>
      <w:r w:rsidR="005F5FFB">
        <w:t xml:space="preserve"> Breast density may be one of several risk factors considered.</w:t>
      </w:r>
      <w:r w:rsidR="00DB62DA" w:rsidRPr="00DB62DA">
        <w:t xml:space="preserve"> </w:t>
      </w:r>
      <w:r w:rsidR="00A51F15">
        <w:t>To be able to</w:t>
      </w:r>
      <w:r w:rsidR="00A51F15" w:rsidRPr="00A92E6C">
        <w:t xml:space="preserve"> define meaningful clinical outcomes</w:t>
      </w:r>
      <w:r w:rsidR="000B56A8">
        <w:t xml:space="preserve"> for</w:t>
      </w:r>
      <w:r w:rsidR="00A51F15" w:rsidRPr="00A92E6C">
        <w:t xml:space="preserve"> women with dense breasts, well-designed, long-term prospective, comparative studies of </w:t>
      </w:r>
      <w:r w:rsidR="00A51F15" w:rsidRPr="0044553E">
        <w:t>supplementa</w:t>
      </w:r>
      <w:r w:rsidR="00A51F15">
        <w:t>l</w:t>
      </w:r>
      <w:r w:rsidR="00A51F15" w:rsidRPr="00A92E6C">
        <w:t xml:space="preserve"> </w:t>
      </w:r>
      <w:r w:rsidR="0027402E">
        <w:t xml:space="preserve">tests </w:t>
      </w:r>
      <w:r w:rsidR="00A51F15" w:rsidRPr="00A92E6C">
        <w:t>are</w:t>
      </w:r>
      <w:r w:rsidR="00A51F15">
        <w:t xml:space="preserve"> needed</w:t>
      </w:r>
      <w:r w:rsidR="005F5FFB">
        <w:t xml:space="preserve">. Active </w:t>
      </w:r>
      <w:r w:rsidR="00A51F15">
        <w:t xml:space="preserve">trials </w:t>
      </w:r>
      <w:r w:rsidR="005F5FFB">
        <w:t xml:space="preserve">are </w:t>
      </w:r>
      <w:r w:rsidR="00A51F15">
        <w:t>current</w:t>
      </w:r>
      <w:r w:rsidR="005F5FFB">
        <w:t>ly</w:t>
      </w:r>
      <w:r w:rsidR="00A51F15">
        <w:t xml:space="preserve"> underway (eg, the DENSE trial</w:t>
      </w:r>
      <w:r w:rsidR="005F5FFB">
        <w:t>),</w:t>
      </w:r>
      <w:r w:rsidR="00A51F15">
        <w:t xml:space="preserve"> which will help answer these questions.</w:t>
      </w:r>
    </w:p>
    <w:p w14:paraId="1D62CE15" w14:textId="1B2DEB69" w:rsidR="001D0CC1" w:rsidRDefault="00DB62DA" w:rsidP="003D6020">
      <w:pPr>
        <w:pStyle w:val="BodyText"/>
        <w:rPr>
          <w:rFonts w:asciiTheme="majorHAnsi" w:hAnsiTheme="majorHAnsi"/>
          <w:b/>
          <w:color w:val="36424A" w:themeColor="text2"/>
          <w:sz w:val="28"/>
        </w:rPr>
      </w:pPr>
      <w:r>
        <w:t>Notification of breast density has been implemented in many regions however there is no standard method or information provided to women across jurisdictions. Further research is needed to determine the best methods for the delivery of the information and the benefits and/or harms associated with notification of breast density to women, clinicians and the health system</w:t>
      </w:r>
      <w:r w:rsidR="00B30F96">
        <w:t xml:space="preserve">. </w:t>
      </w:r>
      <w:r w:rsidR="001D0CC1">
        <w:br w:type="page"/>
      </w:r>
    </w:p>
    <w:p w14:paraId="3C15D621" w14:textId="1B4ABDDF" w:rsidR="0055619E" w:rsidRDefault="0055619E" w:rsidP="0055619E">
      <w:pPr>
        <w:pStyle w:val="Heading2"/>
      </w:pPr>
      <w:bookmarkStart w:id="16" w:name="_Toc518922183"/>
      <w:r>
        <w:lastRenderedPageBreak/>
        <w:t>Assessment of evidence table summary</w:t>
      </w:r>
      <w:bookmarkEnd w:id="16"/>
    </w:p>
    <w:p w14:paraId="2CC4827C" w14:textId="77777777" w:rsidR="0055619E" w:rsidRPr="0055619E" w:rsidRDefault="0055619E" w:rsidP="0055619E">
      <w:pPr>
        <w:pStyle w:val="Caption"/>
      </w:pPr>
      <w:r w:rsidRPr="0055619E">
        <w:t>Table</w:t>
      </w:r>
      <w:r w:rsidR="008B0102">
        <w:t xml:space="preserve"> 1</w:t>
      </w:r>
      <w:r w:rsidR="00507B49">
        <w:t xml:space="preserve">: </w:t>
      </w:r>
      <w:r w:rsidR="003C4CA2">
        <w:t>Assessment of evidence for breast density</w:t>
      </w:r>
    </w:p>
    <w:tbl>
      <w:tblPr>
        <w:tblStyle w:val="ACGreen-BasicTable"/>
        <w:tblW w:w="0" w:type="auto"/>
        <w:tblCellMar>
          <w:top w:w="0" w:type="dxa"/>
          <w:bottom w:w="0" w:type="dxa"/>
        </w:tblCellMar>
        <w:tblLook w:val="04A0" w:firstRow="1" w:lastRow="0" w:firstColumn="1" w:lastColumn="0" w:noHBand="0" w:noVBand="1"/>
        <w:tblDescription w:val="Assessment of Evidence for breast density&#10;&#10;Outcomes : Measuring breast density &#10;Number of studies: 12 studies &#10;Quality of evidence: ⊕⊕ Low&#10;Overall results : Data from 1 systematic review, 5 narrative reviews and 8 prospective studies found there is strong evidence as to how much the measurement of density has changed since its inception. There is evidence that there is inter- and intra- reader variability when using visual density assessment methods. There is evidence (largely based on prospective studies) suggesting that automated computer-based density measurements can provide consistent, reproducible, and objective results. There is no strong evidence as to the best way to classify breast density.&#10;&#10;Outcomes: The association between breast density and risk of breast cancer &#10;Number of studies: 22 studies&#10;Quality of evidence: ⊕⊕⊕ Moderate&#10;Overall results: Data from 4 systematic reviews, 3 narrative literature reviews and 15 prospective studies found that there is a very strong evidence that breast density is a risk factor for breast cancer. There is strong evidence that breast density changes with age; however, there is weak evidence as to how this is associated with cancer risk. There is moderate evidence that breast density differs due to genetic variation and ethnicity. There is some evidence that density is associated with different biological factors such as receptor subtypes.&#10;&#10;Outcomes: Breast density and masking&#10;Number of studies: 9 studies&#10;Quality of evidence: ⊕ Very low&#10;Overall results : No systematic reviews were found. Findings from 3 narrative literature reviews and 6 prospective studies propose an association between breast density, breast cancer and masking. There is some evidence that the sensitivity of mammography is reduced, and rate of interval cancers increased, for women with dense breasts. That said, most studies are of limited quality and the direct role of breast density in masking and interval cancer rates is unclear. There is no evidence for a method that best measures masking. There is also no strong evidence on how the relationship between breast density and masking affects the mortality reduction in a screening program.&#10;&#10;Outcomes: The role of supplementary screening &#10;Number of studies: 13 studies&#10;Quality of evidence: ⊕⊕ Low&#10;Overall results : 7 systematic reviews (100 articles) and 6 narrative literature reviews found there is strong evidence that supplemental testing detects more cancers than FFDM alone but that this increases false positives and recall rates for women. Most of the literature in this area focuses on ultrasound and there is strong evidence for its use as a supplemental test, providing significantly improved rates of cancer detection that mammography alone (systematic review and prospective studies); however, there is no evidence that supplemental testing reduces mortality. There is some evidence that the use of MRI, DBT and MBI as supplementary screening methods provides better cancer detection rates however, more rigorous studies are needed. There is no strong evidence that any test other than bilateral, full-field digital mammography significantly reduces mortality from breast cancer, including for women with dense breasts. &#10;&#10;Outcomes : Physical and mental health outcomes&#10;Number of studies: 11 studies&#10;Quality of evidence: ⊕ Very low&#10;Overall results: Overall, the literature in this area is scarce and is mainly focused in the United States. The literature that is available is mainly in the form of observational studies and is of low quality. It is currently unclear how breast density notifications affect physical and mental health outcomes, and whether they change screening behaviour.&#10;"/>
      </w:tblPr>
      <w:tblGrid>
        <w:gridCol w:w="2138"/>
        <w:gridCol w:w="1628"/>
        <w:gridCol w:w="1370"/>
        <w:gridCol w:w="3987"/>
      </w:tblGrid>
      <w:tr w:rsidR="00345CCE" w:rsidRPr="00345CCE" w14:paraId="4E97B568" w14:textId="77777777" w:rsidTr="00B6722D">
        <w:trPr>
          <w:cnfStyle w:val="100000000000" w:firstRow="1" w:lastRow="0" w:firstColumn="0" w:lastColumn="0" w:oddVBand="0" w:evenVBand="0" w:oddHBand="0" w:evenHBand="0" w:firstRowFirstColumn="0" w:firstRowLastColumn="0" w:lastRowFirstColumn="0" w:lastRowLastColumn="0"/>
        </w:trPr>
        <w:tc>
          <w:tcPr>
            <w:tcW w:w="2138" w:type="dxa"/>
          </w:tcPr>
          <w:p w14:paraId="09CEA85D" w14:textId="77777777" w:rsidR="0055619E" w:rsidRPr="00345CCE" w:rsidRDefault="0055619E" w:rsidP="003C1F8E">
            <w:pPr>
              <w:rPr>
                <w:color w:val="auto"/>
              </w:rPr>
            </w:pPr>
            <w:r w:rsidRPr="00345CCE">
              <w:rPr>
                <w:color w:val="auto"/>
              </w:rPr>
              <w:t xml:space="preserve">Outcomes </w:t>
            </w:r>
          </w:p>
        </w:tc>
        <w:tc>
          <w:tcPr>
            <w:tcW w:w="1628" w:type="dxa"/>
          </w:tcPr>
          <w:p w14:paraId="3B2AAE9D" w14:textId="2478E12F" w:rsidR="0055619E" w:rsidRPr="00345CCE" w:rsidRDefault="00DC4CEA" w:rsidP="003C1F8E">
            <w:pPr>
              <w:rPr>
                <w:b w:val="0"/>
                <w:color w:val="auto"/>
              </w:rPr>
            </w:pPr>
            <w:r w:rsidRPr="00345CCE">
              <w:rPr>
                <w:color w:val="auto"/>
              </w:rPr>
              <w:t xml:space="preserve">Number of </w:t>
            </w:r>
            <w:r w:rsidR="00B6722D" w:rsidRPr="00345CCE">
              <w:rPr>
                <w:color w:val="auto"/>
              </w:rPr>
              <w:t>s</w:t>
            </w:r>
            <w:r w:rsidR="0055619E" w:rsidRPr="00345CCE">
              <w:rPr>
                <w:color w:val="auto"/>
              </w:rPr>
              <w:t>tudies</w:t>
            </w:r>
          </w:p>
        </w:tc>
        <w:tc>
          <w:tcPr>
            <w:tcW w:w="1370" w:type="dxa"/>
          </w:tcPr>
          <w:p w14:paraId="6F79A170" w14:textId="77777777" w:rsidR="0055619E" w:rsidRPr="00345CCE" w:rsidRDefault="0055619E" w:rsidP="003C1F8E">
            <w:pPr>
              <w:rPr>
                <w:color w:val="auto"/>
              </w:rPr>
            </w:pPr>
            <w:r w:rsidRPr="00345CCE">
              <w:rPr>
                <w:color w:val="auto"/>
              </w:rPr>
              <w:t xml:space="preserve">Quality of evidence </w:t>
            </w:r>
          </w:p>
        </w:tc>
        <w:tc>
          <w:tcPr>
            <w:tcW w:w="3987" w:type="dxa"/>
          </w:tcPr>
          <w:p w14:paraId="28332ED0" w14:textId="77777777" w:rsidR="0055619E" w:rsidRPr="00345CCE" w:rsidRDefault="0055619E" w:rsidP="003C1F8E">
            <w:pPr>
              <w:rPr>
                <w:color w:val="auto"/>
              </w:rPr>
            </w:pPr>
            <w:r w:rsidRPr="00345CCE">
              <w:rPr>
                <w:color w:val="auto"/>
              </w:rPr>
              <w:t xml:space="preserve">Overall results </w:t>
            </w:r>
          </w:p>
        </w:tc>
      </w:tr>
      <w:tr w:rsidR="0055619E" w14:paraId="1AEEF8F3" w14:textId="77777777" w:rsidTr="00B6722D">
        <w:tc>
          <w:tcPr>
            <w:tcW w:w="2138" w:type="dxa"/>
          </w:tcPr>
          <w:p w14:paraId="2D173A70" w14:textId="77777777" w:rsidR="0055619E" w:rsidRPr="003C4CA2" w:rsidRDefault="00507B49" w:rsidP="003C1F8E">
            <w:pPr>
              <w:rPr>
                <w:sz w:val="18"/>
                <w:szCs w:val="18"/>
              </w:rPr>
            </w:pPr>
            <w:r w:rsidRPr="003C4CA2">
              <w:rPr>
                <w:sz w:val="18"/>
                <w:szCs w:val="18"/>
              </w:rPr>
              <w:t>Measuring br</w:t>
            </w:r>
            <w:r w:rsidR="003C4CA2">
              <w:rPr>
                <w:sz w:val="18"/>
                <w:szCs w:val="18"/>
              </w:rPr>
              <w:t>east d</w:t>
            </w:r>
            <w:r w:rsidRPr="003C4CA2">
              <w:rPr>
                <w:sz w:val="18"/>
                <w:szCs w:val="18"/>
              </w:rPr>
              <w:t xml:space="preserve">ensity </w:t>
            </w:r>
          </w:p>
        </w:tc>
        <w:tc>
          <w:tcPr>
            <w:tcW w:w="1628" w:type="dxa"/>
          </w:tcPr>
          <w:p w14:paraId="6F29A47D" w14:textId="202A1A0F" w:rsidR="0055619E" w:rsidRPr="003C4CA2" w:rsidRDefault="00425682" w:rsidP="003C1F8E">
            <w:pPr>
              <w:rPr>
                <w:sz w:val="18"/>
                <w:szCs w:val="18"/>
              </w:rPr>
            </w:pPr>
            <w:r>
              <w:rPr>
                <w:sz w:val="18"/>
                <w:szCs w:val="18"/>
              </w:rPr>
              <w:t>12</w:t>
            </w:r>
            <w:r w:rsidR="003C4CA2">
              <w:rPr>
                <w:sz w:val="18"/>
                <w:szCs w:val="18"/>
              </w:rPr>
              <w:t xml:space="preserve"> studies </w:t>
            </w:r>
          </w:p>
        </w:tc>
        <w:tc>
          <w:tcPr>
            <w:tcW w:w="1370" w:type="dxa"/>
          </w:tcPr>
          <w:p w14:paraId="2B984C64" w14:textId="77777777" w:rsidR="003C4CA2" w:rsidRPr="00FE662D" w:rsidRDefault="003C4CA2" w:rsidP="003C1F8E">
            <w:pPr>
              <w:rPr>
                <w:rFonts w:cstheme="majorHAnsi"/>
                <w:sz w:val="18"/>
                <w:szCs w:val="18"/>
              </w:rPr>
            </w:pPr>
            <w:r w:rsidRPr="00FE662D">
              <w:rPr>
                <w:rFonts w:ascii="Cambria Math" w:hAnsi="Cambria Math" w:cs="Cambria Math"/>
                <w:sz w:val="18"/>
                <w:szCs w:val="18"/>
              </w:rPr>
              <w:t>⊕⊕</w:t>
            </w:r>
          </w:p>
          <w:p w14:paraId="0CB77145" w14:textId="77777777" w:rsidR="0055619E" w:rsidRDefault="003C4CA2" w:rsidP="003C1F8E">
            <w:r>
              <w:rPr>
                <w:sz w:val="18"/>
                <w:szCs w:val="18"/>
              </w:rPr>
              <w:t>L</w:t>
            </w:r>
            <w:r w:rsidRPr="00FE662D">
              <w:rPr>
                <w:sz w:val="18"/>
                <w:szCs w:val="18"/>
              </w:rPr>
              <w:t>ow</w:t>
            </w:r>
          </w:p>
        </w:tc>
        <w:tc>
          <w:tcPr>
            <w:tcW w:w="3987" w:type="dxa"/>
          </w:tcPr>
          <w:p w14:paraId="74812ED8" w14:textId="2359B1C6" w:rsidR="0055619E" w:rsidRPr="003C1F8E" w:rsidRDefault="003C4CA2" w:rsidP="003C1F8E">
            <w:pPr>
              <w:pStyle w:val="BodyText"/>
              <w:spacing w:before="0" w:after="0" w:line="240" w:lineRule="auto"/>
              <w:rPr>
                <w:highlight w:val="yellow"/>
              </w:rPr>
            </w:pPr>
            <w:r>
              <w:rPr>
                <w:sz w:val="18"/>
                <w:szCs w:val="18"/>
              </w:rPr>
              <w:t>Data from 1 systematic review</w:t>
            </w:r>
            <w:r w:rsidR="00425682">
              <w:rPr>
                <w:sz w:val="18"/>
                <w:szCs w:val="18"/>
              </w:rPr>
              <w:t xml:space="preserve">, </w:t>
            </w:r>
            <w:r>
              <w:rPr>
                <w:sz w:val="18"/>
                <w:szCs w:val="18"/>
              </w:rPr>
              <w:t>5 narrative reviews</w:t>
            </w:r>
            <w:r w:rsidR="00425682">
              <w:rPr>
                <w:sz w:val="18"/>
                <w:szCs w:val="18"/>
              </w:rPr>
              <w:t xml:space="preserve"> and 8 prospective studies</w:t>
            </w:r>
            <w:r>
              <w:rPr>
                <w:sz w:val="18"/>
                <w:szCs w:val="18"/>
              </w:rPr>
              <w:t xml:space="preserve"> found </w:t>
            </w:r>
            <w:r w:rsidR="003C1F8E">
              <w:rPr>
                <w:sz w:val="18"/>
                <w:szCs w:val="18"/>
              </w:rPr>
              <w:t>t</w:t>
            </w:r>
            <w:r w:rsidR="00282510" w:rsidRPr="00282510">
              <w:rPr>
                <w:sz w:val="18"/>
                <w:szCs w:val="18"/>
              </w:rPr>
              <w:t>here is strong evidence as to how much the measurement of density has changed since its inception. There is evidence that there is inter</w:t>
            </w:r>
            <w:r w:rsidR="003C1F8E">
              <w:rPr>
                <w:sz w:val="18"/>
                <w:szCs w:val="18"/>
              </w:rPr>
              <w:t>-</w:t>
            </w:r>
            <w:r w:rsidR="00282510" w:rsidRPr="00282510">
              <w:rPr>
                <w:sz w:val="18"/>
                <w:szCs w:val="18"/>
              </w:rPr>
              <w:t xml:space="preserve"> and intra</w:t>
            </w:r>
            <w:r w:rsidR="003C1F8E">
              <w:rPr>
                <w:sz w:val="18"/>
                <w:szCs w:val="18"/>
              </w:rPr>
              <w:t>-</w:t>
            </w:r>
            <w:r w:rsidR="00282510" w:rsidRPr="00282510">
              <w:rPr>
                <w:sz w:val="18"/>
                <w:szCs w:val="18"/>
              </w:rPr>
              <w:t xml:space="preserve"> reader variability when using visual density assessment methods. There is evidence</w:t>
            </w:r>
            <w:r w:rsidR="00425682">
              <w:rPr>
                <w:sz w:val="18"/>
                <w:szCs w:val="18"/>
              </w:rPr>
              <w:t xml:space="preserve"> (largely based on prospective studies)</w:t>
            </w:r>
            <w:r w:rsidR="00282510" w:rsidRPr="00282510">
              <w:rPr>
                <w:sz w:val="18"/>
                <w:szCs w:val="18"/>
              </w:rPr>
              <w:t xml:space="preserve"> suggesting that automated computer-based density measurements can provide consistent, reproducible, and objective results. There is no strong evidence as to the best way to classify breast density.</w:t>
            </w:r>
          </w:p>
        </w:tc>
      </w:tr>
      <w:tr w:rsidR="0055619E" w14:paraId="3FBC56CD" w14:textId="77777777" w:rsidTr="00B6722D">
        <w:tc>
          <w:tcPr>
            <w:tcW w:w="2138" w:type="dxa"/>
          </w:tcPr>
          <w:p w14:paraId="5CD14C15" w14:textId="77777777" w:rsidR="0055619E" w:rsidRPr="003C4CA2" w:rsidRDefault="00507B49" w:rsidP="003C1F8E">
            <w:pPr>
              <w:rPr>
                <w:sz w:val="18"/>
                <w:szCs w:val="18"/>
              </w:rPr>
            </w:pPr>
            <w:r w:rsidRPr="003C4CA2">
              <w:rPr>
                <w:sz w:val="18"/>
                <w:szCs w:val="18"/>
              </w:rPr>
              <w:t xml:space="preserve">The association between breast density and risk of breast cancer </w:t>
            </w:r>
          </w:p>
        </w:tc>
        <w:tc>
          <w:tcPr>
            <w:tcW w:w="1628" w:type="dxa"/>
          </w:tcPr>
          <w:p w14:paraId="6460983E" w14:textId="465F4F1C" w:rsidR="0055619E" w:rsidRPr="003C4CA2" w:rsidRDefault="00425682" w:rsidP="003C1F8E">
            <w:pPr>
              <w:rPr>
                <w:sz w:val="18"/>
                <w:szCs w:val="18"/>
              </w:rPr>
            </w:pPr>
            <w:r>
              <w:rPr>
                <w:sz w:val="18"/>
                <w:szCs w:val="18"/>
              </w:rPr>
              <w:t>22</w:t>
            </w:r>
            <w:r w:rsidR="003C4CA2">
              <w:rPr>
                <w:sz w:val="18"/>
                <w:szCs w:val="18"/>
              </w:rPr>
              <w:t xml:space="preserve"> studies </w:t>
            </w:r>
          </w:p>
        </w:tc>
        <w:tc>
          <w:tcPr>
            <w:tcW w:w="1370" w:type="dxa"/>
          </w:tcPr>
          <w:p w14:paraId="68BD81D3" w14:textId="77777777" w:rsidR="0055619E" w:rsidRPr="00FE662D" w:rsidRDefault="0055619E" w:rsidP="003C1F8E">
            <w:pPr>
              <w:rPr>
                <w:rFonts w:cstheme="majorHAnsi"/>
                <w:sz w:val="18"/>
                <w:szCs w:val="18"/>
              </w:rPr>
            </w:pPr>
            <w:r w:rsidRPr="00FE662D">
              <w:rPr>
                <w:rFonts w:ascii="Cambria Math" w:hAnsi="Cambria Math" w:cs="Cambria Math"/>
                <w:sz w:val="18"/>
                <w:szCs w:val="18"/>
              </w:rPr>
              <w:t xml:space="preserve">⊕⊕⊕ </w:t>
            </w:r>
          </w:p>
          <w:p w14:paraId="492A6CCB" w14:textId="77777777" w:rsidR="0055619E" w:rsidRDefault="0055619E" w:rsidP="003C1F8E">
            <w:r>
              <w:rPr>
                <w:sz w:val="18"/>
                <w:szCs w:val="18"/>
              </w:rPr>
              <w:t>Moderate</w:t>
            </w:r>
          </w:p>
        </w:tc>
        <w:tc>
          <w:tcPr>
            <w:tcW w:w="3987" w:type="dxa"/>
          </w:tcPr>
          <w:p w14:paraId="7B9C8C39" w14:textId="2BAE6D4C" w:rsidR="0055619E" w:rsidRPr="003C4CA2" w:rsidRDefault="003C4CA2" w:rsidP="003C1F8E">
            <w:pPr>
              <w:pStyle w:val="BodyText"/>
              <w:spacing w:before="0" w:after="0" w:line="240" w:lineRule="auto"/>
              <w:rPr>
                <w:sz w:val="18"/>
                <w:szCs w:val="18"/>
              </w:rPr>
            </w:pPr>
            <w:r>
              <w:rPr>
                <w:sz w:val="18"/>
                <w:szCs w:val="18"/>
              </w:rPr>
              <w:t xml:space="preserve">Data from </w:t>
            </w:r>
            <w:r w:rsidRPr="003C4CA2">
              <w:rPr>
                <w:sz w:val="18"/>
                <w:szCs w:val="18"/>
              </w:rPr>
              <w:t>4</w:t>
            </w:r>
            <w:r>
              <w:rPr>
                <w:sz w:val="18"/>
                <w:szCs w:val="18"/>
              </w:rPr>
              <w:t xml:space="preserve"> systematic reviews</w:t>
            </w:r>
            <w:r w:rsidR="00425682">
              <w:rPr>
                <w:sz w:val="18"/>
                <w:szCs w:val="18"/>
              </w:rPr>
              <w:t xml:space="preserve">, </w:t>
            </w:r>
            <w:r w:rsidRPr="003C4CA2">
              <w:rPr>
                <w:sz w:val="18"/>
                <w:szCs w:val="18"/>
              </w:rPr>
              <w:t xml:space="preserve">3 </w:t>
            </w:r>
            <w:r>
              <w:rPr>
                <w:sz w:val="18"/>
                <w:szCs w:val="18"/>
              </w:rPr>
              <w:t xml:space="preserve">narrative literature reviews </w:t>
            </w:r>
            <w:r w:rsidR="00425682">
              <w:rPr>
                <w:sz w:val="18"/>
                <w:szCs w:val="18"/>
              </w:rPr>
              <w:t xml:space="preserve">and 15 prospective studies </w:t>
            </w:r>
            <w:r w:rsidR="00282510">
              <w:rPr>
                <w:sz w:val="18"/>
                <w:szCs w:val="18"/>
              </w:rPr>
              <w:t>found that there</w:t>
            </w:r>
            <w:r w:rsidRPr="003C4CA2">
              <w:rPr>
                <w:sz w:val="18"/>
                <w:szCs w:val="18"/>
              </w:rPr>
              <w:t xml:space="preserve"> is </w:t>
            </w:r>
            <w:r w:rsidR="00282510">
              <w:rPr>
                <w:sz w:val="18"/>
                <w:szCs w:val="18"/>
              </w:rPr>
              <w:t xml:space="preserve">a </w:t>
            </w:r>
            <w:r w:rsidRPr="003C4CA2">
              <w:rPr>
                <w:sz w:val="18"/>
                <w:szCs w:val="18"/>
              </w:rPr>
              <w:t>very strong evidence that breast density is a risk factor for breast cancer. There is strong evidence that breast density changes with age</w:t>
            </w:r>
            <w:r w:rsidR="007301E1">
              <w:rPr>
                <w:sz w:val="18"/>
                <w:szCs w:val="18"/>
              </w:rPr>
              <w:t>;</w:t>
            </w:r>
            <w:r w:rsidRPr="003C4CA2">
              <w:rPr>
                <w:sz w:val="18"/>
                <w:szCs w:val="18"/>
              </w:rPr>
              <w:t xml:space="preserve"> however, there is weak evidence as to how this is associated with cancer risk. There is moderate evidence that breast density differs due to genetic variation and ethnicity. There is some evidence that density is associated with different biological factors such as receptor subtypes</w:t>
            </w:r>
            <w:r w:rsidR="00425682">
              <w:rPr>
                <w:sz w:val="18"/>
                <w:szCs w:val="18"/>
              </w:rPr>
              <w:t>.</w:t>
            </w:r>
          </w:p>
        </w:tc>
      </w:tr>
      <w:tr w:rsidR="0055619E" w14:paraId="3D7603CB" w14:textId="77777777" w:rsidTr="00B6722D">
        <w:tc>
          <w:tcPr>
            <w:tcW w:w="2138" w:type="dxa"/>
          </w:tcPr>
          <w:p w14:paraId="375AC61F" w14:textId="77777777" w:rsidR="0055619E" w:rsidRPr="003C4CA2" w:rsidRDefault="00507B49" w:rsidP="003C1F8E">
            <w:pPr>
              <w:rPr>
                <w:sz w:val="18"/>
                <w:szCs w:val="18"/>
              </w:rPr>
            </w:pPr>
            <w:r w:rsidRPr="003C4CA2">
              <w:rPr>
                <w:sz w:val="18"/>
                <w:szCs w:val="18"/>
              </w:rPr>
              <w:t>Breast density and masking</w:t>
            </w:r>
          </w:p>
        </w:tc>
        <w:tc>
          <w:tcPr>
            <w:tcW w:w="1628" w:type="dxa"/>
          </w:tcPr>
          <w:p w14:paraId="306F7053" w14:textId="5F048611" w:rsidR="0055619E" w:rsidRPr="003C4CA2" w:rsidRDefault="00425682" w:rsidP="003C1F8E">
            <w:pPr>
              <w:rPr>
                <w:sz w:val="18"/>
                <w:szCs w:val="18"/>
              </w:rPr>
            </w:pPr>
            <w:r>
              <w:rPr>
                <w:sz w:val="18"/>
                <w:szCs w:val="18"/>
              </w:rPr>
              <w:t>9</w:t>
            </w:r>
            <w:r w:rsidR="003C4CA2">
              <w:rPr>
                <w:sz w:val="18"/>
                <w:szCs w:val="18"/>
              </w:rPr>
              <w:t xml:space="preserve"> studies</w:t>
            </w:r>
          </w:p>
        </w:tc>
        <w:tc>
          <w:tcPr>
            <w:tcW w:w="1370" w:type="dxa"/>
          </w:tcPr>
          <w:p w14:paraId="3E34EA8E" w14:textId="77777777" w:rsidR="003C4CA2" w:rsidRPr="00FE662D" w:rsidRDefault="003C4CA2" w:rsidP="003C1F8E">
            <w:pPr>
              <w:rPr>
                <w:rFonts w:cstheme="majorHAnsi"/>
                <w:sz w:val="18"/>
                <w:szCs w:val="18"/>
              </w:rPr>
            </w:pPr>
            <w:r w:rsidRPr="00FE662D">
              <w:rPr>
                <w:rFonts w:ascii="Cambria Math" w:hAnsi="Cambria Math" w:cs="Cambria Math"/>
                <w:sz w:val="18"/>
                <w:szCs w:val="18"/>
              </w:rPr>
              <w:t xml:space="preserve">⊕ </w:t>
            </w:r>
          </w:p>
          <w:p w14:paraId="0F173197" w14:textId="77777777" w:rsidR="0055619E" w:rsidRDefault="003C4CA2" w:rsidP="003C1F8E">
            <w:r w:rsidRPr="00FE662D">
              <w:rPr>
                <w:sz w:val="18"/>
                <w:szCs w:val="18"/>
              </w:rPr>
              <w:t>Very low</w:t>
            </w:r>
          </w:p>
        </w:tc>
        <w:tc>
          <w:tcPr>
            <w:tcW w:w="3987" w:type="dxa"/>
          </w:tcPr>
          <w:p w14:paraId="07D625D5" w14:textId="314C24BC" w:rsidR="0055619E" w:rsidRPr="00282510" w:rsidRDefault="007301E1" w:rsidP="005A10FA">
            <w:pPr>
              <w:pStyle w:val="BodyText"/>
              <w:spacing w:before="0" w:after="0" w:line="240" w:lineRule="auto"/>
              <w:rPr>
                <w:sz w:val="18"/>
                <w:szCs w:val="18"/>
              </w:rPr>
            </w:pPr>
            <w:r>
              <w:rPr>
                <w:sz w:val="18"/>
                <w:szCs w:val="18"/>
              </w:rPr>
              <w:t>No</w:t>
            </w:r>
            <w:r w:rsidR="003C4CA2" w:rsidRPr="00282510">
              <w:rPr>
                <w:sz w:val="18"/>
                <w:szCs w:val="18"/>
              </w:rPr>
              <w:t xml:space="preserve"> systematic reviews </w:t>
            </w:r>
            <w:r w:rsidR="005A10FA">
              <w:rPr>
                <w:sz w:val="18"/>
                <w:szCs w:val="18"/>
              </w:rPr>
              <w:t xml:space="preserve">were found. </w:t>
            </w:r>
            <w:r w:rsidR="00425682">
              <w:rPr>
                <w:sz w:val="18"/>
                <w:szCs w:val="18"/>
              </w:rPr>
              <w:t xml:space="preserve">Findings from </w:t>
            </w:r>
            <w:r w:rsidR="005A10FA">
              <w:rPr>
                <w:sz w:val="18"/>
                <w:szCs w:val="18"/>
              </w:rPr>
              <w:t>3</w:t>
            </w:r>
            <w:r w:rsidR="003C4CA2" w:rsidRPr="00282510">
              <w:rPr>
                <w:sz w:val="18"/>
                <w:szCs w:val="18"/>
              </w:rPr>
              <w:t xml:space="preserve"> narrative literature reviews</w:t>
            </w:r>
            <w:r w:rsidR="00282510" w:rsidRPr="00282510">
              <w:rPr>
                <w:sz w:val="18"/>
                <w:szCs w:val="18"/>
              </w:rPr>
              <w:t xml:space="preserve"> </w:t>
            </w:r>
            <w:r w:rsidR="00425682">
              <w:rPr>
                <w:sz w:val="18"/>
                <w:szCs w:val="18"/>
              </w:rPr>
              <w:t xml:space="preserve">and 6 prospective studies </w:t>
            </w:r>
            <w:r w:rsidR="00282510" w:rsidRPr="00282510">
              <w:rPr>
                <w:sz w:val="18"/>
                <w:szCs w:val="18"/>
              </w:rPr>
              <w:t>propose an association between breast density, breast cancer and masking</w:t>
            </w:r>
            <w:r w:rsidR="00425682">
              <w:rPr>
                <w:sz w:val="18"/>
                <w:szCs w:val="18"/>
              </w:rPr>
              <w:t>. There is some evidence that the sensitivity of mammography is reduced, and rate of interval cancers increased, for women with dense breasts</w:t>
            </w:r>
            <w:r w:rsidR="00E954EC">
              <w:rPr>
                <w:sz w:val="18"/>
                <w:szCs w:val="18"/>
              </w:rPr>
              <w:t>.</w:t>
            </w:r>
            <w:r w:rsidR="00282510" w:rsidRPr="00282510">
              <w:rPr>
                <w:sz w:val="18"/>
                <w:szCs w:val="18"/>
              </w:rPr>
              <w:t xml:space="preserve"> </w:t>
            </w:r>
            <w:r w:rsidR="00E954EC">
              <w:rPr>
                <w:sz w:val="18"/>
                <w:szCs w:val="18"/>
              </w:rPr>
              <w:t>That said,</w:t>
            </w:r>
            <w:r w:rsidR="00282510" w:rsidRPr="00282510">
              <w:rPr>
                <w:sz w:val="18"/>
                <w:szCs w:val="18"/>
              </w:rPr>
              <w:t xml:space="preserve"> </w:t>
            </w:r>
            <w:r w:rsidR="0052286E">
              <w:rPr>
                <w:sz w:val="18"/>
                <w:szCs w:val="18"/>
              </w:rPr>
              <w:t>most studies are</w:t>
            </w:r>
            <w:r w:rsidR="00282510" w:rsidRPr="00282510">
              <w:rPr>
                <w:sz w:val="18"/>
                <w:szCs w:val="18"/>
              </w:rPr>
              <w:t xml:space="preserve"> of limited quality and </w:t>
            </w:r>
            <w:r w:rsidR="00E954EC">
              <w:rPr>
                <w:sz w:val="18"/>
                <w:szCs w:val="18"/>
              </w:rPr>
              <w:t>the direct role of breast density in masking and interval cancer rates is unclear</w:t>
            </w:r>
            <w:r w:rsidR="00282510" w:rsidRPr="00282510">
              <w:rPr>
                <w:sz w:val="18"/>
                <w:szCs w:val="18"/>
              </w:rPr>
              <w:t>. There is no evidence for a method that best measures masking</w:t>
            </w:r>
            <w:r w:rsidR="005F5FFB">
              <w:rPr>
                <w:sz w:val="18"/>
                <w:szCs w:val="18"/>
              </w:rPr>
              <w:t>.</w:t>
            </w:r>
            <w:r w:rsidR="00515D0E">
              <w:rPr>
                <w:sz w:val="18"/>
                <w:szCs w:val="18"/>
              </w:rPr>
              <w:t xml:space="preserve"> There is also no strong evidence on how the relationship between breast density and masking affects the mortality reduction </w:t>
            </w:r>
            <w:r w:rsidR="006310F0">
              <w:rPr>
                <w:sz w:val="18"/>
                <w:szCs w:val="18"/>
              </w:rPr>
              <w:t>in a screening program</w:t>
            </w:r>
            <w:r w:rsidR="0027402E">
              <w:rPr>
                <w:sz w:val="18"/>
                <w:szCs w:val="18"/>
              </w:rPr>
              <w:t>.</w:t>
            </w:r>
          </w:p>
        </w:tc>
      </w:tr>
      <w:tr w:rsidR="0055619E" w:rsidRPr="00FE662D" w14:paraId="7568C816" w14:textId="77777777" w:rsidTr="00B6722D">
        <w:tc>
          <w:tcPr>
            <w:tcW w:w="2138" w:type="dxa"/>
          </w:tcPr>
          <w:p w14:paraId="737C4B0D" w14:textId="77777777" w:rsidR="0055619E" w:rsidRPr="00FE662D" w:rsidRDefault="00507B49" w:rsidP="003C1F8E">
            <w:pPr>
              <w:rPr>
                <w:sz w:val="18"/>
                <w:szCs w:val="18"/>
              </w:rPr>
            </w:pPr>
            <w:r>
              <w:rPr>
                <w:sz w:val="18"/>
                <w:szCs w:val="18"/>
              </w:rPr>
              <w:t xml:space="preserve">The role of supplementary screening </w:t>
            </w:r>
          </w:p>
        </w:tc>
        <w:tc>
          <w:tcPr>
            <w:tcW w:w="1628" w:type="dxa"/>
          </w:tcPr>
          <w:p w14:paraId="0258166E" w14:textId="77777777" w:rsidR="0055619E" w:rsidRPr="00FE662D" w:rsidRDefault="003C4CA2" w:rsidP="003C1F8E">
            <w:pPr>
              <w:rPr>
                <w:sz w:val="18"/>
                <w:szCs w:val="18"/>
              </w:rPr>
            </w:pPr>
            <w:r>
              <w:rPr>
                <w:sz w:val="18"/>
                <w:szCs w:val="18"/>
              </w:rPr>
              <w:t>13 studies</w:t>
            </w:r>
          </w:p>
        </w:tc>
        <w:tc>
          <w:tcPr>
            <w:tcW w:w="1370" w:type="dxa"/>
          </w:tcPr>
          <w:p w14:paraId="0861323C" w14:textId="48957427" w:rsidR="003C4CA2" w:rsidRPr="00FE662D" w:rsidRDefault="003C4CA2" w:rsidP="003C1F8E">
            <w:pPr>
              <w:rPr>
                <w:rFonts w:cstheme="majorHAnsi"/>
                <w:sz w:val="18"/>
                <w:szCs w:val="18"/>
              </w:rPr>
            </w:pPr>
            <w:r w:rsidRPr="00FE662D">
              <w:rPr>
                <w:rFonts w:ascii="Cambria Math" w:hAnsi="Cambria Math" w:cs="Cambria Math"/>
                <w:sz w:val="18"/>
                <w:szCs w:val="18"/>
              </w:rPr>
              <w:t>⊕⊕</w:t>
            </w:r>
          </w:p>
          <w:p w14:paraId="13D0EB16" w14:textId="77777777" w:rsidR="0055619E" w:rsidRPr="00FE662D" w:rsidRDefault="003C4CA2" w:rsidP="003C1F8E">
            <w:pPr>
              <w:rPr>
                <w:rFonts w:ascii="Cambria Math" w:hAnsi="Cambria Math" w:cs="Cambria Math"/>
                <w:sz w:val="18"/>
                <w:szCs w:val="18"/>
              </w:rPr>
            </w:pPr>
            <w:r>
              <w:rPr>
                <w:sz w:val="18"/>
                <w:szCs w:val="18"/>
              </w:rPr>
              <w:t>L</w:t>
            </w:r>
            <w:r w:rsidRPr="00FE662D">
              <w:rPr>
                <w:sz w:val="18"/>
                <w:szCs w:val="18"/>
              </w:rPr>
              <w:t>ow</w:t>
            </w:r>
          </w:p>
        </w:tc>
        <w:tc>
          <w:tcPr>
            <w:tcW w:w="3987" w:type="dxa"/>
          </w:tcPr>
          <w:p w14:paraId="50D779CF" w14:textId="6FFEDC41" w:rsidR="0055619E" w:rsidRPr="00FE662D" w:rsidRDefault="003C4CA2" w:rsidP="007C3AE7">
            <w:pPr>
              <w:pStyle w:val="BodyText"/>
              <w:spacing w:before="0" w:after="0" w:line="240" w:lineRule="auto"/>
              <w:rPr>
                <w:sz w:val="18"/>
                <w:szCs w:val="18"/>
              </w:rPr>
            </w:pPr>
            <w:r w:rsidRPr="00282510">
              <w:rPr>
                <w:sz w:val="18"/>
                <w:szCs w:val="18"/>
              </w:rPr>
              <w:t>7 systematic reviews (100 articles) and 6 narrative literature reviews</w:t>
            </w:r>
            <w:r w:rsidR="00282510" w:rsidRPr="00282510">
              <w:rPr>
                <w:sz w:val="18"/>
                <w:szCs w:val="18"/>
              </w:rPr>
              <w:t xml:space="preserve"> found </w:t>
            </w:r>
            <w:r w:rsidR="007301E1">
              <w:rPr>
                <w:sz w:val="18"/>
                <w:szCs w:val="18"/>
              </w:rPr>
              <w:t>t</w:t>
            </w:r>
            <w:r w:rsidR="00282510" w:rsidRPr="00282510">
              <w:rPr>
                <w:sz w:val="18"/>
                <w:szCs w:val="18"/>
              </w:rPr>
              <w:t>here is strong evidence that supplemental</w:t>
            </w:r>
            <w:r w:rsidR="0027402E">
              <w:rPr>
                <w:sz w:val="18"/>
                <w:szCs w:val="18"/>
              </w:rPr>
              <w:t xml:space="preserve"> testing</w:t>
            </w:r>
            <w:r w:rsidR="00282510" w:rsidRPr="00282510">
              <w:rPr>
                <w:sz w:val="18"/>
                <w:szCs w:val="18"/>
              </w:rPr>
              <w:t xml:space="preserve"> detects more cancers than FFDM alone but that this increases false positives and recall rates for women. Most of the literature in this area focuses on ultrasound and there is strong evidence for its use as a supplemental</w:t>
            </w:r>
            <w:r w:rsidR="0027402E">
              <w:rPr>
                <w:sz w:val="18"/>
                <w:szCs w:val="18"/>
              </w:rPr>
              <w:t xml:space="preserve"> test</w:t>
            </w:r>
            <w:r w:rsidR="00282510" w:rsidRPr="00282510">
              <w:rPr>
                <w:sz w:val="18"/>
                <w:szCs w:val="18"/>
              </w:rPr>
              <w:t>, providing significantly improved rates of cancer detection that mammography alone (systematic review and prospective studies)</w:t>
            </w:r>
            <w:r w:rsidR="005F5FFB">
              <w:rPr>
                <w:sz w:val="18"/>
                <w:szCs w:val="18"/>
              </w:rPr>
              <w:t>;</w:t>
            </w:r>
            <w:r w:rsidR="00282510" w:rsidRPr="00282510">
              <w:rPr>
                <w:sz w:val="18"/>
                <w:szCs w:val="18"/>
              </w:rPr>
              <w:t xml:space="preserve"> however</w:t>
            </w:r>
            <w:r w:rsidR="005F5FFB">
              <w:rPr>
                <w:sz w:val="18"/>
                <w:szCs w:val="18"/>
              </w:rPr>
              <w:t>,</w:t>
            </w:r>
            <w:r w:rsidR="00282510" w:rsidRPr="00282510">
              <w:rPr>
                <w:sz w:val="18"/>
                <w:szCs w:val="18"/>
              </w:rPr>
              <w:t xml:space="preserve"> there is no evidence that supplemental </w:t>
            </w:r>
            <w:r w:rsidR="0027402E">
              <w:rPr>
                <w:sz w:val="18"/>
                <w:szCs w:val="18"/>
              </w:rPr>
              <w:t xml:space="preserve">testing </w:t>
            </w:r>
            <w:r w:rsidR="00282510" w:rsidRPr="00282510">
              <w:rPr>
                <w:sz w:val="18"/>
                <w:szCs w:val="18"/>
              </w:rPr>
              <w:t xml:space="preserve">reduces mortality. There is some evidence </w:t>
            </w:r>
            <w:r w:rsidR="00362A3B">
              <w:rPr>
                <w:sz w:val="18"/>
                <w:szCs w:val="18"/>
              </w:rPr>
              <w:t xml:space="preserve">that </w:t>
            </w:r>
            <w:r w:rsidR="00282510" w:rsidRPr="00282510">
              <w:rPr>
                <w:sz w:val="18"/>
                <w:szCs w:val="18"/>
              </w:rPr>
              <w:t>the use of MRI, DBT and MBI as supplementary screening method</w:t>
            </w:r>
            <w:r w:rsidR="00362A3B">
              <w:rPr>
                <w:sz w:val="18"/>
                <w:szCs w:val="18"/>
              </w:rPr>
              <w:t>s</w:t>
            </w:r>
            <w:r w:rsidR="00282510" w:rsidRPr="00282510">
              <w:rPr>
                <w:sz w:val="18"/>
                <w:szCs w:val="18"/>
              </w:rPr>
              <w:t xml:space="preserve"> provides better cancer detection rates however, more rigorous studies are needed.</w:t>
            </w:r>
            <w:r w:rsidR="00515D0E">
              <w:rPr>
                <w:sz w:val="18"/>
                <w:szCs w:val="18"/>
              </w:rPr>
              <w:t xml:space="preserve"> There is no strong evidence that any test other than</w:t>
            </w:r>
            <w:r w:rsidR="0027402E">
              <w:rPr>
                <w:sz w:val="18"/>
                <w:szCs w:val="18"/>
              </w:rPr>
              <w:t xml:space="preserve"> bilateral,</w:t>
            </w:r>
            <w:r w:rsidR="00515D0E">
              <w:rPr>
                <w:sz w:val="18"/>
                <w:szCs w:val="18"/>
              </w:rPr>
              <w:t xml:space="preserve"> full-field digital mammography significantly reduces mortality from breast cancer, including for women with dense breasts. </w:t>
            </w:r>
          </w:p>
        </w:tc>
      </w:tr>
      <w:tr w:rsidR="00507B49" w:rsidRPr="00FE662D" w14:paraId="1CE90323" w14:textId="77777777" w:rsidTr="00B6722D">
        <w:tc>
          <w:tcPr>
            <w:tcW w:w="2138" w:type="dxa"/>
          </w:tcPr>
          <w:p w14:paraId="4FD0D9E5" w14:textId="77777777" w:rsidR="00507B49" w:rsidRDefault="00507B49" w:rsidP="003C1F8E">
            <w:pPr>
              <w:rPr>
                <w:sz w:val="18"/>
                <w:szCs w:val="18"/>
              </w:rPr>
            </w:pPr>
            <w:r>
              <w:rPr>
                <w:sz w:val="18"/>
                <w:szCs w:val="18"/>
              </w:rPr>
              <w:lastRenderedPageBreak/>
              <w:t>Physical and mental health outcomes</w:t>
            </w:r>
          </w:p>
        </w:tc>
        <w:tc>
          <w:tcPr>
            <w:tcW w:w="1628" w:type="dxa"/>
          </w:tcPr>
          <w:p w14:paraId="1A44013B" w14:textId="77777777" w:rsidR="00507B49" w:rsidRPr="00FE662D" w:rsidRDefault="00282510" w:rsidP="003C1F8E">
            <w:pPr>
              <w:rPr>
                <w:sz w:val="18"/>
                <w:szCs w:val="18"/>
              </w:rPr>
            </w:pPr>
            <w:r>
              <w:rPr>
                <w:sz w:val="18"/>
                <w:szCs w:val="18"/>
              </w:rPr>
              <w:t>11 studies</w:t>
            </w:r>
          </w:p>
        </w:tc>
        <w:tc>
          <w:tcPr>
            <w:tcW w:w="1370" w:type="dxa"/>
          </w:tcPr>
          <w:p w14:paraId="3DF00282" w14:textId="77777777" w:rsidR="003C4CA2" w:rsidRPr="00FE662D" w:rsidRDefault="003C4CA2" w:rsidP="003C1F8E">
            <w:pPr>
              <w:rPr>
                <w:rFonts w:cstheme="majorHAnsi"/>
                <w:sz w:val="18"/>
                <w:szCs w:val="18"/>
              </w:rPr>
            </w:pPr>
            <w:r w:rsidRPr="00FE662D">
              <w:rPr>
                <w:rFonts w:ascii="Cambria Math" w:hAnsi="Cambria Math" w:cs="Cambria Math"/>
                <w:sz w:val="18"/>
                <w:szCs w:val="18"/>
              </w:rPr>
              <w:t xml:space="preserve">⊕ </w:t>
            </w:r>
          </w:p>
          <w:p w14:paraId="3B9D1968" w14:textId="77777777" w:rsidR="00507B49" w:rsidRPr="00FE662D" w:rsidRDefault="003C4CA2" w:rsidP="003C1F8E">
            <w:pPr>
              <w:rPr>
                <w:rFonts w:ascii="Cambria Math" w:hAnsi="Cambria Math" w:cs="Cambria Math"/>
                <w:sz w:val="18"/>
                <w:szCs w:val="18"/>
              </w:rPr>
            </w:pPr>
            <w:r w:rsidRPr="00FE662D">
              <w:rPr>
                <w:sz w:val="18"/>
                <w:szCs w:val="18"/>
              </w:rPr>
              <w:t>Very low</w:t>
            </w:r>
          </w:p>
        </w:tc>
        <w:tc>
          <w:tcPr>
            <w:tcW w:w="3987" w:type="dxa"/>
          </w:tcPr>
          <w:p w14:paraId="14E47F01" w14:textId="10682A97" w:rsidR="00507B49" w:rsidRPr="00FE662D" w:rsidRDefault="00282510" w:rsidP="003C1F8E">
            <w:pPr>
              <w:pStyle w:val="BodyText"/>
              <w:spacing w:before="0" w:after="0" w:line="240" w:lineRule="auto"/>
              <w:rPr>
                <w:sz w:val="18"/>
                <w:szCs w:val="18"/>
              </w:rPr>
            </w:pPr>
            <w:r w:rsidRPr="00282510">
              <w:rPr>
                <w:sz w:val="18"/>
                <w:szCs w:val="18"/>
              </w:rPr>
              <w:t>Overall, the literature in this area is scarce and is mainly focused in the United States</w:t>
            </w:r>
            <w:r w:rsidR="007301E1">
              <w:rPr>
                <w:sz w:val="18"/>
                <w:szCs w:val="18"/>
              </w:rPr>
              <w:t>. T</w:t>
            </w:r>
            <w:r w:rsidRPr="00282510">
              <w:rPr>
                <w:sz w:val="18"/>
                <w:szCs w:val="18"/>
              </w:rPr>
              <w:t>he literature that is available is mainly in the form of observation</w:t>
            </w:r>
            <w:r w:rsidR="005A10FA">
              <w:rPr>
                <w:sz w:val="18"/>
                <w:szCs w:val="18"/>
              </w:rPr>
              <w:t>al</w:t>
            </w:r>
            <w:r w:rsidRPr="00282510">
              <w:rPr>
                <w:sz w:val="18"/>
                <w:szCs w:val="18"/>
              </w:rPr>
              <w:t xml:space="preserve"> studies and </w:t>
            </w:r>
            <w:r w:rsidR="00362A3B">
              <w:rPr>
                <w:sz w:val="18"/>
                <w:szCs w:val="18"/>
              </w:rPr>
              <w:t xml:space="preserve">is </w:t>
            </w:r>
            <w:r w:rsidRPr="00282510">
              <w:rPr>
                <w:sz w:val="18"/>
                <w:szCs w:val="18"/>
              </w:rPr>
              <w:t xml:space="preserve">of low quality. </w:t>
            </w:r>
            <w:r w:rsidR="00515D0E">
              <w:rPr>
                <w:sz w:val="18"/>
                <w:szCs w:val="18"/>
              </w:rPr>
              <w:t>It is currently unclear how breast density notifications affect physical and mental health outcomes, and whether they change screening behaviour.</w:t>
            </w:r>
          </w:p>
        </w:tc>
      </w:tr>
    </w:tbl>
    <w:p w14:paraId="322A0AEA" w14:textId="77777777" w:rsidR="0055619E" w:rsidRDefault="0055619E" w:rsidP="0055619E">
      <w:pPr>
        <w:pStyle w:val="BodyText"/>
      </w:pPr>
    </w:p>
    <w:p w14:paraId="08FE6BA1" w14:textId="08D8FE23" w:rsidR="0055619E" w:rsidRDefault="0055619E" w:rsidP="0055619E">
      <w:pPr>
        <w:rPr>
          <w:rFonts w:asciiTheme="majorHAnsi" w:hAnsiTheme="majorHAnsi"/>
          <w:b/>
          <w:caps/>
          <w:color w:val="36424A" w:themeColor="text2"/>
          <w:sz w:val="28"/>
        </w:rPr>
      </w:pPr>
    </w:p>
    <w:p w14:paraId="70AD588C" w14:textId="77777777" w:rsidR="006310F0" w:rsidRDefault="006310F0">
      <w:pPr>
        <w:rPr>
          <w:rFonts w:asciiTheme="majorHAnsi" w:hAnsiTheme="majorHAnsi"/>
          <w:b/>
          <w:caps/>
          <w:color w:val="36424A" w:themeColor="text2"/>
          <w:sz w:val="28"/>
        </w:rPr>
      </w:pPr>
      <w:bookmarkStart w:id="17" w:name="_Toc507089560"/>
      <w:bookmarkStart w:id="18" w:name="_Toc518922184"/>
      <w:r>
        <w:br w:type="page"/>
      </w:r>
    </w:p>
    <w:p w14:paraId="2373A69A" w14:textId="0333AE2B" w:rsidR="0055619E" w:rsidRDefault="0055619E" w:rsidP="0055619E">
      <w:pPr>
        <w:pStyle w:val="NumberedHeading1"/>
      </w:pPr>
      <w:r w:rsidRPr="0055619E">
        <w:lastRenderedPageBreak/>
        <w:t>Introduction</w:t>
      </w:r>
      <w:bookmarkEnd w:id="17"/>
      <w:bookmarkEnd w:id="18"/>
    </w:p>
    <w:p w14:paraId="26CB34BE" w14:textId="77777777" w:rsidR="0055619E" w:rsidRPr="00E44152" w:rsidRDefault="0055619E" w:rsidP="0055619E">
      <w:pPr>
        <w:pStyle w:val="NumberedHeading2"/>
      </w:pPr>
      <w:bookmarkStart w:id="19" w:name="_Toc518922185"/>
      <w:bookmarkStart w:id="20" w:name="_Toc507657151"/>
      <w:r w:rsidRPr="00E44152">
        <w:t xml:space="preserve">About </w:t>
      </w:r>
      <w:r w:rsidRPr="0055619E">
        <w:t>breast</w:t>
      </w:r>
      <w:r>
        <w:t xml:space="preserve"> </w:t>
      </w:r>
      <w:r w:rsidRPr="00AF2285">
        <w:t>density</w:t>
      </w:r>
      <w:bookmarkEnd w:id="19"/>
      <w:r>
        <w:t xml:space="preserve"> </w:t>
      </w:r>
    </w:p>
    <w:p w14:paraId="5CB32BD9" w14:textId="7CA749AF" w:rsidR="00DC6AA2" w:rsidRDefault="0055619E" w:rsidP="0055619E">
      <w:pPr>
        <w:pStyle w:val="BodyText"/>
      </w:pPr>
      <w:bookmarkStart w:id="21" w:name="_Hlk507661904"/>
      <w:bookmarkEnd w:id="20"/>
      <w:r w:rsidRPr="0055619E">
        <w:t xml:space="preserve">Breasts are made up of fat and fibroglandular (non-fatty) tissue with the composition of breast tissue varying between women. </w:t>
      </w:r>
      <w:r w:rsidR="00DC6AA2">
        <w:t xml:space="preserve">Breast density can </w:t>
      </w:r>
      <w:r w:rsidR="00DC6AA2" w:rsidRPr="00364B99">
        <w:t xml:space="preserve">be affected by factors like </w:t>
      </w:r>
      <w:r w:rsidR="00DC6AA2">
        <w:t>changing hormone levels (</w:t>
      </w:r>
      <w:r w:rsidR="00CC24AA">
        <w:t>eg,</w:t>
      </w:r>
      <w:r w:rsidR="00DC6AA2">
        <w:t xml:space="preserve"> </w:t>
      </w:r>
      <w:r w:rsidR="00DC6AA2" w:rsidRPr="007D184A">
        <w:t xml:space="preserve">use of </w:t>
      </w:r>
      <w:r w:rsidR="00DC6AA2">
        <w:t>o</w:t>
      </w:r>
      <w:r w:rsidR="00DC6AA2" w:rsidRPr="007D184A">
        <w:t xml:space="preserve">estrogen, </w:t>
      </w:r>
      <w:r w:rsidR="00DC6AA2">
        <w:t>place in menstrual cycle</w:t>
      </w:r>
      <w:r w:rsidR="0047398A">
        <w:t>, etc.</w:t>
      </w:r>
      <w:r w:rsidR="00DC6AA2">
        <w:t xml:space="preserve">), </w:t>
      </w:r>
      <w:r w:rsidR="00DC6AA2" w:rsidRPr="007D184A">
        <w:t xml:space="preserve">genetic factors, parity, use of </w:t>
      </w:r>
      <w:hyperlink r:id="rId14" w:history="1">
        <w:r w:rsidR="00DC6AA2" w:rsidRPr="007D184A">
          <w:t>tamoxifen</w:t>
        </w:r>
      </w:hyperlink>
      <w:r w:rsidR="00DC6AA2">
        <w:t xml:space="preserve">, weight and inter/intra reader variability. </w:t>
      </w:r>
    </w:p>
    <w:p w14:paraId="60A600F7" w14:textId="18DAEAFE" w:rsidR="00DA1B9C" w:rsidRDefault="00DC6AA2" w:rsidP="0055619E">
      <w:pPr>
        <w:pStyle w:val="BodyText"/>
      </w:pPr>
      <w:r w:rsidRPr="0055619E">
        <w:t>The look</w:t>
      </w:r>
      <w:r>
        <w:t xml:space="preserve"> size or </w:t>
      </w:r>
      <w:r w:rsidRPr="0055619E">
        <w:t xml:space="preserve">feel of a breast does not provide any information about breast density. Breast density is </w:t>
      </w:r>
      <w:r w:rsidR="0047398A">
        <w:t xml:space="preserve">a radiological finding </w:t>
      </w:r>
      <w:r w:rsidRPr="0055619E">
        <w:t>measured by mammography</w:t>
      </w:r>
      <w:r>
        <w:t xml:space="preserve"> (either by a radiologist reviewing mammographic images or via computer aided </w:t>
      </w:r>
      <w:r w:rsidRPr="00122E42">
        <w:t xml:space="preserve">assessment). </w:t>
      </w:r>
      <w:r w:rsidR="00986A3D" w:rsidRPr="00122E42">
        <w:t>There is no consensus about the most effective way to measure</w:t>
      </w:r>
      <w:r w:rsidR="00986A3D">
        <w:t>, classify, validate</w:t>
      </w:r>
      <w:r w:rsidR="00986A3D" w:rsidRPr="00122E42">
        <w:t xml:space="preserve"> or manage breast density (see </w:t>
      </w:r>
      <w:r w:rsidR="00986A3D">
        <w:t xml:space="preserve">Chapter </w:t>
      </w:r>
      <w:r w:rsidR="00986A3D" w:rsidRPr="00122E42">
        <w:t>3 of this</w:t>
      </w:r>
      <w:r w:rsidR="00986A3D" w:rsidRPr="0055619E">
        <w:t xml:space="preserve"> report).</w:t>
      </w:r>
      <w:r w:rsidR="00986A3D">
        <w:t xml:space="preserve"> While t</w:t>
      </w:r>
      <w:r w:rsidR="00986A3D" w:rsidRPr="0055619E">
        <w:t xml:space="preserve">here are different ways to measure breast density, </w:t>
      </w:r>
      <w:r w:rsidR="00164284">
        <w:t xml:space="preserve">radiologists </w:t>
      </w:r>
      <w:r w:rsidR="00986A3D" w:rsidRPr="0055619E">
        <w:t>usually look</w:t>
      </w:r>
      <w:r w:rsidR="00164284">
        <w:t xml:space="preserve"> </w:t>
      </w:r>
      <w:r w:rsidR="00986A3D" w:rsidRPr="0055619E">
        <w:t xml:space="preserve">at </w:t>
      </w:r>
      <w:r w:rsidR="00986A3D">
        <w:t xml:space="preserve">mammographic images to determine </w:t>
      </w:r>
      <w:r w:rsidR="00986A3D" w:rsidRPr="0055619E">
        <w:t xml:space="preserve">relative proportions of particular types of tissue, fat and other possibly other architectural features. </w:t>
      </w:r>
      <w:r w:rsidR="0055619E" w:rsidRPr="0055619E">
        <w:t xml:space="preserve">On a mammogram, fatty tissue appears black while the remaining breast tissue appears white or </w:t>
      </w:r>
      <w:bookmarkStart w:id="22" w:name="_Hlk507662180"/>
      <w:r w:rsidR="0055619E" w:rsidRPr="0055619E">
        <w:t xml:space="preserve">radiographically </w:t>
      </w:r>
      <w:bookmarkEnd w:id="22"/>
      <w:r w:rsidR="0055619E" w:rsidRPr="0055619E">
        <w:t>‘dense’, with the relative amount of fibroglandular tissue areas on a mammogram referred to as breast (or mammographic) density (</w:t>
      </w:r>
      <w:r w:rsidR="00491761">
        <w:t>i.e.,</w:t>
      </w:r>
      <w:r w:rsidR="0055619E" w:rsidRPr="0055619E">
        <w:t xml:space="preserve"> heterogeneously or extremely dense breasts with little fat).</w:t>
      </w:r>
      <w:r w:rsidR="006B5123">
        <w:t xml:space="preserve"> </w:t>
      </w:r>
      <w:r w:rsidR="00414260">
        <w:t>Figure</w:t>
      </w:r>
      <w:r w:rsidR="006B5123">
        <w:t xml:space="preserve"> 1 (below) shows the differences in density using </w:t>
      </w:r>
      <w:r w:rsidR="0000251A">
        <w:t>B</w:t>
      </w:r>
      <w:r w:rsidR="00414260">
        <w:t xml:space="preserve">reast </w:t>
      </w:r>
      <w:r w:rsidR="0000251A">
        <w:t>I</w:t>
      </w:r>
      <w:r w:rsidR="00414260">
        <w:t xml:space="preserve">maging </w:t>
      </w:r>
      <w:r w:rsidR="0000251A">
        <w:t>R</w:t>
      </w:r>
      <w:r w:rsidR="00414260">
        <w:t>eporting and Data System (</w:t>
      </w:r>
      <w:r w:rsidR="00275D65">
        <w:t>BIRADS</w:t>
      </w:r>
      <w:r w:rsidR="00414260">
        <w:t xml:space="preserve">) </w:t>
      </w:r>
      <w:r w:rsidR="006B5123">
        <w:t>classification.</w:t>
      </w:r>
      <w:r w:rsidR="0055619E" w:rsidRPr="0055619E">
        <w:t xml:space="preserve"> </w:t>
      </w:r>
      <w:bookmarkStart w:id="23" w:name="_Hlk507662275"/>
    </w:p>
    <w:bookmarkEnd w:id="23"/>
    <w:p w14:paraId="5B7FFB77" w14:textId="41C7FF0A" w:rsidR="00DC6AA2" w:rsidRDefault="00A931EF" w:rsidP="00DC6AA2">
      <w:pPr>
        <w:pStyle w:val="Caption"/>
      </w:pPr>
      <w:r>
        <w:t>Figure</w:t>
      </w:r>
      <w:r w:rsidR="00DC6AA2">
        <w:t xml:space="preserve"> 1: Breast density classification using </w:t>
      </w:r>
      <w:r w:rsidR="00275D65">
        <w:t>BIRADS</w:t>
      </w:r>
      <w:r w:rsidR="00DC6AA2">
        <w:t xml:space="preserve"> (reproduced from </w:t>
      </w:r>
      <w:hyperlink r:id="rId15" w:history="1">
        <w:r w:rsidR="00DC6AA2" w:rsidRPr="00A27E0F">
          <w:rPr>
            <w:rStyle w:val="Hyperlink"/>
          </w:rPr>
          <w:t>http://www.informd.org.au</w:t>
        </w:r>
      </w:hyperlink>
      <w:r w:rsidR="00DC6AA2">
        <w:t>)</w:t>
      </w:r>
      <w:r w:rsidR="007D5EF2" w:rsidRPr="007D5EF2">
        <w:rPr>
          <w:noProof/>
          <w:lang w:val="en-AU" w:eastAsia="en-AU"/>
        </w:rPr>
        <w:t xml:space="preserve"> </w:t>
      </w:r>
      <w:r w:rsidR="007D5EF2">
        <w:rPr>
          <w:noProof/>
          <w:lang w:val="en-AU" w:eastAsia="en-AU"/>
        </w:rPr>
        <w:drawing>
          <wp:inline distT="0" distB="0" distL="0" distR="0" wp14:anchorId="74F57B11" wp14:editId="6F6F2AF0">
            <wp:extent cx="5760085" cy="3304030"/>
            <wp:effectExtent l="0" t="0" r="0" b="0"/>
            <wp:docPr id="2" name="Picture 2" descr="Image result for breast density categories breast screen australia showing 4 breast density classifications using BIRADS consisting of mostly fatty, scattered density, consisent (Heterogenous) density, and extremely de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east density categories breast screen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304030"/>
                    </a:xfrm>
                    <a:prstGeom prst="rect">
                      <a:avLst/>
                    </a:prstGeom>
                    <a:noFill/>
                    <a:ln>
                      <a:noFill/>
                    </a:ln>
                  </pic:spPr>
                </pic:pic>
              </a:graphicData>
            </a:graphic>
          </wp:inline>
        </w:drawing>
      </w:r>
    </w:p>
    <w:p w14:paraId="57DEE81C" w14:textId="77777777" w:rsidR="00DC6AA2" w:rsidRDefault="00DC6AA2" w:rsidP="00EE23AC">
      <w:pPr>
        <w:pStyle w:val="BodyText"/>
      </w:pPr>
    </w:p>
    <w:p w14:paraId="1D7B58E2" w14:textId="7CF0A9D0" w:rsidR="00986A3D" w:rsidRPr="0055619E" w:rsidRDefault="00986A3D" w:rsidP="00986A3D">
      <w:pPr>
        <w:pStyle w:val="BodyText"/>
      </w:pPr>
      <w:r w:rsidRPr="0055619E">
        <w:t xml:space="preserve">Breast density values are a continuous range. The amount of breast density ranges from negligible </w:t>
      </w:r>
      <w:r w:rsidR="00031DF0">
        <w:t>(</w:t>
      </w:r>
      <w:r w:rsidR="00275D65">
        <w:t>BIRADS</w:t>
      </w:r>
      <w:r w:rsidR="00031DF0">
        <w:t xml:space="preserve"> 1: mostly fatty) </w:t>
      </w:r>
      <w:r w:rsidRPr="0055619E">
        <w:t>through to a majority of the breast area</w:t>
      </w:r>
      <w:r w:rsidR="00031DF0">
        <w:t xml:space="preserve"> (</w:t>
      </w:r>
      <w:r w:rsidR="00275D65">
        <w:t>BIRADS</w:t>
      </w:r>
      <w:r w:rsidR="00031DF0">
        <w:t xml:space="preserve"> 4: extremely dense)</w:t>
      </w:r>
      <w:r w:rsidRPr="0055619E">
        <w:t>. Breast density declines with age, with international research indicating more than half of women under the age of 50 years have more dense breasts; for women over 50 years of age about one third have more dense breasts</w:t>
      </w:r>
      <w:r>
        <w:t xml:space="preserve"> (Berg et al., 2008)</w:t>
      </w:r>
      <w:r w:rsidRPr="0055619E">
        <w:t>.</w:t>
      </w:r>
      <w:r w:rsidRPr="00DA1B9C">
        <w:t xml:space="preserve"> </w:t>
      </w:r>
    </w:p>
    <w:p w14:paraId="200DA05C" w14:textId="4440A688" w:rsidR="00EE23AC" w:rsidRDefault="00EE23AC" w:rsidP="00EE23AC">
      <w:pPr>
        <w:pStyle w:val="BodyText"/>
      </w:pPr>
      <w:r>
        <w:t xml:space="preserve">Bilateral </w:t>
      </w:r>
      <w:r w:rsidR="00761B6F">
        <w:t>full-field digital mammography (</w:t>
      </w:r>
      <w:r>
        <w:t>FFDM</w:t>
      </w:r>
      <w:r w:rsidR="00761B6F">
        <w:t>)</w:t>
      </w:r>
      <w:r>
        <w:t xml:space="preserve"> is the current “gold standard” screening test for early detection of breast cancer in most national breast cancer screening programs including the </w:t>
      </w:r>
      <w:r>
        <w:lastRenderedPageBreak/>
        <w:t>B</w:t>
      </w:r>
      <w:r w:rsidR="00713A09">
        <w:t>reast</w:t>
      </w:r>
      <w:r>
        <w:t>S</w:t>
      </w:r>
      <w:r w:rsidR="00713A09">
        <w:t xml:space="preserve">creen </w:t>
      </w:r>
      <w:r>
        <w:t>A</w:t>
      </w:r>
      <w:r w:rsidR="00713A09">
        <w:t>ustralia (BSA)</w:t>
      </w:r>
      <w:r>
        <w:t xml:space="preserve"> program</w:t>
      </w:r>
      <w:r w:rsidR="00713A09">
        <w:t xml:space="preserve">. These programs are population-based and </w:t>
      </w:r>
      <w:r>
        <w:t xml:space="preserve">designed for average-risk, asymptomatic women. </w:t>
      </w:r>
      <w:r w:rsidR="007364BB">
        <w:t>As discussed in Chapter 3 of this report, w</w:t>
      </w:r>
      <w:r w:rsidR="00E461B3">
        <w:t>e know that women with more dense breasts have elevated cancer risk and that b</w:t>
      </w:r>
      <w:r w:rsidR="0055619E" w:rsidRPr="0055619E">
        <w:t xml:space="preserve">reast density </w:t>
      </w:r>
      <w:r w:rsidR="00E461B3">
        <w:t xml:space="preserve">can </w:t>
      </w:r>
      <w:r w:rsidR="00DA1B9C">
        <w:t xml:space="preserve">also </w:t>
      </w:r>
      <w:r w:rsidR="00E461B3">
        <w:t xml:space="preserve">have </w:t>
      </w:r>
      <w:r w:rsidR="0055619E" w:rsidRPr="0055619E">
        <w:t xml:space="preserve">an impact on </w:t>
      </w:r>
      <w:r w:rsidR="00713A09">
        <w:t xml:space="preserve">the sensitivity of </w:t>
      </w:r>
      <w:r w:rsidR="0055619E" w:rsidRPr="0055619E">
        <w:t xml:space="preserve">screening </w:t>
      </w:r>
      <w:r w:rsidR="00713A09">
        <w:t xml:space="preserve">with </w:t>
      </w:r>
      <w:r w:rsidR="0055619E" w:rsidRPr="0055619E">
        <w:t>mammography.</w:t>
      </w:r>
      <w:r w:rsidRPr="00EE23AC">
        <w:t xml:space="preserve"> </w:t>
      </w:r>
      <w:r w:rsidR="005B7368">
        <w:t xml:space="preserve">When </w:t>
      </w:r>
      <w:r w:rsidR="0055619E" w:rsidRPr="0055619E">
        <w:t>FFDM</w:t>
      </w:r>
      <w:r w:rsidR="005B7368">
        <w:t xml:space="preserve"> is used</w:t>
      </w:r>
      <w:r w:rsidR="0055619E" w:rsidRPr="0055619E">
        <w:t xml:space="preserve">, sensitivity for cancer detection can be lower </w:t>
      </w:r>
      <w:r w:rsidR="00E461B3">
        <w:t xml:space="preserve">for women with more dense breasts </w:t>
      </w:r>
      <w:r w:rsidR="0055619E" w:rsidRPr="0055619E">
        <w:t>because, due to their similar X-ray attenuation properties, cancers may also appear as white areas on mammograms</w:t>
      </w:r>
      <w:r w:rsidR="00BF6DB4" w:rsidRPr="00BF6DB4">
        <w:t xml:space="preserve"> </w:t>
      </w:r>
      <w:r w:rsidR="00BF6DB4">
        <w:t>(</w:t>
      </w:r>
      <w:r w:rsidR="004F6833">
        <w:rPr>
          <w:i/>
        </w:rPr>
        <w:t xml:space="preserve">NB </w:t>
      </w:r>
      <w:r w:rsidR="00BF6DB4">
        <w:t>fat has a lower X-ray attenuation and appears darker, making cancers in less dense breasts easier to see)</w:t>
      </w:r>
      <w:r w:rsidR="0055619E" w:rsidRPr="0055619E">
        <w:t xml:space="preserve">. Also, certain dense breast structures can be superimposed </w:t>
      </w:r>
      <w:r w:rsidR="005B7368">
        <w:t xml:space="preserve">with mammographic compression </w:t>
      </w:r>
      <w:r w:rsidR="0055619E" w:rsidRPr="0055619E">
        <w:t xml:space="preserve">which can mask cancers or make areas of normal tissue appear suspicious for cancer. </w:t>
      </w:r>
      <w:r w:rsidR="00605EBC" w:rsidRPr="0055619E">
        <w:t xml:space="preserve">Together, </w:t>
      </w:r>
      <w:r>
        <w:t xml:space="preserve">conspicuity is reduced making it </w:t>
      </w:r>
      <w:r w:rsidR="007364BB">
        <w:t xml:space="preserve">more </w:t>
      </w:r>
      <w:r>
        <w:t>difficult for readers to clearly differentiate between normal tissue and malignancy.</w:t>
      </w:r>
      <w:r w:rsidRPr="0055619E">
        <w:t xml:space="preserve"> </w:t>
      </w:r>
      <w:r>
        <w:t>T</w:t>
      </w:r>
      <w:r w:rsidR="00605EBC" w:rsidRPr="0055619E">
        <w:t>his makes some cancers more difficult to detect in so</w:t>
      </w:r>
      <w:r w:rsidR="00605EBC">
        <w:t>me women with more dense breasts</w:t>
      </w:r>
      <w:r>
        <w:t xml:space="preserve"> and </w:t>
      </w:r>
      <w:r w:rsidR="00605EBC" w:rsidRPr="00E44152">
        <w:t xml:space="preserve">can interfere with the </w:t>
      </w:r>
      <w:r w:rsidR="005B7368">
        <w:t xml:space="preserve">accurate </w:t>
      </w:r>
      <w:r w:rsidR="00605EBC" w:rsidRPr="00E44152">
        <w:t>interpretation of mammograms.</w:t>
      </w:r>
      <w:r w:rsidR="00605EBC">
        <w:t xml:space="preserve"> </w:t>
      </w:r>
      <w:r w:rsidR="007364BB">
        <w:t xml:space="preserve">Classification </w:t>
      </w:r>
      <w:r w:rsidR="005B7368">
        <w:t xml:space="preserve">of breast density </w:t>
      </w:r>
      <w:r w:rsidR="007364BB">
        <w:t>relies on some subjective elements</w:t>
      </w:r>
      <w:r w:rsidR="00174900">
        <w:t>,</w:t>
      </w:r>
      <w:r w:rsidR="007364BB">
        <w:t xml:space="preserve"> </w:t>
      </w:r>
      <w:r w:rsidR="00362A3B">
        <w:t xml:space="preserve">such as qualitative visual assessment to give an estimate of breast density, </w:t>
      </w:r>
      <w:r w:rsidR="007364BB">
        <w:t>which means that a</w:t>
      </w:r>
      <w:r w:rsidR="007364BB" w:rsidRPr="0055619E">
        <w:t xml:space="preserve"> woman may get different results depending on how her mammogram is analysed or who analyses it.</w:t>
      </w:r>
      <w:r w:rsidR="007364BB">
        <w:t xml:space="preserve"> </w:t>
      </w:r>
      <w:bookmarkEnd w:id="21"/>
    </w:p>
    <w:p w14:paraId="6FA7BC6A" w14:textId="77777777" w:rsidR="005B7368" w:rsidRDefault="00657A19" w:rsidP="0055619E">
      <w:pPr>
        <w:pStyle w:val="BodyText"/>
      </w:pPr>
      <w:r>
        <w:t>In screening programs, radiologists and breast physicians make assessments of breast density as part of the interpretation of mammograms; however, it is not clear if knowing breast density</w:t>
      </w:r>
      <w:r w:rsidR="005B7368">
        <w:t>:</w:t>
      </w:r>
    </w:p>
    <w:p w14:paraId="6CD8648F" w14:textId="6EBFA1AB" w:rsidR="005B7368" w:rsidRDefault="00657A19" w:rsidP="005B7368">
      <w:pPr>
        <w:pStyle w:val="List-BulletLvl1"/>
      </w:pPr>
      <w:r>
        <w:t>impacts on clinical outcomes associated with breast cancer</w:t>
      </w:r>
    </w:p>
    <w:p w14:paraId="37F9B8C2" w14:textId="48AA136F" w:rsidR="005B7368" w:rsidRDefault="00657A19" w:rsidP="005B7368">
      <w:pPr>
        <w:pStyle w:val="List-BulletLvl1"/>
      </w:pPr>
      <w:r>
        <w:t xml:space="preserve">changes clinician behaviour (in terms of </w:t>
      </w:r>
      <w:r w:rsidR="00B23A3E">
        <w:t xml:space="preserve">the </w:t>
      </w:r>
      <w:r>
        <w:t xml:space="preserve">advice provided to women about cancer screening </w:t>
      </w:r>
      <w:r w:rsidR="005B7368">
        <w:t xml:space="preserve">participation </w:t>
      </w:r>
      <w:r>
        <w:t>or screening pathway advice and indications)</w:t>
      </w:r>
      <w:r w:rsidR="005B7368">
        <w:t>,</w:t>
      </w:r>
      <w:r>
        <w:t xml:space="preserve"> or </w:t>
      </w:r>
    </w:p>
    <w:p w14:paraId="39BE557C" w14:textId="77777777" w:rsidR="005B7368" w:rsidRDefault="005B7368" w:rsidP="005B7368">
      <w:pPr>
        <w:pStyle w:val="List-BulletLvl1"/>
      </w:pPr>
      <w:proofErr w:type="gramStart"/>
      <w:r>
        <w:t>changes</w:t>
      </w:r>
      <w:proofErr w:type="gramEnd"/>
      <w:r>
        <w:t xml:space="preserve"> </w:t>
      </w:r>
      <w:r w:rsidR="00657A19">
        <w:t>women’s behaviour</w:t>
      </w:r>
      <w:r w:rsidR="00B23A3E">
        <w:t xml:space="preserve"> and choices when it comes to participating in breast cancer screening (either with mammography or other screening modalities)</w:t>
      </w:r>
      <w:r w:rsidR="00657A19">
        <w:t xml:space="preserve">. </w:t>
      </w:r>
    </w:p>
    <w:p w14:paraId="45CD9D1F" w14:textId="4DBBD3EF" w:rsidR="005B790D" w:rsidRDefault="005B790D" w:rsidP="00D612D3">
      <w:pPr>
        <w:pStyle w:val="BodyText"/>
      </w:pPr>
      <w:r>
        <w:t>Different screening programs assess, record and report on breast density in different ways, with some states in the United States providing comprehensive information to women and other jurisdictions providing less (or no) reporting. In Australia, only the Western Australia BSA program provides notification of breast density to women.</w:t>
      </w:r>
      <w:r w:rsidR="00A53CA1">
        <w:t xml:space="preserve"> In New Zealand, Breast Screen Aotearoa (the national breast cancer screening program) does not currently measure breast density, based on its 2016 review of the evidence on breast density (</w:t>
      </w:r>
      <w:r w:rsidR="003B6BE5">
        <w:t>National Screening Unit</w:t>
      </w:r>
      <w:r w:rsidR="005664C7">
        <w:t>, 2016</w:t>
      </w:r>
      <w:r w:rsidR="00A53CA1">
        <w:t>).</w:t>
      </w:r>
      <w:r w:rsidR="005664C7">
        <w:t xml:space="preserve"> It states:</w:t>
      </w:r>
    </w:p>
    <w:p w14:paraId="7C1194D6" w14:textId="730B56BA" w:rsidR="005664C7" w:rsidRDefault="005664C7" w:rsidP="005664C7">
      <w:pPr>
        <w:pStyle w:val="Quote"/>
      </w:pPr>
      <w:r>
        <w:t xml:space="preserve">“For women with dense breasts who otherwise have an average risk of breast cancer, there is insufficient evidence to recommend additional imaging (such as ultrasound or MRI). The harms of extra imaging, such as causing anxiety, unnecessary needle biopsies, over-diagnosis and cost, are likely to outweigh the benefits. This is the reason breast density is not currently measured within the </w:t>
      </w:r>
      <w:r w:rsidR="00770AE3">
        <w:t>[Breast Screen Aotearoa]</w:t>
      </w:r>
      <w:r>
        <w:t xml:space="preserve"> programme.”</w:t>
      </w:r>
    </w:p>
    <w:p w14:paraId="4987C922" w14:textId="77777777" w:rsidR="00BE7136" w:rsidRDefault="00BE7136" w:rsidP="00BE7136">
      <w:pPr>
        <w:pStyle w:val="NumberedHeading2"/>
      </w:pPr>
      <w:bookmarkStart w:id="24" w:name="_Toc518922186"/>
      <w:r>
        <w:t>BreastScreen Australia</w:t>
      </w:r>
      <w:r w:rsidR="00174065">
        <w:t xml:space="preserve">’s </w:t>
      </w:r>
      <w:r>
        <w:t xml:space="preserve">current position on </w:t>
      </w:r>
      <w:r w:rsidR="003E7D0A">
        <w:t>breast density and screening</w:t>
      </w:r>
      <w:bookmarkEnd w:id="24"/>
    </w:p>
    <w:p w14:paraId="793BECB3" w14:textId="1CCCF25A" w:rsidR="00E54D8B" w:rsidRDefault="0055619E" w:rsidP="0055619E">
      <w:pPr>
        <w:pStyle w:val="BodyText"/>
      </w:pPr>
      <w:r>
        <w:t xml:space="preserve">The </w:t>
      </w:r>
      <w:r w:rsidR="002627ED">
        <w:t>BSA</w:t>
      </w:r>
      <w:r>
        <w:t xml:space="preserve"> program</w:t>
      </w:r>
      <w:r w:rsidR="00441B6B">
        <w:t xml:space="preserve"> has a current position statement </w:t>
      </w:r>
      <w:r w:rsidR="003E7D0A">
        <w:t xml:space="preserve">on breast density and screening </w:t>
      </w:r>
      <w:r w:rsidR="00441B6B">
        <w:t xml:space="preserve">(BreastScreen Australia, 2016). </w:t>
      </w:r>
      <w:r w:rsidR="00BD2562">
        <w:t>B</w:t>
      </w:r>
      <w:r>
        <w:t xml:space="preserve">ased on the current Standing Committee recommendations, </w:t>
      </w:r>
      <w:r w:rsidR="00A013E4">
        <w:t xml:space="preserve">the BSA program </w:t>
      </w:r>
      <w:r>
        <w:t xml:space="preserve">does not routinely record breast density or provide supplemental </w:t>
      </w:r>
      <w:r w:rsidR="00403BDB">
        <w:t xml:space="preserve">testing </w:t>
      </w:r>
      <w:r>
        <w:t>using other technologies for women with dense breasts.</w:t>
      </w:r>
      <w:r w:rsidR="00E54D8B">
        <w:t xml:space="preserve"> The position statement says:</w:t>
      </w:r>
    </w:p>
    <w:p w14:paraId="0AF47695" w14:textId="77777777" w:rsidR="00E54D8B" w:rsidRPr="005664C7" w:rsidRDefault="00E54D8B" w:rsidP="005664C7">
      <w:pPr>
        <w:pStyle w:val="Quote"/>
        <w:rPr>
          <w:rStyle w:val="IntenseEmphasis"/>
          <w:i/>
          <w:iCs/>
          <w:color w:val="000000" w:themeColor="text1"/>
        </w:rPr>
      </w:pPr>
      <w:r w:rsidRPr="005664C7">
        <w:rPr>
          <w:rStyle w:val="IntenseEmphasis"/>
          <w:i/>
          <w:iCs/>
          <w:color w:val="000000" w:themeColor="text1"/>
        </w:rPr>
        <w:t>“There is no randomised controlled trial data that shows supplemental screening (such as MRI, ultrasound or tomosynthesis) saves additional lives for asymptomatic women with dense breasts and no other risk factors.”</w:t>
      </w:r>
    </w:p>
    <w:p w14:paraId="5F75E6CD" w14:textId="77777777" w:rsidR="0055619E" w:rsidRDefault="00242F99" w:rsidP="0055619E">
      <w:pPr>
        <w:pStyle w:val="BodyText"/>
      </w:pPr>
      <w:r>
        <w:t>The Standing Committee</w:t>
      </w:r>
      <w:r w:rsidR="0063700C">
        <w:t xml:space="preserve"> recommend</w:t>
      </w:r>
      <w:r w:rsidR="00C15E4E">
        <w:t xml:space="preserve">ed </w:t>
      </w:r>
      <w:r w:rsidR="0063700C">
        <w:t xml:space="preserve">mammography as the best screening test for the early detection of breast cancer in all asymptomatic women, including women with dense breasts. </w:t>
      </w:r>
      <w:r w:rsidR="003E7D0A">
        <w:t>This</w:t>
      </w:r>
      <w:r w:rsidR="00780D72">
        <w:t xml:space="preserve"> </w:t>
      </w:r>
      <w:r w:rsidR="00780D72">
        <w:lastRenderedPageBreak/>
        <w:t>recommendation was made</w:t>
      </w:r>
      <w:r w:rsidR="003E7D0A">
        <w:t xml:space="preserve"> because, at 2016, there were evidence gaps relating to how breast density should be assessed </w:t>
      </w:r>
      <w:r w:rsidR="0063700C">
        <w:t>and validated. There were also gaps about whether women with more dense breasts benefit more from different screening strategies compared to women with less dense breasts, or if their screening-related clinical outcomes differed</w:t>
      </w:r>
      <w:r w:rsidR="003E7D0A">
        <w:t>.</w:t>
      </w:r>
      <w:r w:rsidR="00D460B3">
        <w:t xml:space="preserve"> </w:t>
      </w:r>
      <w:r w:rsidR="0055619E">
        <w:t xml:space="preserve">The </w:t>
      </w:r>
      <w:r w:rsidR="00A53CA1">
        <w:t xml:space="preserve">position statement </w:t>
      </w:r>
      <w:r w:rsidR="0055619E">
        <w:t>note</w:t>
      </w:r>
      <w:r w:rsidR="0063700C">
        <w:t>d</w:t>
      </w:r>
      <w:r w:rsidR="0055619E">
        <w:t xml:space="preserve"> that breast density may have a role in determining the frequency and method of an individual’s breast screening in the future, and that further research is required</w:t>
      </w:r>
      <w:r w:rsidR="0063700C">
        <w:t xml:space="preserve"> before</w:t>
      </w:r>
      <w:r w:rsidR="00E54D8B">
        <w:t xml:space="preserve"> any new approach to managing or reporting on breast density is considered</w:t>
      </w:r>
      <w:r w:rsidR="0055619E">
        <w:t xml:space="preserve">. </w:t>
      </w:r>
    </w:p>
    <w:p w14:paraId="49243AE9" w14:textId="77777777" w:rsidR="0055619E" w:rsidRDefault="0055619E" w:rsidP="00A42567">
      <w:pPr>
        <w:pStyle w:val="NumberedHeading2"/>
      </w:pPr>
      <w:bookmarkStart w:id="25" w:name="_Toc518922187"/>
      <w:r>
        <w:t>Purpose and scope of this literature review</w:t>
      </w:r>
      <w:bookmarkEnd w:id="25"/>
    </w:p>
    <w:p w14:paraId="0DF4E0D4" w14:textId="77777777" w:rsidR="00232E4D" w:rsidRDefault="00D460B3" w:rsidP="00E461B3">
      <w:pPr>
        <w:pStyle w:val="BodyText"/>
      </w:pPr>
      <w:r>
        <w:t xml:space="preserve">With </w:t>
      </w:r>
      <w:r w:rsidR="00087D6A">
        <w:t xml:space="preserve">media </w:t>
      </w:r>
      <w:r>
        <w:t xml:space="preserve">interest heightened about breast density and how it relates to mammographic screening, the Department of Health has received </w:t>
      </w:r>
      <w:r w:rsidRPr="00A42567">
        <w:t>consumer</w:t>
      </w:r>
      <w:r>
        <w:t xml:space="preserve"> interest from women who would like to hear whether they have </w:t>
      </w:r>
      <w:r w:rsidR="00A42567">
        <w:t xml:space="preserve">more or less </w:t>
      </w:r>
      <w:r>
        <w:t>dense</w:t>
      </w:r>
      <w:r w:rsidR="00A42567">
        <w:t xml:space="preserve"> </w:t>
      </w:r>
      <w:r>
        <w:t>breasts when they have a mammogram</w:t>
      </w:r>
      <w:r w:rsidR="00D23723">
        <w:t xml:space="preserve">. </w:t>
      </w:r>
    </w:p>
    <w:p w14:paraId="0661D2E0" w14:textId="77777777" w:rsidR="0055619E" w:rsidRDefault="0055619E" w:rsidP="00A42567">
      <w:pPr>
        <w:pStyle w:val="BodyText"/>
      </w:pPr>
      <w:r>
        <w:t>The Department of Health has commissioned Allen + Clarke Policy and Regulatory Specialists Limited (</w:t>
      </w:r>
      <w:r>
        <w:rPr>
          <w:i/>
        </w:rPr>
        <w:t>Allen + Clarke</w:t>
      </w:r>
      <w:r>
        <w:t>) to:</w:t>
      </w:r>
    </w:p>
    <w:p w14:paraId="71E39524" w14:textId="77777777" w:rsidR="0055619E" w:rsidRDefault="0055619E" w:rsidP="00522F1A">
      <w:pPr>
        <w:pStyle w:val="List-BulletLvl1"/>
      </w:pPr>
      <w:r>
        <w:t>complete a literature review of the evidence base on the management and reporting of breast density in asymptomatic women aged over 40 years, and</w:t>
      </w:r>
    </w:p>
    <w:p w14:paraId="42DD8801" w14:textId="77777777" w:rsidR="0055619E" w:rsidRDefault="0055619E" w:rsidP="00522F1A">
      <w:pPr>
        <w:pStyle w:val="List-BulletLvl1"/>
      </w:pPr>
      <w:proofErr w:type="gramStart"/>
      <w:r>
        <w:t>prepare</w:t>
      </w:r>
      <w:proofErr w:type="gramEnd"/>
      <w:r>
        <w:t xml:space="preserve"> any updates </w:t>
      </w:r>
      <w:r w:rsidR="00087D6A">
        <w:t xml:space="preserve">to </w:t>
      </w:r>
      <w:r>
        <w:t>BSA’s position statement on breast density</w:t>
      </w:r>
      <w:r w:rsidR="00087D6A">
        <w:t xml:space="preserve"> and screening</w:t>
      </w:r>
      <w:r>
        <w:t xml:space="preserve"> if considered necessary by the Breast Screening Technical Reference Group and</w:t>
      </w:r>
      <w:r w:rsidR="00087D6A">
        <w:t>/or</w:t>
      </w:r>
      <w:r>
        <w:t xml:space="preserve"> BSA program managers.</w:t>
      </w:r>
    </w:p>
    <w:p w14:paraId="47B76701" w14:textId="77777777" w:rsidR="00F84BC5" w:rsidRDefault="0055619E" w:rsidP="0055619E">
      <w:pPr>
        <w:pStyle w:val="BodyText"/>
      </w:pPr>
      <w:r>
        <w:t>We want to know</w:t>
      </w:r>
      <w:r w:rsidR="00F84BC5">
        <w:t>:</w:t>
      </w:r>
    </w:p>
    <w:p w14:paraId="61F766A1" w14:textId="77777777" w:rsidR="004A00DD" w:rsidRPr="00261D24" w:rsidRDefault="004A00DD" w:rsidP="004A00DD">
      <w:pPr>
        <w:pStyle w:val="List-BulletLvl1"/>
      </w:pPr>
      <w:r>
        <w:t xml:space="preserve">the best (and </w:t>
      </w:r>
      <w:r w:rsidRPr="00261D24">
        <w:t>validated</w:t>
      </w:r>
      <w:r>
        <w:t xml:space="preserve">) ways to measure </w:t>
      </w:r>
      <w:r w:rsidRPr="00261D24">
        <w:t>breast density</w:t>
      </w:r>
    </w:p>
    <w:p w14:paraId="6B292373" w14:textId="77777777" w:rsidR="00F84BC5" w:rsidRDefault="003A47C1" w:rsidP="00F84BC5">
      <w:pPr>
        <w:pStyle w:val="List-BulletLvl1"/>
      </w:pPr>
      <w:r w:rsidRPr="00261D24">
        <w:t>the established increase in risk of breast cancer for women with more dense breasts, the relative risk of breast cancer by age and by breast density and how</w:t>
      </w:r>
      <w:r>
        <w:t xml:space="preserve"> (or if)</w:t>
      </w:r>
      <w:r w:rsidRPr="00261D24">
        <w:t xml:space="preserve"> the association between breast density and risk changes with adjustment for age</w:t>
      </w:r>
    </w:p>
    <w:p w14:paraId="2441E160" w14:textId="77777777" w:rsidR="009770CF" w:rsidRPr="00261D24" w:rsidRDefault="009770CF" w:rsidP="009770CF">
      <w:pPr>
        <w:pStyle w:val="List-BulletLvl1"/>
      </w:pPr>
      <w:r>
        <w:t xml:space="preserve">the </w:t>
      </w:r>
      <w:r w:rsidRPr="00261D24">
        <w:t xml:space="preserve">degree </w:t>
      </w:r>
      <w:r>
        <w:t xml:space="preserve">to which </w:t>
      </w:r>
      <w:r w:rsidRPr="00261D24">
        <w:t>breast density masks breast cancer in modern digital mammogra</w:t>
      </w:r>
      <w:r>
        <w:t>phy</w:t>
      </w:r>
    </w:p>
    <w:p w14:paraId="0E6FD740" w14:textId="05623616" w:rsidR="00F84BC5" w:rsidRDefault="00F84BC5" w:rsidP="00B56335">
      <w:pPr>
        <w:pStyle w:val="List-BulletLvl1"/>
      </w:pPr>
      <w:r>
        <w:t xml:space="preserve">the role of supplemental </w:t>
      </w:r>
      <w:r w:rsidR="00274FB8">
        <w:t>testing</w:t>
      </w:r>
      <w:r>
        <w:t xml:space="preserve"> </w:t>
      </w:r>
      <w:r w:rsidR="004C05EA">
        <w:t>in the early detection of breast cancer in asymptomatic women with dense breasts</w:t>
      </w:r>
    </w:p>
    <w:p w14:paraId="73A16EA4" w14:textId="77777777" w:rsidR="00F84BC5" w:rsidRDefault="00F84BC5" w:rsidP="00F84BC5">
      <w:pPr>
        <w:pStyle w:val="List-BulletLvl1"/>
      </w:pPr>
      <w:r>
        <w:t xml:space="preserve">if there have been any changes in screening participation or health and psychosocial outcomes for women who have received information about their breast density, and </w:t>
      </w:r>
    </w:p>
    <w:p w14:paraId="131E72DB" w14:textId="77777777" w:rsidR="00F84BC5" w:rsidRDefault="00F84BC5" w:rsidP="00F84BC5">
      <w:pPr>
        <w:pStyle w:val="List-BulletLvl1"/>
      </w:pPr>
      <w:proofErr w:type="gramStart"/>
      <w:r>
        <w:t>notification</w:t>
      </w:r>
      <w:proofErr w:type="gramEnd"/>
      <w:r>
        <w:t xml:space="preserve"> and reporting of breast density to women and health practitioners</w:t>
      </w:r>
      <w:r w:rsidR="00D23723">
        <w:t xml:space="preserve">. </w:t>
      </w:r>
    </w:p>
    <w:p w14:paraId="1228F6FB" w14:textId="77777777" w:rsidR="00B45C94" w:rsidRDefault="006D02C1" w:rsidP="0055619E">
      <w:pPr>
        <w:pStyle w:val="BodyText"/>
      </w:pPr>
      <w:bookmarkStart w:id="26" w:name="_Hlk506702257"/>
      <w:r>
        <w:t>Initially, t</w:t>
      </w:r>
      <w:r w:rsidR="0055619E">
        <w:t xml:space="preserve">he answers to these questions will support the Breast Screening Technical Reference Group’s consideration of what updates (if any) are needed to BSA’s position statement on breast density. </w:t>
      </w:r>
    </w:p>
    <w:p w14:paraId="4897B03C" w14:textId="77777777" w:rsidR="0055619E" w:rsidRDefault="0055619E" w:rsidP="0055619E">
      <w:pPr>
        <w:pStyle w:val="BodyText"/>
        <w:rPr>
          <w:rFonts w:asciiTheme="majorHAnsi" w:hAnsiTheme="majorHAnsi"/>
          <w:b/>
          <w:color w:val="36424A" w:themeColor="text2"/>
          <w:sz w:val="28"/>
        </w:rPr>
      </w:pPr>
      <w:r>
        <w:t xml:space="preserve">The literature review is not a systematic review. No original meta-analysis or other pooled analysis was completed. </w:t>
      </w:r>
    </w:p>
    <w:bookmarkEnd w:id="26"/>
    <w:p w14:paraId="7E50B859" w14:textId="77777777" w:rsidR="004A6070" w:rsidRDefault="004A6070">
      <w:pPr>
        <w:rPr>
          <w:rFonts w:asciiTheme="majorHAnsi" w:hAnsiTheme="majorHAnsi"/>
          <w:b/>
          <w:color w:val="36424A" w:themeColor="text2"/>
          <w:sz w:val="28"/>
        </w:rPr>
      </w:pPr>
      <w:r>
        <w:br w:type="page"/>
      </w:r>
    </w:p>
    <w:p w14:paraId="79BD2444" w14:textId="77777777" w:rsidR="0055619E" w:rsidRDefault="0055619E" w:rsidP="00232E4D">
      <w:pPr>
        <w:pStyle w:val="NumberedHeading2"/>
      </w:pPr>
      <w:bookmarkStart w:id="27" w:name="_Toc518922188"/>
      <w:r w:rsidRPr="00232E4D">
        <w:lastRenderedPageBreak/>
        <w:t>Ongoing</w:t>
      </w:r>
      <w:r>
        <w:t xml:space="preserve"> research</w:t>
      </w:r>
      <w:bookmarkEnd w:id="27"/>
    </w:p>
    <w:p w14:paraId="6825414F" w14:textId="3C5CB0EA" w:rsidR="0055619E" w:rsidRDefault="0055619E" w:rsidP="0055619E">
      <w:pPr>
        <w:pStyle w:val="BodyText"/>
      </w:pPr>
      <w:r>
        <w:t xml:space="preserve">Our review of </w:t>
      </w:r>
      <w:hyperlink r:id="rId17" w:history="1">
        <w:r>
          <w:rPr>
            <w:rStyle w:val="Hyperlink"/>
          </w:rPr>
          <w:t>www.clinicaltrials.gov</w:t>
        </w:r>
      </w:hyperlink>
      <w:r>
        <w:t xml:space="preserve"> (completed on </w:t>
      </w:r>
      <w:r w:rsidR="00032002">
        <w:t>2 July 2018)</w:t>
      </w:r>
      <w:r>
        <w:t xml:space="preserve"> identified </w:t>
      </w:r>
      <w:r w:rsidR="00610D2D">
        <w:t>three</w:t>
      </w:r>
      <w:r>
        <w:t xml:space="preserve"> large studies investigating screening modalities and </w:t>
      </w:r>
      <w:r w:rsidR="00F84BC5">
        <w:t xml:space="preserve">screening </w:t>
      </w:r>
      <w:r>
        <w:t>frequency in women with dense breasts</w:t>
      </w:r>
      <w:r w:rsidR="0096240B">
        <w:t xml:space="preserve">. These studies are recruiting women where </w:t>
      </w:r>
      <w:r w:rsidR="00296314">
        <w:t xml:space="preserve">increased breast density is their only risk </w:t>
      </w:r>
      <w:r w:rsidR="00CE738F">
        <w:t>factor:</w:t>
      </w:r>
    </w:p>
    <w:p w14:paraId="7847503C" w14:textId="19EEEA21" w:rsidR="0055619E" w:rsidRDefault="0055619E" w:rsidP="00522F1A">
      <w:pPr>
        <w:pStyle w:val="List-AlphanumericLvl1"/>
        <w:numPr>
          <w:ilvl w:val="0"/>
          <w:numId w:val="18"/>
        </w:numPr>
        <w:ind w:left="851"/>
        <w:jc w:val="both"/>
      </w:pPr>
      <w:r>
        <w:t>Breast</w:t>
      </w:r>
      <w:r w:rsidR="00A642A5">
        <w:t xml:space="preserve"> </w:t>
      </w:r>
      <w:r>
        <w:t xml:space="preserve">Cancer Screening </w:t>
      </w:r>
      <w:proofErr w:type="gramStart"/>
      <w:r>
        <w:t>With</w:t>
      </w:r>
      <w:proofErr w:type="gramEnd"/>
      <w:r>
        <w:t xml:space="preserve"> MRI in Women Aged 50-75 Years With Extremely Dense</w:t>
      </w:r>
      <w:r w:rsidR="00A642A5">
        <w:t xml:space="preserve"> </w:t>
      </w:r>
      <w:r>
        <w:t>Breast</w:t>
      </w:r>
      <w:r w:rsidR="00EE73D9">
        <w:t xml:space="preserve"> </w:t>
      </w:r>
      <w:r>
        <w:t>Tissue: the DENSE Trial</w:t>
      </w:r>
      <w:r w:rsidR="00032002">
        <w:t xml:space="preserve"> (estimated study completion date: December 2019)</w:t>
      </w:r>
      <w:r w:rsidR="00610D2D">
        <w:t>.</w:t>
      </w:r>
    </w:p>
    <w:p w14:paraId="7D98B83F" w14:textId="3778A858" w:rsidR="00032002" w:rsidRDefault="00032002" w:rsidP="00032002">
      <w:pPr>
        <w:pStyle w:val="List-AlphanumericLvl1"/>
        <w:numPr>
          <w:ilvl w:val="0"/>
          <w:numId w:val="18"/>
        </w:numPr>
        <w:ind w:left="851"/>
        <w:jc w:val="both"/>
      </w:pPr>
      <w:r>
        <w:t>Comparative Effectiveness of Breast Cancer Screening and Diagnostic Evaluation by Extent of Breast Density (estimated study completion date: September 2021).</w:t>
      </w:r>
    </w:p>
    <w:p w14:paraId="62DDF426" w14:textId="691CC103" w:rsidR="0055619E" w:rsidRDefault="0055619E" w:rsidP="00BE05E2">
      <w:pPr>
        <w:pStyle w:val="List-AlphanumericLvl1"/>
        <w:jc w:val="both"/>
      </w:pPr>
      <w:r>
        <w:t>Tailored Screening for</w:t>
      </w:r>
      <w:r w:rsidR="00EE73D9">
        <w:t xml:space="preserve"> </w:t>
      </w:r>
      <w:r>
        <w:t>Breast</w:t>
      </w:r>
      <w:r w:rsidR="00EE73D9">
        <w:t xml:space="preserve"> </w:t>
      </w:r>
      <w:r>
        <w:t>Cancer in Premenopausal Women. A Translational, Randomized Population-based Trial</w:t>
      </w:r>
      <w:r w:rsidR="00610D2D">
        <w:t xml:space="preserve"> (estimated study </w:t>
      </w:r>
      <w:r w:rsidR="00A97DF6">
        <w:t>completion</w:t>
      </w:r>
      <w:r w:rsidR="00610D2D">
        <w:t xml:space="preserve"> date: January 2022)</w:t>
      </w:r>
      <w:r>
        <w:t>.</w:t>
      </w:r>
    </w:p>
    <w:p w14:paraId="77EC3470" w14:textId="46BC9792" w:rsidR="0055619E" w:rsidRDefault="0055619E" w:rsidP="00BE05E2">
      <w:pPr>
        <w:pStyle w:val="BodyText"/>
      </w:pPr>
      <w:r>
        <w:t>T</w:t>
      </w:r>
      <w:r w:rsidR="00032002">
        <w:t>hree</w:t>
      </w:r>
      <w:r>
        <w:t xml:space="preserve"> </w:t>
      </w:r>
      <w:r w:rsidR="00032002">
        <w:t xml:space="preserve">further </w:t>
      </w:r>
      <w:r>
        <w:t xml:space="preserve">studies investigating the impact of breast density reporting were </w:t>
      </w:r>
      <w:r w:rsidR="00B45C94">
        <w:t xml:space="preserve">also </w:t>
      </w:r>
      <w:r>
        <w:t>identified, although these have small participant numbers:</w:t>
      </w:r>
    </w:p>
    <w:p w14:paraId="3BA49656" w14:textId="7EA3A3D7" w:rsidR="0055619E" w:rsidRDefault="0055619E" w:rsidP="00032002">
      <w:pPr>
        <w:pStyle w:val="BodyText"/>
        <w:numPr>
          <w:ilvl w:val="0"/>
          <w:numId w:val="30"/>
        </w:numPr>
      </w:pPr>
      <w:r>
        <w:t>Informed Implementation of Breast Density Reporting</w:t>
      </w:r>
      <w:r w:rsidR="00032002">
        <w:t xml:space="preserve"> (estimated study completion date: May 2018).</w:t>
      </w:r>
    </w:p>
    <w:p w14:paraId="34283F94" w14:textId="3F2800CB" w:rsidR="0055619E" w:rsidRDefault="0055619E" w:rsidP="00032002">
      <w:pPr>
        <w:pStyle w:val="BodyText"/>
        <w:numPr>
          <w:ilvl w:val="0"/>
          <w:numId w:val="30"/>
        </w:numPr>
      </w:pPr>
      <w:r>
        <w:t>ENGAGED 2 Study: Experiences With Mammography Screening and Breast Density 2</w:t>
      </w:r>
      <w:r w:rsidR="00A97DF6">
        <w:t xml:space="preserve"> (estimated study completion date: August 2020)</w:t>
      </w:r>
      <w:r>
        <w:t>.</w:t>
      </w:r>
    </w:p>
    <w:p w14:paraId="7CB3473B" w14:textId="2511829E" w:rsidR="00032002" w:rsidRDefault="00032002" w:rsidP="00032002">
      <w:pPr>
        <w:pStyle w:val="BodyText"/>
        <w:numPr>
          <w:ilvl w:val="0"/>
          <w:numId w:val="30"/>
        </w:numPr>
      </w:pPr>
      <w:r>
        <w:t>DBTUST – Dense Breast Tomosynthesis/Ultrasound Screening Trial (estimated study completion date: December 2022).</w:t>
      </w:r>
    </w:p>
    <w:p w14:paraId="071BDE8C" w14:textId="54782B8C" w:rsidR="0055619E" w:rsidRDefault="00962232" w:rsidP="0055619E">
      <w:pPr>
        <w:pStyle w:val="BodyText"/>
      </w:pPr>
      <w:r>
        <w:t xml:space="preserve">There are also other ongoing studies investigating the role of </w:t>
      </w:r>
      <w:r w:rsidRPr="0044553E">
        <w:t>supplementa</w:t>
      </w:r>
      <w:r>
        <w:t xml:space="preserve">l </w:t>
      </w:r>
      <w:r w:rsidR="00403BDB">
        <w:t xml:space="preserve">testing </w:t>
      </w:r>
      <w:r>
        <w:t xml:space="preserve">for women with more dense breasts. Results from </w:t>
      </w:r>
      <w:r w:rsidR="008D405F">
        <w:t>all</w:t>
      </w:r>
      <w:r>
        <w:t xml:space="preserve"> these studies will further contribute to our knowledge about the best ways to respond to the cancer risk posed by breast density</w:t>
      </w:r>
      <w:r w:rsidR="00AB7545">
        <w:t xml:space="preserve"> and women’s concerns about ensuring access to effective and safe screening modalities that have a positive effect on long-term health outcomes</w:t>
      </w:r>
      <w:r>
        <w:t>.</w:t>
      </w:r>
    </w:p>
    <w:p w14:paraId="533542CD" w14:textId="77777777" w:rsidR="0055619E" w:rsidRDefault="0055619E" w:rsidP="0055619E">
      <w:pPr>
        <w:rPr>
          <w:rFonts w:asciiTheme="majorHAnsi" w:hAnsiTheme="majorHAnsi"/>
          <w:b/>
          <w:color w:val="36424A" w:themeColor="text2"/>
          <w:sz w:val="28"/>
        </w:rPr>
      </w:pPr>
      <w:r>
        <w:rPr>
          <w:rFonts w:asciiTheme="majorHAnsi" w:hAnsiTheme="majorHAnsi"/>
          <w:b/>
          <w:color w:val="36424A" w:themeColor="text2"/>
          <w:sz w:val="28"/>
        </w:rPr>
        <w:br w:type="page"/>
      </w:r>
    </w:p>
    <w:p w14:paraId="3D50972D" w14:textId="66A0A13F" w:rsidR="0055619E" w:rsidRDefault="0055619E" w:rsidP="00894258">
      <w:pPr>
        <w:pStyle w:val="NumberedHeading1"/>
      </w:pPr>
      <w:bookmarkStart w:id="28" w:name="_Toc518922189"/>
      <w:r>
        <w:lastRenderedPageBreak/>
        <w:t>Methodology</w:t>
      </w:r>
      <w:bookmarkEnd w:id="28"/>
    </w:p>
    <w:p w14:paraId="2538E454" w14:textId="422A1503" w:rsidR="00F66F74" w:rsidRPr="00F66F74" w:rsidRDefault="00F66F74" w:rsidP="00F66F74">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ind w:left="284"/>
        <w:rPr>
          <w:b/>
          <w:lang w:val="en-US"/>
        </w:rPr>
      </w:pPr>
      <w:r w:rsidRPr="00F66F74">
        <w:rPr>
          <w:b/>
          <w:lang w:val="en-US"/>
        </w:rPr>
        <w:t>Summary</w:t>
      </w:r>
    </w:p>
    <w:p w14:paraId="1F0276FF" w14:textId="35C36CFD" w:rsidR="00F66F74" w:rsidRDefault="00F66F74" w:rsidP="00F66F74">
      <w:pPr>
        <w:pStyle w:val="List-BulletLvl1"/>
        <w:numPr>
          <w:ilvl w:val="0"/>
          <w:numId w:val="12"/>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Pr>
          <w:lang w:val="en-US"/>
        </w:rPr>
        <w:t xml:space="preserve">This literature review provides an overview of research about the management and reporting of breast density in asymptomatic women with more dense breasts. Information was drawn from systematic reviews, narrative literature reviews, RCTs and case-control or prospective studies only. </w:t>
      </w:r>
    </w:p>
    <w:p w14:paraId="3C9BE2B6" w14:textId="77777777" w:rsidR="00F66F74" w:rsidRDefault="00F66F74" w:rsidP="00F66F74">
      <w:pPr>
        <w:pStyle w:val="List-BulletLvl1"/>
        <w:numPr>
          <w:ilvl w:val="0"/>
          <w:numId w:val="12"/>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Pr>
          <w:lang w:val="en-US"/>
        </w:rPr>
        <w:t xml:space="preserve">This literature review is not a systematic review. We have provided statements about the quality of the evidence included in this review. No primary research or pooled analysis was undertaken. </w:t>
      </w:r>
    </w:p>
    <w:p w14:paraId="4355444C" w14:textId="77777777" w:rsidR="00F66F74" w:rsidRDefault="00F66F74" w:rsidP="00F66F74">
      <w:pPr>
        <w:pStyle w:val="List-BulletLvl1"/>
        <w:numPr>
          <w:ilvl w:val="0"/>
          <w:numId w:val="12"/>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Pr>
          <w:lang w:val="en-US"/>
        </w:rPr>
        <w:t>The following databases were searched on 15-19 January 2018: EMBASE, Ovid Medline, CINAHL, ProQuest and Scopus. The following websites were reviewed: clinicaltrials.gov, the Cochrane database, NICE. Additionally, a range of other websites reporting on breast density and screening were also reviewed.</w:t>
      </w:r>
    </w:p>
    <w:p w14:paraId="3929EBD4" w14:textId="77777777" w:rsidR="00F66F74" w:rsidRDefault="00F66F74" w:rsidP="00F66F74">
      <w:pPr>
        <w:pStyle w:val="List-BulletLvl1"/>
        <w:numPr>
          <w:ilvl w:val="0"/>
          <w:numId w:val="12"/>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Pr>
          <w:lang w:val="en-US"/>
        </w:rPr>
        <w:t xml:space="preserve">A follow-up search was conducted on the same databases and websites on 25 May to 5 June 2018 to identify case-control and prospective studies providing information on breast density measurement, risk, and masking.  </w:t>
      </w:r>
    </w:p>
    <w:p w14:paraId="18490427" w14:textId="77777777" w:rsidR="00F66F74" w:rsidRDefault="00F66F74" w:rsidP="00F66F74">
      <w:pPr>
        <w:pStyle w:val="List-BulletLvl1"/>
        <w:numPr>
          <w:ilvl w:val="0"/>
          <w:numId w:val="12"/>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Pr>
          <w:lang w:val="en-US"/>
        </w:rPr>
        <w:t xml:space="preserve">All returned citations and abstracts were assessed for relevance to the research questions and inclusion criteria. The same criteria were used to review the full-text and bibliographies of all articles proposed for inclusion. The methodologies of all included studies were critically appraised using the AMSTAR 2 tool or SIGN criteria. </w:t>
      </w:r>
    </w:p>
    <w:p w14:paraId="3B56E70C" w14:textId="4431015E" w:rsidR="00F66F74" w:rsidRPr="00F66F74" w:rsidRDefault="00F66F74" w:rsidP="00F66F74">
      <w:pPr>
        <w:pStyle w:val="List-BulletLvl1"/>
        <w:numPr>
          <w:ilvl w:val="0"/>
          <w:numId w:val="12"/>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sidRPr="005665FC">
        <w:rPr>
          <w:lang w:val="en-US"/>
        </w:rPr>
        <w:t>A total of 69 articles met the inclusion criteria.</w:t>
      </w:r>
    </w:p>
    <w:p w14:paraId="388A6B3D" w14:textId="77777777" w:rsidR="0055619E" w:rsidRDefault="0055619E" w:rsidP="00894258">
      <w:pPr>
        <w:pStyle w:val="NumberedHeading2"/>
      </w:pPr>
      <w:bookmarkStart w:id="29" w:name="_Toc507657152"/>
      <w:bookmarkStart w:id="30" w:name="_Toc518922190"/>
      <w:r>
        <w:t>Objectives</w:t>
      </w:r>
      <w:bookmarkEnd w:id="29"/>
      <w:bookmarkEnd w:id="30"/>
      <w:r>
        <w:t xml:space="preserve"> </w:t>
      </w:r>
    </w:p>
    <w:p w14:paraId="3140DC53" w14:textId="77777777" w:rsidR="0055619E" w:rsidRDefault="0055619E" w:rsidP="0055619E">
      <w:pPr>
        <w:pStyle w:val="BodyText"/>
      </w:pPr>
      <w:r>
        <w:t xml:space="preserve">This literature review explores the effect </w:t>
      </w:r>
      <w:r w:rsidR="005168EE">
        <w:t xml:space="preserve">that </w:t>
      </w:r>
      <w:r>
        <w:t>breast density has on the risk of breast cancer and the masking of breast cancer in asymptomatic women over 40 years alongside how to best measure both risk and density</w:t>
      </w:r>
      <w:r w:rsidR="005168EE">
        <w:t xml:space="preserve"> and respond in a way that improves long-term clinical outcomes</w:t>
      </w:r>
      <w:r w:rsidR="00E425BA">
        <w:t xml:space="preserve"> for women with more dense breasts</w:t>
      </w:r>
      <w:r>
        <w:t>. It also explores the impact and acceptability of breast density reporting for women with dense breasts. In addition to this, we investigate the above areas for a subpopulation, women aged 40-50 years (inclusive) with no symptoms of breast cancer and screened by mammography. A systematic review with pooled analysis was not performed.</w:t>
      </w:r>
    </w:p>
    <w:p w14:paraId="20513BD7" w14:textId="77777777" w:rsidR="0055619E" w:rsidRDefault="0055619E" w:rsidP="00F85003">
      <w:pPr>
        <w:pStyle w:val="NumberedHeading2"/>
      </w:pPr>
      <w:bookmarkStart w:id="31" w:name="_Toc518922191"/>
      <w:r>
        <w:t>Research questions</w:t>
      </w:r>
      <w:bookmarkEnd w:id="31"/>
    </w:p>
    <w:p w14:paraId="677158DB" w14:textId="77777777" w:rsidR="0055619E" w:rsidRDefault="0055619E" w:rsidP="00BE61DC">
      <w:pPr>
        <w:pStyle w:val="NumberedHeading3"/>
      </w:pPr>
      <w:bookmarkStart w:id="32" w:name="_Toc507914420"/>
      <w:bookmarkStart w:id="33" w:name="_Toc507976145"/>
      <w:bookmarkStart w:id="34" w:name="_Toc518922192"/>
      <w:r>
        <w:t xml:space="preserve">Questions about </w:t>
      </w:r>
      <w:r w:rsidR="00FD7402">
        <w:t xml:space="preserve">classification, </w:t>
      </w:r>
      <w:r>
        <w:t>risk and masking</w:t>
      </w:r>
      <w:bookmarkEnd w:id="32"/>
      <w:bookmarkEnd w:id="33"/>
      <w:bookmarkEnd w:id="34"/>
      <w:r>
        <w:t xml:space="preserve"> </w:t>
      </w:r>
    </w:p>
    <w:p w14:paraId="026ABAC8" w14:textId="77777777" w:rsidR="0055619E" w:rsidRDefault="0055619E" w:rsidP="0055619E">
      <w:r>
        <w:t>The three questions about breast density</w:t>
      </w:r>
      <w:r w:rsidR="00E425BA">
        <w:t>,</w:t>
      </w:r>
      <w:r>
        <w:t xml:space="preserve"> </w:t>
      </w:r>
      <w:r w:rsidR="00E425BA">
        <w:t xml:space="preserve">breast cancer </w:t>
      </w:r>
      <w:r>
        <w:t xml:space="preserve">risk and masking </w:t>
      </w:r>
      <w:r w:rsidR="00E425BA">
        <w:t>are described overleaf.</w:t>
      </w:r>
    </w:p>
    <w:p w14:paraId="538C2960" w14:textId="77777777" w:rsidR="00E425BA" w:rsidRDefault="00E425BA">
      <w:r>
        <w:br w:type="page"/>
      </w:r>
    </w:p>
    <w:p w14:paraId="431C33D9" w14:textId="77777777" w:rsidR="0055619E" w:rsidRDefault="0055619E" w:rsidP="008D405F">
      <w:pPr>
        <w:pStyle w:val="BodyText"/>
        <w:ind w:left="2157" w:hanging="1590"/>
      </w:pPr>
      <w:r>
        <w:lastRenderedPageBreak/>
        <w:t>QUESTION 1:</w:t>
      </w:r>
      <w:r>
        <w:tab/>
        <w:t>In asymptomatic women aged over 40 years, what is the reported increase in risk of breast cancer for women diagnosed by mammography to have higher breast density compared with women diagnosed to have lower breast density?</w:t>
      </w:r>
    </w:p>
    <w:p w14:paraId="2BFDF2DC" w14:textId="77777777" w:rsidR="0055619E" w:rsidRDefault="0055619E" w:rsidP="0003474F">
      <w:pPr>
        <w:pStyle w:val="BodyText"/>
        <w:numPr>
          <w:ilvl w:val="0"/>
          <w:numId w:val="8"/>
        </w:numPr>
        <w:ind w:left="2552" w:hanging="425"/>
      </w:pPr>
      <w:r>
        <w:t>Is there a method that is the best for measuring breast density?</w:t>
      </w:r>
    </w:p>
    <w:p w14:paraId="485AB265" w14:textId="77777777" w:rsidR="0055619E" w:rsidRDefault="0055619E" w:rsidP="0003474F">
      <w:pPr>
        <w:pStyle w:val="BodyText"/>
        <w:numPr>
          <w:ilvl w:val="0"/>
          <w:numId w:val="8"/>
        </w:numPr>
        <w:ind w:left="2552" w:hanging="425"/>
      </w:pPr>
      <w:r>
        <w:t>Is there a measure that is the best measure of risk?</w:t>
      </w:r>
    </w:p>
    <w:p w14:paraId="5A7AA9AD" w14:textId="77777777" w:rsidR="0055619E" w:rsidRDefault="0055619E" w:rsidP="0055619E">
      <w:pPr>
        <w:pStyle w:val="BodyText"/>
        <w:ind w:left="2127" w:hanging="1560"/>
      </w:pPr>
      <w:r>
        <w:t>QUESTION 2:</w:t>
      </w:r>
      <w:r>
        <w:tab/>
        <w:t>In asymptomatic women aged over 40 years, what is the level of reported masking of breast cancer in mammograms for women diagnosed with higher breast density compared with women with lower breast density?</w:t>
      </w:r>
    </w:p>
    <w:p w14:paraId="2ECC3BA6" w14:textId="77777777" w:rsidR="0055619E" w:rsidRDefault="0055619E" w:rsidP="0003474F">
      <w:pPr>
        <w:pStyle w:val="BodyText"/>
        <w:numPr>
          <w:ilvl w:val="0"/>
          <w:numId w:val="8"/>
        </w:numPr>
        <w:ind w:left="2552" w:hanging="425"/>
      </w:pPr>
      <w:r>
        <w:t>Is there a measure that is the best measure of masking?</w:t>
      </w:r>
    </w:p>
    <w:p w14:paraId="6C191510" w14:textId="77777777" w:rsidR="0055619E" w:rsidRDefault="0055619E" w:rsidP="0055619E">
      <w:pPr>
        <w:pStyle w:val="BodyText"/>
        <w:ind w:left="2127" w:hanging="1560"/>
      </w:pPr>
      <w:r>
        <w:t>QUESTION 3:</w:t>
      </w:r>
      <w:r>
        <w:tab/>
        <w:t>In asymptomatic women aged over 40 years, what is the relative risk of breast cancer by age for women diagnosed by mammography to have higher density breasts compared with women with lower breast density?</w:t>
      </w:r>
    </w:p>
    <w:p w14:paraId="1949E4C6" w14:textId="291FEE83" w:rsidR="0055619E" w:rsidRDefault="0055619E" w:rsidP="0003474F">
      <w:pPr>
        <w:pStyle w:val="BodyText"/>
        <w:numPr>
          <w:ilvl w:val="0"/>
          <w:numId w:val="8"/>
        </w:numPr>
        <w:ind w:left="2552" w:hanging="425"/>
      </w:pPr>
      <w:r>
        <w:t>Taking breast density in</w:t>
      </w:r>
      <w:r w:rsidR="00B6722D">
        <w:t>to</w:t>
      </w:r>
      <w:r>
        <w:t xml:space="preserve"> account, does age mitigate or exaggerate the risk of breast cancer?</w:t>
      </w:r>
    </w:p>
    <w:p w14:paraId="42DA5160" w14:textId="11D6B5C9" w:rsidR="0055619E" w:rsidRDefault="0055619E" w:rsidP="0055619E">
      <w:pPr>
        <w:pStyle w:val="BodyText"/>
      </w:pPr>
      <w:r>
        <w:t xml:space="preserve">The PICO(S) criteria underpinning these research questions are described in Table </w:t>
      </w:r>
      <w:r w:rsidR="001D0CC1">
        <w:t>2</w:t>
      </w:r>
      <w:r>
        <w:t xml:space="preserve"> (below).</w:t>
      </w:r>
    </w:p>
    <w:p w14:paraId="4C70BAB9" w14:textId="0605B3F8" w:rsidR="0055619E" w:rsidRDefault="0055619E" w:rsidP="00BE61DC">
      <w:pPr>
        <w:pStyle w:val="Caption"/>
      </w:pPr>
      <w:r>
        <w:t xml:space="preserve">Table </w:t>
      </w:r>
      <w:r w:rsidR="001D0CC1">
        <w:t>2</w:t>
      </w:r>
      <w:r>
        <w:t xml:space="preserve">: </w:t>
      </w:r>
      <w:r>
        <w:tab/>
        <w:t xml:space="preserve">PICO(S) criteria for questions relating to risk and masking </w:t>
      </w:r>
    </w:p>
    <w:tbl>
      <w:tblPr>
        <w:tblStyle w:val="ACGreen-BasicTable"/>
        <w:tblW w:w="9010" w:type="dxa"/>
        <w:tblCellMar>
          <w:top w:w="0" w:type="dxa"/>
          <w:bottom w:w="0" w:type="dxa"/>
        </w:tblCellMar>
        <w:tblLook w:val="04A0" w:firstRow="1" w:lastRow="0" w:firstColumn="1" w:lastColumn="0" w:noHBand="0" w:noVBand="1"/>
        <w:tblDescription w:val="PICO(S) criteria for questions relating to risk and masking.&#10;&#10;Criterion: Population&#10;Description: Women aged over 40 years (inclusive) with no symptoms of breast cancer and screened by mammography. &#10;Sub-population of interest: Women aged 40-50 years (inclusive) with no symptoms of breast cancer and screened by mammography.&#10;&#10;Criterion: Intervention&#10;Description: 2-view digital mammography (aka FFDM).&#10;&#10;Criterion: Comparators&#10;Description: Women with ‘dense breasts’ or higher breast density. &#10;Women with ‘non-dense breasts’, fatty or lower breast density. &#10;&#10;Criterion: Outcomes&#10;Description: Risk of breast cancer by breast density.&#10;Risk of breast cancer by breast density and age.&#10;Role of masking in detecting breast cancer in women with dense breasts.&#10;Relative risk; odds ratios; risk difference.&#10;Specificity (recall rates and over-diagnosis for specific types of breast lesions).&#10;Interval cancer rates.&#10;&#10;Criterion: Study types&#10;Description: Systematic reviews and randomised controlled trials; case control; prospective.&#10;"/>
      </w:tblPr>
      <w:tblGrid>
        <w:gridCol w:w="1356"/>
        <w:gridCol w:w="7654"/>
      </w:tblGrid>
      <w:tr w:rsidR="0055619E" w14:paraId="3B77A234" w14:textId="77777777" w:rsidTr="0035344E">
        <w:trPr>
          <w:cnfStyle w:val="100000000000" w:firstRow="1" w:lastRow="0" w:firstColumn="0" w:lastColumn="0" w:oddVBand="0" w:evenVBand="0" w:oddHBand="0" w:evenHBand="0" w:firstRowFirstColumn="0" w:firstRowLastColumn="0" w:lastRowFirstColumn="0" w:lastRowLastColumn="0"/>
        </w:trPr>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B825CC" w14:textId="77777777" w:rsidR="0055619E" w:rsidRPr="00345CCE" w:rsidRDefault="0055619E" w:rsidP="00E54D8B">
            <w:pPr>
              <w:pStyle w:val="BodyText"/>
              <w:spacing w:before="40" w:after="40"/>
              <w:rPr>
                <w:color w:val="auto"/>
              </w:rPr>
            </w:pPr>
            <w:r w:rsidRPr="00345CCE">
              <w:rPr>
                <w:color w:val="auto"/>
              </w:rPr>
              <w:t>Criterion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8ECDBE" w14:textId="77777777" w:rsidR="0055619E" w:rsidRPr="00345CCE" w:rsidRDefault="0055619E" w:rsidP="00E54D8B">
            <w:pPr>
              <w:pStyle w:val="BodyText"/>
              <w:spacing w:before="40" w:after="40"/>
              <w:rPr>
                <w:color w:val="auto"/>
              </w:rPr>
            </w:pPr>
            <w:r w:rsidRPr="00345CCE">
              <w:rPr>
                <w:color w:val="auto"/>
              </w:rPr>
              <w:t>Description</w:t>
            </w:r>
          </w:p>
        </w:tc>
      </w:tr>
      <w:tr w:rsidR="0055619E" w14:paraId="5B64E465"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9676DD" w14:textId="77777777" w:rsidR="0055619E" w:rsidRDefault="0055619E" w:rsidP="00E54D8B">
            <w:pPr>
              <w:pStyle w:val="BodyText"/>
              <w:spacing w:before="40" w:after="40"/>
              <w:rPr>
                <w:b/>
                <w:sz w:val="20"/>
                <w:szCs w:val="20"/>
              </w:rPr>
            </w:pPr>
            <w:r>
              <w:rPr>
                <w:b/>
                <w:sz w:val="20"/>
                <w:szCs w:val="20"/>
              </w:rPr>
              <w:t>Population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5AE230" w14:textId="77777777" w:rsidR="0055619E" w:rsidRDefault="0055619E" w:rsidP="00E54D8B">
            <w:pPr>
              <w:pStyle w:val="BodyText"/>
              <w:spacing w:before="40" w:after="40"/>
              <w:rPr>
                <w:sz w:val="20"/>
                <w:szCs w:val="20"/>
              </w:rPr>
            </w:pPr>
            <w:r>
              <w:rPr>
                <w:sz w:val="20"/>
                <w:szCs w:val="20"/>
              </w:rPr>
              <w:t xml:space="preserve">Women aged over 40 years (inclusive) with no symptoms of breast cancer and screened by mammography </w:t>
            </w:r>
          </w:p>
          <w:p w14:paraId="53A42679" w14:textId="77777777" w:rsidR="0055619E" w:rsidRDefault="0055619E" w:rsidP="00E54D8B">
            <w:pPr>
              <w:pStyle w:val="BodyText"/>
              <w:spacing w:before="40" w:after="40"/>
              <w:rPr>
                <w:i/>
                <w:sz w:val="20"/>
                <w:szCs w:val="20"/>
              </w:rPr>
            </w:pPr>
            <w:r>
              <w:rPr>
                <w:i/>
                <w:sz w:val="20"/>
                <w:szCs w:val="20"/>
              </w:rPr>
              <w:t>Sub-population of interest: Women aged 40-50 years (inclusive) with no symptoms of breast cancer and screened by mammography</w:t>
            </w:r>
          </w:p>
        </w:tc>
      </w:tr>
      <w:tr w:rsidR="0055619E" w14:paraId="52C3C491"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9ADADF" w14:textId="77777777" w:rsidR="0055619E" w:rsidRDefault="0055619E" w:rsidP="00E54D8B">
            <w:pPr>
              <w:pStyle w:val="BodyText"/>
              <w:spacing w:before="40" w:after="40"/>
              <w:rPr>
                <w:b/>
                <w:sz w:val="20"/>
                <w:szCs w:val="20"/>
              </w:rPr>
            </w:pPr>
            <w:r>
              <w:rPr>
                <w:b/>
                <w:sz w:val="20"/>
                <w:szCs w:val="20"/>
              </w:rPr>
              <w:t>Intervention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CB713A" w14:textId="77777777" w:rsidR="0055619E" w:rsidRDefault="0055619E" w:rsidP="00E54D8B">
            <w:pPr>
              <w:pStyle w:val="BodyText"/>
              <w:spacing w:before="40" w:after="40"/>
              <w:rPr>
                <w:sz w:val="20"/>
                <w:szCs w:val="20"/>
              </w:rPr>
            </w:pPr>
            <w:r>
              <w:rPr>
                <w:sz w:val="20"/>
                <w:szCs w:val="20"/>
              </w:rPr>
              <w:t>2-view digital mammography (</w:t>
            </w:r>
            <w:r w:rsidR="00133AAE">
              <w:rPr>
                <w:sz w:val="20"/>
                <w:szCs w:val="20"/>
              </w:rPr>
              <w:t xml:space="preserve">aka </w:t>
            </w:r>
            <w:r>
              <w:rPr>
                <w:sz w:val="20"/>
                <w:szCs w:val="20"/>
              </w:rPr>
              <w:t>FFDM)</w:t>
            </w:r>
          </w:p>
        </w:tc>
      </w:tr>
      <w:tr w:rsidR="0055619E" w14:paraId="1F83CB0C"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58CA50" w14:textId="77777777" w:rsidR="0055619E" w:rsidRDefault="0055619E" w:rsidP="00E54D8B">
            <w:pPr>
              <w:pStyle w:val="BodyText"/>
              <w:spacing w:before="40" w:after="40"/>
              <w:rPr>
                <w:b/>
                <w:sz w:val="20"/>
                <w:szCs w:val="20"/>
              </w:rPr>
            </w:pPr>
            <w:r>
              <w:rPr>
                <w:b/>
                <w:sz w:val="20"/>
                <w:szCs w:val="20"/>
              </w:rPr>
              <w:t>Comparators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563E85" w14:textId="77777777" w:rsidR="0055619E" w:rsidRDefault="0055619E" w:rsidP="00E54D8B">
            <w:pPr>
              <w:pStyle w:val="BodyText"/>
              <w:spacing w:before="40" w:after="40"/>
              <w:rPr>
                <w:sz w:val="20"/>
                <w:szCs w:val="20"/>
              </w:rPr>
            </w:pPr>
            <w:r>
              <w:rPr>
                <w:sz w:val="20"/>
                <w:szCs w:val="20"/>
              </w:rPr>
              <w:t xml:space="preserve">Women with ‘dense breasts’ or higher breast density </w:t>
            </w:r>
          </w:p>
          <w:p w14:paraId="7FA95DE3" w14:textId="77777777" w:rsidR="0055619E" w:rsidRDefault="0055619E" w:rsidP="00E54D8B">
            <w:pPr>
              <w:pStyle w:val="BodyText"/>
              <w:spacing w:before="40" w:after="40"/>
              <w:rPr>
                <w:sz w:val="20"/>
                <w:szCs w:val="20"/>
              </w:rPr>
            </w:pPr>
            <w:r>
              <w:rPr>
                <w:sz w:val="20"/>
                <w:szCs w:val="20"/>
              </w:rPr>
              <w:t xml:space="preserve">Women with ‘non-dense breasts’, fatty or lower breast density </w:t>
            </w:r>
          </w:p>
        </w:tc>
      </w:tr>
      <w:tr w:rsidR="0055619E" w14:paraId="756F7842"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114F52" w14:textId="77777777" w:rsidR="0055619E" w:rsidRDefault="0055619E" w:rsidP="00E54D8B">
            <w:pPr>
              <w:pStyle w:val="BodyText"/>
              <w:spacing w:before="40" w:after="40"/>
              <w:rPr>
                <w:b/>
                <w:sz w:val="20"/>
                <w:szCs w:val="20"/>
              </w:rPr>
            </w:pPr>
            <w:r>
              <w:rPr>
                <w:b/>
                <w:sz w:val="20"/>
                <w:szCs w:val="20"/>
              </w:rPr>
              <w:t>Outcomes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1CCCF7" w14:textId="77777777" w:rsidR="0055619E" w:rsidRDefault="0055619E" w:rsidP="00E54D8B">
            <w:pPr>
              <w:pStyle w:val="BodyText"/>
              <w:spacing w:before="40" w:after="40"/>
              <w:rPr>
                <w:sz w:val="20"/>
                <w:szCs w:val="20"/>
              </w:rPr>
            </w:pPr>
            <w:r>
              <w:rPr>
                <w:sz w:val="20"/>
                <w:szCs w:val="20"/>
              </w:rPr>
              <w:t>Risk of breast cancer by breast density</w:t>
            </w:r>
          </w:p>
          <w:p w14:paraId="00EFE0D9" w14:textId="77777777" w:rsidR="0055619E" w:rsidRDefault="0055619E" w:rsidP="00E54D8B">
            <w:pPr>
              <w:pStyle w:val="BodyText"/>
              <w:spacing w:before="40" w:after="40"/>
              <w:rPr>
                <w:sz w:val="20"/>
                <w:szCs w:val="20"/>
              </w:rPr>
            </w:pPr>
            <w:r>
              <w:rPr>
                <w:sz w:val="20"/>
                <w:szCs w:val="20"/>
              </w:rPr>
              <w:t>Risk of breast cancer by breast density and age</w:t>
            </w:r>
          </w:p>
          <w:p w14:paraId="0D919264" w14:textId="77777777" w:rsidR="0055619E" w:rsidRDefault="0055619E" w:rsidP="00E54D8B">
            <w:pPr>
              <w:pStyle w:val="BodyText"/>
              <w:spacing w:before="40" w:after="40"/>
              <w:rPr>
                <w:sz w:val="20"/>
                <w:szCs w:val="20"/>
              </w:rPr>
            </w:pPr>
            <w:r>
              <w:rPr>
                <w:sz w:val="20"/>
                <w:szCs w:val="20"/>
              </w:rPr>
              <w:t>Role of masking in detecting breast cancer in women with dense breasts</w:t>
            </w:r>
          </w:p>
          <w:p w14:paraId="24A9CA97" w14:textId="77777777" w:rsidR="0055619E" w:rsidRDefault="0055619E" w:rsidP="00E54D8B">
            <w:pPr>
              <w:pStyle w:val="BodyText"/>
              <w:spacing w:before="40" w:after="40"/>
              <w:rPr>
                <w:sz w:val="20"/>
                <w:szCs w:val="20"/>
              </w:rPr>
            </w:pPr>
            <w:r>
              <w:rPr>
                <w:sz w:val="20"/>
                <w:szCs w:val="20"/>
              </w:rPr>
              <w:t>Relative risk; odds ratios; risk difference</w:t>
            </w:r>
          </w:p>
          <w:p w14:paraId="20CDD40B" w14:textId="77777777" w:rsidR="0055619E" w:rsidRDefault="0055619E" w:rsidP="00E54D8B">
            <w:pPr>
              <w:pStyle w:val="BodyText"/>
              <w:spacing w:before="40" w:after="40"/>
              <w:rPr>
                <w:sz w:val="20"/>
                <w:szCs w:val="20"/>
              </w:rPr>
            </w:pPr>
            <w:r>
              <w:rPr>
                <w:sz w:val="20"/>
                <w:szCs w:val="20"/>
              </w:rPr>
              <w:t>Specificity (recall rates and over-diagnosis for specific types of breast lesions)</w:t>
            </w:r>
          </w:p>
          <w:p w14:paraId="134C6947" w14:textId="77777777" w:rsidR="0055619E" w:rsidRDefault="0055619E" w:rsidP="00E54D8B">
            <w:pPr>
              <w:pStyle w:val="BodyText"/>
              <w:spacing w:before="40" w:after="40"/>
              <w:rPr>
                <w:sz w:val="20"/>
                <w:szCs w:val="20"/>
              </w:rPr>
            </w:pPr>
            <w:r>
              <w:rPr>
                <w:sz w:val="20"/>
                <w:szCs w:val="20"/>
              </w:rPr>
              <w:t>Interval cancer rates</w:t>
            </w:r>
          </w:p>
        </w:tc>
      </w:tr>
      <w:tr w:rsidR="0055619E" w14:paraId="72E11DE7"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656BA8" w14:textId="77777777" w:rsidR="0055619E" w:rsidRDefault="0055619E" w:rsidP="00E54D8B">
            <w:pPr>
              <w:pStyle w:val="BodyText"/>
              <w:spacing w:before="40" w:after="40"/>
              <w:rPr>
                <w:b/>
                <w:sz w:val="20"/>
                <w:szCs w:val="20"/>
              </w:rPr>
            </w:pPr>
            <w:r>
              <w:rPr>
                <w:b/>
                <w:sz w:val="20"/>
                <w:szCs w:val="20"/>
              </w:rPr>
              <w:t>Study types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DFEF03" w14:textId="6E05220F" w:rsidR="0055619E" w:rsidRDefault="0055619E" w:rsidP="00E54D8B">
            <w:pPr>
              <w:pStyle w:val="BodyText"/>
              <w:spacing w:before="40" w:after="40"/>
              <w:rPr>
                <w:sz w:val="20"/>
                <w:szCs w:val="20"/>
              </w:rPr>
            </w:pPr>
            <w:r>
              <w:rPr>
                <w:sz w:val="20"/>
                <w:szCs w:val="20"/>
              </w:rPr>
              <w:t xml:space="preserve">Systematic reviews </w:t>
            </w:r>
            <w:r w:rsidR="00EE6828">
              <w:rPr>
                <w:sz w:val="20"/>
                <w:szCs w:val="20"/>
              </w:rPr>
              <w:t>and randomised controlled trials</w:t>
            </w:r>
            <w:r w:rsidR="00362A3B">
              <w:rPr>
                <w:sz w:val="20"/>
                <w:szCs w:val="20"/>
              </w:rPr>
              <w:t>; case control; prospective</w:t>
            </w:r>
          </w:p>
        </w:tc>
      </w:tr>
    </w:tbl>
    <w:p w14:paraId="414522A0" w14:textId="77777777" w:rsidR="0055619E" w:rsidRDefault="0055619E" w:rsidP="00051F65">
      <w:pPr>
        <w:pStyle w:val="NumberedHeading3"/>
      </w:pPr>
      <w:bookmarkStart w:id="35" w:name="_Toc507914421"/>
      <w:bookmarkStart w:id="36" w:name="_Toc507976146"/>
      <w:bookmarkStart w:id="37" w:name="_Toc518922193"/>
      <w:r>
        <w:t xml:space="preserve">Questions about </w:t>
      </w:r>
      <w:r w:rsidR="00FD7402">
        <w:t xml:space="preserve">outcomes and </w:t>
      </w:r>
      <w:r>
        <w:t>notification of breast density</w:t>
      </w:r>
      <w:bookmarkEnd w:id="35"/>
      <w:bookmarkEnd w:id="36"/>
      <w:bookmarkEnd w:id="37"/>
      <w:r>
        <w:t xml:space="preserve"> </w:t>
      </w:r>
    </w:p>
    <w:p w14:paraId="144E29C5" w14:textId="353EEE4B" w:rsidR="0055619E" w:rsidRDefault="0055619E" w:rsidP="00051F65">
      <w:pPr>
        <w:pStyle w:val="BodyText"/>
      </w:pPr>
      <w:r>
        <w:t>The question about</w:t>
      </w:r>
      <w:r w:rsidR="00FD7402">
        <w:t xml:space="preserve"> outcomes and</w:t>
      </w:r>
      <w:r>
        <w:t xml:space="preserve"> the provision of breast density information/reporting </w:t>
      </w:r>
      <w:r w:rsidR="0012497A">
        <w:t>covered several areas.</w:t>
      </w:r>
    </w:p>
    <w:p w14:paraId="15A535A6" w14:textId="77777777" w:rsidR="0012497A" w:rsidRPr="00051F65" w:rsidRDefault="0012497A" w:rsidP="00051F65">
      <w:pPr>
        <w:pStyle w:val="BodyText"/>
      </w:pPr>
    </w:p>
    <w:p w14:paraId="7E07D4ED" w14:textId="77777777" w:rsidR="0012497A" w:rsidRDefault="0012497A">
      <w:r>
        <w:br w:type="page"/>
      </w:r>
    </w:p>
    <w:p w14:paraId="0D808E13" w14:textId="77777777" w:rsidR="0055619E" w:rsidRDefault="0055619E" w:rsidP="00EE6828">
      <w:pPr>
        <w:pStyle w:val="BodyText"/>
        <w:tabs>
          <w:tab w:val="left" w:pos="1843"/>
          <w:tab w:val="left" w:pos="1985"/>
        </w:tabs>
        <w:ind w:left="1843" w:hanging="1417"/>
      </w:pPr>
      <w:r>
        <w:lastRenderedPageBreak/>
        <w:t xml:space="preserve">QUESTION 4: </w:t>
      </w:r>
      <w:r w:rsidR="00EE6828">
        <w:tab/>
      </w:r>
      <w:r>
        <w:t>In asymptomatic women aged over 40 years (inclusive) who have received information about their validated breast density compared with women who have not received information on validated breast density:</w:t>
      </w:r>
    </w:p>
    <w:p w14:paraId="17D719B0" w14:textId="77777777" w:rsidR="0055619E" w:rsidRDefault="0055619E" w:rsidP="0003474F">
      <w:pPr>
        <w:pStyle w:val="BodyText"/>
        <w:numPr>
          <w:ilvl w:val="0"/>
          <w:numId w:val="8"/>
        </w:numPr>
        <w:ind w:left="2268" w:hanging="425"/>
      </w:pPr>
      <w:r>
        <w:t>What is the evidence on changes in clinical health outcomes with differential management?</w:t>
      </w:r>
    </w:p>
    <w:p w14:paraId="320143EA" w14:textId="77777777" w:rsidR="0055619E" w:rsidRDefault="0055619E" w:rsidP="0003474F">
      <w:pPr>
        <w:pStyle w:val="BodyText"/>
        <w:numPr>
          <w:ilvl w:val="0"/>
          <w:numId w:val="8"/>
        </w:numPr>
        <w:ind w:left="2268" w:hanging="425"/>
      </w:pPr>
      <w:r>
        <w:t xml:space="preserve">What are the psychosocial outcomes for women in jurisdictions where breast density is reported? </w:t>
      </w:r>
    </w:p>
    <w:p w14:paraId="75972CB7" w14:textId="77777777" w:rsidR="0055619E" w:rsidRDefault="0055619E" w:rsidP="0003474F">
      <w:pPr>
        <w:pStyle w:val="BodyText"/>
        <w:numPr>
          <w:ilvl w:val="0"/>
          <w:numId w:val="8"/>
        </w:numPr>
        <w:ind w:left="2268" w:hanging="425"/>
      </w:pPr>
      <w:r>
        <w:t xml:space="preserve">Are there any lessons from jurisdictions where breast density information is reported to women, including acceptability of reporting (or not) and reporting protocols? </w:t>
      </w:r>
    </w:p>
    <w:p w14:paraId="439B57F9" w14:textId="77777777" w:rsidR="0055619E" w:rsidRDefault="0055619E" w:rsidP="0003474F">
      <w:pPr>
        <w:pStyle w:val="BodyText"/>
        <w:numPr>
          <w:ilvl w:val="0"/>
          <w:numId w:val="8"/>
        </w:numPr>
        <w:ind w:left="2268" w:hanging="425"/>
      </w:pPr>
      <w:r>
        <w:t xml:space="preserve">What advice and support do women want and need if density is reported? </w:t>
      </w:r>
    </w:p>
    <w:p w14:paraId="398AD016" w14:textId="3FABE9ED" w:rsidR="0055619E" w:rsidRPr="00EE73D9" w:rsidRDefault="0055619E" w:rsidP="0055619E">
      <w:pPr>
        <w:pStyle w:val="BodyText"/>
      </w:pPr>
      <w:r>
        <w:t xml:space="preserve">The PICO(S) criteria underpinning this research question is described in Table </w:t>
      </w:r>
      <w:r w:rsidR="001D0CC1">
        <w:t>3</w:t>
      </w:r>
      <w:r>
        <w:t xml:space="preserve"> (below).</w:t>
      </w:r>
    </w:p>
    <w:p w14:paraId="1D5DB3A9" w14:textId="15A18C46" w:rsidR="0055619E" w:rsidRDefault="0055619E" w:rsidP="00FD7402">
      <w:pPr>
        <w:pStyle w:val="Caption"/>
      </w:pPr>
      <w:r>
        <w:t xml:space="preserve">Table </w:t>
      </w:r>
      <w:r w:rsidR="001D0CC1">
        <w:t>3</w:t>
      </w:r>
      <w:r>
        <w:t xml:space="preserve">: </w:t>
      </w:r>
      <w:r>
        <w:tab/>
        <w:t xml:space="preserve">PICO(S) criteria for questions relating to breast density reporting  </w:t>
      </w:r>
    </w:p>
    <w:tbl>
      <w:tblPr>
        <w:tblStyle w:val="ACGreen-BasicTable"/>
        <w:tblW w:w="9010" w:type="dxa"/>
        <w:tblCellMar>
          <w:top w:w="0" w:type="dxa"/>
          <w:bottom w:w="0" w:type="dxa"/>
        </w:tblCellMar>
        <w:tblLook w:val="04A0" w:firstRow="1" w:lastRow="0" w:firstColumn="1" w:lastColumn="0" w:noHBand="0" w:noVBand="1"/>
        <w:tblDescription w:val="PICO(S) criteria for questions relating to breast density reporting&#10;&#10;Criterion: Population&#10;Description: Women aged over 40 years (inclusive) with no symptoms of breast cancer and screened by mammography and who have received information on validated breast density. &#10;Sub-population of interest: Women aged 40-50 years (inclusive) with no symptoms of breast cancer and screened by mammography.&#10;&#10;Criterion: Intervention&#10;Description: Validated breast density reported to screened woman.&#10;&#10;Criterion: Comparator&#10;Description: Women who have not received information on validated breast density.&#10; &#10;Criterion: Outcomes&#10;Description: Additional diagnostic tests undertaken and outcomes &#10;Choice of adjunct screening (ultrasound, DBT, MRI).&#10;Breast cancer diagnosis and stage at detection.&#10;Ongoing participation in breast screening.&#10;Frequency of breast screening.&#10;Mortality from breast cancer.&#10;Interval cancer rates.&#10;Seeking of support from primary care, counsellors, mental health services.&#10;Anxiety, depression.&#10;Additional costs incurred.&#10;Acceptability of reporting protocol by GP.&#10;&#10;Criterion: Study types&#10;Description: Systematic reviews, randomized controlled trials, cohort, longitudinal, observational, grey literature.&#10;"/>
      </w:tblPr>
      <w:tblGrid>
        <w:gridCol w:w="1356"/>
        <w:gridCol w:w="7654"/>
      </w:tblGrid>
      <w:tr w:rsidR="00345CCE" w:rsidRPr="00345CCE" w14:paraId="19FA1AE2" w14:textId="77777777" w:rsidTr="0035344E">
        <w:trPr>
          <w:cnfStyle w:val="100000000000" w:firstRow="1" w:lastRow="0" w:firstColumn="0" w:lastColumn="0" w:oddVBand="0" w:evenVBand="0" w:oddHBand="0" w:evenHBand="0" w:firstRowFirstColumn="0" w:firstRowLastColumn="0" w:lastRowFirstColumn="0" w:lastRowLastColumn="0"/>
        </w:trPr>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EC221CD" w14:textId="77777777" w:rsidR="0055619E" w:rsidRPr="00345CCE" w:rsidRDefault="0055619E" w:rsidP="00E54D8B">
            <w:pPr>
              <w:pStyle w:val="BodyText"/>
              <w:spacing w:before="40" w:after="40"/>
              <w:rPr>
                <w:color w:val="auto"/>
                <w:sz w:val="20"/>
                <w:szCs w:val="20"/>
              </w:rPr>
            </w:pPr>
            <w:r w:rsidRPr="00345CCE">
              <w:rPr>
                <w:color w:val="auto"/>
                <w:sz w:val="20"/>
                <w:szCs w:val="20"/>
              </w:rPr>
              <w:t>Criterion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979348" w14:textId="77777777" w:rsidR="0055619E" w:rsidRPr="00345CCE" w:rsidRDefault="0055619E" w:rsidP="00E54D8B">
            <w:pPr>
              <w:pStyle w:val="BodyText"/>
              <w:spacing w:before="40" w:after="40"/>
              <w:rPr>
                <w:color w:val="auto"/>
                <w:sz w:val="20"/>
                <w:szCs w:val="20"/>
              </w:rPr>
            </w:pPr>
            <w:r w:rsidRPr="00345CCE">
              <w:rPr>
                <w:color w:val="auto"/>
                <w:sz w:val="20"/>
                <w:szCs w:val="20"/>
              </w:rPr>
              <w:t>Description</w:t>
            </w:r>
          </w:p>
        </w:tc>
      </w:tr>
      <w:tr w:rsidR="0055619E" w14:paraId="34763C1C"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E60EE5" w14:textId="77777777" w:rsidR="0055619E" w:rsidRDefault="0055619E" w:rsidP="00E54D8B">
            <w:pPr>
              <w:pStyle w:val="BodyText"/>
              <w:spacing w:before="40" w:after="40"/>
              <w:rPr>
                <w:b/>
                <w:sz w:val="20"/>
                <w:szCs w:val="20"/>
              </w:rPr>
            </w:pPr>
            <w:r>
              <w:rPr>
                <w:b/>
                <w:sz w:val="20"/>
                <w:szCs w:val="20"/>
              </w:rPr>
              <w:t>Population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D622E8" w14:textId="77777777" w:rsidR="0055619E" w:rsidRDefault="0055619E" w:rsidP="00E54D8B">
            <w:pPr>
              <w:pStyle w:val="BodyText"/>
              <w:spacing w:before="40" w:after="40"/>
              <w:rPr>
                <w:sz w:val="20"/>
                <w:szCs w:val="20"/>
              </w:rPr>
            </w:pPr>
            <w:r>
              <w:rPr>
                <w:sz w:val="20"/>
                <w:szCs w:val="20"/>
              </w:rPr>
              <w:t xml:space="preserve">Women aged over 40 years (inclusive) with no symptoms of breast cancer and screened by mammography and who have received information on validated breast density </w:t>
            </w:r>
          </w:p>
          <w:p w14:paraId="70061591" w14:textId="77777777" w:rsidR="0055619E" w:rsidRDefault="0055619E" w:rsidP="00E54D8B">
            <w:pPr>
              <w:pStyle w:val="BodyText"/>
              <w:spacing w:before="40" w:after="40"/>
              <w:rPr>
                <w:sz w:val="20"/>
                <w:szCs w:val="20"/>
              </w:rPr>
            </w:pPr>
            <w:r>
              <w:rPr>
                <w:i/>
                <w:sz w:val="20"/>
                <w:szCs w:val="20"/>
              </w:rPr>
              <w:t>Sub-population of interest: Women aged 40-50 years (inclusive) with no symptoms of breast cancer and screened by mammography</w:t>
            </w:r>
          </w:p>
        </w:tc>
      </w:tr>
      <w:tr w:rsidR="0055619E" w14:paraId="129962EA"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6ECCF52" w14:textId="77777777" w:rsidR="0055619E" w:rsidRDefault="0055619E" w:rsidP="00E54D8B">
            <w:pPr>
              <w:pStyle w:val="BodyText"/>
              <w:spacing w:before="40" w:after="40"/>
              <w:rPr>
                <w:b/>
                <w:sz w:val="20"/>
                <w:szCs w:val="20"/>
              </w:rPr>
            </w:pPr>
            <w:r>
              <w:rPr>
                <w:b/>
                <w:sz w:val="20"/>
                <w:szCs w:val="20"/>
              </w:rPr>
              <w:t>Intervention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DA4BC4" w14:textId="77777777" w:rsidR="0055619E" w:rsidRDefault="0055619E" w:rsidP="00E54D8B">
            <w:pPr>
              <w:pStyle w:val="BodyText"/>
              <w:spacing w:before="40" w:after="40"/>
              <w:rPr>
                <w:sz w:val="20"/>
                <w:szCs w:val="20"/>
              </w:rPr>
            </w:pPr>
            <w:r>
              <w:rPr>
                <w:sz w:val="20"/>
                <w:szCs w:val="20"/>
              </w:rPr>
              <w:t>Validated breast density reported to screened woman</w:t>
            </w:r>
          </w:p>
        </w:tc>
      </w:tr>
      <w:tr w:rsidR="0055619E" w14:paraId="6BF5D2A2"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747424" w14:textId="77777777" w:rsidR="0055619E" w:rsidRDefault="0055619E" w:rsidP="00E54D8B">
            <w:pPr>
              <w:pStyle w:val="BodyText"/>
              <w:spacing w:before="40" w:after="40"/>
              <w:rPr>
                <w:b/>
                <w:sz w:val="20"/>
                <w:szCs w:val="20"/>
              </w:rPr>
            </w:pPr>
            <w:r>
              <w:rPr>
                <w:b/>
                <w:sz w:val="20"/>
                <w:szCs w:val="20"/>
              </w:rPr>
              <w:t>Comparator</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984759" w14:textId="77777777" w:rsidR="0055619E" w:rsidRDefault="0055619E" w:rsidP="00E54D8B">
            <w:pPr>
              <w:pStyle w:val="BodyText"/>
              <w:spacing w:before="40" w:after="40"/>
              <w:rPr>
                <w:sz w:val="20"/>
                <w:szCs w:val="20"/>
              </w:rPr>
            </w:pPr>
            <w:r>
              <w:rPr>
                <w:sz w:val="20"/>
                <w:szCs w:val="20"/>
              </w:rPr>
              <w:t xml:space="preserve">Women who have not received information on validated breast density </w:t>
            </w:r>
          </w:p>
        </w:tc>
      </w:tr>
      <w:tr w:rsidR="0055619E" w14:paraId="0D9C4781"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9E7E9F" w14:textId="77777777" w:rsidR="0055619E" w:rsidRDefault="0055619E" w:rsidP="00E54D8B">
            <w:pPr>
              <w:pStyle w:val="BodyText"/>
              <w:spacing w:before="40" w:after="40"/>
              <w:rPr>
                <w:b/>
                <w:sz w:val="20"/>
                <w:szCs w:val="20"/>
              </w:rPr>
            </w:pPr>
            <w:r>
              <w:rPr>
                <w:b/>
                <w:sz w:val="20"/>
                <w:szCs w:val="20"/>
              </w:rPr>
              <w:t>Outcomes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6C77A5" w14:textId="77777777" w:rsidR="0055619E" w:rsidRDefault="0055619E" w:rsidP="00E54D8B">
            <w:pPr>
              <w:pStyle w:val="BodyText"/>
              <w:spacing w:before="40" w:after="40"/>
              <w:rPr>
                <w:sz w:val="20"/>
                <w:szCs w:val="20"/>
              </w:rPr>
            </w:pPr>
            <w:r>
              <w:rPr>
                <w:sz w:val="20"/>
                <w:szCs w:val="20"/>
              </w:rPr>
              <w:t xml:space="preserve">Additional diagnostic tests undertaken and outcomes </w:t>
            </w:r>
          </w:p>
          <w:p w14:paraId="3B36E5A2" w14:textId="77777777" w:rsidR="0055619E" w:rsidRDefault="0055619E" w:rsidP="00E54D8B">
            <w:pPr>
              <w:pStyle w:val="BodyText"/>
              <w:spacing w:before="40" w:after="40"/>
              <w:rPr>
                <w:sz w:val="20"/>
                <w:szCs w:val="20"/>
              </w:rPr>
            </w:pPr>
            <w:r>
              <w:rPr>
                <w:sz w:val="20"/>
                <w:szCs w:val="20"/>
              </w:rPr>
              <w:t>Choice of adjunct screening (ultrasound, DBT, MRI)</w:t>
            </w:r>
          </w:p>
          <w:p w14:paraId="441458E2" w14:textId="77777777" w:rsidR="0055619E" w:rsidRDefault="0055619E" w:rsidP="00E54D8B">
            <w:pPr>
              <w:pStyle w:val="BodyText"/>
              <w:spacing w:before="40" w:after="40"/>
              <w:rPr>
                <w:sz w:val="20"/>
                <w:szCs w:val="20"/>
              </w:rPr>
            </w:pPr>
            <w:r>
              <w:rPr>
                <w:sz w:val="20"/>
                <w:szCs w:val="20"/>
              </w:rPr>
              <w:t>Breast cancer diagnosis and stage at detection</w:t>
            </w:r>
          </w:p>
          <w:p w14:paraId="5BA2B88E" w14:textId="77777777" w:rsidR="0055619E" w:rsidRDefault="0055619E" w:rsidP="00E54D8B">
            <w:pPr>
              <w:pStyle w:val="BodyText"/>
              <w:spacing w:before="40" w:after="40"/>
              <w:rPr>
                <w:sz w:val="20"/>
                <w:szCs w:val="20"/>
              </w:rPr>
            </w:pPr>
            <w:r>
              <w:rPr>
                <w:sz w:val="20"/>
                <w:szCs w:val="20"/>
              </w:rPr>
              <w:t xml:space="preserve">Ongoing participation in breast screening </w:t>
            </w:r>
          </w:p>
          <w:p w14:paraId="0C8F135B" w14:textId="77777777" w:rsidR="0055619E" w:rsidRDefault="0055619E" w:rsidP="00E54D8B">
            <w:pPr>
              <w:pStyle w:val="BodyText"/>
              <w:spacing w:before="40" w:after="40"/>
              <w:rPr>
                <w:sz w:val="20"/>
                <w:szCs w:val="20"/>
              </w:rPr>
            </w:pPr>
            <w:r>
              <w:rPr>
                <w:sz w:val="20"/>
                <w:szCs w:val="20"/>
              </w:rPr>
              <w:t>Frequency of breast screening</w:t>
            </w:r>
          </w:p>
          <w:p w14:paraId="67E62F85" w14:textId="77777777" w:rsidR="0055619E" w:rsidRDefault="0055619E" w:rsidP="00E54D8B">
            <w:pPr>
              <w:pStyle w:val="BodyText"/>
              <w:spacing w:before="40" w:after="40"/>
              <w:rPr>
                <w:sz w:val="20"/>
                <w:szCs w:val="20"/>
              </w:rPr>
            </w:pPr>
            <w:r>
              <w:rPr>
                <w:sz w:val="20"/>
                <w:szCs w:val="20"/>
              </w:rPr>
              <w:t>Mortality from breast cancer</w:t>
            </w:r>
          </w:p>
          <w:p w14:paraId="04B9FAA1" w14:textId="77777777" w:rsidR="0055619E" w:rsidRDefault="0055619E" w:rsidP="00E54D8B">
            <w:pPr>
              <w:pStyle w:val="BodyText"/>
              <w:spacing w:before="40" w:after="40"/>
              <w:rPr>
                <w:sz w:val="20"/>
                <w:szCs w:val="20"/>
              </w:rPr>
            </w:pPr>
            <w:r>
              <w:rPr>
                <w:sz w:val="20"/>
                <w:szCs w:val="20"/>
              </w:rPr>
              <w:t>Interval cancer rates</w:t>
            </w:r>
          </w:p>
          <w:p w14:paraId="6DD0A8E2" w14:textId="77777777" w:rsidR="0055619E" w:rsidRDefault="0055619E" w:rsidP="00E54D8B">
            <w:pPr>
              <w:pStyle w:val="BodyText"/>
              <w:spacing w:before="40" w:after="40"/>
              <w:rPr>
                <w:sz w:val="20"/>
                <w:szCs w:val="20"/>
              </w:rPr>
            </w:pPr>
            <w:r>
              <w:rPr>
                <w:sz w:val="20"/>
                <w:szCs w:val="20"/>
              </w:rPr>
              <w:t>Seeking of support from primary care, counsellors, mental health services</w:t>
            </w:r>
          </w:p>
          <w:p w14:paraId="78EBE15B" w14:textId="77777777" w:rsidR="0055619E" w:rsidRDefault="0055619E" w:rsidP="00E54D8B">
            <w:pPr>
              <w:pStyle w:val="BodyText"/>
              <w:spacing w:before="40" w:after="40"/>
              <w:rPr>
                <w:sz w:val="20"/>
                <w:szCs w:val="20"/>
              </w:rPr>
            </w:pPr>
            <w:r>
              <w:rPr>
                <w:sz w:val="20"/>
                <w:szCs w:val="20"/>
              </w:rPr>
              <w:t>Anxiety, depression</w:t>
            </w:r>
          </w:p>
          <w:p w14:paraId="0C31589F" w14:textId="77777777" w:rsidR="0055619E" w:rsidRDefault="0055619E" w:rsidP="00E54D8B">
            <w:pPr>
              <w:pStyle w:val="BodyText"/>
              <w:spacing w:before="40" w:after="40"/>
              <w:rPr>
                <w:sz w:val="20"/>
                <w:szCs w:val="20"/>
              </w:rPr>
            </w:pPr>
            <w:r>
              <w:rPr>
                <w:sz w:val="20"/>
                <w:szCs w:val="20"/>
              </w:rPr>
              <w:t xml:space="preserve">Additional costs incurred </w:t>
            </w:r>
          </w:p>
          <w:p w14:paraId="5C218947" w14:textId="77777777" w:rsidR="0055619E" w:rsidRDefault="0055619E" w:rsidP="00E54D8B">
            <w:pPr>
              <w:pStyle w:val="BodyText"/>
              <w:spacing w:before="40" w:after="40"/>
              <w:rPr>
                <w:sz w:val="20"/>
                <w:szCs w:val="20"/>
              </w:rPr>
            </w:pPr>
            <w:r>
              <w:rPr>
                <w:sz w:val="20"/>
                <w:szCs w:val="20"/>
              </w:rPr>
              <w:t>Acceptability of reporting protocol by GP</w:t>
            </w:r>
          </w:p>
        </w:tc>
      </w:tr>
      <w:tr w:rsidR="0055619E" w14:paraId="082F75F3" w14:textId="77777777" w:rsidTr="0035344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F6FEA1E" w14:textId="77777777" w:rsidR="0055619E" w:rsidRDefault="0055619E" w:rsidP="00E54D8B">
            <w:pPr>
              <w:pStyle w:val="BodyText"/>
              <w:spacing w:before="40" w:after="40"/>
              <w:rPr>
                <w:b/>
                <w:sz w:val="20"/>
                <w:szCs w:val="20"/>
              </w:rPr>
            </w:pPr>
            <w:r>
              <w:rPr>
                <w:b/>
                <w:sz w:val="20"/>
                <w:szCs w:val="20"/>
              </w:rPr>
              <w:t>Study types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755AF6" w14:textId="77777777" w:rsidR="0055619E" w:rsidRDefault="0055619E" w:rsidP="00E54D8B">
            <w:pPr>
              <w:pStyle w:val="BodyText"/>
              <w:spacing w:before="40" w:after="40"/>
              <w:rPr>
                <w:sz w:val="20"/>
                <w:szCs w:val="20"/>
              </w:rPr>
            </w:pPr>
            <w:r>
              <w:rPr>
                <w:sz w:val="20"/>
                <w:szCs w:val="20"/>
              </w:rPr>
              <w:t xml:space="preserve">Systematic reviews, randomized controlled trials, cohort, longitudinal, observational, grey literature </w:t>
            </w:r>
          </w:p>
        </w:tc>
      </w:tr>
    </w:tbl>
    <w:p w14:paraId="1FCC91F1" w14:textId="77777777" w:rsidR="0012497A" w:rsidRDefault="0012497A">
      <w:pPr>
        <w:rPr>
          <w:rFonts w:asciiTheme="majorHAnsi" w:hAnsiTheme="majorHAnsi"/>
          <w:b/>
          <w:color w:val="36424A" w:themeColor="text2"/>
          <w:sz w:val="28"/>
        </w:rPr>
      </w:pPr>
      <w:r>
        <w:br w:type="page"/>
      </w:r>
    </w:p>
    <w:p w14:paraId="060799E7" w14:textId="77777777" w:rsidR="0055619E" w:rsidRDefault="0055619E" w:rsidP="00F85003">
      <w:pPr>
        <w:pStyle w:val="NumberedHeading2"/>
      </w:pPr>
      <w:bookmarkStart w:id="38" w:name="_Toc518922194"/>
      <w:r w:rsidRPr="00DF4530">
        <w:lastRenderedPageBreak/>
        <w:t>Literature</w:t>
      </w:r>
      <w:r>
        <w:t xml:space="preserve"> </w:t>
      </w:r>
      <w:r w:rsidRPr="00F85003">
        <w:t>search</w:t>
      </w:r>
      <w:bookmarkEnd w:id="38"/>
    </w:p>
    <w:p w14:paraId="2152D42E" w14:textId="577AB8DA" w:rsidR="0085124B" w:rsidRDefault="004C45D2" w:rsidP="0055619E">
      <w:pPr>
        <w:pStyle w:val="List-BulletLvl1"/>
        <w:numPr>
          <w:ilvl w:val="0"/>
          <w:numId w:val="0"/>
        </w:numPr>
        <w:spacing w:before="120"/>
      </w:pPr>
      <w:r w:rsidRPr="00413F38">
        <w:t xml:space="preserve">The literature search was conducted in two phases: an initial search that </w:t>
      </w:r>
      <w:r w:rsidR="00413F38" w:rsidRPr="00413F38">
        <w:t xml:space="preserve">included </w:t>
      </w:r>
      <w:r w:rsidR="00ED56EF">
        <w:t xml:space="preserve">epidemiological studies including </w:t>
      </w:r>
      <w:r w:rsidR="00413F38" w:rsidRPr="00413F38">
        <w:t>systematic reviews, narrative reviews and RCTs, and an additional search that extended the inclusion criteria to include prospective cohort or case-control studies.</w:t>
      </w:r>
    </w:p>
    <w:p w14:paraId="5243C71B" w14:textId="189BB43A" w:rsidR="008C7432" w:rsidRDefault="008C7432" w:rsidP="0055619E">
      <w:pPr>
        <w:pStyle w:val="List-BulletLvl1"/>
        <w:numPr>
          <w:ilvl w:val="0"/>
          <w:numId w:val="0"/>
        </w:numPr>
        <w:spacing w:before="120"/>
      </w:pPr>
      <w:r>
        <w:t>In total, information from 6</w:t>
      </w:r>
      <w:r w:rsidR="00403BDB">
        <w:t>9</w:t>
      </w:r>
      <w:r>
        <w:t xml:space="preserve"> articles was used to answer the research questions in this literature review.</w:t>
      </w:r>
    </w:p>
    <w:p w14:paraId="100C7814" w14:textId="0C28FB93" w:rsidR="008C7432" w:rsidRDefault="008C7432" w:rsidP="00522F1A">
      <w:pPr>
        <w:pStyle w:val="NumberedHeading3"/>
      </w:pPr>
      <w:bookmarkStart w:id="39" w:name="_Toc518922195"/>
      <w:r>
        <w:t>Initial search</w:t>
      </w:r>
      <w:bookmarkEnd w:id="39"/>
    </w:p>
    <w:p w14:paraId="6CA7F41A" w14:textId="0D3A48EE" w:rsidR="0055619E" w:rsidRDefault="0055619E" w:rsidP="0055619E">
      <w:pPr>
        <w:pStyle w:val="List-BulletLvl1"/>
        <w:numPr>
          <w:ilvl w:val="0"/>
          <w:numId w:val="0"/>
        </w:numPr>
        <w:spacing w:before="120"/>
      </w:pPr>
      <w:r>
        <w:t>The following databases were searched on 15 and 19 January 2018:</w:t>
      </w:r>
    </w:p>
    <w:p w14:paraId="024C8AB3" w14:textId="77777777" w:rsidR="0055619E" w:rsidRDefault="0055619E" w:rsidP="00522F1A">
      <w:pPr>
        <w:pStyle w:val="List-BulletLvl1"/>
        <w:numPr>
          <w:ilvl w:val="0"/>
          <w:numId w:val="9"/>
        </w:numPr>
      </w:pPr>
      <w:r>
        <w:t>CINAHL</w:t>
      </w:r>
    </w:p>
    <w:p w14:paraId="4D71B53E" w14:textId="77777777" w:rsidR="0055619E" w:rsidRDefault="0055619E" w:rsidP="00522F1A">
      <w:pPr>
        <w:pStyle w:val="List-BulletLvl1"/>
        <w:numPr>
          <w:ilvl w:val="0"/>
          <w:numId w:val="9"/>
        </w:numPr>
      </w:pPr>
      <w:r>
        <w:t>Clinicaltrials.gov</w:t>
      </w:r>
    </w:p>
    <w:p w14:paraId="1E42D88E" w14:textId="77777777" w:rsidR="0055619E" w:rsidRDefault="0055619E" w:rsidP="00522F1A">
      <w:pPr>
        <w:pStyle w:val="List-BulletLvl1"/>
        <w:numPr>
          <w:ilvl w:val="0"/>
          <w:numId w:val="9"/>
        </w:numPr>
      </w:pPr>
      <w:r>
        <w:t xml:space="preserve">Cochrane Library database </w:t>
      </w:r>
    </w:p>
    <w:p w14:paraId="057A7F94" w14:textId="77777777" w:rsidR="0055619E" w:rsidRDefault="0055619E" w:rsidP="00522F1A">
      <w:pPr>
        <w:pStyle w:val="List-BulletLvl1"/>
        <w:numPr>
          <w:ilvl w:val="0"/>
          <w:numId w:val="9"/>
        </w:numPr>
      </w:pPr>
      <w:r>
        <w:t>Embase</w:t>
      </w:r>
    </w:p>
    <w:p w14:paraId="477D08E3" w14:textId="77777777" w:rsidR="0055619E" w:rsidRDefault="0055619E" w:rsidP="00522F1A">
      <w:pPr>
        <w:pStyle w:val="List-BulletLvl1"/>
        <w:numPr>
          <w:ilvl w:val="0"/>
          <w:numId w:val="9"/>
        </w:numPr>
      </w:pPr>
      <w:r>
        <w:t xml:space="preserve">National Institute for Health and Clinical Excellence </w:t>
      </w:r>
    </w:p>
    <w:p w14:paraId="22CAC82E" w14:textId="77777777" w:rsidR="0055619E" w:rsidRDefault="0055619E" w:rsidP="00522F1A">
      <w:pPr>
        <w:pStyle w:val="List-BulletLvl1"/>
        <w:numPr>
          <w:ilvl w:val="0"/>
          <w:numId w:val="9"/>
        </w:numPr>
      </w:pPr>
      <w:r>
        <w:t>OVID Medline</w:t>
      </w:r>
    </w:p>
    <w:p w14:paraId="586E4CC6" w14:textId="77777777" w:rsidR="0055619E" w:rsidRDefault="0055619E" w:rsidP="00522F1A">
      <w:pPr>
        <w:pStyle w:val="List-BulletLvl1"/>
        <w:numPr>
          <w:ilvl w:val="0"/>
          <w:numId w:val="9"/>
        </w:numPr>
      </w:pPr>
      <w:r>
        <w:t>ProQuest, and</w:t>
      </w:r>
    </w:p>
    <w:p w14:paraId="1A842D63" w14:textId="77777777" w:rsidR="0055619E" w:rsidRDefault="0055619E" w:rsidP="00522F1A">
      <w:pPr>
        <w:pStyle w:val="List-BulletLvl1"/>
        <w:numPr>
          <w:ilvl w:val="0"/>
          <w:numId w:val="9"/>
        </w:numPr>
      </w:pPr>
      <w:r>
        <w:t>Scopus.</w:t>
      </w:r>
    </w:p>
    <w:p w14:paraId="5BCDE031" w14:textId="684A8B75" w:rsidR="00601AE8" w:rsidRDefault="0055619E" w:rsidP="00A931EF">
      <w:pPr>
        <w:pStyle w:val="List-BulletLvl1"/>
        <w:numPr>
          <w:ilvl w:val="0"/>
          <w:numId w:val="0"/>
        </w:numPr>
      </w:pPr>
      <w:r>
        <w:t>To complete a systematic search, we used combinations of subject/index terms where appropriate in combination with key words, or key words alone depending on the search functionality of each database or website (</w:t>
      </w:r>
      <w:r w:rsidR="00A51F15">
        <w:t>eg</w:t>
      </w:r>
      <w:r>
        <w:t xml:space="preserve">, main searches included ‘breast density’ PLUS ‘breast cancer’ in the title or abstract). </w:t>
      </w:r>
    </w:p>
    <w:p w14:paraId="041E9E9B" w14:textId="77777777" w:rsidR="0055619E" w:rsidRDefault="0055619E" w:rsidP="0055619E">
      <w:pPr>
        <w:pStyle w:val="BodyText"/>
      </w:pPr>
      <w:r>
        <w:t xml:space="preserve">The following limits were applied on all searches: </w:t>
      </w:r>
    </w:p>
    <w:p w14:paraId="25B75BE1" w14:textId="77777777" w:rsidR="0055619E" w:rsidRDefault="0055619E" w:rsidP="00522F1A">
      <w:pPr>
        <w:pStyle w:val="List-BulletLvl1"/>
        <w:numPr>
          <w:ilvl w:val="0"/>
          <w:numId w:val="9"/>
        </w:numPr>
      </w:pPr>
      <w:r>
        <w:t xml:space="preserve">Currency (published between 1 January 2010 and </w:t>
      </w:r>
      <w:r w:rsidR="00145662">
        <w:t>15 January</w:t>
      </w:r>
      <w:r w:rsidR="00517755">
        <w:t xml:space="preserve"> 2018</w:t>
      </w:r>
      <w:r>
        <w:t>)</w:t>
      </w:r>
    </w:p>
    <w:p w14:paraId="064C89BA" w14:textId="77777777" w:rsidR="0055619E" w:rsidRDefault="0055619E" w:rsidP="00522F1A">
      <w:pPr>
        <w:pStyle w:val="List-BulletLvl1"/>
        <w:numPr>
          <w:ilvl w:val="0"/>
          <w:numId w:val="9"/>
        </w:numPr>
      </w:pPr>
      <w:r>
        <w:t xml:space="preserve">English language </w:t>
      </w:r>
    </w:p>
    <w:p w14:paraId="414C66E2" w14:textId="77777777" w:rsidR="0055619E" w:rsidRDefault="0055619E" w:rsidP="00522F1A">
      <w:pPr>
        <w:pStyle w:val="List-BulletLvl1"/>
        <w:numPr>
          <w:ilvl w:val="0"/>
          <w:numId w:val="9"/>
        </w:numPr>
      </w:pPr>
      <w:r>
        <w:t xml:space="preserve">Study type restrictions (where available and appropriate, we restricted returns from research databases to peer-reviewed systematic reviews, literature reviews, RCT, observational studies and clinical trials), and </w:t>
      </w:r>
    </w:p>
    <w:p w14:paraId="2B13BC6D" w14:textId="5E742605" w:rsidR="0055619E" w:rsidRDefault="00EE73D9" w:rsidP="00522F1A">
      <w:pPr>
        <w:pStyle w:val="List-BulletLvl1"/>
        <w:numPr>
          <w:ilvl w:val="0"/>
          <w:numId w:val="9"/>
        </w:numPr>
      </w:pPr>
      <w:r>
        <w:t>H</w:t>
      </w:r>
      <w:r w:rsidR="0055619E">
        <w:t xml:space="preserve">uman </w:t>
      </w:r>
      <w:r w:rsidR="00601AE8">
        <w:t>s</w:t>
      </w:r>
      <w:r w:rsidR="0055619E">
        <w:t>tudies</w:t>
      </w:r>
      <w:r w:rsidR="00601AE8">
        <w:t>.</w:t>
      </w:r>
    </w:p>
    <w:p w14:paraId="2F3070A6" w14:textId="77777777" w:rsidR="0055619E" w:rsidRDefault="0055619E" w:rsidP="0055619E">
      <w:pPr>
        <w:pStyle w:val="BodyText"/>
      </w:pPr>
      <w:r>
        <w:t>Duplicate citations and a small number of false hits/inaccurate returns were removed before all initial returned citations and abstracts were reviewed for relevance to the main research questions. Material was excluded if it:</w:t>
      </w:r>
    </w:p>
    <w:p w14:paraId="705E5BFB" w14:textId="0515E4BD" w:rsidR="0055619E" w:rsidRDefault="0055619E" w:rsidP="00522F1A">
      <w:pPr>
        <w:pStyle w:val="List-BulletLvl1"/>
        <w:numPr>
          <w:ilvl w:val="0"/>
          <w:numId w:val="12"/>
        </w:numPr>
      </w:pPr>
      <w:r>
        <w:t>did not relate to breast density in a population screening setting for breast cancer (</w:t>
      </w:r>
      <w:r w:rsidR="00491761">
        <w:t>i.e.,</w:t>
      </w:r>
      <w:r>
        <w:t xml:space="preserve"> if it related to the impact of breast density in the treatment of breast cancer)</w:t>
      </w:r>
    </w:p>
    <w:p w14:paraId="6EFB978E" w14:textId="77777777" w:rsidR="0055619E" w:rsidRDefault="0055619E" w:rsidP="00522F1A">
      <w:pPr>
        <w:pStyle w:val="List-BulletLvl1"/>
        <w:numPr>
          <w:ilvl w:val="0"/>
          <w:numId w:val="12"/>
        </w:numPr>
      </w:pPr>
      <w:r>
        <w:t xml:space="preserve">focused on factors that alter breast density (for example, particular diets), or </w:t>
      </w:r>
    </w:p>
    <w:p w14:paraId="44F207AA" w14:textId="77777777" w:rsidR="0055619E" w:rsidRDefault="0055619E" w:rsidP="00522F1A">
      <w:pPr>
        <w:pStyle w:val="List-BulletLvl1"/>
        <w:numPr>
          <w:ilvl w:val="0"/>
          <w:numId w:val="12"/>
        </w:numPr>
      </w:pPr>
      <w:proofErr w:type="gramStart"/>
      <w:r>
        <w:t>focused</w:t>
      </w:r>
      <w:proofErr w:type="gramEnd"/>
      <w:r>
        <w:t xml:space="preserve"> on a study population other than asymptomatic women.</w:t>
      </w:r>
    </w:p>
    <w:p w14:paraId="1864BD41" w14:textId="05874CC4" w:rsidR="00A2584B" w:rsidRDefault="0055619E" w:rsidP="0055619E">
      <w:pPr>
        <w:pStyle w:val="BodyText"/>
      </w:pPr>
      <w:r>
        <w:t>From this first sweep, full texts for all proposed inclusions were retrieved and reviewed for relevance to the research questions, inclusion criteria and documented PICOT criteria. A critical appraisal of study design (to determine overall quality) was completed and the bibliography of each included article was reviewed to identify other relevant research that may be of interest.</w:t>
      </w:r>
    </w:p>
    <w:p w14:paraId="688D763E" w14:textId="493DBB7D" w:rsidR="0055619E" w:rsidRDefault="0055619E" w:rsidP="0055619E">
      <w:pPr>
        <w:pStyle w:val="BodyText"/>
      </w:pPr>
      <w:r>
        <w:lastRenderedPageBreak/>
        <w:t xml:space="preserve">We </w:t>
      </w:r>
      <w:r w:rsidR="00F70C57">
        <w:t xml:space="preserve">also </w:t>
      </w:r>
      <w:r>
        <w:t>searched a wide range of websites</w:t>
      </w:r>
      <w:r w:rsidR="00F70C57">
        <w:t xml:space="preserve"> for relevant grey literature</w:t>
      </w:r>
      <w:r>
        <w:t xml:space="preserve"> including: Australian Clinical Trials Registry, </w:t>
      </w:r>
      <w:r>
        <w:rPr>
          <w:rFonts w:cs="Arial"/>
        </w:rPr>
        <w:t xml:space="preserve">Breast Cancer Research Institute of Australia, Breast Cancer Network Australia, </w:t>
      </w:r>
      <w:r>
        <w:t xml:space="preserve">Clinical Trials Registry, Current Controlled Trials metaRegister, Health Technology Assessment International, International Network for Agencies for Health Technology Assessment, Medicines and Healthcare Products Regulatory Agency (UK), National Library of Medicine Locator Plus database, National Institute for Health Research UK HTA programme, New York Academy of Medicine Grey Literature Report, TRIP database, U.K. National Research Register, US Food and Drug Administration, Center for Devices and Radiological Health, and  </w:t>
      </w:r>
      <w:r>
        <w:rPr>
          <w:rFonts w:cs="Arial"/>
        </w:rPr>
        <w:t>National Breast Cancer Foundation</w:t>
      </w:r>
      <w:r>
        <w:t>.</w:t>
      </w:r>
    </w:p>
    <w:p w14:paraId="604E8526" w14:textId="4DBCAA49" w:rsidR="00922B4C" w:rsidRDefault="00922B4C" w:rsidP="00922B4C">
      <w:pPr>
        <w:pStyle w:val="NumberedHeading3"/>
      </w:pPr>
      <w:bookmarkStart w:id="40" w:name="_Toc518922196"/>
      <w:r>
        <w:t>Literature review extension</w:t>
      </w:r>
      <w:bookmarkEnd w:id="40"/>
    </w:p>
    <w:p w14:paraId="1C19D8F9" w14:textId="379BF767" w:rsidR="006A65CC" w:rsidRDefault="00922B4C" w:rsidP="00922B4C">
      <w:pPr>
        <w:pStyle w:val="BodyText"/>
      </w:pPr>
      <w:r>
        <w:t xml:space="preserve">A follow-up search was conducted from 25 May – </w:t>
      </w:r>
      <w:r w:rsidR="003F4216">
        <w:t xml:space="preserve">5 </w:t>
      </w:r>
      <w:r>
        <w:t xml:space="preserve">June </w:t>
      </w:r>
      <w:r w:rsidR="003F4216">
        <w:t xml:space="preserve">2018 </w:t>
      </w:r>
      <w:r>
        <w:t xml:space="preserve">using the same process, databases and websites, and search parameters, as those outlined above. The purpose of the search was to extend the literature search on the questions relating to the measurement of breast density, risk, and masking to include </w:t>
      </w:r>
      <w:r w:rsidR="006A65CC">
        <w:t xml:space="preserve">prospective cohort and </w:t>
      </w:r>
      <w:r>
        <w:t xml:space="preserve">case-control studies. </w:t>
      </w:r>
    </w:p>
    <w:p w14:paraId="59DD9340" w14:textId="060F6B96" w:rsidR="00922B4C" w:rsidRDefault="00922B4C" w:rsidP="00922B4C">
      <w:pPr>
        <w:pStyle w:val="BodyText"/>
      </w:pPr>
      <w:r>
        <w:t>The search was limited to articles and reports published within the following timeframes</w:t>
      </w:r>
      <w:r w:rsidR="008C7432">
        <w:t xml:space="preserve">, which </w:t>
      </w:r>
      <w:r w:rsidR="00087374">
        <w:t>were selected based on the most recent published systematic review in the subject area</w:t>
      </w:r>
      <w:r>
        <w:t>:</w:t>
      </w:r>
    </w:p>
    <w:p w14:paraId="2FD51060" w14:textId="0891A8CF" w:rsidR="00922B4C" w:rsidRDefault="00922B4C" w:rsidP="00522F1A">
      <w:pPr>
        <w:pStyle w:val="List-BulletLvl1"/>
      </w:pPr>
      <w:r>
        <w:t>Measurement of breast density: 2016 – current</w:t>
      </w:r>
      <w:r w:rsidR="00087374">
        <w:t>.</w:t>
      </w:r>
    </w:p>
    <w:p w14:paraId="29737B10" w14:textId="69193EF8" w:rsidR="00922B4C" w:rsidRDefault="00922B4C" w:rsidP="00522F1A">
      <w:pPr>
        <w:pStyle w:val="List-BulletLvl1"/>
      </w:pPr>
      <w:r>
        <w:t>Breast density and risk: 2014 – current</w:t>
      </w:r>
      <w:r w:rsidR="00087374">
        <w:t>.</w:t>
      </w:r>
    </w:p>
    <w:p w14:paraId="74939DBB" w14:textId="6795B8CE" w:rsidR="00922B4C" w:rsidRDefault="00087374" w:rsidP="00522F1A">
      <w:pPr>
        <w:pStyle w:val="List-BulletLvl1"/>
      </w:pPr>
      <w:r>
        <w:t>Breast density and masking: 2014 – current.</w:t>
      </w:r>
    </w:p>
    <w:p w14:paraId="75DFAFD8" w14:textId="60620523" w:rsidR="00087374" w:rsidRDefault="009819DE" w:rsidP="009819DE">
      <w:pPr>
        <w:pStyle w:val="BodyText"/>
        <w:spacing w:line="240" w:lineRule="auto"/>
      </w:pPr>
      <w:r>
        <w:t>From the initial studies returned by the search,</w:t>
      </w:r>
      <w:r w:rsidR="007F6A5E">
        <w:t xml:space="preserve"> </w:t>
      </w:r>
      <w:r>
        <w:t xml:space="preserve">articles </w:t>
      </w:r>
      <w:r w:rsidR="007F6A5E">
        <w:t>already discussed in the systematic or narrative reviews included in the original search</w:t>
      </w:r>
      <w:r>
        <w:t xml:space="preserve"> were removed, as were articles that fell outside the target time period for publication</w:t>
      </w:r>
      <w:r w:rsidR="007F6A5E">
        <w:t xml:space="preserve">. </w:t>
      </w:r>
      <w:r>
        <w:t>The full text</w:t>
      </w:r>
      <w:r w:rsidR="007F6A5E">
        <w:t xml:space="preserve"> of the remaining studies w</w:t>
      </w:r>
      <w:r>
        <w:t>as</w:t>
      </w:r>
      <w:r w:rsidR="007F6A5E">
        <w:t xml:space="preserve"> </w:t>
      </w:r>
      <w:r>
        <w:t>reviewed for relevance to the research questions and inclusion criteria</w:t>
      </w:r>
      <w:r w:rsidR="006A65CC">
        <w:t xml:space="preserve">. </w:t>
      </w:r>
      <w:r>
        <w:t>Common r</w:t>
      </w:r>
      <w:r w:rsidR="006A65CC">
        <w:t>easons for exclusion included: use of a</w:t>
      </w:r>
      <w:r w:rsidR="00191F76">
        <w:t xml:space="preserve"> </w:t>
      </w:r>
      <w:r w:rsidR="006A65CC">
        <w:t xml:space="preserve">symptomatic or non-human sample; use of a retrospective study design; not addressing the key research questions; focus on diagnosis rather than screening; and being unable to access the full-text article. This left 26 prospective cohort or case-control studies </w:t>
      </w:r>
      <w:r>
        <w:t>for inclusion in the literature review</w:t>
      </w:r>
      <w:r w:rsidR="006A65CC">
        <w:t xml:space="preserve">, in addition to the 42 articles originally identified in the first literature search. </w:t>
      </w:r>
    </w:p>
    <w:p w14:paraId="158EEDB5" w14:textId="499172D5" w:rsidR="008D2951" w:rsidRPr="00EB5138" w:rsidRDefault="008D2951" w:rsidP="006310F0">
      <w:pPr>
        <w:pStyle w:val="Heading3"/>
      </w:pPr>
      <w:r>
        <w:t>Consumer survey</w:t>
      </w:r>
    </w:p>
    <w:p w14:paraId="65C33097" w14:textId="6006ECC3" w:rsidR="00182593" w:rsidRDefault="00777622" w:rsidP="006310F0">
      <w:pPr>
        <w:pStyle w:val="BodyText"/>
      </w:pPr>
      <w:r>
        <w:t>A</w:t>
      </w:r>
      <w:r w:rsidR="00A933CB">
        <w:t>n online survey of consumer stakeholders</w:t>
      </w:r>
      <w:r>
        <w:t xml:space="preserve"> was</w:t>
      </w:r>
      <w:r w:rsidR="00A933CB">
        <w:t xml:space="preserve"> </w:t>
      </w:r>
      <w:r>
        <w:t xml:space="preserve">conducted by </w:t>
      </w:r>
      <w:r>
        <w:rPr>
          <w:i/>
        </w:rPr>
        <w:t xml:space="preserve">Allen + Clarke </w:t>
      </w:r>
      <w:r>
        <w:t xml:space="preserve">between 23 May and 27 June 2018 </w:t>
      </w:r>
      <w:r w:rsidR="00A933CB">
        <w:t>regarding BSA’s position statement on breast density and screening</w:t>
      </w:r>
      <w:r>
        <w:t>. Respondents were asked to provide advice on any published scientific articles or major reports that in</w:t>
      </w:r>
      <w:r w:rsidR="008D2951">
        <w:t>fluenced their views on breast density and breast cancer screening. Based on these responses to the survey, one additional narrative review was identified for final inclusion in the narrative review, in addition to the 68 studies identified through the literature searches outlined above.</w:t>
      </w:r>
    </w:p>
    <w:p w14:paraId="4632277D" w14:textId="243970D8" w:rsidR="009819DE" w:rsidRDefault="009819DE" w:rsidP="009819DE">
      <w:pPr>
        <w:pStyle w:val="BodyText"/>
        <w:spacing w:line="240" w:lineRule="auto"/>
      </w:pPr>
      <w:r>
        <w:t>The citation review process for both the original and extended literature search is displayed in Figure 2</w:t>
      </w:r>
      <w:r w:rsidR="00E11605">
        <w:t xml:space="preserve"> (overleaf)</w:t>
      </w:r>
      <w:r>
        <w:t>.</w:t>
      </w:r>
    </w:p>
    <w:p w14:paraId="6529F197" w14:textId="3437D0CC" w:rsidR="00E11605" w:rsidRDefault="00E11605" w:rsidP="00E11605">
      <w:pPr>
        <w:pStyle w:val="Caption"/>
        <w:keepNext/>
        <w:jc w:val="both"/>
      </w:pPr>
      <w:r>
        <w:lastRenderedPageBreak/>
        <w:t>Figure 2: Citation review process</w:t>
      </w:r>
    </w:p>
    <w:p w14:paraId="3A364B65" w14:textId="2AE6D19F" w:rsidR="009819DE" w:rsidRDefault="00777622" w:rsidP="009819DE">
      <w:pPr>
        <w:pStyle w:val="BodyText"/>
        <w:spacing w:line="240" w:lineRule="auto"/>
      </w:pPr>
      <w:r>
        <w:rPr>
          <w:noProof/>
          <w:lang w:val="en-AU" w:eastAsia="en-AU"/>
        </w:rPr>
        <w:drawing>
          <wp:inline distT="0" distB="0" distL="0" distR="0" wp14:anchorId="1DCB540B" wp14:editId="5B23AA6F">
            <wp:extent cx="5800725" cy="4712179"/>
            <wp:effectExtent l="0" t="0" r="0" b="0"/>
            <wp:docPr id="105" name="Picture 105" descr="Inital Literature Search:&#10;&#10;Step1a: Identification for inclusion.&#10;812 citations identified through database search.&#10;&#10;Step 2a: Eligibility and Screening.&#10;After duplicates removed, 548 citations remained.&#10;After checking titles, abstracts and publication year, 243 articles remained.&#10;&#10;Step3a: Articles included.&#10;After checking full article for relevancy, 36 articles remained.&#10;After checking bibliography for relevancy, 6 articles were added.&#10;&#10;69 articles (1,277 studies) included for review. &#10;&#10;Extended literature search&#10;&#10;Step1b: Identification for inclusion.&#10;114 citations identified through database search.&#10;&#10;Step 2b: Eligibility and Screening.&#10;After duplicates removed, and titles and publication year checked, 107 citations remained.&#10;&#10;Step 3b: Articles included.&#10;After checking full article for relevancy, 26 articles remained&#10;1 additional study included from consumer survey.&#10;&#10;69 articles (1,277 studies included for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184" cy="4723112"/>
                    </a:xfrm>
                    <a:prstGeom prst="rect">
                      <a:avLst/>
                    </a:prstGeom>
                    <a:noFill/>
                  </pic:spPr>
                </pic:pic>
              </a:graphicData>
            </a:graphic>
          </wp:inline>
        </w:drawing>
      </w:r>
    </w:p>
    <w:p w14:paraId="15FE1C97" w14:textId="77777777" w:rsidR="0055619E" w:rsidRDefault="0055619E" w:rsidP="009819DE">
      <w:pPr>
        <w:pStyle w:val="NumberedHeading2"/>
        <w:spacing w:line="240" w:lineRule="auto"/>
        <w:ind w:left="851" w:hanging="851"/>
      </w:pPr>
      <w:bookmarkStart w:id="41" w:name="_Toc518922197"/>
      <w:r>
        <w:t>Limitations and interpretation</w:t>
      </w:r>
      <w:bookmarkEnd w:id="41"/>
      <w:r>
        <w:t xml:space="preserve"> </w:t>
      </w:r>
    </w:p>
    <w:p w14:paraId="509B8E31" w14:textId="25947CDA" w:rsidR="008A1444" w:rsidRDefault="008A1444" w:rsidP="009819DE">
      <w:pPr>
        <w:pStyle w:val="BodyText"/>
        <w:spacing w:line="240" w:lineRule="auto"/>
      </w:pPr>
      <w:bookmarkStart w:id="42" w:name="_Hlk507617727"/>
      <w:r>
        <w:t>This review</w:t>
      </w:r>
      <w:r w:rsidR="00FD40E1">
        <w:t>,</w:t>
      </w:r>
      <w:r>
        <w:t xml:space="preserve"> together with the results from</w:t>
      </w:r>
      <w:r w:rsidR="007B1BA7">
        <w:t xml:space="preserve"> Colin </w:t>
      </w:r>
      <w:r w:rsidR="00770AE3">
        <w:t>and colleagues’</w:t>
      </w:r>
      <w:r w:rsidR="00FD40E1">
        <w:t xml:space="preserve"> (2013)</w:t>
      </w:r>
      <w:r w:rsidR="00770AE3">
        <w:t xml:space="preserve"> review</w:t>
      </w:r>
      <w:r w:rsidR="00FD40E1">
        <w:t xml:space="preserve">, </w:t>
      </w:r>
      <w:r>
        <w:t xml:space="preserve">highlights that there is no standard classification system used to measure breast density or for deﬁning high breast density or </w:t>
      </w:r>
      <w:r w:rsidR="00FD40E1">
        <w:t xml:space="preserve">the </w:t>
      </w:r>
      <w:r>
        <w:t xml:space="preserve">threshold in high density distribution. </w:t>
      </w:r>
      <w:r w:rsidR="00FD40E1">
        <w:t xml:space="preserve">A range of models </w:t>
      </w:r>
      <w:r w:rsidR="00345812">
        <w:t xml:space="preserve">for classifying breast density </w:t>
      </w:r>
      <w:r w:rsidR="00FD40E1">
        <w:t>exist and d</w:t>
      </w:r>
      <w:r>
        <w:t xml:space="preserve">efinitions </w:t>
      </w:r>
      <w:r w:rsidR="00FD40E1">
        <w:t xml:space="preserve">of breast density </w:t>
      </w:r>
      <w:r>
        <w:t xml:space="preserve">vary by study. </w:t>
      </w:r>
      <w:r w:rsidR="00DC03EC">
        <w:t xml:space="preserve">Different measures depend on when the study was completed, the jurisdiction and </w:t>
      </w:r>
      <w:r w:rsidR="00770AE3">
        <w:t xml:space="preserve">the </w:t>
      </w:r>
      <w:r w:rsidR="00DC03EC">
        <w:t>availability of the technology</w:t>
      </w:r>
      <w:r w:rsidR="00FD40E1">
        <w:t xml:space="preserve"> at the time the study was active</w:t>
      </w:r>
      <w:r w:rsidR="00DC03EC">
        <w:t xml:space="preserve">. </w:t>
      </w:r>
      <w:r w:rsidR="00FD40E1">
        <w:t>T</w:t>
      </w:r>
      <w:r w:rsidR="00DC03EC">
        <w:t xml:space="preserve">here </w:t>
      </w:r>
      <w:r w:rsidR="00FD40E1">
        <w:t>was also (</w:t>
      </w:r>
      <w:r w:rsidR="00DC03EC">
        <w:t>often</w:t>
      </w:r>
      <w:r w:rsidR="00FD40E1">
        <w:t>)</w:t>
      </w:r>
      <w:r w:rsidR="00DC03EC">
        <w:t xml:space="preserve"> a lack of reference value</w:t>
      </w:r>
      <w:r w:rsidR="00FD40E1">
        <w:t>s</w:t>
      </w:r>
      <w:r w:rsidR="00DC03EC">
        <w:t xml:space="preserve"> </w:t>
      </w:r>
      <w:r w:rsidR="00FD40E1">
        <w:t>for</w:t>
      </w:r>
      <w:r w:rsidR="00DC03EC">
        <w:t xml:space="preserve"> non-dense breast </w:t>
      </w:r>
      <w:r w:rsidR="00FD40E1">
        <w:t xml:space="preserve">comparator </w:t>
      </w:r>
      <w:r w:rsidR="00DC03EC">
        <w:t>categor</w:t>
      </w:r>
      <w:r w:rsidR="00FD40E1">
        <w:t>ies</w:t>
      </w:r>
      <w:r w:rsidR="00770AE3">
        <w:t>,</w:t>
      </w:r>
      <w:r w:rsidR="00DC03EC">
        <w:t xml:space="preserve"> particularly in studies which use</w:t>
      </w:r>
      <w:r w:rsidR="00FD40E1">
        <w:t>d</w:t>
      </w:r>
      <w:r w:rsidR="00DC03EC">
        <w:t xml:space="preserve"> </w:t>
      </w:r>
      <w:r w:rsidR="00893AA8">
        <w:t>percent density</w:t>
      </w:r>
      <w:r w:rsidR="00FD40E1">
        <w:t xml:space="preserve"> (</w:t>
      </w:r>
      <w:r w:rsidR="00491761">
        <w:t>i.e.,</w:t>
      </w:r>
      <w:r w:rsidR="00DC03EC">
        <w:t xml:space="preserve"> varying from less than 25% </w:t>
      </w:r>
      <w:r w:rsidR="00345812">
        <w:t xml:space="preserve">density </w:t>
      </w:r>
      <w:r w:rsidR="00DC03EC">
        <w:t xml:space="preserve">to </w:t>
      </w:r>
      <w:r w:rsidR="00345812">
        <w:t xml:space="preserve">less than </w:t>
      </w:r>
      <w:r w:rsidR="00A2584B">
        <w:t>10</w:t>
      </w:r>
      <w:r w:rsidR="00DC03EC">
        <w:t>%</w:t>
      </w:r>
      <w:r w:rsidR="00345812">
        <w:t xml:space="preserve"> density</w:t>
      </w:r>
      <w:r w:rsidR="00DC03EC">
        <w:t>). Until a consistent classification</w:t>
      </w:r>
      <w:r w:rsidR="00345812">
        <w:t xml:space="preserve"> with clearly defined and consistent comparators</w:t>
      </w:r>
      <w:r w:rsidR="00DC03EC">
        <w:t xml:space="preserve"> is used across all studies </w:t>
      </w:r>
      <w:r w:rsidR="00345812">
        <w:t xml:space="preserve">that </w:t>
      </w:r>
      <w:r w:rsidR="00DC03EC">
        <w:t>measur</w:t>
      </w:r>
      <w:r w:rsidR="00345812">
        <w:t>e</w:t>
      </w:r>
      <w:r w:rsidR="00DC03EC">
        <w:t xml:space="preserve"> breast density, pooled analyses remain difficult, if not an impossibility. </w:t>
      </w:r>
      <w:r w:rsidR="00345812">
        <w:rPr>
          <w:i/>
        </w:rPr>
        <w:t>Allen + Clarke</w:t>
      </w:r>
      <w:r w:rsidR="00345812">
        <w:t>’s</w:t>
      </w:r>
      <w:r w:rsidR="00345812">
        <w:rPr>
          <w:i/>
        </w:rPr>
        <w:t xml:space="preserve"> </w:t>
      </w:r>
      <w:r>
        <w:t xml:space="preserve">review </w:t>
      </w:r>
      <w:r w:rsidR="00345812">
        <w:t xml:space="preserve">recognises this issue and </w:t>
      </w:r>
      <w:r>
        <w:t>report</w:t>
      </w:r>
      <w:r w:rsidR="00345812">
        <w:t>s</w:t>
      </w:r>
      <w:r>
        <w:t xml:space="preserve"> the system and thresholds used as defined by individual </w:t>
      </w:r>
      <w:r w:rsidR="00B6722D">
        <w:t>articles</w:t>
      </w:r>
      <w:r w:rsidR="00345812">
        <w:t xml:space="preserve"> only</w:t>
      </w:r>
      <w:r>
        <w:t>.</w:t>
      </w:r>
    </w:p>
    <w:p w14:paraId="679FF2C3" w14:textId="4C86734A" w:rsidR="00202000" w:rsidRDefault="00E85BE4" w:rsidP="00C2007B">
      <w:pPr>
        <w:pStyle w:val="BodyText"/>
      </w:pPr>
      <w:r>
        <w:t>The scope of this review</w:t>
      </w:r>
      <w:r w:rsidR="00EB35FA">
        <w:t xml:space="preserve"> for Questions 1-3</w:t>
      </w:r>
      <w:r w:rsidR="00DC4FBE">
        <w:t xml:space="preserve"> (classification of breast density, cancer risk, and the role of masking) </w:t>
      </w:r>
      <w:r w:rsidR="00EB35FA">
        <w:t>was to gain evidence from systematic reviews</w:t>
      </w:r>
      <w:r w:rsidR="00522EBC">
        <w:t xml:space="preserve"> and RCTs</w:t>
      </w:r>
      <w:r w:rsidR="00EB35FA">
        <w:t xml:space="preserve"> </w:t>
      </w:r>
      <w:r w:rsidR="00345812">
        <w:t xml:space="preserve">published </w:t>
      </w:r>
      <w:proofErr w:type="gramStart"/>
      <w:r w:rsidR="00EB35FA">
        <w:t>between 2010-2017</w:t>
      </w:r>
      <w:proofErr w:type="gramEnd"/>
      <w:r w:rsidR="00EB35FA">
        <w:t xml:space="preserve">. </w:t>
      </w:r>
      <w:r>
        <w:t xml:space="preserve">Due to the </w:t>
      </w:r>
      <w:r w:rsidR="0055619E">
        <w:t xml:space="preserve">limited number of systematic reviews or meta-analyses available, this review of the literature </w:t>
      </w:r>
      <w:r w:rsidR="00DC4FBE">
        <w:t xml:space="preserve">included some </w:t>
      </w:r>
      <w:r w:rsidR="0055619E">
        <w:t>narrative and non-systematic reviews</w:t>
      </w:r>
      <w:r w:rsidR="00DC4FBE">
        <w:t>,</w:t>
      </w:r>
      <w:r w:rsidR="0055619E">
        <w:t xml:space="preserve"> which </w:t>
      </w:r>
      <w:r w:rsidR="0055619E">
        <w:rPr>
          <w:color w:val="000000"/>
          <w:shd w:val="clear" w:color="auto" w:fill="FFFFFF"/>
        </w:rPr>
        <w:t>lack some essential components such as clear eligibility criteria, search strategies, study selection processes, outcomes, and assessment of bias in individual studies</w:t>
      </w:r>
      <w:r w:rsidR="0055619E">
        <w:t xml:space="preserve">. </w:t>
      </w:r>
      <w:r w:rsidR="006A65CC">
        <w:t>Some more recent prospective cohort and case-control studies have also been used to provide up-to-date information on areas of particular importan</w:t>
      </w:r>
      <w:r w:rsidR="00202000">
        <w:t>ce</w:t>
      </w:r>
      <w:r w:rsidR="006A65CC">
        <w:t xml:space="preserve"> to the literature review. </w:t>
      </w:r>
      <w:r w:rsidR="00202000">
        <w:t xml:space="preserve">Findings from these studies are subject to a number of biases, including Type </w:t>
      </w:r>
      <w:r w:rsidR="00202000">
        <w:lastRenderedPageBreak/>
        <w:t xml:space="preserve">I and II error and sampling bias, and require validation through replication. Results from these studies should be interpreted with caution and should not be given the same weight as findings from systematic reviews or meta-analyses. </w:t>
      </w:r>
    </w:p>
    <w:p w14:paraId="7AAAD69F" w14:textId="73B7F8F3" w:rsidR="00C2007B" w:rsidRPr="001666C0" w:rsidRDefault="005A10FA" w:rsidP="00C2007B">
      <w:pPr>
        <w:pStyle w:val="BodyText"/>
      </w:pPr>
      <w:r>
        <w:t>T</w:t>
      </w:r>
      <w:r w:rsidR="00DC4FBE">
        <w:t>o support understanding, we also included some contextual material published prior to 2010. I</w:t>
      </w:r>
      <w:r w:rsidR="0055619E">
        <w:t xml:space="preserve">nclusion of </w:t>
      </w:r>
      <w:r w:rsidR="00DC4FBE">
        <w:t xml:space="preserve">this additional </w:t>
      </w:r>
      <w:r w:rsidR="0055619E">
        <w:t>literature may introduce reporting bias,</w:t>
      </w:r>
      <w:r w:rsidR="00DC4FBE">
        <w:t xml:space="preserve"> but</w:t>
      </w:r>
      <w:r w:rsidR="0055619E">
        <w:t xml:space="preserve"> inclusion is warranted as this provides a bigger picture view and a wider look at the current evidence available related to breast density.</w:t>
      </w:r>
      <w:r w:rsidR="00E85BE4">
        <w:t xml:space="preserve"> </w:t>
      </w:r>
      <w:r w:rsidR="00C2007B" w:rsidRPr="001666C0">
        <w:t xml:space="preserve">Where needed, further analysis of individual studies included within the reviews </w:t>
      </w:r>
      <w:r w:rsidR="00DC4FBE">
        <w:t xml:space="preserve">has </w:t>
      </w:r>
      <w:r w:rsidR="00C2007B" w:rsidRPr="001666C0">
        <w:t xml:space="preserve">been </w:t>
      </w:r>
      <w:r w:rsidR="00DC4FBE">
        <w:t xml:space="preserve">undertaken </w:t>
      </w:r>
      <w:r w:rsidR="00C2007B" w:rsidRPr="001666C0">
        <w:t>to gain the necessary information to comment on findings or make conclusion</w:t>
      </w:r>
      <w:r w:rsidR="00DC4FBE">
        <w:t>s where the systematic review itself may have been silent (eg, Huo et al.’s 201</w:t>
      </w:r>
      <w:r w:rsidR="00657167">
        <w:t>4</w:t>
      </w:r>
      <w:r w:rsidR="00DC4FBE">
        <w:t xml:space="preserve"> study reported results but did not include substantive discussion)</w:t>
      </w:r>
      <w:r w:rsidR="00C2007B" w:rsidRPr="001666C0">
        <w:t xml:space="preserve">. This may mean that studies which </w:t>
      </w:r>
      <w:r w:rsidR="00DC4FBE">
        <w:t xml:space="preserve">could have met </w:t>
      </w:r>
      <w:r w:rsidR="00C2007B" w:rsidRPr="001666C0">
        <w:t xml:space="preserve">the scope of the question </w:t>
      </w:r>
      <w:r w:rsidR="00DC4FBE">
        <w:t xml:space="preserve">may not have been </w:t>
      </w:r>
      <w:r w:rsidR="00C2007B" w:rsidRPr="001666C0">
        <w:t xml:space="preserve">be included </w:t>
      </w:r>
      <w:r w:rsidR="00DC4FBE">
        <w:t xml:space="preserve">because it was </w:t>
      </w:r>
      <w:r w:rsidR="00C2007B" w:rsidRPr="001666C0">
        <w:t xml:space="preserve">not discussed by one of the included reviews. </w:t>
      </w:r>
    </w:p>
    <w:p w14:paraId="06F89663" w14:textId="77777777" w:rsidR="00C2007B" w:rsidRDefault="00DC4FBE" w:rsidP="00C2007B">
      <w:pPr>
        <w:pStyle w:val="BodyText"/>
      </w:pPr>
      <w:r>
        <w:t xml:space="preserve">Some </w:t>
      </w:r>
      <w:r w:rsidR="00C2007B" w:rsidRPr="001666C0">
        <w:t xml:space="preserve">studies </w:t>
      </w:r>
      <w:r>
        <w:t xml:space="preserve">included in </w:t>
      </w:r>
      <w:r>
        <w:rPr>
          <w:i/>
        </w:rPr>
        <w:t>Allen + Clarke</w:t>
      </w:r>
      <w:r>
        <w:t>’s review</w:t>
      </w:r>
      <w:r>
        <w:rPr>
          <w:i/>
        </w:rPr>
        <w:t xml:space="preserve"> </w:t>
      </w:r>
      <w:r w:rsidR="00C2007B" w:rsidRPr="001666C0">
        <w:t xml:space="preserve">discussed factors that can potentially modify breast density including: BMI reduction, </w:t>
      </w:r>
      <w:r>
        <w:t xml:space="preserve">parity, </w:t>
      </w:r>
      <w:r w:rsidR="00C2007B" w:rsidRPr="001666C0">
        <w:t>hormone replacement therapy or tamoxifen use. Breast density modifiability was out of scope for this review</w:t>
      </w:r>
      <w:r>
        <w:t>:</w:t>
      </w:r>
      <w:r w:rsidR="00C2007B" w:rsidRPr="001666C0">
        <w:t xml:space="preserve"> studies exploring this have not been included. The impact of breast density modifiability on cancer risk and appropriate population-based screening responses that </w:t>
      </w:r>
      <w:r w:rsidR="008D405F" w:rsidRPr="001666C0">
        <w:t>consider</w:t>
      </w:r>
      <w:r w:rsidR="00C2007B" w:rsidRPr="001666C0">
        <w:t xml:space="preserve"> modifiability is an interesting and developing area within the breast density literature. It could warrant further investigation and could be useful to inform the discussion around notification and information for women.</w:t>
      </w:r>
      <w:r w:rsidR="00C2007B">
        <w:t xml:space="preserve"> </w:t>
      </w:r>
    </w:p>
    <w:p w14:paraId="774BAA18" w14:textId="5C62D187" w:rsidR="0055619E" w:rsidRPr="00AF3A97" w:rsidRDefault="0055619E" w:rsidP="0055619E">
      <w:pPr>
        <w:pStyle w:val="BodyText"/>
        <w:rPr>
          <w:u w:val="single"/>
        </w:rPr>
      </w:pPr>
      <w:r>
        <w:t xml:space="preserve">The Department of Health has commissioned two other literature reviews to investigate </w:t>
      </w:r>
      <w:r w:rsidR="00436DC4">
        <w:t xml:space="preserve">digital breast tomosynthesis’ (DBT) </w:t>
      </w:r>
      <w:r>
        <w:t>role in breast cancer screening and in the assessment and diagnosis of breast cancer.</w:t>
      </w:r>
      <w:r w:rsidR="00436DC4">
        <w:t xml:space="preserve"> DBT is one of the supplemental </w:t>
      </w:r>
      <w:r w:rsidR="00403BDB">
        <w:t>tests</w:t>
      </w:r>
      <w:r w:rsidR="00436DC4">
        <w:t xml:space="preserve"> discussed in this report and further detailed information about its role in screening is provided in our other literature review</w:t>
      </w:r>
      <w:r w:rsidR="008C7432">
        <w:t>s</w:t>
      </w:r>
      <w:r w:rsidR="00436DC4">
        <w:t>.</w:t>
      </w:r>
      <w:r>
        <w:t xml:space="preserve"> </w:t>
      </w:r>
      <w:r w:rsidR="00436DC4">
        <w:t xml:space="preserve">In addition, </w:t>
      </w:r>
      <w:r w:rsidR="00436DC4">
        <w:rPr>
          <w:i/>
        </w:rPr>
        <w:t xml:space="preserve">Allen + Clarke </w:t>
      </w:r>
      <w:r w:rsidR="00436DC4" w:rsidRPr="00436DC4">
        <w:t>has</w:t>
      </w:r>
      <w:r w:rsidR="00436DC4">
        <w:t xml:space="preserve"> also completed a horizon scan looking at developments relating to the role of magnetic resonance imaging (MRI), molecular breast imaging (MBI) and </w:t>
      </w:r>
      <w:r w:rsidR="008C7432">
        <w:t xml:space="preserve">automated whole-breast </w:t>
      </w:r>
      <w:r w:rsidR="00436DC4">
        <w:t>ultrasound. Further information about these techniques and their potential role in screening asymptomatic women is provided there</w:t>
      </w:r>
      <w:r w:rsidR="00D23723">
        <w:t>.</w:t>
      </w:r>
      <w:bookmarkEnd w:id="42"/>
    </w:p>
    <w:p w14:paraId="2CC95D2C" w14:textId="77777777" w:rsidR="00095D72" w:rsidRDefault="00095D72">
      <w:pPr>
        <w:rPr>
          <w:rFonts w:asciiTheme="majorHAnsi" w:hAnsiTheme="majorHAnsi"/>
          <w:b/>
          <w:caps/>
          <w:color w:val="36424A" w:themeColor="text2"/>
          <w:sz w:val="28"/>
        </w:rPr>
      </w:pPr>
      <w:bookmarkStart w:id="43" w:name="_Toc507657159"/>
      <w:r>
        <w:br w:type="page"/>
      </w:r>
    </w:p>
    <w:p w14:paraId="44081D9A" w14:textId="77777777" w:rsidR="003A536A" w:rsidRPr="00E44152" w:rsidRDefault="003A536A" w:rsidP="003A536A">
      <w:pPr>
        <w:pStyle w:val="NumberedHeading1"/>
        <w:jc w:val="both"/>
      </w:pPr>
      <w:bookmarkStart w:id="44" w:name="_Toc518922198"/>
      <w:r>
        <w:lastRenderedPageBreak/>
        <w:t>A</w:t>
      </w:r>
      <w:r w:rsidRPr="00E44152">
        <w:t xml:space="preserve">ssessment of </w:t>
      </w:r>
      <w:r w:rsidRPr="002331C2">
        <w:t>evidence</w:t>
      </w:r>
      <w:r w:rsidRPr="00E44152">
        <w:t xml:space="preserve"> and presentation of results: </w:t>
      </w:r>
      <w:r w:rsidR="00414260">
        <w:t xml:space="preserve">DENSITY CLASSIFICATION AND </w:t>
      </w:r>
      <w:r>
        <w:t>The impact of breast density on the risk and masking of breast cancer</w:t>
      </w:r>
      <w:bookmarkEnd w:id="43"/>
      <w:bookmarkEnd w:id="44"/>
    </w:p>
    <w:p w14:paraId="066474C4" w14:textId="715FDF83" w:rsidR="003A536A" w:rsidRDefault="003A536A" w:rsidP="003A536A">
      <w:pPr>
        <w:pStyle w:val="BodyText"/>
      </w:pPr>
      <w:r>
        <w:t>The sensitivity and specificity of FFDM alone can vary for different groups of women. FFDM can have significantly lower sensitivity in women who have more dense breasts compared to those with lower breast density</w:t>
      </w:r>
      <w:r w:rsidR="004F092E">
        <w:t xml:space="preserve"> </w:t>
      </w:r>
      <w:r w:rsidR="00A85DF4">
        <w:t>(</w:t>
      </w:r>
      <w:r w:rsidR="007B1BA7">
        <w:t>Mousa et al., 2014</w:t>
      </w:r>
      <w:r w:rsidR="002814DF" w:rsidRPr="002814DF">
        <w:t>;</w:t>
      </w:r>
      <w:r w:rsidRPr="002814DF">
        <w:t xml:space="preserve"> this </w:t>
      </w:r>
      <w:r w:rsidR="00A85DF4" w:rsidRPr="002814DF">
        <w:t xml:space="preserve">finding </w:t>
      </w:r>
      <w:r w:rsidRPr="002814DF">
        <w:t>is further described in section 3.3 of this report</w:t>
      </w:r>
      <w:r w:rsidR="002814DF">
        <w:t>).</w:t>
      </w:r>
      <w:r>
        <w:t xml:space="preserve"> Because of reduced conspicuity on FFDM for women with more dense breasts (as discussed in section 1.1 of this report), understanding the impact of breast density on risk, masking and the best approach to early detection for women with more dense breasts is important for screening program</w:t>
      </w:r>
      <w:r w:rsidR="002814DF">
        <w:t>me</w:t>
      </w:r>
      <w:r>
        <w:t>s, especially if there are adjunct screening modalities that could improve overall sensitivity and specificity</w:t>
      </w:r>
      <w:r w:rsidR="00A85DF4">
        <w:t xml:space="preserve"> for women with more dense breasts</w:t>
      </w:r>
      <w:r>
        <w:t xml:space="preserve">. </w:t>
      </w:r>
    </w:p>
    <w:p w14:paraId="56E0322F" w14:textId="2DEC1194" w:rsidR="003A536A" w:rsidRDefault="003A536A" w:rsidP="003A536A">
      <w:pPr>
        <w:pStyle w:val="BodyText"/>
      </w:pPr>
      <w:r>
        <w:t>A large body of research exploring the relationship between breast density</w:t>
      </w:r>
      <w:r w:rsidR="00A85DF4">
        <w:t>,</w:t>
      </w:r>
      <w:r>
        <w:t xml:space="preserve"> </w:t>
      </w:r>
      <w:r w:rsidR="00A85DF4">
        <w:t xml:space="preserve">breast </w:t>
      </w:r>
      <w:r>
        <w:t>cancer risk and breast cancer exists. This includes systematic reviews, narrative literature reviews and some randomised controlled trials. Chapter 3 of this report discusses systematic review</w:t>
      </w:r>
      <w:r w:rsidR="001665E4">
        <w:t>,</w:t>
      </w:r>
      <w:r>
        <w:t xml:space="preserve"> narrative literature review</w:t>
      </w:r>
      <w:r w:rsidR="001665E4">
        <w:t>s, RCTs, prospective cohort and case-control evidence</w:t>
      </w:r>
      <w:r>
        <w:t xml:space="preserve"> on:</w:t>
      </w:r>
    </w:p>
    <w:p w14:paraId="71F20AA4" w14:textId="77777777" w:rsidR="004C05EA" w:rsidRPr="00261D24" w:rsidRDefault="004C05EA" w:rsidP="004C05EA">
      <w:pPr>
        <w:pStyle w:val="List-BulletLvl1"/>
      </w:pPr>
      <w:r>
        <w:t xml:space="preserve">the best (and </w:t>
      </w:r>
      <w:r w:rsidRPr="00261D24">
        <w:t>validated</w:t>
      </w:r>
      <w:r>
        <w:t xml:space="preserve">) ways to measure </w:t>
      </w:r>
      <w:r w:rsidRPr="00261D24">
        <w:t>breast density</w:t>
      </w:r>
    </w:p>
    <w:p w14:paraId="6D8F200C" w14:textId="060E9762" w:rsidR="004C05EA" w:rsidRDefault="004C05EA" w:rsidP="004C05EA">
      <w:pPr>
        <w:pStyle w:val="List-BulletLvl1"/>
      </w:pPr>
      <w:r w:rsidRPr="00261D24">
        <w:t>the established increase in risk of breast cancer for women with more dense breasts, the relative risk of breast cancer by age and by breast density</w:t>
      </w:r>
      <w:r w:rsidR="002814DF">
        <w:t>,</w:t>
      </w:r>
      <w:r w:rsidRPr="00261D24">
        <w:t xml:space="preserve"> and how</w:t>
      </w:r>
      <w:r>
        <w:t xml:space="preserve"> (or if)</w:t>
      </w:r>
      <w:r w:rsidRPr="00261D24">
        <w:t xml:space="preserve"> the association between breast density and risk changes with adjustment for age</w:t>
      </w:r>
    </w:p>
    <w:p w14:paraId="26CD70E9" w14:textId="77777777" w:rsidR="004C05EA" w:rsidRPr="00261D24" w:rsidRDefault="004C05EA" w:rsidP="004C05EA">
      <w:pPr>
        <w:pStyle w:val="List-BulletLvl1"/>
      </w:pPr>
      <w:r>
        <w:t xml:space="preserve">the </w:t>
      </w:r>
      <w:r w:rsidRPr="00261D24">
        <w:t xml:space="preserve">degree </w:t>
      </w:r>
      <w:r>
        <w:t xml:space="preserve">to which </w:t>
      </w:r>
      <w:r w:rsidRPr="00261D24">
        <w:t>breast density masks breast cancer in modern digital mammogra</w:t>
      </w:r>
      <w:r>
        <w:t>phy, and</w:t>
      </w:r>
    </w:p>
    <w:p w14:paraId="32715A8F" w14:textId="5591F877" w:rsidR="003A536A" w:rsidRPr="00261D24" w:rsidRDefault="004C05EA" w:rsidP="004C05EA">
      <w:pPr>
        <w:pStyle w:val="List-BulletLvl1"/>
      </w:pPr>
      <w:proofErr w:type="gramStart"/>
      <w:r>
        <w:t>the</w:t>
      </w:r>
      <w:proofErr w:type="gramEnd"/>
      <w:r>
        <w:t xml:space="preserve"> role of supplemental </w:t>
      </w:r>
      <w:r w:rsidR="00403BDB">
        <w:t xml:space="preserve">tests </w:t>
      </w:r>
      <w:r>
        <w:t>in the early detection of breast cancer in asymptomatic women with dense breasts.</w:t>
      </w:r>
    </w:p>
    <w:p w14:paraId="41ABF777" w14:textId="4EEFCC81" w:rsidR="003A536A" w:rsidRDefault="003A536A" w:rsidP="003A536A">
      <w:pPr>
        <w:pStyle w:val="BodyText"/>
      </w:pPr>
      <w:r w:rsidRPr="002331C2">
        <w:t xml:space="preserve">The discussion for each </w:t>
      </w:r>
      <w:r>
        <w:t xml:space="preserve">area of interest </w:t>
      </w:r>
      <w:r w:rsidRPr="002331C2">
        <w:t xml:space="preserve">includes a description of the number of </w:t>
      </w:r>
      <w:r>
        <w:t>systematic reviews</w:t>
      </w:r>
      <w:r w:rsidR="001665E4">
        <w:t xml:space="preserve">, </w:t>
      </w:r>
      <w:r>
        <w:t xml:space="preserve">narrative literature reviews </w:t>
      </w:r>
      <w:r w:rsidR="001665E4">
        <w:t xml:space="preserve">and prospective studies </w:t>
      </w:r>
      <w:r w:rsidRPr="002331C2">
        <w:t>identified,</w:t>
      </w:r>
      <w:r w:rsidR="00A85DF4">
        <w:t xml:space="preserve"> a statement about</w:t>
      </w:r>
      <w:r w:rsidRPr="002331C2">
        <w:t xml:space="preserve"> the overall quality of the </w:t>
      </w:r>
      <w:r w:rsidR="00B6722D">
        <w:t>studies</w:t>
      </w:r>
      <w:r w:rsidRPr="002331C2">
        <w:t xml:space="preserve">, and a summary of the results. Detailed study tables </w:t>
      </w:r>
      <w:r w:rsidR="00A85DF4">
        <w:t xml:space="preserve">(including those drawn from the systematic reviews) </w:t>
      </w:r>
      <w:r w:rsidRPr="002331C2">
        <w:t>provide additional material about study population, methodology, intervention, comparator and</w:t>
      </w:r>
      <w:r w:rsidR="005A10FA">
        <w:t>/or</w:t>
      </w:r>
      <w:r w:rsidRPr="002331C2">
        <w:t xml:space="preserve"> key results</w:t>
      </w:r>
      <w:r w:rsidRPr="00E44152">
        <w:t xml:space="preserve">. </w:t>
      </w:r>
    </w:p>
    <w:p w14:paraId="250F68DD"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252C48">
        <w:rPr>
          <w:b/>
        </w:rPr>
        <w:t>Definitions used in this review</w:t>
      </w:r>
    </w:p>
    <w:p w14:paraId="5B36ADEA"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Pr>
          <w:i/>
        </w:rPr>
        <w:t>Sensitivity</w:t>
      </w:r>
      <w:r w:rsidRPr="00A93A58">
        <w:t xml:space="preserve">: </w:t>
      </w:r>
      <w:r>
        <w:t>T</w:t>
      </w:r>
      <w:r w:rsidRPr="0069053D">
        <w:t>he percentage of women who are correctly identified as having breast cancer</w:t>
      </w:r>
      <w:r>
        <w:t>.</w:t>
      </w:r>
    </w:p>
    <w:p w14:paraId="5BBADCB9"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Pr>
          <w:i/>
        </w:rPr>
        <w:t>Specificity</w:t>
      </w:r>
      <w:r w:rsidRPr="003C5CD3">
        <w:t xml:space="preserve">: </w:t>
      </w:r>
      <w:r>
        <w:t>T</w:t>
      </w:r>
      <w:r w:rsidRPr="003C5CD3">
        <w:t xml:space="preserve">he percentage of </w:t>
      </w:r>
      <w:r>
        <w:t>women</w:t>
      </w:r>
      <w:r w:rsidRPr="003C5CD3">
        <w:t xml:space="preserve"> who are correctly identified as not having </w:t>
      </w:r>
      <w:r>
        <w:t>breast cancer.</w:t>
      </w:r>
    </w:p>
    <w:p w14:paraId="2AB28292"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8B58E8">
        <w:rPr>
          <w:i/>
        </w:rPr>
        <w:t>Recall rate (RR):</w:t>
      </w:r>
      <w:r w:rsidRPr="009F46FD">
        <w:t xml:space="preserve"> The percentage of patients recalled from screening examinations </w:t>
      </w:r>
      <w:r>
        <w:t xml:space="preserve">who were </w:t>
      </w:r>
      <w:r w:rsidRPr="009F46FD">
        <w:t>assessed as</w:t>
      </w:r>
      <w:r>
        <w:t xml:space="preserve"> needing</w:t>
      </w:r>
      <w:r w:rsidRPr="009F46FD">
        <w:t xml:space="preserve"> </w:t>
      </w:r>
      <w:r>
        <w:t>a</w:t>
      </w:r>
      <w:r w:rsidRPr="009F46FD">
        <w:t>dditional imaging</w:t>
      </w:r>
      <w:r>
        <w:t>.</w:t>
      </w:r>
    </w:p>
    <w:p w14:paraId="1D47DAF5"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8B58E8">
        <w:rPr>
          <w:i/>
        </w:rPr>
        <w:t>Positive</w:t>
      </w:r>
      <w:r>
        <w:rPr>
          <w:i/>
        </w:rPr>
        <w:t xml:space="preserve"> </w:t>
      </w:r>
      <w:hyperlink r:id="rId19" w:tooltip="Learn more about Predictive value of tests" w:history="1">
        <w:r w:rsidRPr="008B58E8">
          <w:rPr>
            <w:i/>
          </w:rPr>
          <w:t>predictive value</w:t>
        </w:r>
      </w:hyperlink>
      <w:r>
        <w:rPr>
          <w:i/>
        </w:rPr>
        <w:t xml:space="preserve"> </w:t>
      </w:r>
      <w:r w:rsidRPr="008B58E8">
        <w:rPr>
          <w:i/>
        </w:rPr>
        <w:t>1 (PPV</w:t>
      </w:r>
      <w:r w:rsidRPr="00252C48">
        <w:rPr>
          <w:i/>
          <w:vertAlign w:val="subscript"/>
        </w:rPr>
        <w:t>1</w:t>
      </w:r>
      <w:r w:rsidRPr="008B58E8">
        <w:rPr>
          <w:i/>
        </w:rPr>
        <w:t>):</w:t>
      </w:r>
      <w:r w:rsidRPr="009F46FD">
        <w:t xml:space="preserve"> The percentage of all positive screening examinations that result in a diagnosis of cancer within </w:t>
      </w:r>
      <w:r>
        <w:t>one</w:t>
      </w:r>
      <w:r w:rsidRPr="009F46FD">
        <w:t xml:space="preserve"> year</w:t>
      </w:r>
      <w:r>
        <w:t xml:space="preserve"> of screening.</w:t>
      </w:r>
    </w:p>
    <w:p w14:paraId="60854B73" w14:textId="118A4AC2"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8B58E8">
        <w:rPr>
          <w:i/>
        </w:rPr>
        <w:t>Cancer detection rate (CDR</w:t>
      </w:r>
      <w:r w:rsidRPr="009F46FD">
        <w:t xml:space="preserve">) from screening: The number of cancers correctly detected per 1000 </w:t>
      </w:r>
      <w:r>
        <w:t xml:space="preserve">screening examinations </w:t>
      </w:r>
      <w:r w:rsidRPr="009F46FD">
        <w:t>(</w:t>
      </w:r>
      <w:r>
        <w:t xml:space="preserve">i.e., the number </w:t>
      </w:r>
      <w:r w:rsidRPr="009F46FD">
        <w:t>of true positive/</w:t>
      </w:r>
      <w:r>
        <w:t>number</w:t>
      </w:r>
      <w:r w:rsidRPr="00F32F05">
        <w:t xml:space="preserve"> </w:t>
      </w:r>
      <w:r w:rsidRPr="009F46FD">
        <w:t>of screening</w:t>
      </w:r>
      <w:r>
        <w:t xml:space="preserve"> examinations).</w:t>
      </w:r>
    </w:p>
    <w:p w14:paraId="66F483AB" w14:textId="77777777" w:rsidR="00F32F05" w:rsidRDefault="00F32F05" w:rsidP="003A536A">
      <w:pPr>
        <w:pStyle w:val="BodyText"/>
      </w:pPr>
    </w:p>
    <w:p w14:paraId="47549EF3" w14:textId="77777777" w:rsidR="003A536A" w:rsidRPr="00E44152" w:rsidRDefault="003A536A" w:rsidP="003A536A">
      <w:pPr>
        <w:pStyle w:val="NumberedHeading2"/>
      </w:pPr>
      <w:bookmarkStart w:id="45" w:name="_Toc518922199"/>
      <w:bookmarkStart w:id="46" w:name="_Toc507089561"/>
      <w:r>
        <w:lastRenderedPageBreak/>
        <w:t>Classifying</w:t>
      </w:r>
      <w:r w:rsidRPr="006C265C">
        <w:t xml:space="preserve"> </w:t>
      </w:r>
      <w:r>
        <w:t>and validating b</w:t>
      </w:r>
      <w:r w:rsidRPr="006C265C">
        <w:t xml:space="preserve">reast </w:t>
      </w:r>
      <w:r>
        <w:t>d</w:t>
      </w:r>
      <w:r w:rsidRPr="006C265C">
        <w:t>ensity</w:t>
      </w:r>
      <w:bookmarkEnd w:id="45"/>
      <w:r w:rsidRPr="006C265C">
        <w:t xml:space="preserve"> </w:t>
      </w:r>
      <w:bookmarkEnd w:id="46"/>
    </w:p>
    <w:p w14:paraId="1462A89F" w14:textId="323BDC06" w:rsidR="003A536A" w:rsidRDefault="00461CD4" w:rsidP="003A536A">
      <w:pPr>
        <w:pStyle w:val="BodyText"/>
      </w:pPr>
      <w:r>
        <w:t>High m</w:t>
      </w:r>
      <w:r w:rsidR="003A536A" w:rsidRPr="00FA62E4">
        <w:t xml:space="preserve">ammographic density is </w:t>
      </w:r>
      <w:r>
        <w:t>relatively common</w:t>
      </w:r>
      <w:r w:rsidR="003A536A">
        <w:t>. P</w:t>
      </w:r>
      <w:r w:rsidR="003A536A" w:rsidRPr="00FA62E4">
        <w:t xml:space="preserve">opulation-based data </w:t>
      </w:r>
      <w:r w:rsidR="003A536A">
        <w:t xml:space="preserve">estimates that </w:t>
      </w:r>
      <w:r w:rsidR="003A536A" w:rsidRPr="00FA62E4">
        <w:t>approximately 10% of women have almost entirely fatty breasts (</w:t>
      </w:r>
      <w:r w:rsidR="00275D65">
        <w:t>BIRADS</w:t>
      </w:r>
      <w:r w:rsidR="003A536A" w:rsidRPr="00FA62E4">
        <w:t xml:space="preserve"> 1), 40% of women have scattered ﬁbroglandular densities (</w:t>
      </w:r>
      <w:r w:rsidR="00275D65">
        <w:t>BIRADS</w:t>
      </w:r>
      <w:r w:rsidR="003A536A" w:rsidRPr="00FA62E4">
        <w:t xml:space="preserve"> 2), another 40% have heterogeneously dense breasts (</w:t>
      </w:r>
      <w:r w:rsidR="00275D65">
        <w:t>BIRADS</w:t>
      </w:r>
      <w:r w:rsidR="003A536A" w:rsidRPr="00FA62E4">
        <w:t xml:space="preserve"> 3), and 10% have extremely dense breasts (</w:t>
      </w:r>
      <w:r w:rsidR="00275D65">
        <w:t>BIRADS</w:t>
      </w:r>
      <w:r w:rsidR="003A536A" w:rsidRPr="00FA62E4">
        <w:t xml:space="preserve"> 4). Dense breasts are deﬁned as either heterogeneously dense (</w:t>
      </w:r>
      <w:r w:rsidR="00275D65">
        <w:t>BIRADS</w:t>
      </w:r>
      <w:r w:rsidR="003A536A" w:rsidRPr="00FA62E4">
        <w:t xml:space="preserve"> 3) or extremely dense (</w:t>
      </w:r>
      <w:r w:rsidR="00275D65">
        <w:t>BIRADS</w:t>
      </w:r>
      <w:r w:rsidR="003A536A" w:rsidRPr="00FA62E4">
        <w:t xml:space="preserve"> 4). Thus,</w:t>
      </w:r>
      <w:r w:rsidR="00414260">
        <w:t xml:space="preserve"> using </w:t>
      </w:r>
      <w:r w:rsidR="00275D65">
        <w:t>BIRADS</w:t>
      </w:r>
      <w:r w:rsidR="00414260">
        <w:t xml:space="preserve">, </w:t>
      </w:r>
      <w:r w:rsidR="003A536A" w:rsidRPr="00FA62E4">
        <w:t>approximately 50% of the population undergoing mammography would be categori</w:t>
      </w:r>
      <w:r w:rsidR="003A536A">
        <w:t>s</w:t>
      </w:r>
      <w:r w:rsidR="003A536A" w:rsidRPr="00FA62E4">
        <w:t>ed as having dense breasts</w:t>
      </w:r>
      <w:r w:rsidR="007B1BA7">
        <w:t xml:space="preserve"> </w:t>
      </w:r>
      <w:r w:rsidR="00414260">
        <w:t>(</w:t>
      </w:r>
      <w:r w:rsidR="007B1BA7">
        <w:rPr>
          <w:noProof/>
        </w:rPr>
        <w:t>Breast Cancer Surveillance Consortium, 2013)</w:t>
      </w:r>
      <w:r w:rsidR="00D76869">
        <w:rPr>
          <w:noProof/>
        </w:rPr>
        <w:t>.</w:t>
      </w:r>
      <w:r w:rsidR="001665E4">
        <w:rPr>
          <w:noProof/>
        </w:rPr>
        <w:t xml:space="preserve"> These proportions tend to change with age, with younger women being more likely to have more dense breasts.</w:t>
      </w:r>
    </w:p>
    <w:p w14:paraId="27EB9529" w14:textId="77777777" w:rsidR="003A536A" w:rsidRDefault="003A536A" w:rsidP="003A536A">
      <w:pPr>
        <w:pStyle w:val="BodyText"/>
        <w:rPr>
          <w:rFonts w:cs="Arial"/>
          <w:color w:val="000000"/>
        </w:rPr>
      </w:pPr>
      <w:r>
        <w:rPr>
          <w:rFonts w:cs="Arial"/>
          <w:color w:val="000000"/>
        </w:rPr>
        <w:t>As noted in its position statement, the BSA program:</w:t>
      </w:r>
    </w:p>
    <w:p w14:paraId="13C5FE9E" w14:textId="77777777" w:rsidR="003A536A" w:rsidRDefault="003A536A" w:rsidP="003A536A">
      <w:pPr>
        <w:pStyle w:val="Quote"/>
        <w:rPr>
          <w:b/>
        </w:rPr>
      </w:pPr>
      <w:r>
        <w:t>“</w:t>
      </w:r>
      <w:proofErr w:type="gramStart"/>
      <w:r w:rsidRPr="002614FB">
        <w:t>aims</w:t>
      </w:r>
      <w:proofErr w:type="gramEnd"/>
      <w:r w:rsidRPr="002614FB">
        <w:t xml:space="preserve"> to provide women with accurate and useful information so that they can make informed decisions about their own breast health and their decision to participate in screening</w:t>
      </w:r>
      <w:r>
        <w:t xml:space="preserve">.” </w:t>
      </w:r>
    </w:p>
    <w:p w14:paraId="2DC5BA22" w14:textId="012347B2" w:rsidR="003A536A" w:rsidRDefault="003A536A" w:rsidP="00D76869">
      <w:pPr>
        <w:pStyle w:val="BodyText"/>
        <w:rPr>
          <w:rStyle w:val="Strong"/>
          <w:b w:val="0"/>
        </w:rPr>
      </w:pPr>
      <w:r>
        <w:t xml:space="preserve">Having a validated and consistent measure of breast density is an important starting point when considering the role of breast density </w:t>
      </w:r>
      <w:r w:rsidR="00461CD4">
        <w:t>in</w:t>
      </w:r>
      <w:r>
        <w:t xml:space="preserve"> screening. </w:t>
      </w:r>
      <w:r w:rsidR="00D76869">
        <w:t xml:space="preserve">Breast density can </w:t>
      </w:r>
      <w:r w:rsidR="00461CD4">
        <w:t xml:space="preserve">currently </w:t>
      </w:r>
      <w:r w:rsidRPr="00D542FF">
        <w:t>only be determined by mammographic imaging</w:t>
      </w:r>
      <w:r>
        <w:t xml:space="preserve">. </w:t>
      </w:r>
      <w:r w:rsidRPr="0013484B">
        <w:rPr>
          <w:rStyle w:val="Strong"/>
          <w:b w:val="0"/>
        </w:rPr>
        <w:t>Breast density can be measured in two ways</w:t>
      </w:r>
      <w:r>
        <w:rPr>
          <w:rStyle w:val="Strong"/>
          <w:b w:val="0"/>
        </w:rPr>
        <w:t>:</w:t>
      </w:r>
    </w:p>
    <w:p w14:paraId="15826FD0" w14:textId="36CCB7A3" w:rsidR="003A536A" w:rsidRDefault="003A536A" w:rsidP="007F6A5E">
      <w:pPr>
        <w:pStyle w:val="List-AlphanumericLvl1"/>
        <w:numPr>
          <w:ilvl w:val="0"/>
          <w:numId w:val="19"/>
        </w:numPr>
        <w:jc w:val="both"/>
      </w:pPr>
      <w:r>
        <w:t xml:space="preserve">Through </w:t>
      </w:r>
      <w:r w:rsidRPr="00D542FF">
        <w:t>a</w:t>
      </w:r>
      <w:r>
        <w:t xml:space="preserve"> qualitative visual</w:t>
      </w:r>
      <w:r w:rsidRPr="00D542FF">
        <w:t xml:space="preserve"> assessment </w:t>
      </w:r>
      <w:r>
        <w:t xml:space="preserve">based on analysing a mammographic image of the breast to make an estimate of density, which is completed </w:t>
      </w:r>
      <w:r w:rsidRPr="00D542FF">
        <w:t xml:space="preserve">by a radiologist </w:t>
      </w:r>
      <w:r>
        <w:t>or screen-reading breast physician (</w:t>
      </w:r>
      <w:r w:rsidRPr="00D542FF">
        <w:t xml:space="preserve">or </w:t>
      </w:r>
      <w:r>
        <w:t>similarly qualified and experience health practitioner)</w:t>
      </w:r>
      <w:r w:rsidR="00461CD4">
        <w:t>;</w:t>
      </w:r>
      <w:r>
        <w:t xml:space="preserve"> or</w:t>
      </w:r>
    </w:p>
    <w:p w14:paraId="480840A6" w14:textId="611FECE1" w:rsidR="003A536A" w:rsidRPr="00D542FF" w:rsidRDefault="003A536A" w:rsidP="00D76869">
      <w:pPr>
        <w:pStyle w:val="List-AlphanumericLvl1"/>
        <w:numPr>
          <w:ilvl w:val="0"/>
          <w:numId w:val="6"/>
        </w:numPr>
        <w:jc w:val="both"/>
      </w:pPr>
      <w:r>
        <w:t>By using commercially</w:t>
      </w:r>
      <w:r w:rsidR="00461CD4">
        <w:t>-</w:t>
      </w:r>
      <w:r>
        <w:t xml:space="preserve">available computer software to </w:t>
      </w:r>
      <w:r w:rsidR="00D76869">
        <w:t>assess breast parenchyma</w:t>
      </w:r>
      <w:r w:rsidR="00257B23">
        <w:t>l patterns</w:t>
      </w:r>
      <w:r w:rsidR="00D76869">
        <w:t xml:space="preserve"> </w:t>
      </w:r>
      <w:r w:rsidR="00035F6E">
        <w:t xml:space="preserve">and </w:t>
      </w:r>
      <w:r>
        <w:t xml:space="preserve">provide a </w:t>
      </w:r>
      <w:r w:rsidR="00035F6E">
        <w:t xml:space="preserve">density </w:t>
      </w:r>
      <w:r>
        <w:t xml:space="preserve">score. </w:t>
      </w:r>
    </w:p>
    <w:p w14:paraId="7FA50215" w14:textId="574303A1" w:rsidR="003A536A" w:rsidRDefault="003A536A" w:rsidP="003A536A">
      <w:pPr>
        <w:pStyle w:val="BodyText"/>
      </w:pPr>
      <w:r>
        <w:t xml:space="preserve">The BSA’s 2016 position statement reported uncertainty about the best way to measure and validate breast density. A range of different models to determine breast density exist but overall specific limitations associated with the qualitative and subjective nature of visual assessment can lead to </w:t>
      </w:r>
      <w:r w:rsidR="001665E4">
        <w:t xml:space="preserve">variability in </w:t>
      </w:r>
      <w:r>
        <w:t xml:space="preserve">inter- and intra-reader interpretation. While not mentioned in the position statement, natural variability based on hormone levels, </w:t>
      </w:r>
      <w:r w:rsidRPr="007D184A">
        <w:t xml:space="preserve">genetic factors, parity, use of </w:t>
      </w:r>
      <w:r w:rsidR="00761B6F">
        <w:t>o</w:t>
      </w:r>
      <w:r w:rsidRPr="007D184A">
        <w:t xml:space="preserve">estrogen, </w:t>
      </w:r>
      <w:r>
        <w:t xml:space="preserve">place in menstrual cycle, </w:t>
      </w:r>
      <w:r w:rsidRPr="007D184A">
        <w:t xml:space="preserve">use of </w:t>
      </w:r>
      <w:hyperlink r:id="rId20" w:history="1">
        <w:r w:rsidRPr="007D184A">
          <w:t>tamoxifen</w:t>
        </w:r>
      </w:hyperlink>
      <w:r>
        <w:t>, and weight may also contribute to variability</w:t>
      </w:r>
      <w:r w:rsidR="00BE414C">
        <w:t xml:space="preserve"> in breast density</w:t>
      </w:r>
      <w:r>
        <w:t xml:space="preserve">. Because of this variability, a woman may receive different breast density assessments depending on the reader or </w:t>
      </w:r>
      <w:r w:rsidR="00191F76">
        <w:t>the point in time that a mammography is conducted</w:t>
      </w:r>
      <w:r>
        <w:t xml:space="preserve"> (even if </w:t>
      </w:r>
      <w:r w:rsidR="00191F76">
        <w:t xml:space="preserve">the different mammograms are </w:t>
      </w:r>
      <w:r>
        <w:t>read by the same person). A</w:t>
      </w:r>
      <w:r w:rsidR="00035F6E">
        <w:t>s a</w:t>
      </w:r>
      <w:r>
        <w:t xml:space="preserve">t 2016, computer algorithms also require additional development </w:t>
      </w:r>
      <w:proofErr w:type="gramStart"/>
      <w:r>
        <w:t>to</w:t>
      </w:r>
      <w:proofErr w:type="gramEnd"/>
      <w:r>
        <w:t xml:space="preserve"> consistently and accurately report breast density (BreastScreen Australia, 2016). </w:t>
      </w:r>
    </w:p>
    <w:p w14:paraId="784DE167" w14:textId="3CEFA92C" w:rsidR="00056889" w:rsidRPr="001D0CC1" w:rsidRDefault="00056889" w:rsidP="00056889">
      <w:pPr>
        <w:pStyle w:val="BodyText"/>
      </w:pPr>
      <w:r w:rsidRPr="001D0CC1">
        <w:t xml:space="preserve">Our inclusion criteria for </w:t>
      </w:r>
      <w:r w:rsidR="00035F6E">
        <w:t xml:space="preserve">studies </w:t>
      </w:r>
      <w:r w:rsidRPr="001D0CC1">
        <w:t xml:space="preserve">classifying and validating breast density was </w:t>
      </w:r>
      <w:r w:rsidR="00035F6E">
        <w:t xml:space="preserve">limited to </w:t>
      </w:r>
      <w:r w:rsidRPr="001D0CC1">
        <w:t>systematic reviews</w:t>
      </w:r>
      <w:r w:rsidR="00035F6E">
        <w:t>, narrative reviews, randomised control trials (RCTs)</w:t>
      </w:r>
      <w:r w:rsidR="00202000">
        <w:t>, and prospective cohort or case-control studies</w:t>
      </w:r>
      <w:r w:rsidRPr="001D0CC1">
        <w:t xml:space="preserve">. We identified </w:t>
      </w:r>
      <w:r w:rsidR="001D0CC1" w:rsidRPr="001D0CC1">
        <w:t xml:space="preserve">one </w:t>
      </w:r>
      <w:r w:rsidRPr="001D0CC1">
        <w:t xml:space="preserve">systematic review (covering 24 </w:t>
      </w:r>
      <w:r w:rsidR="00400A40">
        <w:t>studies</w:t>
      </w:r>
      <w:r w:rsidRPr="001D0CC1">
        <w:t>)</w:t>
      </w:r>
      <w:r w:rsidR="00202000">
        <w:t xml:space="preserve">, </w:t>
      </w:r>
      <w:r w:rsidR="001D0CC1" w:rsidRPr="001D0CC1">
        <w:t xml:space="preserve">five </w:t>
      </w:r>
      <w:r w:rsidRPr="001D0CC1">
        <w:t xml:space="preserve">narrative literature reviews (covering 515 </w:t>
      </w:r>
      <w:r w:rsidR="00400A40">
        <w:t>studies</w:t>
      </w:r>
      <w:r w:rsidRPr="001D0CC1">
        <w:t>)</w:t>
      </w:r>
      <w:r w:rsidR="00202000">
        <w:t xml:space="preserve"> and eight prospective cohort or case-control studies</w:t>
      </w:r>
      <w:r w:rsidRPr="001D0CC1">
        <w:t xml:space="preserve"> </w:t>
      </w:r>
      <w:r w:rsidR="00035F6E">
        <w:t>that</w:t>
      </w:r>
      <w:r w:rsidRPr="001D0CC1">
        <w:t xml:space="preserve"> reported on ways to measure and validate breast density.</w:t>
      </w:r>
      <w:r w:rsidR="00140564" w:rsidRPr="001D0CC1">
        <w:t xml:space="preserve"> </w:t>
      </w:r>
    </w:p>
    <w:p w14:paraId="5ECD1D55" w14:textId="77777777" w:rsidR="00056889" w:rsidRPr="001D0CC1" w:rsidRDefault="00056889" w:rsidP="001D0CC1">
      <w:pPr>
        <w:pStyle w:val="BodyText"/>
        <w:ind w:left="720"/>
        <w:rPr>
          <w:rFonts w:asciiTheme="majorHAnsi" w:hAnsiTheme="majorHAnsi" w:cstheme="majorHAnsi"/>
          <w:b/>
          <w:color w:val="36424A" w:themeColor="text2"/>
          <w:sz w:val="24"/>
        </w:rPr>
      </w:pPr>
      <w:r w:rsidRPr="001D0CC1">
        <w:rPr>
          <w:rFonts w:asciiTheme="majorHAnsi" w:hAnsiTheme="majorHAnsi" w:cstheme="majorHAnsi"/>
          <w:b/>
          <w:color w:val="36424A" w:themeColor="text2"/>
          <w:sz w:val="24"/>
        </w:rPr>
        <w:t>Systematic reviews</w:t>
      </w:r>
    </w:p>
    <w:p w14:paraId="7DEB3BE3" w14:textId="03017E8B" w:rsidR="00056889" w:rsidRPr="001D0CC1" w:rsidRDefault="001D0CC1" w:rsidP="001D0CC1">
      <w:pPr>
        <w:pStyle w:val="BodyText"/>
        <w:ind w:left="720"/>
      </w:pPr>
      <w:r w:rsidRPr="001D0CC1">
        <w:t xml:space="preserve">One review: </w:t>
      </w:r>
      <w:r w:rsidR="00056889" w:rsidRPr="001D0CC1">
        <w:t xml:space="preserve">Melnikow et al. </w:t>
      </w:r>
      <w:r w:rsidR="005F5FFB">
        <w:t>(</w:t>
      </w:r>
      <w:r w:rsidR="00056889" w:rsidRPr="001D0CC1">
        <w:t>201</w:t>
      </w:r>
      <w:r w:rsidR="003A38BF">
        <w:t>6</w:t>
      </w:r>
      <w:r w:rsidR="005F5FFB">
        <w:t>)</w:t>
      </w:r>
    </w:p>
    <w:p w14:paraId="446576E4" w14:textId="77777777" w:rsidR="00056889" w:rsidRPr="001D0CC1" w:rsidRDefault="00056889" w:rsidP="001D0CC1">
      <w:pPr>
        <w:pStyle w:val="BodyText"/>
        <w:ind w:left="720"/>
        <w:rPr>
          <w:rFonts w:asciiTheme="majorHAnsi" w:hAnsiTheme="majorHAnsi" w:cstheme="majorHAnsi"/>
          <w:b/>
          <w:color w:val="36424A" w:themeColor="text2"/>
          <w:sz w:val="24"/>
        </w:rPr>
      </w:pPr>
      <w:r w:rsidRPr="001D0CC1">
        <w:rPr>
          <w:rFonts w:asciiTheme="majorHAnsi" w:hAnsiTheme="majorHAnsi" w:cstheme="majorHAnsi"/>
          <w:b/>
          <w:color w:val="36424A" w:themeColor="text2"/>
          <w:sz w:val="24"/>
        </w:rPr>
        <w:t>Narrative literature reviews</w:t>
      </w:r>
    </w:p>
    <w:p w14:paraId="1656ADEC" w14:textId="446299DB" w:rsidR="003908AD" w:rsidRDefault="001D0CC1" w:rsidP="003908AD">
      <w:pPr>
        <w:pStyle w:val="BodyText"/>
        <w:ind w:left="720"/>
      </w:pPr>
      <w:r w:rsidRPr="001D0CC1">
        <w:t xml:space="preserve">Five reviews: </w:t>
      </w:r>
      <w:r w:rsidR="00056889" w:rsidRPr="001D0CC1">
        <w:t xml:space="preserve">Mousa et al. </w:t>
      </w:r>
      <w:r w:rsidR="005F5FFB">
        <w:t>(</w:t>
      </w:r>
      <w:r w:rsidR="00056889" w:rsidRPr="001D0CC1">
        <w:t>2015</w:t>
      </w:r>
      <w:r w:rsidR="005F5FFB">
        <w:t>)</w:t>
      </w:r>
      <w:r w:rsidR="00056889" w:rsidRPr="001D0CC1">
        <w:t xml:space="preserve">; Ng and Lau </w:t>
      </w:r>
      <w:r w:rsidR="005F5FFB">
        <w:t>(</w:t>
      </w:r>
      <w:r w:rsidR="00056889" w:rsidRPr="001D0CC1">
        <w:t>2015</w:t>
      </w:r>
      <w:r w:rsidR="005F5FFB">
        <w:t>)</w:t>
      </w:r>
      <w:r w:rsidR="00056889" w:rsidRPr="001D0CC1">
        <w:t xml:space="preserve">; Freer </w:t>
      </w:r>
      <w:r w:rsidR="005F5FFB">
        <w:t>(</w:t>
      </w:r>
      <w:r w:rsidR="00056889" w:rsidRPr="001D0CC1">
        <w:t>2015</w:t>
      </w:r>
      <w:r w:rsidR="005F5FFB">
        <w:t>)</w:t>
      </w:r>
      <w:r w:rsidR="00056889" w:rsidRPr="001D0CC1">
        <w:t xml:space="preserve">; Hooley </w:t>
      </w:r>
      <w:r w:rsidR="005F5FFB">
        <w:t>(</w:t>
      </w:r>
      <w:r w:rsidR="00056889" w:rsidRPr="001D0CC1">
        <w:t>2015</w:t>
      </w:r>
      <w:r w:rsidR="005F5FFB">
        <w:t>)</w:t>
      </w:r>
      <w:r w:rsidR="00056889" w:rsidRPr="001D0CC1">
        <w:t xml:space="preserve">; Destounis et al. </w:t>
      </w:r>
      <w:r w:rsidR="005F5FFB">
        <w:t>(</w:t>
      </w:r>
      <w:r w:rsidR="00056889" w:rsidRPr="001D0CC1">
        <w:t>2017</w:t>
      </w:r>
      <w:r w:rsidR="00334DD4">
        <w:t>a</w:t>
      </w:r>
      <w:r w:rsidR="005F5FFB">
        <w:t>)</w:t>
      </w:r>
    </w:p>
    <w:p w14:paraId="71DFD55A" w14:textId="07640B25" w:rsidR="003908AD" w:rsidRPr="001D0CC1" w:rsidRDefault="003908AD" w:rsidP="003908AD">
      <w:pPr>
        <w:pStyle w:val="BodyText"/>
        <w:ind w:left="720"/>
        <w:rPr>
          <w:rFonts w:asciiTheme="majorHAnsi" w:hAnsiTheme="majorHAnsi" w:cstheme="majorHAnsi"/>
          <w:b/>
          <w:color w:val="36424A" w:themeColor="text2"/>
          <w:sz w:val="24"/>
        </w:rPr>
      </w:pPr>
      <w:r>
        <w:rPr>
          <w:rFonts w:asciiTheme="majorHAnsi" w:hAnsiTheme="majorHAnsi" w:cstheme="majorHAnsi"/>
          <w:b/>
          <w:color w:val="36424A" w:themeColor="text2"/>
          <w:sz w:val="24"/>
        </w:rPr>
        <w:t>Prospective cohort or case-control studies</w:t>
      </w:r>
    </w:p>
    <w:p w14:paraId="6798F444" w14:textId="3D4B1B35" w:rsidR="003908AD" w:rsidRPr="001D0CC1" w:rsidRDefault="003908AD" w:rsidP="003908AD">
      <w:pPr>
        <w:pStyle w:val="BodyText"/>
        <w:ind w:left="720"/>
      </w:pPr>
      <w:r>
        <w:lastRenderedPageBreak/>
        <w:t>Eight studies</w:t>
      </w:r>
      <w:r w:rsidRPr="001D0CC1">
        <w:t xml:space="preserve">: </w:t>
      </w:r>
      <w:r w:rsidR="006A65CC">
        <w:t>Astley et al. (2018); Busana et al. (2016); Duffy et al. (2018); Eng et al. (2014); Jeffers et al. (2017); Sartor et al. (2016); Winkel et al. (2015); Winkel et al. (2016)</w:t>
      </w:r>
    </w:p>
    <w:p w14:paraId="531C7565" w14:textId="5859A01B" w:rsidR="00AF155B" w:rsidRDefault="00056889" w:rsidP="00A73E92">
      <w:pPr>
        <w:pStyle w:val="BodyText"/>
      </w:pPr>
      <w:r w:rsidRPr="001D0CC1">
        <w:t xml:space="preserve">There is </w:t>
      </w:r>
      <w:r w:rsidR="00140564" w:rsidRPr="001D0CC1">
        <w:t>strong</w:t>
      </w:r>
      <w:r w:rsidRPr="001D0CC1">
        <w:t xml:space="preserve"> evidence as to how much the measurement of density has changed since it</w:t>
      </w:r>
      <w:r w:rsidR="00332D30">
        <w:t xml:space="preserve"> wa</w:t>
      </w:r>
      <w:r w:rsidRPr="001D0CC1">
        <w:t xml:space="preserve">s </w:t>
      </w:r>
      <w:r w:rsidR="00332D30">
        <w:t>first reported</w:t>
      </w:r>
      <w:r w:rsidRPr="001D0CC1">
        <w:t>. There is evidence that there is inter</w:t>
      </w:r>
      <w:r w:rsidR="001D0CC1">
        <w:t>-</w:t>
      </w:r>
      <w:r w:rsidRPr="001D0CC1">
        <w:t xml:space="preserve"> and intra</w:t>
      </w:r>
      <w:r w:rsidR="001D0CC1">
        <w:t>-</w:t>
      </w:r>
      <w:r w:rsidRPr="001D0CC1">
        <w:t xml:space="preserve">reader variability when using visual density assessment methods. There is limited evidence suggesting that automated computer-based density measurements can provide consistent, reproducible, and objective results. There is no strong evidence </w:t>
      </w:r>
      <w:r w:rsidR="001D0CC1">
        <w:t xml:space="preserve">or consensus </w:t>
      </w:r>
      <w:r w:rsidRPr="001D0CC1">
        <w:t>as to the best way to classify breast density.</w:t>
      </w:r>
    </w:p>
    <w:p w14:paraId="00C12415" w14:textId="77777777" w:rsidR="00AF155B" w:rsidRPr="0013484B" w:rsidRDefault="00AF155B" w:rsidP="00AF155B">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13484B">
        <w:rPr>
          <w:b/>
        </w:rPr>
        <w:t>Key findings</w:t>
      </w:r>
      <w:r>
        <w:rPr>
          <w:b/>
        </w:rPr>
        <w:t xml:space="preserve"> about the measurement and classification of breast density</w:t>
      </w:r>
    </w:p>
    <w:p w14:paraId="0C91D9DA" w14:textId="77777777" w:rsidR="00AF155B" w:rsidRDefault="00AF155B" w:rsidP="00EB7A6E">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rsidRPr="007D184A">
        <w:t xml:space="preserve">Breast tissue comprises skin, blood vessels, ductal and stromal elements of the glands (which appear radio-opaque or white on mammography) and fat (which appears radiolucent or black on mammography). Mammographic breast density is defined </w:t>
      </w:r>
      <w:r>
        <w:t>as the relative amount of radio-</w:t>
      </w:r>
      <w:r w:rsidRPr="007D184A">
        <w:t>opaque (white) elements to radiolucent (black) fat on the image. Increas</w:t>
      </w:r>
      <w:r>
        <w:t>e in the proportion of radio-</w:t>
      </w:r>
      <w:r w:rsidRPr="007D184A">
        <w:t>opaque elements leads to greater mammographic breast density.</w:t>
      </w:r>
    </w:p>
    <w:p w14:paraId="525F37B8" w14:textId="3E662DE8" w:rsidR="00AF155B" w:rsidRDefault="00AF155B" w:rsidP="00AF155B">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High m</w:t>
      </w:r>
      <w:r w:rsidRPr="00FA62E4">
        <w:t xml:space="preserve">ammographic density is </w:t>
      </w:r>
      <w:r>
        <w:t xml:space="preserve">relatively common. One of the most common methods currently used to report breast density is the American College of Radiologists’ </w:t>
      </w:r>
      <w:r w:rsidR="00275D65">
        <w:t>BIRADS</w:t>
      </w:r>
      <w:r>
        <w:t xml:space="preserve"> system. </w:t>
      </w:r>
      <w:r w:rsidR="00275D65">
        <w:t>BIRADS</w:t>
      </w:r>
      <w:r>
        <w:t xml:space="preserve"> estimates indicate that </w:t>
      </w:r>
      <w:r w:rsidRPr="00FA62E4">
        <w:t>approximately 10% of women have almost entirely fatty breasts (</w:t>
      </w:r>
      <w:r w:rsidR="00275D65">
        <w:t>BIRADS</w:t>
      </w:r>
      <w:r w:rsidRPr="00FA62E4">
        <w:t xml:space="preserve"> 1), 40% of women have scattered ﬁbroglandular densities (</w:t>
      </w:r>
      <w:r w:rsidR="00275D65">
        <w:t>BIRADS</w:t>
      </w:r>
      <w:r w:rsidRPr="00FA62E4">
        <w:t xml:space="preserve"> 2), another 40% have heterogeneously dense breasts (</w:t>
      </w:r>
      <w:r w:rsidR="00275D65">
        <w:t>BIRADS</w:t>
      </w:r>
      <w:r w:rsidRPr="00FA62E4">
        <w:t xml:space="preserve"> 3), and 10% have extremely dense breasts (</w:t>
      </w:r>
      <w:r w:rsidR="00275D65">
        <w:t>BIRADS</w:t>
      </w:r>
      <w:r w:rsidRPr="00FA62E4">
        <w:t xml:space="preserve"> 4). Dense breasts are deﬁned as either heterogeneously dense (</w:t>
      </w:r>
      <w:r w:rsidR="00275D65">
        <w:t>BIRADS</w:t>
      </w:r>
      <w:r w:rsidRPr="00FA62E4">
        <w:t xml:space="preserve"> 3) or extremely dense (</w:t>
      </w:r>
      <w:r w:rsidR="00275D65">
        <w:t>BIRADS</w:t>
      </w:r>
      <w:r w:rsidRPr="00FA62E4">
        <w:t xml:space="preserve"> 4). Thus, approximately 50% of the population undergoing mammography </w:t>
      </w:r>
      <w:r>
        <w:t>c</w:t>
      </w:r>
      <w:r w:rsidRPr="00FA62E4">
        <w:t>ould be categori</w:t>
      </w:r>
      <w:r>
        <w:t>s</w:t>
      </w:r>
      <w:r w:rsidRPr="00FA62E4">
        <w:t>ed as having dense breasts</w:t>
      </w:r>
      <w:r>
        <w:t xml:space="preserve">. In addition, the same women can be classified as having dense or fatty breasts depending on how the results are read or interpreted. This can then affect clinical decision making around the information women receive on whether they should undergo supplementary screening. </w:t>
      </w:r>
    </w:p>
    <w:p w14:paraId="0B9A30E8" w14:textId="0D3E7232" w:rsidR="00AF155B" w:rsidRDefault="00AF155B" w:rsidP="00AF155B">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There are six common systems used to classify breast density: </w:t>
      </w:r>
      <w:r w:rsidR="00275D65">
        <w:t>BIRADS</w:t>
      </w:r>
      <w:r>
        <w:t>, Wolfe, Tabár, semi-automated visual estimation (</w:t>
      </w:r>
      <w:r w:rsidR="00CC24AA">
        <w:t>eg,</w:t>
      </w:r>
      <w:r>
        <w:t xml:space="preserve"> Cumulus), automated area-based methods, and volumetric estimation (</w:t>
      </w:r>
      <w:r w:rsidR="00CC24AA">
        <w:t>eg,</w:t>
      </w:r>
      <w:r>
        <w:t xml:space="preserve"> Volpara). The BSA position statement on breast density states that there is no consensus on the best measure of breast density. The evidence reported in this literature review still finds no consensus about which method is the most accurate. All classification systems have been shown to have high sensitivity in detecting density. All systems have been shown to have inter- and intra- report variability, particularly when categorising less dense breasts. This is because even though each system is underpinned by semi-objective measures, assessment still requires a reader’s subjective assessment. Newer technologies such as fully-automated assessment methods (</w:t>
      </w:r>
      <w:r w:rsidR="00CC24AA">
        <w:t>eg,</w:t>
      </w:r>
      <w:r>
        <w:t xml:space="preserve"> Volpara) reduce this variability and have been found to have a strong association with breast cancer risk, but further work to develop consistent algorithms is still required.</w:t>
      </w:r>
    </w:p>
    <w:p w14:paraId="04761714" w14:textId="1B43707B" w:rsidR="00AF155B" w:rsidRPr="001D0CC1" w:rsidRDefault="00AF155B" w:rsidP="00AF155B">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120545">
        <w:t>Evaluating</w:t>
      </w:r>
      <w:r>
        <w:t xml:space="preserve"> the impact of </w:t>
      </w:r>
      <w:r w:rsidRPr="00120545">
        <w:t xml:space="preserve">breast density </w:t>
      </w:r>
      <w:r>
        <w:t>on cancer risk and clinical outcome for screen-detected cancers requires</w:t>
      </w:r>
      <w:r w:rsidRPr="00120545">
        <w:t xml:space="preserve"> thorough studies with cons</w:t>
      </w:r>
      <w:r>
        <w:t>istent</w:t>
      </w:r>
      <w:r w:rsidRPr="00120545">
        <w:t xml:space="preserve"> mammographic procedures, </w:t>
      </w:r>
      <w:r>
        <w:t xml:space="preserve">standardised </w:t>
      </w:r>
      <w:r w:rsidRPr="00120545">
        <w:t>methods of density measurement</w:t>
      </w:r>
      <w:r>
        <w:t xml:space="preserve"> and</w:t>
      </w:r>
      <w:r w:rsidRPr="00120545">
        <w:t xml:space="preserve"> breast density classi</w:t>
      </w:r>
      <w:r>
        <w:t>fication, as well as a standardis</w:t>
      </w:r>
      <w:r w:rsidRPr="00120545">
        <w:t>ed definition of high breast density</w:t>
      </w:r>
      <w:r>
        <w:t>; however, there is currently no consensus on any of these factors. This results in variations in estimates of the association between breast density and breast cancer risk, depending on the screening procedures and assessment methods used. These findings are consistent with the 2016 BSA position statement on the measurement and classification of breast density.</w:t>
      </w:r>
      <w:r w:rsidRPr="00120545">
        <w:t xml:space="preserve"> </w:t>
      </w:r>
      <w:r>
        <w:t>The uncertainty described in the BSA’s 2016 statement remains.</w:t>
      </w:r>
    </w:p>
    <w:p w14:paraId="0C1464AB" w14:textId="455FFAE4" w:rsidR="001778B4" w:rsidRDefault="00556703" w:rsidP="001778B4">
      <w:pPr>
        <w:pStyle w:val="BodyText"/>
      </w:pPr>
      <w:r>
        <w:t xml:space="preserve">Breast </w:t>
      </w:r>
      <w:r w:rsidRPr="001666C0">
        <w:t>density is measured as the absolute amount of dense or white areas in the breast (dense area) or a proportion of</w:t>
      </w:r>
      <w:r>
        <w:t xml:space="preserve"> </w:t>
      </w:r>
      <w:r w:rsidRPr="001666C0">
        <w:t>the</w:t>
      </w:r>
      <w:r>
        <w:t xml:space="preserve"> </w:t>
      </w:r>
      <w:r w:rsidRPr="001666C0">
        <w:t>mammogram that is composed of dense tissue (</w:t>
      </w:r>
      <w:r w:rsidR="00893AA8">
        <w:t>percent density</w:t>
      </w:r>
      <w:r w:rsidRPr="001666C0">
        <w:t xml:space="preserve">). </w:t>
      </w:r>
      <w:r w:rsidR="003A536A">
        <w:t xml:space="preserve">There are </w:t>
      </w:r>
      <w:r w:rsidR="005A10FA">
        <w:t>six</w:t>
      </w:r>
      <w:r w:rsidR="00257B23">
        <w:t xml:space="preserve"> main</w:t>
      </w:r>
      <w:r w:rsidR="003A536A">
        <w:t xml:space="preserve"> methods and scales used to classify breast density. These systems rely on the </w:t>
      </w:r>
      <w:r w:rsidR="003A536A">
        <w:lastRenderedPageBreak/>
        <w:t xml:space="preserve">subjective reporting of the breast composition, looking for mammographic parenchymal patterns. Conventional classification methods include the </w:t>
      </w:r>
      <w:r w:rsidR="00275D65">
        <w:t>BIRADS</w:t>
      </w:r>
      <w:r w:rsidR="003A536A">
        <w:t>, Wolfe and Tab</w:t>
      </w:r>
      <w:r w:rsidR="00986DF0" w:rsidRPr="007007F6">
        <w:t>á</w:t>
      </w:r>
      <w:r w:rsidR="003A536A">
        <w:t xml:space="preserve">r systems. </w:t>
      </w:r>
      <w:r w:rsidR="00275D65">
        <w:t>BIRADS</w:t>
      </w:r>
      <w:r w:rsidR="003A536A">
        <w:t xml:space="preserve"> is the most widely used system for classifying breast density (and is the system used in most of the studies reported in this literature review</w:t>
      </w:r>
      <w:r w:rsidR="001778B4">
        <w:t>, and reporting of other breast cancer research that investigates the impact of breast density</w:t>
      </w:r>
      <w:r w:rsidR="003A536A">
        <w:t xml:space="preserve">) but there is no one preferred or best/most accurate </w:t>
      </w:r>
      <w:r w:rsidR="003A536A" w:rsidRPr="008A1444">
        <w:t>measure</w:t>
      </w:r>
      <w:r w:rsidR="003A536A">
        <w:t xml:space="preserve"> of breast density.</w:t>
      </w:r>
      <w:r w:rsidR="001778B4">
        <w:t xml:space="preserve"> A summary of the different methods is provided in Box 1.</w:t>
      </w:r>
    </w:p>
    <w:p w14:paraId="16455576" w14:textId="77777777" w:rsidR="003E5009" w:rsidRDefault="003E5009" w:rsidP="003A536A">
      <w:pPr>
        <w:pStyle w:val="BodyText"/>
      </w:pPr>
      <w:r>
        <w:t>None of the systematic reviews identified for this literature review reported on whether certain breast density classification systems were more or less accurate for different population groups stratified by age.</w:t>
      </w:r>
    </w:p>
    <w:p w14:paraId="5F05F787" w14:textId="7922E5AB" w:rsidR="008D757B" w:rsidRDefault="00122E42" w:rsidP="006F33EB">
      <w:pPr>
        <w:pStyle w:val="Caption"/>
      </w:pPr>
      <w:r>
        <w:t>Box 1</w:t>
      </w:r>
      <w:r w:rsidR="003A536A" w:rsidRPr="00430645">
        <w:t xml:space="preserve">: Breast </w:t>
      </w:r>
      <w:r w:rsidR="00257B23">
        <w:t>d</w:t>
      </w:r>
      <w:r w:rsidR="003A536A" w:rsidRPr="00430645">
        <w:t xml:space="preserve">ensity </w:t>
      </w:r>
      <w:r w:rsidR="00257B23">
        <w:t>c</w:t>
      </w:r>
      <w:r w:rsidR="003A536A" w:rsidRPr="00430645">
        <w:t>lassification and</w:t>
      </w:r>
      <w:r w:rsidR="00257B23">
        <w:t xml:space="preserve"> m</w:t>
      </w:r>
      <w:r w:rsidR="003A536A" w:rsidRPr="00430645">
        <w:t xml:space="preserve">easurement </w:t>
      </w:r>
      <w:r w:rsidR="00257B23">
        <w:t>s</w:t>
      </w:r>
      <w:r w:rsidR="003A536A" w:rsidRPr="00430645">
        <w:t>ystem (</w:t>
      </w:r>
      <w:r w:rsidR="007B1BA7">
        <w:t>Huo et al</w:t>
      </w:r>
      <w:r w:rsidR="00257B23">
        <w:t>.</w:t>
      </w:r>
      <w:r w:rsidR="007B1BA7">
        <w:t>, 2014</w:t>
      </w:r>
      <w:r w:rsidR="00257B23">
        <w:t>;</w:t>
      </w:r>
      <w:r w:rsidR="007B1BA7">
        <w:t xml:space="preserve"> Mousa et al., 2014</w:t>
      </w:r>
      <w:r w:rsidR="00C27B44">
        <w:t>)</w:t>
      </w:r>
      <w:r w:rsidR="00257B23" w:rsidRPr="006F33EB">
        <w:t xml:space="preserve"> </w:t>
      </w:r>
    </w:p>
    <w:tbl>
      <w:tblPr>
        <w:tblStyle w:val="TableGrid"/>
        <w:tblW w:w="0" w:type="auto"/>
        <w:tblLook w:val="04A0" w:firstRow="1" w:lastRow="0" w:firstColumn="1" w:lastColumn="0" w:noHBand="0" w:noVBand="1"/>
        <w:tblDescription w:val="BI-RADS &#10;The breast parenchyma is given a score of 1–4 or A-D:&#10;1/A = Predominantly fat (&lt;25% glandular)&#10;2/B = Scattered ﬁbroglandular densities (approximately 25–50% glandular)&#10;3/C = Heterogeneously dense (approximately 51–75% glandular)&#10;4/D = Extremely dense (&gt;75% glandular)&#10;&#10;BI-RADS (5th Ed)&#10;As of 2013, BI-RADS was updated to remove the percentages:&#10;&#10;A. The breast is almost entirely fatty. Mammography is highly sensitive in this setting.&#10;B. There are scattered areas of fibroglandular density. The term density describes the degree of x-ray attenuation of breast tissue but not discrete mammographic findings.&#10;C. The breasts are heterogeneously dense, which may obscure small masses. Some areas in the breasts are sufficiently dense to obscure small masses.&#10;D. The breasts are extremely dense, which lowers the sensitivity of mammography.&#10;&#10;Wolfe&#10;The breast parenchyma is divided into four risk patterns: &#10;N1 = Predominantly fat&#10;P1 = Mainly fat with a few prominent ducts&#10;P2 = Prominent duct patterns involving at least one half of the parenchyma&#10;DY = Extremely dense&#10;&#10;Tabár&#10;The breast parenchyma is divided into ﬁve risk patterns based on four mammographic building blocks:  Nodular, linear, homogeneous and radiolucent tissue, respectively,&#10;&#10;I = [25, 15, 35, 25%]&#10;II = [2, 14, 2, 82%]&#10;III = Similar to II in composition + periductal ﬁbrosis&#10;IV = [49, 19, 15, 17%]&#10;V = [2, 2, 89, 7%]&#10;&#10;Visual estimation (percent density)&#10;Visually quantifies the proportion of the breast area occupied by the fibroglandular dense tissue and represents it as a percentage ranging from most fatty (0%) to most dense (&gt;75%).&#10;The ranges are:&#10;0%&#10;&lt;10%;&#10;10–25%;&#10;26 – 50%;&#10;51 – 75%;&#10;&gt;75%&#10;&#10;Cumulus&#10;Interactive thresholding software that relies on the user to select the whole breast and dense tissue areas on digitized mammographic images. It calculates the pixel sizes of selected areas based on a grey scale and converts the results to square centimetres:&#10; &#10;• Percent dense area = dense area/whole breast area &#10;• Non-dense area = whole breast area - dense area&#10;&#10;Volumetric measure (e.g., AutoDensity)&#10;AutoDensity automatically identifies the breast area in the mammogram and classifies breast density in a similar way to Cumulus but is stand-alone.&#10;"/>
      </w:tblPr>
      <w:tblGrid>
        <w:gridCol w:w="1696"/>
        <w:gridCol w:w="7320"/>
      </w:tblGrid>
      <w:tr w:rsidR="00204E52" w14:paraId="3E687F56" w14:textId="77777777" w:rsidTr="000D4C2F">
        <w:trPr>
          <w:tblHeader/>
        </w:trPr>
        <w:tc>
          <w:tcPr>
            <w:tcW w:w="1696" w:type="dxa"/>
            <w:shd w:val="clear" w:color="auto" w:fill="E7FFBD" w:themeFill="accent6" w:themeFillTint="33"/>
            <w:vAlign w:val="center"/>
          </w:tcPr>
          <w:p w14:paraId="3C14F809" w14:textId="52663542" w:rsidR="00204E52" w:rsidRDefault="00275D65" w:rsidP="00B87E4A">
            <w:r>
              <w:rPr>
                <w:rFonts w:cs="Calibri"/>
                <w:color w:val="000000"/>
                <w:sz w:val="18"/>
                <w:szCs w:val="18"/>
              </w:rPr>
              <w:t>BIRADS</w:t>
            </w:r>
          </w:p>
        </w:tc>
        <w:tc>
          <w:tcPr>
            <w:tcW w:w="7320" w:type="dxa"/>
            <w:shd w:val="clear" w:color="auto" w:fill="E7FFBD" w:themeFill="accent6" w:themeFillTint="33"/>
            <w:vAlign w:val="center"/>
          </w:tcPr>
          <w:p w14:paraId="0B7C4C63" w14:textId="77777777" w:rsidR="00204E52" w:rsidRDefault="00204E52" w:rsidP="00B87E4A">
            <w:pPr>
              <w:pStyle w:val="para"/>
              <w:spacing w:before="0" w:beforeAutospacing="0" w:after="0" w:afterAutospacing="0"/>
              <w:rPr>
                <w:rFonts w:asciiTheme="minorHAnsi" w:hAnsiTheme="minorHAnsi" w:cs="Calibri"/>
                <w:color w:val="000000"/>
                <w:sz w:val="18"/>
                <w:szCs w:val="18"/>
              </w:rPr>
            </w:pPr>
            <w:r w:rsidRPr="008D757B">
              <w:rPr>
                <w:rFonts w:asciiTheme="minorHAnsi" w:hAnsiTheme="minorHAnsi" w:cs="Calibri"/>
                <w:color w:val="000000"/>
                <w:sz w:val="18"/>
                <w:szCs w:val="18"/>
              </w:rPr>
              <w:t>The breast parenchyma is given a score of 1–4 or A-D:</w:t>
            </w:r>
          </w:p>
          <w:p w14:paraId="3A8B20A5" w14:textId="77777777" w:rsidR="00204E52" w:rsidRPr="008D757B" w:rsidRDefault="00204E52" w:rsidP="00B87E4A">
            <w:pPr>
              <w:spacing w:before="120"/>
              <w:rPr>
                <w:rFonts w:eastAsia="Times New Roman" w:cs="Calibri"/>
                <w:color w:val="000000"/>
                <w:sz w:val="18"/>
                <w:szCs w:val="18"/>
                <w:lang w:eastAsia="en-NZ"/>
              </w:rPr>
            </w:pPr>
            <w:r w:rsidRPr="008D757B">
              <w:rPr>
                <w:rFonts w:eastAsia="Times New Roman" w:cs="Calibri"/>
                <w:color w:val="000000"/>
                <w:sz w:val="18"/>
                <w:szCs w:val="18"/>
                <w:lang w:eastAsia="en-NZ"/>
              </w:rPr>
              <w:t xml:space="preserve">1/A = </w:t>
            </w:r>
            <w:r>
              <w:rPr>
                <w:rFonts w:eastAsia="Times New Roman" w:cs="Calibri"/>
                <w:color w:val="000000"/>
                <w:sz w:val="18"/>
                <w:szCs w:val="18"/>
                <w:lang w:eastAsia="en-NZ"/>
              </w:rPr>
              <w:t>P</w:t>
            </w:r>
            <w:r w:rsidRPr="008D757B">
              <w:rPr>
                <w:rFonts w:eastAsia="Times New Roman" w:cs="Calibri"/>
                <w:color w:val="000000"/>
                <w:sz w:val="18"/>
                <w:szCs w:val="18"/>
                <w:lang w:eastAsia="en-NZ"/>
              </w:rPr>
              <w:t>redominantly fat</w:t>
            </w:r>
            <w:r>
              <w:rPr>
                <w:rFonts w:eastAsia="Times New Roman" w:cs="Calibri"/>
                <w:color w:val="000000"/>
                <w:sz w:val="18"/>
                <w:szCs w:val="18"/>
                <w:lang w:eastAsia="en-NZ"/>
              </w:rPr>
              <w:t xml:space="preserve"> </w:t>
            </w:r>
            <w:r w:rsidRPr="007C1D27">
              <w:rPr>
                <w:rFonts w:eastAsia="Times New Roman" w:cs="Calibri"/>
                <w:color w:val="000000"/>
                <w:sz w:val="18"/>
                <w:szCs w:val="18"/>
                <w:lang w:eastAsia="en-NZ"/>
              </w:rPr>
              <w:t>(&lt;25% glandular)</w:t>
            </w:r>
          </w:p>
          <w:p w14:paraId="06703A01" w14:textId="77777777" w:rsidR="00204E52" w:rsidRPr="008D757B" w:rsidRDefault="00204E52" w:rsidP="00B87E4A">
            <w:pPr>
              <w:rPr>
                <w:rFonts w:eastAsia="Times New Roman" w:cs="Calibri"/>
                <w:color w:val="000000"/>
                <w:sz w:val="18"/>
                <w:szCs w:val="18"/>
                <w:lang w:eastAsia="en-NZ"/>
              </w:rPr>
            </w:pPr>
            <w:r w:rsidRPr="008D757B">
              <w:rPr>
                <w:rFonts w:eastAsia="Times New Roman" w:cs="Calibri"/>
                <w:color w:val="000000"/>
                <w:sz w:val="18"/>
                <w:szCs w:val="18"/>
                <w:lang w:eastAsia="en-NZ"/>
              </w:rPr>
              <w:t xml:space="preserve">2/B = </w:t>
            </w:r>
            <w:r>
              <w:rPr>
                <w:rFonts w:eastAsia="Times New Roman" w:cs="Calibri"/>
                <w:color w:val="000000"/>
                <w:sz w:val="18"/>
                <w:szCs w:val="18"/>
                <w:lang w:eastAsia="en-NZ"/>
              </w:rPr>
              <w:t>S</w:t>
            </w:r>
            <w:r w:rsidRPr="008D757B">
              <w:rPr>
                <w:rFonts w:eastAsia="Times New Roman" w:cs="Calibri"/>
                <w:color w:val="000000"/>
                <w:sz w:val="18"/>
                <w:szCs w:val="18"/>
                <w:lang w:eastAsia="en-NZ"/>
              </w:rPr>
              <w:t>cattered ﬁbroglandular densities</w:t>
            </w:r>
            <w:r>
              <w:rPr>
                <w:rFonts w:eastAsia="Times New Roman" w:cs="Calibri"/>
                <w:color w:val="000000"/>
                <w:sz w:val="18"/>
                <w:szCs w:val="18"/>
                <w:lang w:eastAsia="en-NZ"/>
              </w:rPr>
              <w:t xml:space="preserve"> </w:t>
            </w:r>
            <w:r w:rsidRPr="007C1D27">
              <w:rPr>
                <w:rFonts w:eastAsia="Times New Roman" w:cs="Calibri"/>
                <w:color w:val="000000"/>
                <w:sz w:val="18"/>
                <w:szCs w:val="18"/>
                <w:lang w:eastAsia="en-NZ"/>
              </w:rPr>
              <w:t>(approximately 25–50% glandular)</w:t>
            </w:r>
          </w:p>
          <w:p w14:paraId="1A6DE699" w14:textId="77777777" w:rsidR="00204E52" w:rsidRPr="008D757B" w:rsidRDefault="00204E52" w:rsidP="00B87E4A">
            <w:pPr>
              <w:rPr>
                <w:rFonts w:eastAsia="Times New Roman" w:cs="Calibri"/>
                <w:color w:val="000000"/>
                <w:sz w:val="18"/>
                <w:szCs w:val="18"/>
                <w:lang w:eastAsia="en-NZ"/>
              </w:rPr>
            </w:pPr>
            <w:r w:rsidRPr="008D757B">
              <w:rPr>
                <w:rFonts w:eastAsia="Times New Roman" w:cs="Calibri"/>
                <w:color w:val="000000"/>
                <w:sz w:val="18"/>
                <w:szCs w:val="18"/>
                <w:lang w:eastAsia="en-NZ"/>
              </w:rPr>
              <w:t xml:space="preserve">3/C = </w:t>
            </w:r>
            <w:r>
              <w:rPr>
                <w:rFonts w:eastAsia="Times New Roman" w:cs="Calibri"/>
                <w:color w:val="000000"/>
                <w:sz w:val="18"/>
                <w:szCs w:val="18"/>
                <w:lang w:eastAsia="en-NZ"/>
              </w:rPr>
              <w:t>H</w:t>
            </w:r>
            <w:r w:rsidRPr="008D757B">
              <w:rPr>
                <w:rFonts w:eastAsia="Times New Roman" w:cs="Calibri"/>
                <w:color w:val="000000"/>
                <w:sz w:val="18"/>
                <w:szCs w:val="18"/>
                <w:lang w:eastAsia="en-NZ"/>
              </w:rPr>
              <w:t>eterogeneously dense</w:t>
            </w:r>
            <w:r>
              <w:rPr>
                <w:rFonts w:eastAsia="Times New Roman" w:cs="Calibri"/>
                <w:color w:val="000000"/>
                <w:sz w:val="18"/>
                <w:szCs w:val="18"/>
                <w:lang w:eastAsia="en-NZ"/>
              </w:rPr>
              <w:t xml:space="preserve"> </w:t>
            </w:r>
            <w:r w:rsidRPr="007C1D27">
              <w:rPr>
                <w:rFonts w:eastAsia="Times New Roman" w:cs="Calibri"/>
                <w:color w:val="000000"/>
                <w:sz w:val="18"/>
                <w:szCs w:val="18"/>
                <w:lang w:eastAsia="en-NZ"/>
              </w:rPr>
              <w:t>(approximately 51–75% glandular)</w:t>
            </w:r>
          </w:p>
          <w:p w14:paraId="053431D6" w14:textId="77777777" w:rsidR="00204E52" w:rsidRDefault="00204E52" w:rsidP="00B87E4A">
            <w:r w:rsidRPr="008D757B">
              <w:rPr>
                <w:rFonts w:cs="Calibri"/>
                <w:color w:val="000000"/>
                <w:sz w:val="18"/>
                <w:szCs w:val="18"/>
              </w:rPr>
              <w:t xml:space="preserve">4/D = </w:t>
            </w:r>
            <w:r>
              <w:rPr>
                <w:rFonts w:cs="Calibri"/>
                <w:color w:val="000000"/>
                <w:sz w:val="18"/>
                <w:szCs w:val="18"/>
              </w:rPr>
              <w:t>E</w:t>
            </w:r>
            <w:r w:rsidRPr="008D757B">
              <w:rPr>
                <w:rFonts w:cs="Calibri"/>
                <w:color w:val="000000"/>
                <w:sz w:val="18"/>
                <w:szCs w:val="18"/>
              </w:rPr>
              <w:t>xtremely dense</w:t>
            </w:r>
            <w:r>
              <w:rPr>
                <w:rFonts w:cs="Calibri"/>
                <w:color w:val="000000"/>
                <w:sz w:val="18"/>
                <w:szCs w:val="18"/>
              </w:rPr>
              <w:t xml:space="preserve"> </w:t>
            </w:r>
            <w:r w:rsidRPr="007C1D27">
              <w:rPr>
                <w:rFonts w:cs="Calibri"/>
                <w:color w:val="000000"/>
                <w:sz w:val="18"/>
                <w:szCs w:val="18"/>
              </w:rPr>
              <w:t>(&gt;75% glandular)</w:t>
            </w:r>
          </w:p>
        </w:tc>
      </w:tr>
      <w:tr w:rsidR="00204E52" w14:paraId="6E353B60" w14:textId="77777777" w:rsidTr="00B87E4A">
        <w:tc>
          <w:tcPr>
            <w:tcW w:w="1696" w:type="dxa"/>
            <w:shd w:val="clear" w:color="auto" w:fill="E7FFBD" w:themeFill="accent6" w:themeFillTint="33"/>
            <w:vAlign w:val="center"/>
          </w:tcPr>
          <w:p w14:paraId="49E9E09B" w14:textId="08360310" w:rsidR="00204E52" w:rsidRDefault="00275D65" w:rsidP="00B87E4A">
            <w:r>
              <w:rPr>
                <w:sz w:val="18"/>
                <w:szCs w:val="18"/>
              </w:rPr>
              <w:t>BIRADS</w:t>
            </w:r>
            <w:r w:rsidR="00204E52" w:rsidRPr="008D757B">
              <w:rPr>
                <w:sz w:val="18"/>
                <w:szCs w:val="18"/>
              </w:rPr>
              <w:t xml:space="preserve"> (5</w:t>
            </w:r>
            <w:r w:rsidR="00204E52" w:rsidRPr="008D757B">
              <w:rPr>
                <w:sz w:val="18"/>
                <w:szCs w:val="18"/>
                <w:vertAlign w:val="superscript"/>
              </w:rPr>
              <w:t>th</w:t>
            </w:r>
            <w:r w:rsidR="00204E52" w:rsidRPr="008D757B">
              <w:rPr>
                <w:sz w:val="18"/>
                <w:szCs w:val="18"/>
              </w:rPr>
              <w:t xml:space="preserve"> Ed)</w:t>
            </w:r>
          </w:p>
        </w:tc>
        <w:tc>
          <w:tcPr>
            <w:tcW w:w="7320" w:type="dxa"/>
            <w:shd w:val="clear" w:color="auto" w:fill="E7FFBD" w:themeFill="accent6" w:themeFillTint="33"/>
            <w:vAlign w:val="center"/>
          </w:tcPr>
          <w:p w14:paraId="2C5A7666" w14:textId="3CC6DA1B" w:rsidR="00204E52" w:rsidRPr="005A10FA" w:rsidRDefault="00204E52" w:rsidP="00B87E4A">
            <w:pPr>
              <w:jc w:val="both"/>
              <w:rPr>
                <w:sz w:val="18"/>
                <w:szCs w:val="18"/>
              </w:rPr>
            </w:pPr>
            <w:r w:rsidRPr="005A10FA">
              <w:rPr>
                <w:sz w:val="18"/>
                <w:szCs w:val="18"/>
              </w:rPr>
              <w:t xml:space="preserve">As of 2013, </w:t>
            </w:r>
            <w:r w:rsidR="00275D65">
              <w:rPr>
                <w:sz w:val="18"/>
                <w:szCs w:val="18"/>
              </w:rPr>
              <w:t>BIRADS</w:t>
            </w:r>
            <w:r w:rsidRPr="005A10FA">
              <w:rPr>
                <w:sz w:val="18"/>
                <w:szCs w:val="18"/>
              </w:rPr>
              <w:t xml:space="preserve"> was updated to remove the percentages:</w:t>
            </w:r>
          </w:p>
          <w:p w14:paraId="257CE399" w14:textId="77777777" w:rsidR="00204E52" w:rsidRPr="005A10FA" w:rsidRDefault="00204E52" w:rsidP="00204E52">
            <w:pPr>
              <w:pStyle w:val="ListParagraph"/>
              <w:numPr>
                <w:ilvl w:val="0"/>
                <w:numId w:val="17"/>
              </w:numPr>
              <w:spacing w:after="0"/>
              <w:ind w:left="317" w:hanging="317"/>
              <w:rPr>
                <w:sz w:val="18"/>
                <w:szCs w:val="18"/>
              </w:rPr>
            </w:pPr>
            <w:r w:rsidRPr="005A10FA">
              <w:rPr>
                <w:sz w:val="18"/>
                <w:szCs w:val="18"/>
              </w:rPr>
              <w:t>The breast is almost entirely fatty.</w:t>
            </w:r>
            <w:r w:rsidRPr="005A10FA">
              <w:rPr>
                <w:sz w:val="18"/>
                <w:szCs w:val="18"/>
              </w:rPr>
              <w:br/>
              <w:t>Mammography is highly sensitive in this setting.</w:t>
            </w:r>
          </w:p>
          <w:p w14:paraId="4334356E" w14:textId="77777777" w:rsidR="00204E52" w:rsidRPr="005A10FA" w:rsidRDefault="00204E52" w:rsidP="00204E52">
            <w:pPr>
              <w:pStyle w:val="ListParagraph"/>
              <w:numPr>
                <w:ilvl w:val="0"/>
                <w:numId w:val="17"/>
              </w:numPr>
              <w:spacing w:before="0" w:after="0"/>
              <w:ind w:left="317" w:hanging="317"/>
              <w:rPr>
                <w:sz w:val="18"/>
                <w:szCs w:val="18"/>
              </w:rPr>
            </w:pPr>
            <w:r w:rsidRPr="005A10FA">
              <w:rPr>
                <w:sz w:val="18"/>
                <w:szCs w:val="18"/>
              </w:rPr>
              <w:t>There are scattered areas of fibroglandular density.</w:t>
            </w:r>
            <w:r w:rsidRPr="005A10FA">
              <w:rPr>
                <w:sz w:val="18"/>
                <w:szCs w:val="18"/>
              </w:rPr>
              <w:br/>
              <w:t>The term density describes the degree of x-ray attenuation of breast tissue but not discrete mammographic findings.</w:t>
            </w:r>
          </w:p>
          <w:p w14:paraId="44F2966D" w14:textId="77777777" w:rsidR="00204E52" w:rsidRPr="005A10FA" w:rsidRDefault="00204E52" w:rsidP="00204E52">
            <w:pPr>
              <w:pStyle w:val="ListParagraph"/>
              <w:numPr>
                <w:ilvl w:val="0"/>
                <w:numId w:val="17"/>
              </w:numPr>
              <w:spacing w:before="0" w:after="0"/>
              <w:ind w:left="317" w:hanging="317"/>
              <w:rPr>
                <w:sz w:val="18"/>
                <w:szCs w:val="18"/>
              </w:rPr>
            </w:pPr>
            <w:r w:rsidRPr="005A10FA">
              <w:rPr>
                <w:sz w:val="18"/>
                <w:szCs w:val="18"/>
              </w:rPr>
              <w:t>The breasts are heterogeneously dense, which may obscure small masses.</w:t>
            </w:r>
            <w:r w:rsidRPr="005A10FA">
              <w:rPr>
                <w:sz w:val="18"/>
                <w:szCs w:val="18"/>
              </w:rPr>
              <w:br/>
              <w:t>Some areas in the breasts are sufficiently dense to obscure small masses.</w:t>
            </w:r>
          </w:p>
          <w:p w14:paraId="2981A8CB" w14:textId="77777777" w:rsidR="00204E52" w:rsidRDefault="00204E52" w:rsidP="00B87E4A">
            <w:pPr>
              <w:spacing w:before="120"/>
            </w:pPr>
            <w:r w:rsidRPr="005A10FA">
              <w:rPr>
                <w:sz w:val="18"/>
                <w:szCs w:val="18"/>
              </w:rPr>
              <w:t>The breasts are extremely dense, which lowers the sensitivity of mammography.</w:t>
            </w:r>
          </w:p>
        </w:tc>
      </w:tr>
      <w:tr w:rsidR="00204E52" w14:paraId="46F0CD9A" w14:textId="77777777" w:rsidTr="00B87E4A">
        <w:tc>
          <w:tcPr>
            <w:tcW w:w="1696" w:type="dxa"/>
            <w:shd w:val="clear" w:color="auto" w:fill="E7FFBD" w:themeFill="accent6" w:themeFillTint="33"/>
            <w:vAlign w:val="center"/>
          </w:tcPr>
          <w:p w14:paraId="0B33C498" w14:textId="77777777" w:rsidR="00204E52" w:rsidRDefault="00204E52" w:rsidP="00B87E4A">
            <w:r w:rsidRPr="008D757B">
              <w:rPr>
                <w:rFonts w:cs="Calibri"/>
                <w:color w:val="000000"/>
                <w:sz w:val="18"/>
                <w:szCs w:val="18"/>
              </w:rPr>
              <w:t>Wolfe</w:t>
            </w:r>
          </w:p>
        </w:tc>
        <w:tc>
          <w:tcPr>
            <w:tcW w:w="7320" w:type="dxa"/>
            <w:shd w:val="clear" w:color="auto" w:fill="E7FFBD" w:themeFill="accent6" w:themeFillTint="33"/>
            <w:vAlign w:val="center"/>
          </w:tcPr>
          <w:p w14:paraId="5C09B24A" w14:textId="77777777" w:rsidR="00204E52" w:rsidRPr="008D757B" w:rsidRDefault="00204E52" w:rsidP="00B87E4A">
            <w:pPr>
              <w:pStyle w:val="para"/>
              <w:spacing w:before="0" w:beforeAutospacing="0" w:after="12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The breast parenchyma is divided into four risk patterns:</w:t>
            </w:r>
            <w:r w:rsidRPr="008D757B">
              <w:rPr>
                <w:rFonts w:asciiTheme="minorHAnsi" w:eastAsiaTheme="minorHAnsi" w:hAnsiTheme="minorHAnsi" w:cstheme="minorBidi"/>
                <w:sz w:val="18"/>
                <w:szCs w:val="18"/>
                <w:lang w:eastAsia="en-US"/>
              </w:rPr>
              <w:cr/>
              <w:t xml:space="preserve">N1 = </w:t>
            </w:r>
            <w:r>
              <w:rPr>
                <w:rFonts w:asciiTheme="minorHAnsi" w:eastAsiaTheme="minorHAnsi" w:hAnsiTheme="minorHAnsi" w:cstheme="minorBidi"/>
                <w:sz w:val="18"/>
                <w:szCs w:val="18"/>
                <w:lang w:eastAsia="en-US"/>
              </w:rPr>
              <w:t>P</w:t>
            </w:r>
            <w:r w:rsidRPr="008D757B">
              <w:rPr>
                <w:rFonts w:asciiTheme="minorHAnsi" w:eastAsiaTheme="minorHAnsi" w:hAnsiTheme="minorHAnsi" w:cstheme="minorBidi"/>
                <w:sz w:val="18"/>
                <w:szCs w:val="18"/>
                <w:lang w:eastAsia="en-US"/>
              </w:rPr>
              <w:t>redominantly fat</w:t>
            </w:r>
          </w:p>
          <w:p w14:paraId="7B09AE20" w14:textId="77777777" w:rsidR="00204E52" w:rsidRPr="008D757B" w:rsidRDefault="00204E52" w:rsidP="00B87E4A">
            <w:pPr>
              <w:pStyle w:val="para"/>
              <w:spacing w:before="0" w:beforeAutospacing="0" w:after="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 xml:space="preserve">P1 = </w:t>
            </w:r>
            <w:r>
              <w:rPr>
                <w:rFonts w:asciiTheme="minorHAnsi" w:eastAsiaTheme="minorHAnsi" w:hAnsiTheme="minorHAnsi" w:cstheme="minorBidi"/>
                <w:sz w:val="18"/>
                <w:szCs w:val="18"/>
                <w:lang w:eastAsia="en-US"/>
              </w:rPr>
              <w:t>M</w:t>
            </w:r>
            <w:r w:rsidRPr="008D757B">
              <w:rPr>
                <w:rFonts w:asciiTheme="minorHAnsi" w:eastAsiaTheme="minorHAnsi" w:hAnsiTheme="minorHAnsi" w:cstheme="minorBidi"/>
                <w:sz w:val="18"/>
                <w:szCs w:val="18"/>
                <w:lang w:eastAsia="en-US"/>
              </w:rPr>
              <w:t>ainly fat with a few prominent ducts</w:t>
            </w:r>
          </w:p>
          <w:p w14:paraId="3D69FB62" w14:textId="77777777" w:rsidR="00204E52" w:rsidRPr="008D757B" w:rsidRDefault="00204E52" w:rsidP="00B87E4A">
            <w:pPr>
              <w:pStyle w:val="para"/>
              <w:spacing w:before="0" w:beforeAutospacing="0" w:after="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 xml:space="preserve">P2 = </w:t>
            </w:r>
            <w:r>
              <w:rPr>
                <w:rFonts w:asciiTheme="minorHAnsi" w:eastAsiaTheme="minorHAnsi" w:hAnsiTheme="minorHAnsi" w:cstheme="minorBidi"/>
                <w:sz w:val="18"/>
                <w:szCs w:val="18"/>
                <w:lang w:eastAsia="en-US"/>
              </w:rPr>
              <w:t>P</w:t>
            </w:r>
            <w:r w:rsidRPr="008D757B">
              <w:rPr>
                <w:rFonts w:asciiTheme="minorHAnsi" w:eastAsiaTheme="minorHAnsi" w:hAnsiTheme="minorHAnsi" w:cstheme="minorBidi"/>
                <w:sz w:val="18"/>
                <w:szCs w:val="18"/>
                <w:lang w:eastAsia="en-US"/>
              </w:rPr>
              <w:t>rominent duct patterns involving at least one half of the parenchyma</w:t>
            </w:r>
          </w:p>
          <w:p w14:paraId="25DDBEE3" w14:textId="77777777" w:rsidR="00204E52" w:rsidRDefault="00204E52" w:rsidP="00B87E4A">
            <w:r w:rsidRPr="008D757B">
              <w:rPr>
                <w:sz w:val="18"/>
                <w:szCs w:val="18"/>
              </w:rPr>
              <w:t xml:space="preserve">DY = </w:t>
            </w:r>
            <w:r>
              <w:rPr>
                <w:sz w:val="18"/>
                <w:szCs w:val="18"/>
              </w:rPr>
              <w:t>E</w:t>
            </w:r>
            <w:r w:rsidRPr="008D757B">
              <w:rPr>
                <w:sz w:val="18"/>
                <w:szCs w:val="18"/>
              </w:rPr>
              <w:t>xtremely dense</w:t>
            </w:r>
          </w:p>
        </w:tc>
      </w:tr>
      <w:tr w:rsidR="00204E52" w14:paraId="47562CBD" w14:textId="77777777" w:rsidTr="00B87E4A">
        <w:tc>
          <w:tcPr>
            <w:tcW w:w="1696" w:type="dxa"/>
            <w:shd w:val="clear" w:color="auto" w:fill="E7FFBD" w:themeFill="accent6" w:themeFillTint="33"/>
            <w:vAlign w:val="center"/>
          </w:tcPr>
          <w:p w14:paraId="1F0C5D32" w14:textId="77777777" w:rsidR="00204E52" w:rsidRDefault="00204E52" w:rsidP="00B87E4A">
            <w:r w:rsidRPr="00986DF0">
              <w:rPr>
                <w:sz w:val="18"/>
                <w:szCs w:val="18"/>
              </w:rPr>
              <w:t>Tabár</w:t>
            </w:r>
          </w:p>
        </w:tc>
        <w:tc>
          <w:tcPr>
            <w:tcW w:w="7320" w:type="dxa"/>
            <w:shd w:val="clear" w:color="auto" w:fill="E7FFBD" w:themeFill="accent6" w:themeFillTint="33"/>
            <w:vAlign w:val="center"/>
          </w:tcPr>
          <w:p w14:paraId="38600F3F" w14:textId="77777777" w:rsidR="00204E52" w:rsidRDefault="00204E52" w:rsidP="00B87E4A">
            <w:pPr>
              <w:pStyle w:val="para"/>
              <w:spacing w:before="0" w:beforeAutospacing="0" w:after="120" w:afterAutospacing="0"/>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T</w:t>
            </w:r>
            <w:r w:rsidRPr="008D757B">
              <w:rPr>
                <w:rFonts w:asciiTheme="minorHAnsi" w:eastAsiaTheme="minorHAnsi" w:hAnsiTheme="minorHAnsi" w:cstheme="minorBidi"/>
                <w:sz w:val="18"/>
                <w:szCs w:val="18"/>
                <w:lang w:eastAsia="en-US"/>
              </w:rPr>
              <w:t>he breast parenchyma is divided into ﬁve risk patterns based on four mammographic building blocks:  Nodular, linear, homogeneous and radiolucent tissue, respectively</w:t>
            </w:r>
            <w:r>
              <w:rPr>
                <w:rFonts w:asciiTheme="minorHAnsi" w:eastAsiaTheme="minorHAnsi" w:hAnsiTheme="minorHAnsi" w:cstheme="minorBidi"/>
                <w:sz w:val="18"/>
                <w:szCs w:val="18"/>
                <w:lang w:eastAsia="en-US"/>
              </w:rPr>
              <w:t>:</w:t>
            </w:r>
          </w:p>
          <w:p w14:paraId="5835B3AF" w14:textId="77777777" w:rsidR="00204E52" w:rsidRPr="008D757B" w:rsidRDefault="00204E52" w:rsidP="00B87E4A">
            <w:pPr>
              <w:pStyle w:val="para"/>
              <w:spacing w:before="0" w:beforeAutospacing="0" w:after="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I = [25, 15, 35, 25%]</w:t>
            </w:r>
          </w:p>
          <w:p w14:paraId="1F3B2B93" w14:textId="77777777" w:rsidR="00204E52" w:rsidRPr="008D757B" w:rsidRDefault="00204E52" w:rsidP="00B87E4A">
            <w:pPr>
              <w:pStyle w:val="para"/>
              <w:spacing w:before="0" w:beforeAutospacing="0" w:after="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II = [2, 14, 2, 82%]</w:t>
            </w:r>
          </w:p>
          <w:p w14:paraId="3C036891" w14:textId="77777777" w:rsidR="00204E52" w:rsidRDefault="00204E52" w:rsidP="00B87E4A">
            <w:pPr>
              <w:pStyle w:val="para"/>
              <w:spacing w:before="0" w:beforeAutospacing="0" w:after="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III = Similar to II in composition + periductal ﬁbrosis</w:t>
            </w:r>
          </w:p>
          <w:p w14:paraId="69CF450F" w14:textId="77777777" w:rsidR="00204E52" w:rsidRPr="008D757B" w:rsidRDefault="00204E52" w:rsidP="00B87E4A">
            <w:pPr>
              <w:pStyle w:val="para"/>
              <w:spacing w:before="0" w:beforeAutospacing="0" w:after="0" w:afterAutospacing="0"/>
              <w:rPr>
                <w:rFonts w:asciiTheme="minorHAnsi" w:eastAsiaTheme="minorHAnsi" w:hAnsiTheme="minorHAnsi" w:cstheme="minorBidi"/>
                <w:sz w:val="18"/>
                <w:szCs w:val="18"/>
                <w:lang w:eastAsia="en-US"/>
              </w:rPr>
            </w:pPr>
            <w:r w:rsidRPr="008D757B">
              <w:rPr>
                <w:rFonts w:asciiTheme="minorHAnsi" w:eastAsiaTheme="minorHAnsi" w:hAnsiTheme="minorHAnsi" w:cstheme="minorBidi"/>
                <w:sz w:val="18"/>
                <w:szCs w:val="18"/>
                <w:lang w:eastAsia="en-US"/>
              </w:rPr>
              <w:t>IV = [49, 19, 15, 17%]</w:t>
            </w:r>
          </w:p>
          <w:p w14:paraId="4F994E1A" w14:textId="77777777" w:rsidR="00204E52" w:rsidRDefault="00204E52" w:rsidP="00B87E4A">
            <w:r w:rsidRPr="008D757B">
              <w:rPr>
                <w:sz w:val="18"/>
                <w:szCs w:val="18"/>
              </w:rPr>
              <w:t>V = [2, 2, 89, 7%]</w:t>
            </w:r>
          </w:p>
        </w:tc>
      </w:tr>
      <w:tr w:rsidR="00204E52" w14:paraId="7AF5BD7D" w14:textId="77777777" w:rsidTr="00B87E4A">
        <w:tc>
          <w:tcPr>
            <w:tcW w:w="1696" w:type="dxa"/>
            <w:shd w:val="clear" w:color="auto" w:fill="E7FFBD" w:themeFill="accent6" w:themeFillTint="33"/>
            <w:vAlign w:val="center"/>
          </w:tcPr>
          <w:p w14:paraId="4FFF1AB6" w14:textId="77777777" w:rsidR="00204E52" w:rsidRDefault="00204E52" w:rsidP="00B87E4A">
            <w:r w:rsidRPr="008D757B">
              <w:rPr>
                <w:rFonts w:cs="Calibri"/>
                <w:color w:val="000000"/>
                <w:sz w:val="18"/>
                <w:szCs w:val="18"/>
              </w:rPr>
              <w:t>Visual estimation (</w:t>
            </w:r>
            <w:r>
              <w:rPr>
                <w:rFonts w:cs="Calibri"/>
                <w:color w:val="000000"/>
                <w:sz w:val="18"/>
                <w:szCs w:val="18"/>
              </w:rPr>
              <w:t>percent density</w:t>
            </w:r>
            <w:r w:rsidRPr="008D757B">
              <w:rPr>
                <w:rFonts w:cs="Calibri"/>
                <w:color w:val="000000"/>
                <w:sz w:val="18"/>
                <w:szCs w:val="18"/>
              </w:rPr>
              <w:t>)</w:t>
            </w:r>
          </w:p>
        </w:tc>
        <w:tc>
          <w:tcPr>
            <w:tcW w:w="7320" w:type="dxa"/>
            <w:shd w:val="clear" w:color="auto" w:fill="E7FFBD" w:themeFill="accent6" w:themeFillTint="33"/>
            <w:vAlign w:val="center"/>
          </w:tcPr>
          <w:p w14:paraId="08B09FF9" w14:textId="77777777" w:rsidR="00204E52" w:rsidRDefault="00204E52" w:rsidP="00B87E4A">
            <w:pPr>
              <w:jc w:val="both"/>
            </w:pPr>
            <w:r w:rsidRPr="008D757B">
              <w:rPr>
                <w:rFonts w:eastAsia="Times New Roman" w:cs="Calibri"/>
                <w:color w:val="000000"/>
                <w:sz w:val="18"/>
                <w:szCs w:val="18"/>
                <w:lang w:eastAsia="en-NZ"/>
              </w:rPr>
              <w:t>Visually quantifies the proportion of the breast area occupied by the fibroglandular dense tissue and represents it as a percentage</w:t>
            </w:r>
            <w:r>
              <w:rPr>
                <w:rFonts w:eastAsia="Times New Roman" w:cs="Calibri"/>
                <w:color w:val="000000"/>
                <w:sz w:val="18"/>
                <w:szCs w:val="18"/>
                <w:lang w:eastAsia="en-NZ"/>
              </w:rPr>
              <w:t xml:space="preserve"> ranging from most fatty (0%) to most dense (&gt;75%)</w:t>
            </w:r>
            <w:r w:rsidRPr="008D757B">
              <w:rPr>
                <w:rFonts w:eastAsia="Times New Roman" w:cs="Calibri"/>
                <w:color w:val="000000"/>
                <w:sz w:val="18"/>
                <w:szCs w:val="18"/>
                <w:lang w:eastAsia="en-NZ"/>
              </w:rPr>
              <w:t>.</w:t>
            </w:r>
            <w:r>
              <w:rPr>
                <w:rFonts w:eastAsia="Times New Roman" w:cs="Calibri"/>
                <w:color w:val="000000"/>
                <w:sz w:val="18"/>
                <w:szCs w:val="18"/>
                <w:lang w:eastAsia="en-NZ"/>
              </w:rPr>
              <w:t xml:space="preserve"> The ranges are: </w:t>
            </w:r>
            <w:r w:rsidRPr="008D757B">
              <w:rPr>
                <w:rFonts w:eastAsia="Times New Roman" w:cs="Calibri"/>
                <w:color w:val="000000"/>
                <w:sz w:val="18"/>
                <w:szCs w:val="18"/>
                <w:lang w:eastAsia="en-NZ"/>
              </w:rPr>
              <w:t>0%</w:t>
            </w:r>
            <w:r>
              <w:rPr>
                <w:rFonts w:eastAsia="Times New Roman" w:cs="Calibri"/>
                <w:color w:val="000000"/>
                <w:sz w:val="18"/>
                <w:szCs w:val="18"/>
                <w:lang w:eastAsia="en-NZ"/>
              </w:rPr>
              <w:t xml:space="preserve">; </w:t>
            </w:r>
            <w:r w:rsidRPr="008D757B">
              <w:rPr>
                <w:rFonts w:eastAsia="Times New Roman" w:cs="Calibri"/>
                <w:color w:val="000000"/>
                <w:sz w:val="18"/>
                <w:szCs w:val="18"/>
                <w:lang w:eastAsia="en-NZ"/>
              </w:rPr>
              <w:t>&lt;10%;</w:t>
            </w:r>
            <w:r>
              <w:rPr>
                <w:rFonts w:eastAsia="Times New Roman" w:cs="Calibri"/>
                <w:color w:val="000000"/>
                <w:sz w:val="18"/>
                <w:szCs w:val="18"/>
                <w:lang w:eastAsia="en-NZ"/>
              </w:rPr>
              <w:t xml:space="preserve"> </w:t>
            </w:r>
            <w:r w:rsidRPr="008D757B">
              <w:rPr>
                <w:rFonts w:eastAsia="Times New Roman" w:cs="Calibri"/>
                <w:color w:val="000000"/>
                <w:sz w:val="18"/>
                <w:szCs w:val="18"/>
                <w:lang w:eastAsia="en-NZ"/>
              </w:rPr>
              <w:t>10–25%;</w:t>
            </w:r>
            <w:r>
              <w:rPr>
                <w:rFonts w:eastAsia="Times New Roman" w:cs="Calibri"/>
                <w:color w:val="000000"/>
                <w:sz w:val="18"/>
                <w:szCs w:val="18"/>
                <w:lang w:eastAsia="en-NZ"/>
              </w:rPr>
              <w:t xml:space="preserve"> </w:t>
            </w:r>
            <w:r w:rsidRPr="008D757B">
              <w:rPr>
                <w:rFonts w:eastAsia="Times New Roman" w:cs="Calibri"/>
                <w:color w:val="000000"/>
                <w:sz w:val="18"/>
                <w:szCs w:val="18"/>
                <w:lang w:eastAsia="en-NZ"/>
              </w:rPr>
              <w:t>26 – 50%;</w:t>
            </w:r>
            <w:r>
              <w:rPr>
                <w:rFonts w:eastAsia="Times New Roman" w:cs="Calibri"/>
                <w:color w:val="000000"/>
                <w:sz w:val="18"/>
                <w:szCs w:val="18"/>
                <w:lang w:eastAsia="en-NZ"/>
              </w:rPr>
              <w:t xml:space="preserve"> </w:t>
            </w:r>
            <w:r w:rsidRPr="008D757B">
              <w:rPr>
                <w:rFonts w:eastAsia="Times New Roman" w:cs="Calibri"/>
                <w:color w:val="000000"/>
                <w:sz w:val="18"/>
                <w:szCs w:val="18"/>
                <w:lang w:eastAsia="en-NZ"/>
              </w:rPr>
              <w:t>51 – 75%;</w:t>
            </w:r>
            <w:r>
              <w:rPr>
                <w:rFonts w:eastAsia="Times New Roman" w:cs="Calibri"/>
                <w:color w:val="000000"/>
                <w:sz w:val="18"/>
                <w:szCs w:val="18"/>
                <w:lang w:eastAsia="en-NZ"/>
              </w:rPr>
              <w:t xml:space="preserve"> and </w:t>
            </w:r>
            <w:r w:rsidRPr="008D757B">
              <w:rPr>
                <w:rFonts w:cs="Calibri"/>
                <w:color w:val="000000"/>
                <w:sz w:val="18"/>
                <w:szCs w:val="18"/>
              </w:rPr>
              <w:t>&gt;75%</w:t>
            </w:r>
            <w:r>
              <w:rPr>
                <w:rFonts w:cs="Calibri"/>
                <w:color w:val="000000"/>
                <w:sz w:val="18"/>
                <w:szCs w:val="18"/>
              </w:rPr>
              <w:t>.</w:t>
            </w:r>
          </w:p>
        </w:tc>
      </w:tr>
      <w:tr w:rsidR="00204E52" w14:paraId="7419B60D" w14:textId="77777777" w:rsidTr="00B87E4A">
        <w:tc>
          <w:tcPr>
            <w:tcW w:w="1696" w:type="dxa"/>
            <w:shd w:val="clear" w:color="auto" w:fill="E7FFBD" w:themeFill="accent6" w:themeFillTint="33"/>
            <w:vAlign w:val="center"/>
          </w:tcPr>
          <w:p w14:paraId="407360CB" w14:textId="77777777" w:rsidR="00204E52" w:rsidRDefault="00204E52" w:rsidP="00B87E4A">
            <w:r w:rsidRPr="008D757B">
              <w:rPr>
                <w:rFonts w:cs="Calibri"/>
                <w:color w:val="000000"/>
                <w:sz w:val="18"/>
                <w:szCs w:val="18"/>
              </w:rPr>
              <w:t>Cumulus</w:t>
            </w:r>
          </w:p>
        </w:tc>
        <w:tc>
          <w:tcPr>
            <w:tcW w:w="7320" w:type="dxa"/>
            <w:shd w:val="clear" w:color="auto" w:fill="E7FFBD" w:themeFill="accent6" w:themeFillTint="33"/>
            <w:vAlign w:val="center"/>
          </w:tcPr>
          <w:p w14:paraId="2555134E" w14:textId="77777777" w:rsidR="00204E52" w:rsidRDefault="00204E52" w:rsidP="00B87E4A">
            <w:pPr>
              <w:jc w:val="both"/>
              <w:rPr>
                <w:rFonts w:eastAsia="Times New Roman" w:cs="Calibri"/>
                <w:color w:val="000000"/>
                <w:sz w:val="18"/>
                <w:szCs w:val="18"/>
                <w:lang w:eastAsia="en-NZ"/>
              </w:rPr>
            </w:pPr>
            <w:r w:rsidRPr="008D757B">
              <w:rPr>
                <w:rFonts w:eastAsia="Times New Roman" w:cs="Calibri"/>
                <w:color w:val="000000"/>
                <w:sz w:val="18"/>
                <w:szCs w:val="18"/>
                <w:lang w:eastAsia="en-NZ"/>
              </w:rPr>
              <w:t>Interactive thresholding software that relies on the user to select the whole breast and dense tissue areas on digitized mammographic images. It calculates the pixel sizes of selected areas based on a grey scale and convert</w:t>
            </w:r>
            <w:r>
              <w:rPr>
                <w:rFonts w:eastAsia="Times New Roman" w:cs="Calibri"/>
                <w:color w:val="000000"/>
                <w:sz w:val="18"/>
                <w:szCs w:val="18"/>
                <w:lang w:eastAsia="en-NZ"/>
              </w:rPr>
              <w:t>s</w:t>
            </w:r>
            <w:r w:rsidRPr="008D757B">
              <w:rPr>
                <w:rFonts w:eastAsia="Times New Roman" w:cs="Calibri"/>
                <w:color w:val="000000"/>
                <w:sz w:val="18"/>
                <w:szCs w:val="18"/>
                <w:lang w:eastAsia="en-NZ"/>
              </w:rPr>
              <w:t xml:space="preserve"> the results to square centimetres</w:t>
            </w:r>
            <w:r>
              <w:rPr>
                <w:rFonts w:eastAsia="Times New Roman" w:cs="Calibri"/>
                <w:color w:val="000000"/>
                <w:sz w:val="18"/>
                <w:szCs w:val="18"/>
                <w:lang w:eastAsia="en-NZ"/>
              </w:rPr>
              <w:t>:</w:t>
            </w:r>
          </w:p>
          <w:p w14:paraId="4BD25CB8" w14:textId="77777777" w:rsidR="00204E52" w:rsidRPr="006C62C5" w:rsidRDefault="00204E52" w:rsidP="00204E52">
            <w:pPr>
              <w:pStyle w:val="ListParagraph"/>
              <w:numPr>
                <w:ilvl w:val="0"/>
                <w:numId w:val="31"/>
              </w:numPr>
              <w:spacing w:after="0"/>
              <w:rPr>
                <w:rFonts w:eastAsia="Times New Roman" w:cs="Calibri"/>
                <w:color w:val="000000"/>
                <w:sz w:val="18"/>
                <w:szCs w:val="18"/>
                <w:lang w:eastAsia="en-NZ"/>
              </w:rPr>
            </w:pPr>
            <w:r w:rsidRPr="006C62C5">
              <w:rPr>
                <w:rFonts w:eastAsia="Times New Roman" w:cs="Calibri"/>
                <w:color w:val="000000"/>
                <w:sz w:val="18"/>
                <w:szCs w:val="18"/>
                <w:lang w:eastAsia="en-NZ"/>
              </w:rPr>
              <w:t xml:space="preserve">Percent dense area = dense area/whole breast area </w:t>
            </w:r>
          </w:p>
          <w:p w14:paraId="603BE053" w14:textId="77777777" w:rsidR="00204E52" w:rsidRPr="006C62C5" w:rsidRDefault="00204E52" w:rsidP="00204E52">
            <w:pPr>
              <w:pStyle w:val="ListParagraph"/>
              <w:numPr>
                <w:ilvl w:val="0"/>
                <w:numId w:val="31"/>
              </w:numPr>
              <w:spacing w:before="0" w:after="0"/>
              <w:ind w:left="725"/>
              <w:rPr>
                <w:rFonts w:eastAsia="Times New Roman" w:cs="Calibri"/>
                <w:color w:val="000000"/>
                <w:sz w:val="18"/>
                <w:szCs w:val="18"/>
                <w:lang w:eastAsia="en-NZ"/>
              </w:rPr>
            </w:pPr>
            <w:r w:rsidRPr="006C62C5">
              <w:rPr>
                <w:rFonts w:eastAsia="Times New Roman" w:cs="Calibri"/>
                <w:color w:val="000000"/>
                <w:sz w:val="18"/>
                <w:szCs w:val="18"/>
                <w:lang w:eastAsia="en-NZ"/>
              </w:rPr>
              <w:t>Non-dense area = whole breast area - dense area</w:t>
            </w:r>
          </w:p>
        </w:tc>
      </w:tr>
      <w:tr w:rsidR="00204E52" w14:paraId="3ED74E14" w14:textId="77777777" w:rsidTr="00B87E4A">
        <w:tc>
          <w:tcPr>
            <w:tcW w:w="1696" w:type="dxa"/>
            <w:shd w:val="clear" w:color="auto" w:fill="E7FFBD" w:themeFill="accent6" w:themeFillTint="33"/>
            <w:vAlign w:val="center"/>
          </w:tcPr>
          <w:p w14:paraId="196A1220" w14:textId="5B9D0BCE" w:rsidR="00204E52" w:rsidRPr="008D757B" w:rsidRDefault="00204E52" w:rsidP="00B87E4A">
            <w:pPr>
              <w:rPr>
                <w:rFonts w:cs="Calibri"/>
                <w:color w:val="000000"/>
                <w:sz w:val="18"/>
                <w:szCs w:val="18"/>
              </w:rPr>
            </w:pPr>
            <w:r>
              <w:rPr>
                <w:rFonts w:cs="Calibri"/>
                <w:color w:val="000000"/>
                <w:sz w:val="18"/>
                <w:szCs w:val="18"/>
              </w:rPr>
              <w:t>Volumetric measure (</w:t>
            </w:r>
            <w:r w:rsidR="00CC24AA">
              <w:rPr>
                <w:rFonts w:cs="Calibri"/>
                <w:color w:val="000000"/>
                <w:sz w:val="18"/>
                <w:szCs w:val="18"/>
              </w:rPr>
              <w:t>eg,</w:t>
            </w:r>
            <w:r>
              <w:rPr>
                <w:rFonts w:cs="Calibri"/>
                <w:color w:val="000000"/>
                <w:sz w:val="18"/>
                <w:szCs w:val="18"/>
              </w:rPr>
              <w:t xml:space="preserve"> </w:t>
            </w:r>
            <w:r w:rsidRPr="00651E62">
              <w:rPr>
                <w:rFonts w:cs="Calibri"/>
                <w:i/>
                <w:color w:val="000000"/>
                <w:sz w:val="18"/>
                <w:szCs w:val="18"/>
              </w:rPr>
              <w:t>A</w:t>
            </w:r>
            <w:r>
              <w:rPr>
                <w:rFonts w:cs="Calibri"/>
                <w:i/>
                <w:color w:val="000000"/>
                <w:sz w:val="18"/>
                <w:szCs w:val="18"/>
              </w:rPr>
              <w:t>utoD</w:t>
            </w:r>
            <w:r w:rsidRPr="00651E62">
              <w:rPr>
                <w:rFonts w:cs="Calibri"/>
                <w:i/>
                <w:color w:val="000000"/>
                <w:sz w:val="18"/>
                <w:szCs w:val="18"/>
              </w:rPr>
              <w:t>ensity</w:t>
            </w:r>
            <w:r>
              <w:rPr>
                <w:rFonts w:cs="Calibri"/>
                <w:color w:val="000000"/>
                <w:sz w:val="18"/>
                <w:szCs w:val="18"/>
              </w:rPr>
              <w:t>)</w:t>
            </w:r>
          </w:p>
        </w:tc>
        <w:tc>
          <w:tcPr>
            <w:tcW w:w="7320" w:type="dxa"/>
            <w:shd w:val="clear" w:color="auto" w:fill="E7FFBD" w:themeFill="accent6" w:themeFillTint="33"/>
            <w:vAlign w:val="center"/>
          </w:tcPr>
          <w:p w14:paraId="154623C7" w14:textId="77777777" w:rsidR="00204E52" w:rsidRPr="008D757B" w:rsidRDefault="00204E52" w:rsidP="00B87E4A">
            <w:pPr>
              <w:jc w:val="both"/>
              <w:rPr>
                <w:rFonts w:eastAsia="Times New Roman" w:cs="Calibri"/>
                <w:color w:val="000000"/>
                <w:sz w:val="18"/>
                <w:szCs w:val="18"/>
                <w:lang w:eastAsia="en-NZ"/>
              </w:rPr>
            </w:pPr>
            <w:r w:rsidRPr="00651E62">
              <w:rPr>
                <w:rFonts w:eastAsia="Times New Roman" w:cs="Calibri"/>
                <w:i/>
                <w:iCs/>
                <w:color w:val="000000"/>
                <w:sz w:val="18"/>
                <w:szCs w:val="18"/>
                <w:lang w:eastAsia="en-NZ"/>
              </w:rPr>
              <w:t>AutoDensity</w:t>
            </w:r>
            <w:r>
              <w:rPr>
                <w:rFonts w:eastAsia="Times New Roman" w:cs="Calibri"/>
                <w:i/>
                <w:iCs/>
                <w:color w:val="000000"/>
                <w:sz w:val="18"/>
                <w:szCs w:val="18"/>
                <w:lang w:eastAsia="en-NZ"/>
              </w:rPr>
              <w:t xml:space="preserve"> </w:t>
            </w:r>
            <w:r w:rsidRPr="00651E62">
              <w:rPr>
                <w:rFonts w:eastAsia="Times New Roman" w:cs="Calibri"/>
                <w:color w:val="000000"/>
                <w:sz w:val="18"/>
                <w:szCs w:val="18"/>
                <w:lang w:eastAsia="en-NZ"/>
              </w:rPr>
              <w:t>automatically identifies the breast area in the mammogram and classifies breast density in a similar way to</w:t>
            </w:r>
            <w:r>
              <w:rPr>
                <w:rFonts w:eastAsia="Times New Roman" w:cs="Calibri"/>
                <w:color w:val="000000"/>
                <w:sz w:val="18"/>
                <w:szCs w:val="18"/>
                <w:lang w:eastAsia="en-NZ"/>
              </w:rPr>
              <w:t xml:space="preserve"> </w:t>
            </w:r>
            <w:r w:rsidRPr="00651E62">
              <w:rPr>
                <w:rFonts w:eastAsia="Times New Roman" w:cs="Calibri"/>
                <w:i/>
                <w:iCs/>
                <w:color w:val="000000"/>
                <w:sz w:val="18"/>
                <w:szCs w:val="18"/>
                <w:lang w:eastAsia="en-NZ"/>
              </w:rPr>
              <w:t>Cumulus</w:t>
            </w:r>
            <w:r>
              <w:rPr>
                <w:rFonts w:eastAsia="Times New Roman" w:cs="Calibri"/>
                <w:color w:val="000000"/>
                <w:sz w:val="18"/>
                <w:szCs w:val="18"/>
                <w:lang w:eastAsia="en-NZ"/>
              </w:rPr>
              <w:t xml:space="preserve"> but is stand-alone.</w:t>
            </w:r>
          </w:p>
        </w:tc>
      </w:tr>
    </w:tbl>
    <w:p w14:paraId="6E56B3F2" w14:textId="77777777" w:rsidR="0000049E" w:rsidRPr="00345CCE" w:rsidRDefault="0000049E" w:rsidP="00EB5138">
      <w:pPr>
        <w:pStyle w:val="BodyText-GREEN"/>
        <w:rPr>
          <w:b/>
          <w:color w:val="auto"/>
        </w:rPr>
      </w:pPr>
      <w:r w:rsidRPr="00345CCE">
        <w:rPr>
          <w:b/>
          <w:color w:val="auto"/>
        </w:rPr>
        <w:t>Visual density assessment</w:t>
      </w:r>
    </w:p>
    <w:p w14:paraId="2830A768" w14:textId="77777777" w:rsidR="009C0F6C" w:rsidRDefault="006A2335" w:rsidP="001135B8">
      <w:pPr>
        <w:pStyle w:val="BodyText"/>
      </w:pPr>
      <w:r w:rsidRPr="00EB5138">
        <w:t xml:space="preserve">The first qualitative classification of mammographic density patterns was described by Wolfe in 1976. Wolfe measured the percentage of the breast containing radiographic densities on a continuous scale with the use of a polar planimeter. </w:t>
      </w:r>
      <w:r w:rsidR="00986DF0" w:rsidRPr="00EB5138">
        <w:t xml:space="preserve">A modification of this method was proposed by Tabár based on relative proportion of specific mammographic building blocks. </w:t>
      </w:r>
    </w:p>
    <w:p w14:paraId="0F423DDB" w14:textId="1FE2432E" w:rsidR="001135B8" w:rsidRDefault="00986DF0" w:rsidP="001135B8">
      <w:pPr>
        <w:pStyle w:val="BodyText"/>
      </w:pPr>
      <w:r w:rsidRPr="00EB5138">
        <w:lastRenderedPageBreak/>
        <w:t>T</w:t>
      </w:r>
      <w:r w:rsidR="006A2335" w:rsidRPr="00EB5138">
        <w:t xml:space="preserve">he </w:t>
      </w:r>
      <w:r w:rsidR="00275D65">
        <w:t>BIRADS</w:t>
      </w:r>
      <w:r w:rsidR="006A2335" w:rsidRPr="00EB5138">
        <w:t xml:space="preserve"> </w:t>
      </w:r>
      <w:r w:rsidRPr="00EB5138">
        <w:t xml:space="preserve">classification </w:t>
      </w:r>
      <w:r w:rsidR="0000049E" w:rsidRPr="00EB5138">
        <w:t xml:space="preserve">(and later </w:t>
      </w:r>
      <w:r w:rsidR="00275D65">
        <w:t>BIRADS</w:t>
      </w:r>
      <w:r w:rsidR="0000049E" w:rsidRPr="00EB5138">
        <w:t xml:space="preserve"> 5</w:t>
      </w:r>
      <w:r w:rsidR="0000049E" w:rsidRPr="00EB5138">
        <w:rPr>
          <w:vertAlign w:val="superscript"/>
        </w:rPr>
        <w:t>th</w:t>
      </w:r>
      <w:r w:rsidR="0000049E" w:rsidRPr="00EB5138">
        <w:t xml:space="preserve"> edition) </w:t>
      </w:r>
      <w:r w:rsidRPr="00EB5138">
        <w:t xml:space="preserve">was </w:t>
      </w:r>
      <w:r w:rsidR="0000049E" w:rsidRPr="00EB5138">
        <w:t>introduced as a more quantitativ</w:t>
      </w:r>
      <w:r w:rsidR="00220584">
        <w:t>e</w:t>
      </w:r>
      <w:r w:rsidR="0000049E" w:rsidRPr="00EB5138">
        <w:t xml:space="preserve"> </w:t>
      </w:r>
      <w:r w:rsidR="001135B8" w:rsidRPr="00EB5138">
        <w:t xml:space="preserve">and standardised </w:t>
      </w:r>
      <w:r w:rsidR="0000049E" w:rsidRPr="00EB5138">
        <w:t xml:space="preserve">measure </w:t>
      </w:r>
      <w:r w:rsidR="001135B8" w:rsidRPr="00EB5138">
        <w:t xml:space="preserve">due </w:t>
      </w:r>
      <w:r w:rsidR="00400A40">
        <w:t xml:space="preserve">to </w:t>
      </w:r>
      <w:r w:rsidR="001135B8" w:rsidRPr="00EB5138">
        <w:t>the lack reproducibility of the pattern</w:t>
      </w:r>
      <w:r w:rsidR="00EB5138">
        <w:t>-</w:t>
      </w:r>
      <w:r w:rsidR="001135B8" w:rsidRPr="00EB5138">
        <w:t xml:space="preserve">based methods. The </w:t>
      </w:r>
      <w:r w:rsidR="00275D65">
        <w:t>BIRADS</w:t>
      </w:r>
      <w:r w:rsidR="001135B8" w:rsidRPr="00EB5138">
        <w:t xml:space="preserve"> 5</w:t>
      </w:r>
      <w:r w:rsidR="001135B8" w:rsidRPr="00EB5138">
        <w:rPr>
          <w:vertAlign w:val="superscript"/>
        </w:rPr>
        <w:t>th</w:t>
      </w:r>
      <w:r w:rsidR="001135B8" w:rsidRPr="00EB5138">
        <w:t xml:space="preserve"> edition redefines breast density determination and does not rely on quartile/percentage distribution; instead, it defines breast density according to the presence of a region of confluent fibroglandular tissue that may mask and obscure an underlying cancer (Hooley et al., 2017). Because of this, it is predicted that with the new </w:t>
      </w:r>
      <w:r w:rsidR="00275D65">
        <w:t>BIRADS</w:t>
      </w:r>
      <w:r w:rsidR="001135B8" w:rsidRPr="00EB5138">
        <w:t xml:space="preserve"> 5</w:t>
      </w:r>
      <w:r w:rsidR="001135B8" w:rsidRPr="00EB5138">
        <w:rPr>
          <w:vertAlign w:val="superscript"/>
        </w:rPr>
        <w:t>th</w:t>
      </w:r>
      <w:r w:rsidR="001135B8" w:rsidRPr="00EB5138">
        <w:t xml:space="preserve"> edition breast density determination guidelines, it is possible that more women will be classified as having dense breast tissue (Winkler et al., 2015). It is now the most widely used </w:t>
      </w:r>
      <w:r w:rsidR="009C0F6C">
        <w:t xml:space="preserve">method of measuring breast density </w:t>
      </w:r>
      <w:r w:rsidR="001135B8" w:rsidRPr="00EB5138">
        <w:t>in clinical radiology practice (Gram et al., 2005).</w:t>
      </w:r>
    </w:p>
    <w:p w14:paraId="2A995E05" w14:textId="68E0C555" w:rsidR="009C0F6C" w:rsidRPr="00EB5138" w:rsidRDefault="009C0F6C" w:rsidP="001135B8">
      <w:pPr>
        <w:pStyle w:val="BodyText"/>
      </w:pPr>
      <w:r w:rsidRPr="00EB5138">
        <w:t>Another semi-quantitative approach</w:t>
      </w:r>
      <w:r>
        <w:t xml:space="preserve"> to density measurement</w:t>
      </w:r>
      <w:r w:rsidRPr="00EB5138">
        <w:t xml:space="preserve"> involves a visual estimation of the breast density using a Visual Analogue Scale (VAS). Readers mark along a continuous scale that represents 0–100% density, and these score sheets can then be scanned through software to obtain the percent breast density (Destounis</w:t>
      </w:r>
      <w:r w:rsidR="00601CC8">
        <w:t xml:space="preserve"> et al.</w:t>
      </w:r>
      <w:r w:rsidRPr="00EB5138">
        <w:t>, 2017</w:t>
      </w:r>
      <w:r w:rsidR="00601CC8">
        <w:t>a</w:t>
      </w:r>
      <w:r w:rsidRPr="00EB5138">
        <w:t>).</w:t>
      </w:r>
    </w:p>
    <w:p w14:paraId="424CAB48" w14:textId="48723679" w:rsidR="006310F0" w:rsidRPr="00A12E62" w:rsidRDefault="00564149" w:rsidP="00A12E62">
      <w:pPr>
        <w:pStyle w:val="BodyText"/>
      </w:pPr>
      <w:r>
        <w:t>One consideration in</w:t>
      </w:r>
      <w:r w:rsidR="001135B8" w:rsidRPr="00EB5138">
        <w:t xml:space="preserve"> </w:t>
      </w:r>
      <w:r>
        <w:t xml:space="preserve">the </w:t>
      </w:r>
      <w:r w:rsidR="001135B8" w:rsidRPr="00EB5138">
        <w:t>visual assessment</w:t>
      </w:r>
      <w:r w:rsidR="009C0F6C">
        <w:t xml:space="preserve"> of breast density</w:t>
      </w:r>
      <w:r w:rsidR="001135B8" w:rsidRPr="00EB5138">
        <w:t xml:space="preserve"> include</w:t>
      </w:r>
      <w:r>
        <w:t>s</w:t>
      </w:r>
      <w:r w:rsidR="001135B8" w:rsidRPr="00EB5138">
        <w:t xml:space="preserve"> the impact of inter- and intra-observer variability on classification and the impact of changing definitions which may result in different density findings </w:t>
      </w:r>
      <w:r>
        <w:t>for</w:t>
      </w:r>
      <w:r w:rsidR="001135B8" w:rsidRPr="00EB5138">
        <w:t xml:space="preserve"> individual women</w:t>
      </w:r>
      <w:r w:rsidR="001778B4">
        <w:t xml:space="preserve">, and which may affect the overall consistency of research findings between those studies using the </w:t>
      </w:r>
      <w:r w:rsidR="00275D65">
        <w:t>BIRADS</w:t>
      </w:r>
      <w:r w:rsidR="001778B4">
        <w:t xml:space="preserve"> 4</w:t>
      </w:r>
      <w:r w:rsidR="001778B4" w:rsidRPr="00522F1A">
        <w:rPr>
          <w:vertAlign w:val="superscript"/>
        </w:rPr>
        <w:t>th</w:t>
      </w:r>
      <w:r w:rsidR="001778B4">
        <w:t xml:space="preserve"> edition definition and those using </w:t>
      </w:r>
      <w:r w:rsidR="00275D65">
        <w:t>BIRADS</w:t>
      </w:r>
      <w:r w:rsidR="001778B4">
        <w:t xml:space="preserve"> 5</w:t>
      </w:r>
      <w:r w:rsidR="001778B4" w:rsidRPr="00522F1A">
        <w:rPr>
          <w:vertAlign w:val="superscript"/>
        </w:rPr>
        <w:t>th</w:t>
      </w:r>
      <w:r w:rsidR="001778B4">
        <w:t xml:space="preserve"> edition</w:t>
      </w:r>
      <w:r w:rsidR="001135B8" w:rsidRPr="00EB5138">
        <w:t xml:space="preserve">. Regardless of the classification system used, there is considerable inter- and intra-observer variability in the subjective classification of breast density (Freer, 2015; Ng and Lau, 2015). Melnikow et al. (2016) reviewed the consistency of categorical </w:t>
      </w:r>
      <w:r w:rsidR="00275D65">
        <w:t>BIRADS</w:t>
      </w:r>
      <w:r w:rsidR="001135B8" w:rsidRPr="00EB5138">
        <w:t xml:space="preserve"> breast density determinations in large, community practice-based studies in the United States. </w:t>
      </w:r>
      <w:r w:rsidR="00275D65">
        <w:t>BIRADS</w:t>
      </w:r>
      <w:r w:rsidR="001135B8" w:rsidRPr="00EB5138">
        <w:t xml:space="preserve"> density assessments at a population level were generally consistent across consecutive exams by the same or different readers. There was however variation for individual women. Approximately 80% of exams received a “2” or “3” </w:t>
      </w:r>
      <w:r w:rsidR="00275D65">
        <w:t>BIRADS</w:t>
      </w:r>
      <w:r w:rsidR="001135B8" w:rsidRPr="00EB5138">
        <w:t xml:space="preserve"> density assessment (that is, most women had scattered or consistently dense breasts, but not extremely dense or very fatty breasts). Categories 2 and 3 were also most likely to be reassessed differently, whether on a separate reading of the same exam or on a subsequent examination, and whether read by the same or a different reader. As a result, across three studies, 13– 19% of women were reclassified from “non-dense” to “dense” or vice versa. In these instances, </w:t>
      </w:r>
      <w:r w:rsidR="00191F76">
        <w:t>subsequent</w:t>
      </w:r>
      <w:r w:rsidR="001135B8" w:rsidRPr="00EB5138">
        <w:t xml:space="preserve"> screenings could provide inconsistent information for the same woman in the span of 2 to 3 years (Melnikow et al., 2016; Lucas et al., 2010; the State of Connecticut, 2009).</w:t>
      </w:r>
    </w:p>
    <w:p w14:paraId="75D62C06" w14:textId="1A0B65CA" w:rsidR="001135B8" w:rsidRPr="00345CCE" w:rsidRDefault="001135B8" w:rsidP="00EB5138">
      <w:pPr>
        <w:pStyle w:val="BodyText-GREEN"/>
        <w:rPr>
          <w:b/>
          <w:color w:val="auto"/>
        </w:rPr>
      </w:pPr>
      <w:r w:rsidRPr="00345CCE">
        <w:rPr>
          <w:b/>
          <w:color w:val="auto"/>
        </w:rPr>
        <w:t>Semi-automated visual density</w:t>
      </w:r>
    </w:p>
    <w:p w14:paraId="3463C7DC" w14:textId="09DAF204" w:rsidR="001135B8" w:rsidRDefault="001135B8" w:rsidP="00986DF0">
      <w:pPr>
        <w:pStyle w:val="BodyText"/>
      </w:pPr>
      <w:r w:rsidRPr="00EB5138">
        <w:t xml:space="preserve">Due to the limitations of visual density assessment, less subjective and more quantitative measures </w:t>
      </w:r>
      <w:r w:rsidR="001778B4">
        <w:t>are being developed</w:t>
      </w:r>
      <w:r w:rsidRPr="00EB5138">
        <w:t xml:space="preserve">. </w:t>
      </w:r>
      <w:r w:rsidR="00564149">
        <w:t xml:space="preserve">One alternative </w:t>
      </w:r>
      <w:r w:rsidR="001778B4">
        <w:t xml:space="preserve">to visual density systems </w:t>
      </w:r>
      <w:r w:rsidR="00564149">
        <w:t xml:space="preserve">is </w:t>
      </w:r>
      <w:r w:rsidRPr="00EB5138">
        <w:t>Cumulus</w:t>
      </w:r>
      <w:r w:rsidR="00564149">
        <w:t>,</w:t>
      </w:r>
      <w:r w:rsidRPr="00EB5138">
        <w:t xml:space="preserve"> a semi-automated computerised measure of dense </w:t>
      </w:r>
      <w:r w:rsidR="00400A40">
        <w:t xml:space="preserve">tissue </w:t>
      </w:r>
      <w:r w:rsidRPr="00EB5138">
        <w:t>area. Cumulus uses reader-based</w:t>
      </w:r>
      <w:r w:rsidR="00A10939" w:rsidRPr="00EB5138">
        <w:t xml:space="preserve"> </w:t>
      </w:r>
      <w:r w:rsidRPr="00EB5138">
        <w:t xml:space="preserve">thresholds to deﬁne the breast edge and regions of density on a digital or digitised mammogram. </w:t>
      </w:r>
      <w:r w:rsidR="001778B4">
        <w:t xml:space="preserve">It </w:t>
      </w:r>
      <w:r w:rsidR="001778B4" w:rsidRPr="00EB5138">
        <w:t xml:space="preserve">still requires the </w:t>
      </w:r>
      <w:r w:rsidR="001778B4">
        <w:t>reader</w:t>
      </w:r>
      <w:r w:rsidR="001778B4" w:rsidRPr="00EB5138">
        <w:t xml:space="preserve"> to select the area they consider dense</w:t>
      </w:r>
      <w:r w:rsidR="001778B4">
        <w:t>.</w:t>
      </w:r>
      <w:r w:rsidR="001778B4" w:rsidRPr="00EB5138">
        <w:t xml:space="preserve"> </w:t>
      </w:r>
      <w:r w:rsidR="00564149">
        <w:rPr>
          <w:color w:val="000000"/>
          <w:shd w:val="clear" w:color="auto" w:fill="FFFFFF"/>
        </w:rPr>
        <w:t xml:space="preserve">Other </w:t>
      </w:r>
      <w:r w:rsidR="007C1D27" w:rsidRPr="00EB5138">
        <w:rPr>
          <w:color w:val="000000"/>
          <w:shd w:val="clear" w:color="auto" w:fill="FFFFFF"/>
        </w:rPr>
        <w:t>measures are also obtained</w:t>
      </w:r>
      <w:r w:rsidR="00564149">
        <w:rPr>
          <w:color w:val="000000"/>
          <w:shd w:val="clear" w:color="auto" w:fill="FFFFFF"/>
        </w:rPr>
        <w:t xml:space="preserve">, including </w:t>
      </w:r>
      <w:r w:rsidR="007C1D27" w:rsidRPr="00EB5138">
        <w:rPr>
          <w:color w:val="000000"/>
          <w:shd w:val="clear" w:color="auto" w:fill="FFFFFF"/>
        </w:rPr>
        <w:t>the total breast area, the non</w:t>
      </w:r>
      <w:r w:rsidR="00EB5138">
        <w:rPr>
          <w:color w:val="000000"/>
          <w:shd w:val="clear" w:color="auto" w:fill="FFFFFF"/>
        </w:rPr>
        <w:t>-</w:t>
      </w:r>
      <w:r w:rsidR="007C1D27" w:rsidRPr="00EB5138">
        <w:rPr>
          <w:color w:val="000000"/>
          <w:shd w:val="clear" w:color="auto" w:fill="FFFFFF"/>
        </w:rPr>
        <w:t xml:space="preserve">dense area and the dense area. The </w:t>
      </w:r>
      <w:r w:rsidR="00893AA8">
        <w:rPr>
          <w:color w:val="000000"/>
          <w:shd w:val="clear" w:color="auto" w:fill="FFFFFF"/>
        </w:rPr>
        <w:t>percent density</w:t>
      </w:r>
      <w:r w:rsidR="007C1D27" w:rsidRPr="00EB5138">
        <w:rPr>
          <w:color w:val="000000"/>
          <w:shd w:val="clear" w:color="auto" w:fill="FFFFFF"/>
        </w:rPr>
        <w:t xml:space="preserve"> is calculated by dividing the dense area by the total breast area. </w:t>
      </w:r>
      <w:r w:rsidRPr="00EB5138">
        <w:t xml:space="preserve">The use of </w:t>
      </w:r>
      <w:r w:rsidR="003D6020">
        <w:t>C</w:t>
      </w:r>
      <w:r w:rsidRPr="00EB5138">
        <w:t>umulus is likely to increase as more digital studies are reported (Destounis</w:t>
      </w:r>
      <w:r w:rsidR="00601CC8">
        <w:t xml:space="preserve"> et al.</w:t>
      </w:r>
      <w:r w:rsidRPr="00EB5138">
        <w:t>, 2017</w:t>
      </w:r>
      <w:r w:rsidR="00601CC8">
        <w:t>a</w:t>
      </w:r>
      <w:r w:rsidRPr="00EB5138">
        <w:t>)</w:t>
      </w:r>
      <w:r w:rsidR="00220584">
        <w:t>.</w:t>
      </w:r>
    </w:p>
    <w:p w14:paraId="07682711" w14:textId="4A80B86F" w:rsidR="00BC3718" w:rsidRDefault="00FC1A58" w:rsidP="00986DF0">
      <w:pPr>
        <w:pStyle w:val="BodyText"/>
      </w:pPr>
      <w:r>
        <w:t>A study by Winkel et al. (2015) compared the inter-r</w:t>
      </w:r>
      <w:r w:rsidR="00522F1A">
        <w:t>ater</w:t>
      </w:r>
      <w:r>
        <w:t xml:space="preserve"> reliability of breast density estimates from visual density assessment methods (</w:t>
      </w:r>
      <w:r w:rsidR="00275D65">
        <w:t>BIRADS</w:t>
      </w:r>
      <w:r>
        <w:t xml:space="preserve"> and Tabár) with a semi-automated area-based percent mammographic density method (PMD). In this study, two readers (one senior radiologist and one resident radiologist) assessed breast density with each assessment method, usi</w:t>
      </w:r>
      <w:r w:rsidR="00C4582F">
        <w:t>ng digit</w:t>
      </w:r>
      <w:r w:rsidR="001778B4">
        <w:t>al</w:t>
      </w:r>
      <w:r w:rsidR="00C4582F">
        <w:t xml:space="preserve"> mammographic images. The sample was obtained from a cohort of 14,736 women who attended biennial routine screening in Copenhagen, Denmark, in 2007, and who had a negative screening mammogram; women were followed up until 2010. In total, 122 women who developed cancer </w:t>
      </w:r>
      <w:r w:rsidR="00C4582F">
        <w:lastRenderedPageBreak/>
        <w:t xml:space="preserve">during the study period and 262 matched controls were identified for the study. Good levels of absolute agreement were found when categorising breast density using </w:t>
      </w:r>
      <w:r w:rsidR="00275D65">
        <w:t>BIRADS</w:t>
      </w:r>
      <w:r w:rsidR="00C4582F">
        <w:t xml:space="preserve"> (77.3%) and Tabár (74.7%)</w:t>
      </w:r>
      <w:r w:rsidR="00657994">
        <w:t xml:space="preserve">, with kappa values also suggesting substantial inter-rater agreement (0.68 and 0.65 for </w:t>
      </w:r>
      <w:r w:rsidR="00275D65">
        <w:t>BIRADS</w:t>
      </w:r>
      <w:r w:rsidR="00657994">
        <w:t xml:space="preserve"> and Tabár, respectively). A high level of agreement was also found using PMD (</w:t>
      </w:r>
      <w:r w:rsidR="00657994">
        <w:rPr>
          <w:i/>
        </w:rPr>
        <w:t xml:space="preserve">r </w:t>
      </w:r>
      <w:r w:rsidR="00657994">
        <w:t xml:space="preserve">= 0.94, ICC = 0.93), with at least 95% of the differences being within the range of one </w:t>
      </w:r>
      <w:r w:rsidR="00893AA8">
        <w:t>percent density</w:t>
      </w:r>
      <w:r w:rsidR="00657994">
        <w:t xml:space="preserve"> quartile. </w:t>
      </w:r>
    </w:p>
    <w:p w14:paraId="492D956C" w14:textId="2732FD3D" w:rsidR="00FC1A58" w:rsidRPr="00657994" w:rsidRDefault="00657994" w:rsidP="00986DF0">
      <w:pPr>
        <w:pStyle w:val="BodyText"/>
      </w:pPr>
      <w:r>
        <w:t>No significant difference in inter-</w:t>
      </w:r>
      <w:r w:rsidR="00522F1A">
        <w:t>rate</w:t>
      </w:r>
      <w:r>
        <w:t xml:space="preserve">r agreement was found for controls versus cases. There were, however, differences in the trends in disagreements between readers depending on the method used. For </w:t>
      </w:r>
      <w:r w:rsidR="00275D65">
        <w:t>BIRADS</w:t>
      </w:r>
      <w:r>
        <w:t>, disagreement was most pronounced for the borderline category 2 and 3 cases, with consistency the lowest in category 3 (62%)</w:t>
      </w:r>
      <w:r w:rsidR="00BC3718">
        <w:t xml:space="preserve">; this finding aligns with results from Melnikow et al. (2016). For Tabár, discrepancies were most common for the borderline PI/PIV cases, and systematic disagreements were also found when classifying women as PI or PII. Disagreement levels were low using the PMD method but there were some differences in results caused by variations in what was considered to be dense area, particularly in the less dense breasts. Overall, the authors concluded that </w:t>
      </w:r>
      <w:r w:rsidR="005C0C26">
        <w:t>fully-automated assessment methods were needed to overcome the subjectivity of manual methods, as estimates of the association between breast density and risk of developing breast cancer are likely to vary across density assessment approaches.</w:t>
      </w:r>
    </w:p>
    <w:p w14:paraId="72F70920" w14:textId="56B78EC6" w:rsidR="001135B8" w:rsidRPr="00345CCE" w:rsidRDefault="001135B8" w:rsidP="00EB5138">
      <w:pPr>
        <w:pStyle w:val="BodyText-GREEN"/>
        <w:rPr>
          <w:b/>
          <w:color w:val="auto"/>
        </w:rPr>
      </w:pPr>
      <w:r w:rsidRPr="00345CCE">
        <w:rPr>
          <w:b/>
          <w:color w:val="auto"/>
        </w:rPr>
        <w:t xml:space="preserve">Area </w:t>
      </w:r>
      <w:r w:rsidR="00436B33" w:rsidRPr="00345CCE">
        <w:rPr>
          <w:b/>
          <w:color w:val="auto"/>
        </w:rPr>
        <w:t>m</w:t>
      </w:r>
      <w:r w:rsidRPr="00345CCE">
        <w:rPr>
          <w:b/>
          <w:color w:val="auto"/>
        </w:rPr>
        <w:t>ethods</w:t>
      </w:r>
    </w:p>
    <w:p w14:paraId="5EAE017B" w14:textId="60C42862" w:rsidR="00FF61D8" w:rsidRDefault="001135B8" w:rsidP="00A12E62">
      <w:pPr>
        <w:pStyle w:val="BodyText"/>
        <w:rPr>
          <w:b/>
          <w:color w:val="77B800" w:themeColor="background2"/>
        </w:rPr>
      </w:pPr>
      <w:r w:rsidRPr="00EB5138">
        <w:t>Many groups have developed automated area-based methods of breast density assessment, effectively taking out the ‘reader’ component of the Cumulus metho</w:t>
      </w:r>
      <w:r w:rsidR="00A10939" w:rsidRPr="00EB5138">
        <w:t>ds</w:t>
      </w:r>
      <w:r w:rsidR="00EB5138">
        <w:t xml:space="preserve">; however, these methods </w:t>
      </w:r>
      <w:r w:rsidR="00A10939" w:rsidRPr="00EB5138">
        <w:t>are predominantly used in research</w:t>
      </w:r>
      <w:r w:rsidR="00564149">
        <w:t xml:space="preserve"> rather than clinical practice</w:t>
      </w:r>
      <w:r w:rsidR="00A10939" w:rsidRPr="00EB5138">
        <w:t>. One example is iReveal®</w:t>
      </w:r>
      <w:r w:rsidR="00EB5138">
        <w:t>, which</w:t>
      </w:r>
      <w:r w:rsidR="00A10939" w:rsidRPr="00EB5138">
        <w:t xml:space="preserve"> uses commercially-available automated algorithms that compute area density and then classify density into </w:t>
      </w:r>
      <w:r w:rsidR="00275D65">
        <w:t>BIRADS</w:t>
      </w:r>
      <w:r w:rsidR="00A10939" w:rsidRPr="00EB5138">
        <w:t>-analogous categories (iCAD, 2018)</w:t>
      </w:r>
      <w:r w:rsidR="00564149">
        <w:t>.</w:t>
      </w:r>
    </w:p>
    <w:p w14:paraId="7282B99F" w14:textId="0160190F" w:rsidR="00A10939" w:rsidRPr="00345CCE" w:rsidRDefault="00A10939" w:rsidP="00564149">
      <w:pPr>
        <w:pStyle w:val="BodyText-GREEN"/>
        <w:rPr>
          <w:b/>
          <w:color w:val="auto"/>
        </w:rPr>
      </w:pPr>
      <w:r w:rsidRPr="00345CCE">
        <w:rPr>
          <w:b/>
          <w:color w:val="auto"/>
        </w:rPr>
        <w:t>Volumetric methods</w:t>
      </w:r>
    </w:p>
    <w:p w14:paraId="460457F1" w14:textId="2B3C00D8" w:rsidR="00CA5D0D" w:rsidRDefault="00A10939" w:rsidP="00CA5D0D">
      <w:pPr>
        <w:pStyle w:val="BodyText"/>
      </w:pPr>
      <w:r w:rsidRPr="00EB5138">
        <w:t xml:space="preserve">More recent methods </w:t>
      </w:r>
      <w:r w:rsidR="003A536A" w:rsidRPr="00EB5138">
        <w:t>have harnessed the use of digital mammography to automatically record p</w:t>
      </w:r>
      <w:r w:rsidR="00040BE8" w:rsidRPr="00EB5138">
        <w:t>lanar and volumetric measure</w:t>
      </w:r>
      <w:r w:rsidR="00564149">
        <w:t>.</w:t>
      </w:r>
      <w:r w:rsidR="003A536A" w:rsidRPr="00EB5138">
        <w:t xml:space="preserve"> </w:t>
      </w:r>
      <w:r w:rsidR="00564149">
        <w:t>E</w:t>
      </w:r>
      <w:r w:rsidR="003A536A" w:rsidRPr="00EB5138">
        <w:t>xample</w:t>
      </w:r>
      <w:r w:rsidR="00040BE8" w:rsidRPr="00EB5138">
        <w:t>s</w:t>
      </w:r>
      <w:r w:rsidR="003A536A" w:rsidRPr="00EB5138">
        <w:t xml:space="preserve"> of this </w:t>
      </w:r>
      <w:r w:rsidR="00564149">
        <w:t>include</w:t>
      </w:r>
      <w:r w:rsidR="003A536A" w:rsidRPr="00EB5138">
        <w:t xml:space="preserve"> </w:t>
      </w:r>
      <w:r w:rsidR="00040BE8" w:rsidRPr="00740351">
        <w:t>Volpara</w:t>
      </w:r>
      <w:r w:rsidR="00040BE8" w:rsidRPr="00EB5138">
        <w:rPr>
          <w:i/>
        </w:rPr>
        <w:t xml:space="preserve"> </w:t>
      </w:r>
      <w:r w:rsidR="00040BE8" w:rsidRPr="00564149">
        <w:t>and</w:t>
      </w:r>
      <w:r w:rsidR="00040BE8" w:rsidRPr="00EB5138">
        <w:rPr>
          <w:i/>
        </w:rPr>
        <w:t xml:space="preserve"> </w:t>
      </w:r>
      <w:r w:rsidR="00040BE8" w:rsidRPr="00740351">
        <w:t>Quantra</w:t>
      </w:r>
      <w:r w:rsidR="003A536A" w:rsidRPr="00740351">
        <w:t>.</w:t>
      </w:r>
      <w:r w:rsidR="003A536A" w:rsidRPr="00EB5138">
        <w:t xml:space="preserve"> These methods are more efficient and reliable than the conventional methods listed above because they take less time to report and show improved </w:t>
      </w:r>
      <w:r w:rsidR="006A2335" w:rsidRPr="00EB5138">
        <w:t>classification</w:t>
      </w:r>
      <w:r w:rsidR="003A536A" w:rsidRPr="00EB5138">
        <w:t xml:space="preserve"> outcomes</w:t>
      </w:r>
      <w:r w:rsidR="00564149">
        <w:t xml:space="preserve"> </w:t>
      </w:r>
      <w:r w:rsidR="00564149" w:rsidRPr="00EB5138">
        <w:t>(Huo et al., 2014)</w:t>
      </w:r>
      <w:r w:rsidR="003A536A" w:rsidRPr="00EB5138">
        <w:t>.</w:t>
      </w:r>
      <w:r w:rsidR="003A536A">
        <w:t xml:space="preserve"> </w:t>
      </w:r>
      <w:bookmarkStart w:id="47" w:name="_Toc507914426"/>
    </w:p>
    <w:p w14:paraId="6C2C0050" w14:textId="5B6C0E46" w:rsidR="00740351" w:rsidRDefault="00B5049D" w:rsidP="00CA5D0D">
      <w:pPr>
        <w:pStyle w:val="BodyText"/>
      </w:pPr>
      <w:r>
        <w:t>A recent study by Sartor et al. (2016) utilised data from the Malmö Breast Tomosynthesis Screening Trial to assess the consistency of mammographic breast density ratings when made manually by radiologists (</w:t>
      </w:r>
      <w:r w:rsidR="00275D65">
        <w:t>BIRADS</w:t>
      </w:r>
      <w:r>
        <w:t xml:space="preserve"> 4</w:t>
      </w:r>
      <w:r w:rsidRPr="004F0BEF">
        <w:rPr>
          <w:vertAlign w:val="superscript"/>
        </w:rPr>
        <w:t>th</w:t>
      </w:r>
      <w:r>
        <w:t xml:space="preserve"> Edition, categories 1-4) compared with a fully-automated volumetric assessment method (Volpara). </w:t>
      </w:r>
      <w:r w:rsidR="001778B4">
        <w:t xml:space="preserve">FFDM </w:t>
      </w:r>
      <w:r>
        <w:t xml:space="preserve">data from 8426 women (mean age = 58 years) was prospectively assessed by five radiologists using </w:t>
      </w:r>
      <w:r w:rsidR="00275D65">
        <w:t>BIRADS</w:t>
      </w:r>
      <w:r>
        <w:t xml:space="preserve"> and then retrospectively assessed using Volpara. Women with known breast implants were excluded from the study due to known difficulties in measuring volumetric breast density in these women. Results showed a good level of consistency between radiologists’ </w:t>
      </w:r>
      <w:r w:rsidR="00275D65">
        <w:t>BIRADS</w:t>
      </w:r>
      <w:r>
        <w:t xml:space="preserve"> ratings (ratings agreed on 80.9% of cases; </w:t>
      </w:r>
      <w:r w:rsidR="00657994">
        <w:t xml:space="preserve">weighted </w:t>
      </w:r>
      <w:r>
        <w:t xml:space="preserve">kappa 0.77, 95% CI 0.76-0.79). There was a pattern of increasing mean percentage volumetric density by </w:t>
      </w:r>
      <w:r w:rsidR="00275D65">
        <w:t>BIRADS</w:t>
      </w:r>
      <w:r>
        <w:t xml:space="preserve"> categories (4.1%, 5.7%, 10.9% and 22.1%, for </w:t>
      </w:r>
      <w:r w:rsidR="00275D65">
        <w:t>BIRADS</w:t>
      </w:r>
      <w:r>
        <w:t xml:space="preserve"> categories 1,2,3 and 4, respectively); however, there was a spread of percentage densities across each </w:t>
      </w:r>
      <w:r w:rsidR="00275D65">
        <w:t>BIRADS</w:t>
      </w:r>
      <w:r>
        <w:t xml:space="preserve"> category, leading to moderate overall levels of agreement between the two assessment methods (57.1% observed agreement; kappa 0.55, 95%CI 0.53-0.56). Notably, levels of agreement were highest for the densest breasts (</w:t>
      </w:r>
      <w:r w:rsidR="00275D65">
        <w:t>BIRADS</w:t>
      </w:r>
      <w:r>
        <w:t xml:space="preserve"> 4; 85.1% observed agreement), with </w:t>
      </w:r>
      <w:r w:rsidR="001778B4">
        <w:t xml:space="preserve">much lower but consistent </w:t>
      </w:r>
      <w:r>
        <w:t xml:space="preserve">levels of agreement for the remaining categories (60.9%, 50.2% and 57.3% for </w:t>
      </w:r>
      <w:r w:rsidR="00275D65">
        <w:t>BIRADS</w:t>
      </w:r>
      <w:r>
        <w:t xml:space="preserve"> categories 1, 2 and 3, respectively)</w:t>
      </w:r>
      <w:r w:rsidR="001778B4">
        <w:t>. T</w:t>
      </w:r>
      <w:r w:rsidR="00BC3718">
        <w:t>his replicates the finding that less dense breasts are harder to consistently categorise, as reported in Winkel et al. (2015)</w:t>
      </w:r>
      <w:r>
        <w:t>. The authors concluded that radiologists evaluate breast density differently to automated systems (with Volpara being more likely to categorise women in the densest breast category than radiologists)</w:t>
      </w:r>
      <w:r w:rsidR="001778B4">
        <w:t>;</w:t>
      </w:r>
      <w:r>
        <w:t xml:space="preserve"> however further studies are needed to assess whether either method can more accurately predict breast cancer risk.</w:t>
      </w:r>
      <w:r w:rsidR="008D0EF7">
        <w:t xml:space="preserve"> </w:t>
      </w:r>
      <w:bookmarkStart w:id="48" w:name="_Toc507976151"/>
    </w:p>
    <w:p w14:paraId="61E8D45E" w14:textId="37F925CD" w:rsidR="003A536A" w:rsidRDefault="003A536A" w:rsidP="00740351">
      <w:pPr>
        <w:pStyle w:val="NumberedHeading3"/>
      </w:pPr>
      <w:bookmarkStart w:id="49" w:name="_Toc518922200"/>
      <w:r>
        <w:lastRenderedPageBreak/>
        <w:t>What does breast density mean for the detection of breast cancer?</w:t>
      </w:r>
      <w:bookmarkEnd w:id="47"/>
      <w:bookmarkEnd w:id="48"/>
      <w:bookmarkEnd w:id="49"/>
    </w:p>
    <w:p w14:paraId="3BB7D90F" w14:textId="38B3AE85" w:rsidR="00B81D9A" w:rsidRDefault="00A251B9" w:rsidP="00CD5890">
      <w:pPr>
        <w:pStyle w:val="BodyText"/>
      </w:pPr>
      <w:r>
        <w:t xml:space="preserve">Current evidence suggests that </w:t>
      </w:r>
      <w:r w:rsidR="00160E62">
        <w:t>breast density is associated with increased risk of breast cancer (as discussed in section 3.2). That said, i</w:t>
      </w:r>
      <w:r w:rsidR="00CD5890" w:rsidRPr="00C9279C">
        <w:t>t is difﬁcult to make co</w:t>
      </w:r>
      <w:r w:rsidR="002332DB" w:rsidRPr="00C9279C">
        <w:t xml:space="preserve">nclusions about how </w:t>
      </w:r>
      <w:r w:rsidR="00CD39FF">
        <w:t xml:space="preserve">the </w:t>
      </w:r>
      <w:r w:rsidR="002332DB" w:rsidRPr="00C9279C">
        <w:t xml:space="preserve">density classification system </w:t>
      </w:r>
      <w:r w:rsidR="00CD5890" w:rsidRPr="00C9279C">
        <w:t>affects the association between density and breast ca</w:t>
      </w:r>
      <w:r w:rsidR="002332DB" w:rsidRPr="00C9279C">
        <w:t>ncer risk</w:t>
      </w:r>
      <w:r w:rsidR="00CD5890" w:rsidRPr="00C9279C">
        <w:t>. De</w:t>
      </w:r>
      <w:r w:rsidR="005F5FFB">
        <w:t>s</w:t>
      </w:r>
      <w:r w:rsidR="00CD5890" w:rsidRPr="00C9279C">
        <w:t>tounis</w:t>
      </w:r>
      <w:r w:rsidR="00601CC8">
        <w:t xml:space="preserve"> and colleagues</w:t>
      </w:r>
      <w:r w:rsidR="00C9279C">
        <w:t xml:space="preserve"> (</w:t>
      </w:r>
      <w:r w:rsidR="00CD5890" w:rsidRPr="00C9279C">
        <w:t>2017</w:t>
      </w:r>
      <w:r w:rsidR="00601CC8">
        <w:t>a</w:t>
      </w:r>
      <w:r w:rsidR="00C9279C">
        <w:t>)</w:t>
      </w:r>
      <w:r w:rsidR="00CD5890" w:rsidRPr="00C9279C">
        <w:t xml:space="preserve"> described </w:t>
      </w:r>
      <w:r w:rsidR="00C9279C">
        <w:t xml:space="preserve">how </w:t>
      </w:r>
      <w:r w:rsidR="002332DB" w:rsidRPr="00C9279C">
        <w:t xml:space="preserve">some </w:t>
      </w:r>
      <w:r w:rsidR="00CD5890" w:rsidRPr="00C9279C">
        <w:t>studies have applied multiple breast density measurement methods on the same cohort of women, allowing for direct comparisons to be made. Researchers involved in the Predicting Risk of Cancer at Screeni</w:t>
      </w:r>
      <w:r w:rsidR="002332DB" w:rsidRPr="00C9279C">
        <w:t xml:space="preserve">ng (PROCAS) study </w:t>
      </w:r>
      <w:r w:rsidR="00CD5890" w:rsidRPr="00C9279C">
        <w:t>found visual assessment methods to have a greater association with cancer risk, both for screen-detected as well as future cancers</w:t>
      </w:r>
      <w:r w:rsidR="002332DB" w:rsidRPr="00C9279C">
        <w:t xml:space="preserve"> </w:t>
      </w:r>
      <w:r w:rsidR="00040BE8" w:rsidRPr="00C9279C">
        <w:t>(Ast</w:t>
      </w:r>
      <w:r w:rsidR="002332DB" w:rsidRPr="00C9279C">
        <w:t>l</w:t>
      </w:r>
      <w:r w:rsidR="00040BE8" w:rsidRPr="00C9279C">
        <w:t>e</w:t>
      </w:r>
      <w:r w:rsidR="002332DB" w:rsidRPr="00C9279C">
        <w:t>y et al., 2016</w:t>
      </w:r>
      <w:r w:rsidR="00040BE8" w:rsidRPr="00C9279C">
        <w:t>)</w:t>
      </w:r>
      <w:r w:rsidR="00B81D9A">
        <w:t>. That said, an update of this study (Astley et al., 2018) concluded that visual density assessment is impractical for population-based screening, and that fully-automated assessment methods (including Volpara and Densitas) provide a robust and practical alternative method of risk stratification</w:t>
      </w:r>
      <w:r w:rsidR="00CD5890" w:rsidRPr="00C9279C">
        <w:t>. Similarly, researchers at the Mayo clinic</w:t>
      </w:r>
      <w:r w:rsidR="00040BE8" w:rsidRPr="00C9279C">
        <w:t xml:space="preserve"> (Brandt et al., 201</w:t>
      </w:r>
      <w:r w:rsidR="00B25C9B">
        <w:t>6</w:t>
      </w:r>
      <w:r w:rsidR="00040BE8" w:rsidRPr="00C9279C">
        <w:t>) investigated FFDM examinations from one of four sites within the San Francisco Mammography Registry. The study found moderate agreement when comparing visual assessment</w:t>
      </w:r>
      <w:r w:rsidR="00C9279C">
        <w:t xml:space="preserve"> </w:t>
      </w:r>
      <w:r w:rsidR="00191F76">
        <w:t xml:space="preserve">with automated methods (Volpara and Quantra) </w:t>
      </w:r>
      <w:r w:rsidR="00B23F20">
        <w:t xml:space="preserve">for </w:t>
      </w:r>
      <w:r w:rsidR="00275D65">
        <w:t>BIRADS</w:t>
      </w:r>
      <w:r w:rsidR="00A64650">
        <w:t xml:space="preserve"> categorisation</w:t>
      </w:r>
      <w:r w:rsidR="00191F76">
        <w:t xml:space="preserve">, </w:t>
      </w:r>
      <w:r w:rsidR="00040BE8" w:rsidRPr="00C9279C">
        <w:t>but found differences of up to 14% in dense tissue classiﬁcation</w:t>
      </w:r>
      <w:r w:rsidR="00C9279C">
        <w:t>.</w:t>
      </w:r>
      <w:r w:rsidR="00040BE8" w:rsidRPr="00C9279C">
        <w:t xml:space="preserve"> They also </w:t>
      </w:r>
      <w:r w:rsidR="00CD5890" w:rsidRPr="00C9279C">
        <w:t xml:space="preserve">found </w:t>
      </w:r>
      <w:r w:rsidR="00275D65">
        <w:t>BIRADS</w:t>
      </w:r>
      <w:r w:rsidR="00CD5890" w:rsidRPr="00C9279C">
        <w:t xml:space="preserve"> to produce a hig</w:t>
      </w:r>
      <w:r w:rsidR="00040BE8" w:rsidRPr="00C9279C">
        <w:t>her OR than volumetric methods. De</w:t>
      </w:r>
      <w:r w:rsidR="00C9279C">
        <w:t>sto</w:t>
      </w:r>
      <w:r w:rsidR="00040BE8" w:rsidRPr="00C9279C">
        <w:t>unis</w:t>
      </w:r>
      <w:r w:rsidR="00601CC8">
        <w:t xml:space="preserve"> (</w:t>
      </w:r>
      <w:r w:rsidR="00040BE8" w:rsidRPr="00C9279C">
        <w:t>2017</w:t>
      </w:r>
      <w:r w:rsidR="00601CC8">
        <w:t>a)</w:t>
      </w:r>
      <w:r w:rsidR="00040BE8" w:rsidRPr="00C9279C">
        <w:t xml:space="preserve"> </w:t>
      </w:r>
      <w:r w:rsidR="00846342">
        <w:t xml:space="preserve">noted </w:t>
      </w:r>
      <w:r w:rsidR="002332DB" w:rsidRPr="00C9279C">
        <w:t xml:space="preserve">that </w:t>
      </w:r>
      <w:r w:rsidR="00CD5890" w:rsidRPr="00C9279C">
        <w:t xml:space="preserve">such an association may not be </w:t>
      </w:r>
      <w:r w:rsidR="002332DB" w:rsidRPr="00C9279C">
        <w:t xml:space="preserve">replicated </w:t>
      </w:r>
      <w:r w:rsidR="00CD5890" w:rsidRPr="00C9279C">
        <w:t>with a different s</w:t>
      </w:r>
      <w:r w:rsidR="00040BE8" w:rsidRPr="00C9279C">
        <w:t xml:space="preserve">et of readers. </w:t>
      </w:r>
    </w:p>
    <w:p w14:paraId="34A0BCAA" w14:textId="7D42EFED" w:rsidR="00835806" w:rsidRDefault="00B81D9A" w:rsidP="00CD5890">
      <w:pPr>
        <w:pStyle w:val="BodyText"/>
      </w:pPr>
      <w:r>
        <w:t xml:space="preserve">Further case-control studies were identified that supported the use of fully-automated density assessment methods for risk stratification. </w:t>
      </w:r>
      <w:r w:rsidR="00835806">
        <w:t>Winkel et al. (2016) compared the association between different breast density or breast texture assessment methods (</w:t>
      </w:r>
      <w:r w:rsidR="00275D65">
        <w:t>BIRADS</w:t>
      </w:r>
      <w:r w:rsidR="00835806">
        <w:t>, Tabár, and a fully-automated mammographic texture resemblance marker [MTR]) and breast cancer risk. The study used data from a cohort of 14,736 women with a negative mammogram from a population-based screening programme conducted in Copenhagen, Denmark in 2007. Women were followed up for 12 months following screening, and a sample of women who ended up being diagnosed with invasive breast cancer were identified (</w:t>
      </w:r>
      <w:r w:rsidR="00835806">
        <w:rPr>
          <w:i/>
        </w:rPr>
        <w:t xml:space="preserve">n </w:t>
      </w:r>
      <w:r w:rsidR="00835806">
        <w:t>= 121 cases). Two controls for each case were then identified, matched using age and incidence density sampling (</w:t>
      </w:r>
      <w:r w:rsidR="00835806">
        <w:rPr>
          <w:i/>
        </w:rPr>
        <w:t>n</w:t>
      </w:r>
      <w:r w:rsidR="00835806">
        <w:t>=259 controls). Digit</w:t>
      </w:r>
      <w:r w:rsidR="00846342">
        <w:t>al</w:t>
      </w:r>
      <w:r w:rsidR="00835806">
        <w:t xml:space="preserve"> mammograms were assessed using each of the three assessment methods. Table 4 </w:t>
      </w:r>
      <w:r w:rsidR="00846342">
        <w:t>(</w:t>
      </w:r>
      <w:r w:rsidR="009F2AEC">
        <w:t>overleaf</w:t>
      </w:r>
      <w:r w:rsidR="00846342">
        <w:t>)</w:t>
      </w:r>
      <w:r w:rsidR="00835806">
        <w:t xml:space="preserve"> shows the results of the study. All assessment methods showed the risk of women with denser breasts developing cancer </w:t>
      </w:r>
      <w:r w:rsidR="00846342">
        <w:t>was</w:t>
      </w:r>
      <w:r w:rsidR="00835806">
        <w:t xml:space="preserve"> three to four times higher than the risk for women with less dense breasts, although many density categories (including the densest Tabár category) were not significantly different than the comparison group in terms of their associated risk. The different assessment methods did not differ significantly in terms of overall ability to predict </w:t>
      </w:r>
      <w:r w:rsidR="0043652B">
        <w:t>breast cancer cases</w:t>
      </w:r>
      <w:r w:rsidR="00835806">
        <w:t>, as measured by AUC values. The authors concluded that breast cancer risk may be attributable to different mammographic features captured by the three assessment methods. This study underscores the importance of consistency in assessment methods when evaluating the relationship between breast density and risk, and provides support for the use of automated assessment methods as a replacement for manual assessment approaches.</w:t>
      </w:r>
    </w:p>
    <w:p w14:paraId="55C6A340" w14:textId="77777777" w:rsidR="003B5292" w:rsidRDefault="003B5292">
      <w:pPr>
        <w:rPr>
          <w:b/>
          <w:bCs/>
          <w:color w:val="36424A" w:themeColor="accent1"/>
          <w:sz w:val="18"/>
          <w:szCs w:val="18"/>
        </w:rPr>
      </w:pPr>
      <w:r>
        <w:rPr>
          <w:b/>
          <w:bCs/>
          <w:color w:val="36424A" w:themeColor="accent1"/>
          <w:sz w:val="18"/>
          <w:szCs w:val="18"/>
        </w:rPr>
        <w:br w:type="page"/>
      </w:r>
    </w:p>
    <w:p w14:paraId="7513A664" w14:textId="646D724B" w:rsidR="00FC5EA1" w:rsidRPr="008E24A6" w:rsidRDefault="008E24A6" w:rsidP="008E24A6">
      <w:pPr>
        <w:pStyle w:val="BodyText"/>
        <w:spacing w:before="40" w:after="40"/>
        <w:rPr>
          <w:b/>
          <w:bCs/>
          <w:color w:val="36424A" w:themeColor="accent1"/>
          <w:sz w:val="18"/>
          <w:szCs w:val="18"/>
        </w:rPr>
      </w:pPr>
      <w:r w:rsidRPr="006F33EB">
        <w:rPr>
          <w:b/>
          <w:bCs/>
          <w:color w:val="36424A" w:themeColor="accent1"/>
          <w:sz w:val="18"/>
          <w:szCs w:val="18"/>
        </w:rPr>
        <w:lastRenderedPageBreak/>
        <w:t xml:space="preserve">Table </w:t>
      </w:r>
      <w:r>
        <w:rPr>
          <w:b/>
          <w:bCs/>
          <w:color w:val="36424A" w:themeColor="accent1"/>
          <w:sz w:val="18"/>
          <w:szCs w:val="18"/>
        </w:rPr>
        <w:t>4</w:t>
      </w:r>
      <w:r w:rsidRPr="006F33EB">
        <w:rPr>
          <w:b/>
          <w:bCs/>
          <w:color w:val="36424A" w:themeColor="accent1"/>
          <w:sz w:val="18"/>
          <w:szCs w:val="18"/>
        </w:rPr>
        <w:t xml:space="preserve">. </w:t>
      </w:r>
      <w:r>
        <w:rPr>
          <w:b/>
          <w:bCs/>
          <w:color w:val="36424A" w:themeColor="accent1"/>
          <w:sz w:val="18"/>
          <w:szCs w:val="18"/>
        </w:rPr>
        <w:t>Association between mammographic density assessment methods and breast cancer (modified from Winkel et al., 2016)</w:t>
      </w:r>
    </w:p>
    <w:tbl>
      <w:tblPr>
        <w:tblStyle w:val="ListTable4-Accent61"/>
        <w:tblW w:w="0" w:type="auto"/>
        <w:tblLook w:val="04A0" w:firstRow="1" w:lastRow="0" w:firstColumn="1" w:lastColumn="0" w:noHBand="0" w:noVBand="1"/>
        <w:tblDescription w:val="Association between mammographic density assessment and breast cancer (modified from Winkel et al., 2016)&#10;&#10;BI-RADS AUC (95%CI) was 0.63 (0.57-0.69)&#10;Assessment method :1&#10;Cases/controls (n): 30/107 &#10;OR (95%CI)1 (reference)&#10;p-value was N/A&#10;&#10;Assessment method: 2&#10;Cases/controls: 31/73&#10;OR (95%CI): 1.53 (0.85-2.75) &#10;p-value: NS&#10;&#10;Assessment method: 3&#10;Cases/controls (n): 37/57&#10;OR (95%CI): 2.37 (1.32-4.25) &#10;p-value: .004&#10; &#10;Assessment method: 4&#10;Cases/controls (n): 23/22&#10;OR (95%CI): 3.93 (1.88-8.20)&#10;p-value: &lt;.001 &#10;&#10;Tabár AUC(95%Cl) was 0.65 (0.59-0.71)&#10;Assessment method: PI&#10;Cases/controls (n): 38/96&#10;OR (95%CI): 1.81 (0.96-3.42) &#10;p-value: NS&#10;&#10;Assessment method: PII&#10;Cases/controls (n): 18/83&#10;OR (95%CI): 1 (reference)&#10;p-value: N/A&#10;&#10;Assessment method: PIII&#10;Cases/controls (n): 9/13&#10;OR (95%CI): 3.23 (1.20-8.75)&#10;p-value: .021&#10;&#10;Assessment method: PIV&#10;Cases/controls (n): 49/51 &#10;OR (95%CI): 4.40 (2.31-8.38) &#10;p-value: &lt;.001&#10; &#10;Assessment method: PV&#10;Cases/controls (n): 7/16&#10;OR (95%CI): 1.97 (0.70-5.57)&#10;p-value: NS&#10;&#10;MTR AUC(95%Cl) was 0.63 (0.57-0.69)&#10;Assessment method: Quartile 1&#10;Cases/controls (n): 19/65&#10;OR (95%CI): 1 (reference)&#10;p-value: N/A&#10;&#10;Assessment method: Quartile 2&#10;Cases/controls (n): 24/65&#10;OR (95%CI): 1.27 (0.63-2.54)&#10;p-value: NS&#10;&#10;Assessment method: Quartile 3&#10;Cases/controls (n): 21/65&#10;OR (95%CI): 1.11 (0.54-2.25) &#10;p-value: NS&#10;&#10;Assessment method: Quartile 4&#10;Cases/controls (n): 57/64&#10;OR (95%CI): 3.04 (1.63-5.67)&#10;p-value: &lt;.001 &#10;"/>
      </w:tblPr>
      <w:tblGrid>
        <w:gridCol w:w="1953"/>
        <w:gridCol w:w="2077"/>
        <w:gridCol w:w="1826"/>
        <w:gridCol w:w="1498"/>
        <w:gridCol w:w="1826"/>
      </w:tblGrid>
      <w:tr w:rsidR="00345CCE" w:rsidRPr="00345CCE" w14:paraId="1D2CE49E" w14:textId="77777777" w:rsidTr="00172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3" w:type="dxa"/>
          </w:tcPr>
          <w:p w14:paraId="0454273B" w14:textId="2ED74325" w:rsidR="00FC5EA1" w:rsidRPr="00345CCE" w:rsidRDefault="00546E0C" w:rsidP="00FC5EA1">
            <w:pPr>
              <w:pStyle w:val="BodyText"/>
              <w:jc w:val="center"/>
              <w:rPr>
                <w:rFonts w:asciiTheme="majorHAnsi" w:hAnsiTheme="majorHAnsi" w:cstheme="majorHAnsi"/>
                <w:color w:val="auto"/>
                <w:sz w:val="18"/>
                <w:szCs w:val="18"/>
              </w:rPr>
            </w:pPr>
            <w:r w:rsidRPr="00345CCE">
              <w:rPr>
                <w:rFonts w:asciiTheme="majorHAnsi" w:hAnsiTheme="majorHAnsi" w:cstheme="majorHAnsi"/>
                <w:color w:val="auto"/>
                <w:sz w:val="18"/>
                <w:szCs w:val="18"/>
              </w:rPr>
              <w:t>Assessment method</w:t>
            </w:r>
          </w:p>
        </w:tc>
        <w:tc>
          <w:tcPr>
            <w:tcW w:w="2077" w:type="dxa"/>
          </w:tcPr>
          <w:p w14:paraId="2B71BD1B" w14:textId="4BC935BD" w:rsidR="00FC5EA1" w:rsidRPr="00345CCE" w:rsidRDefault="00FC5EA1" w:rsidP="00FC5EA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345CCE">
              <w:rPr>
                <w:rFonts w:asciiTheme="majorHAnsi" w:hAnsiTheme="majorHAnsi" w:cstheme="majorHAnsi"/>
                <w:color w:val="auto"/>
                <w:sz w:val="18"/>
                <w:szCs w:val="18"/>
              </w:rPr>
              <w:t>Cases/controls (</w:t>
            </w:r>
            <w:r w:rsidRPr="00345CCE">
              <w:rPr>
                <w:rFonts w:asciiTheme="majorHAnsi" w:hAnsiTheme="majorHAnsi" w:cstheme="majorHAnsi"/>
                <w:i/>
                <w:color w:val="auto"/>
                <w:sz w:val="18"/>
                <w:szCs w:val="18"/>
              </w:rPr>
              <w:t>n</w:t>
            </w:r>
            <w:r w:rsidRPr="00345CCE">
              <w:rPr>
                <w:rFonts w:asciiTheme="majorHAnsi" w:hAnsiTheme="majorHAnsi" w:cstheme="majorHAnsi"/>
                <w:color w:val="auto"/>
                <w:sz w:val="18"/>
                <w:szCs w:val="18"/>
              </w:rPr>
              <w:t>)</w:t>
            </w:r>
          </w:p>
        </w:tc>
        <w:tc>
          <w:tcPr>
            <w:tcW w:w="1826" w:type="dxa"/>
          </w:tcPr>
          <w:p w14:paraId="457070E7" w14:textId="07A818EC" w:rsidR="00FC5EA1" w:rsidRPr="00345CCE" w:rsidRDefault="00FC5EA1" w:rsidP="00FC5EA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345CCE">
              <w:rPr>
                <w:rFonts w:asciiTheme="majorHAnsi" w:hAnsiTheme="majorHAnsi" w:cstheme="majorHAnsi"/>
                <w:color w:val="auto"/>
                <w:sz w:val="18"/>
                <w:szCs w:val="18"/>
              </w:rPr>
              <w:t>OR (95%CI)</w:t>
            </w:r>
          </w:p>
        </w:tc>
        <w:tc>
          <w:tcPr>
            <w:tcW w:w="1498" w:type="dxa"/>
          </w:tcPr>
          <w:p w14:paraId="3202A327" w14:textId="076CE204" w:rsidR="00FC5EA1" w:rsidRPr="00345CCE" w:rsidRDefault="00FC5EA1" w:rsidP="00FC5EA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345CCE">
              <w:rPr>
                <w:rFonts w:asciiTheme="majorHAnsi" w:hAnsiTheme="majorHAnsi" w:cstheme="majorHAnsi"/>
                <w:i/>
                <w:color w:val="auto"/>
                <w:sz w:val="18"/>
                <w:szCs w:val="18"/>
              </w:rPr>
              <w:t>p</w:t>
            </w:r>
            <w:r w:rsidRPr="00345CCE">
              <w:rPr>
                <w:rFonts w:asciiTheme="majorHAnsi" w:hAnsiTheme="majorHAnsi" w:cstheme="majorHAnsi"/>
                <w:color w:val="auto"/>
                <w:sz w:val="18"/>
                <w:szCs w:val="18"/>
              </w:rPr>
              <w:t>-value</w:t>
            </w:r>
          </w:p>
        </w:tc>
        <w:tc>
          <w:tcPr>
            <w:tcW w:w="1826" w:type="dxa"/>
          </w:tcPr>
          <w:p w14:paraId="05A81B53" w14:textId="76B2520D" w:rsidR="00FC5EA1" w:rsidRPr="00345CCE" w:rsidRDefault="00FC5EA1" w:rsidP="00FC5EA1">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345CCE">
              <w:rPr>
                <w:rFonts w:asciiTheme="majorHAnsi" w:hAnsiTheme="majorHAnsi" w:cstheme="majorHAnsi"/>
                <w:color w:val="auto"/>
                <w:sz w:val="18"/>
                <w:szCs w:val="18"/>
              </w:rPr>
              <w:t>AUC (95%CI)</w:t>
            </w:r>
          </w:p>
        </w:tc>
      </w:tr>
      <w:tr w:rsidR="00FC5EA1" w:rsidRPr="00FC5EA1" w14:paraId="49E1F08D"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5E4B5458" w14:textId="4D22E49D" w:rsidR="00FC5EA1" w:rsidRPr="00FC5EA1" w:rsidRDefault="00275D65" w:rsidP="00FC5EA1">
            <w:pPr>
              <w:pStyle w:val="BodyText"/>
              <w:spacing w:before="60" w:after="60" w:line="240" w:lineRule="auto"/>
              <w:rPr>
                <w:rFonts w:asciiTheme="majorHAnsi" w:hAnsiTheme="majorHAnsi" w:cstheme="majorHAnsi"/>
                <w:sz w:val="18"/>
                <w:szCs w:val="18"/>
              </w:rPr>
            </w:pPr>
            <w:r>
              <w:rPr>
                <w:rFonts w:asciiTheme="majorHAnsi" w:hAnsiTheme="majorHAnsi" w:cstheme="majorHAnsi"/>
                <w:sz w:val="18"/>
                <w:szCs w:val="18"/>
              </w:rPr>
              <w:t>BIRADS</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0AEF90BC" w14:textId="77777777" w:rsidR="00FC5EA1" w:rsidRPr="00FC5EA1" w:rsidRDefault="00FC5EA1" w:rsidP="00FC5EA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23902AD4" w14:textId="77777777" w:rsidR="00FC5EA1" w:rsidRPr="00FC5EA1" w:rsidRDefault="00FC5EA1" w:rsidP="00FC5EA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06AD7171" w14:textId="77777777" w:rsidR="00FC5EA1" w:rsidRPr="00FC5EA1" w:rsidRDefault="00FC5EA1" w:rsidP="00FC5EA1">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6CC7D922" w14:textId="78BD46DD" w:rsidR="00FC5EA1" w:rsidRP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0.63 (0.57-0.69)</w:t>
            </w:r>
          </w:p>
        </w:tc>
      </w:tr>
      <w:tr w:rsidR="00FC5EA1" w:rsidRPr="00FC5EA1" w14:paraId="65A548DF"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BD62D28" w14:textId="197E5002" w:rsidR="00FC5EA1" w:rsidRPr="00FC5EA1" w:rsidRDefault="00FC5EA1" w:rsidP="00FC5EA1">
            <w:pPr>
              <w:pStyle w:val="BodyText"/>
              <w:spacing w:before="60" w:after="60" w:line="240" w:lineRule="auto"/>
              <w:ind w:left="720"/>
              <w:rPr>
                <w:rFonts w:asciiTheme="majorHAnsi" w:hAnsiTheme="majorHAnsi" w:cstheme="majorHAnsi"/>
                <w:sz w:val="18"/>
                <w:szCs w:val="18"/>
              </w:rPr>
            </w:pPr>
            <w:r w:rsidRPr="00FC5EA1">
              <w:rPr>
                <w:rFonts w:asciiTheme="majorHAnsi" w:hAnsiTheme="majorHAnsi" w:cstheme="majorHAnsi"/>
                <w:sz w:val="18"/>
                <w:szCs w:val="18"/>
              </w:rPr>
              <w:t>1</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28F52DD" w14:textId="3F0F5F82" w:rsidR="00FC5EA1" w:rsidRP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30/107</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F6AC187" w14:textId="4EB2B003" w:rsidR="00FC5EA1" w:rsidRP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 (reference)</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5DED074" w14:textId="3817319E" w:rsidR="00FC5EA1" w:rsidRP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D8F1855" w14:textId="46E5B85E" w:rsidR="00FC5EA1" w:rsidRP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5EA1" w:rsidRPr="00FC5EA1" w14:paraId="071C92BA"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0E9849B" w14:textId="04620DC9" w:rsidR="00FC5EA1" w:rsidRPr="00FC5EA1" w:rsidRDefault="00FC5EA1" w:rsidP="00FC5EA1">
            <w:pPr>
              <w:pStyle w:val="BodyText"/>
              <w:spacing w:before="60" w:after="60" w:line="240" w:lineRule="auto"/>
              <w:ind w:left="720"/>
              <w:rPr>
                <w:rFonts w:asciiTheme="majorHAnsi" w:hAnsiTheme="majorHAnsi" w:cstheme="majorHAnsi"/>
                <w:sz w:val="18"/>
                <w:szCs w:val="18"/>
              </w:rPr>
            </w:pPr>
            <w:r w:rsidRPr="00FC5EA1">
              <w:rPr>
                <w:rFonts w:asciiTheme="majorHAnsi" w:hAnsiTheme="majorHAnsi" w:cstheme="majorHAnsi"/>
                <w:sz w:val="18"/>
                <w:szCs w:val="18"/>
              </w:rPr>
              <w:t>2</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990EFDE" w14:textId="02CFE073" w:rsidR="00FC5EA1" w:rsidRP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31/73</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84F1560" w14:textId="0A59BD4A" w:rsidR="00FC5EA1" w:rsidRP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1.53 (0.85-2.75)</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F3D193D" w14:textId="7BEAD287" w:rsidR="00FC5EA1" w:rsidRP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NS</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CF3FC23" w14:textId="7FEFD7F7" w:rsidR="00FC5EA1" w:rsidRP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5EA1" w:rsidRPr="00FC5EA1" w14:paraId="4234F1BC"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2112FEC" w14:textId="59ACA93F" w:rsidR="00FC5EA1" w:rsidRPr="00FC5EA1" w:rsidRDefault="00FC5EA1" w:rsidP="00FC5EA1">
            <w:pPr>
              <w:pStyle w:val="BodyText"/>
              <w:spacing w:before="60" w:after="60" w:line="240" w:lineRule="auto"/>
              <w:ind w:left="720"/>
              <w:rPr>
                <w:rFonts w:asciiTheme="majorHAnsi" w:hAnsiTheme="majorHAnsi" w:cstheme="majorHAnsi"/>
                <w:sz w:val="18"/>
                <w:szCs w:val="18"/>
              </w:rPr>
            </w:pPr>
            <w:r w:rsidRPr="00FC5EA1">
              <w:rPr>
                <w:rFonts w:asciiTheme="majorHAnsi" w:hAnsiTheme="majorHAnsi" w:cstheme="majorHAnsi"/>
                <w:sz w:val="18"/>
                <w:szCs w:val="18"/>
              </w:rPr>
              <w:t>3</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48686972" w14:textId="4E2A950D" w:rsid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37/57</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8A205CA" w14:textId="7A832E9C" w:rsid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2.37 (1.32-4.25)</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AC50C3F" w14:textId="5A0C6417" w:rsid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.004</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4739C02" w14:textId="77777777" w:rsidR="00FC5EA1" w:rsidRPr="00FC5EA1" w:rsidRDefault="00FC5EA1"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5EA1" w:rsidRPr="00FC5EA1" w14:paraId="65AD0771"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11EA8AA" w14:textId="238B99FA" w:rsidR="00FC5EA1" w:rsidRPr="00FC5EA1" w:rsidRDefault="00FC5EA1"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4</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0393251" w14:textId="63537DAB" w:rsid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23/22</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D4BF583" w14:textId="639390C8" w:rsid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3.93 (1.88-8.20)</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6168EBF" w14:textId="6075E2A4" w:rsid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&lt;.001</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A6F2A0E" w14:textId="77777777" w:rsidR="00FC5EA1" w:rsidRPr="00FC5EA1" w:rsidRDefault="00FC5EA1"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EA0450" w:rsidRPr="00FC5EA1" w14:paraId="59EDC06D"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background2" w:themeFillTint="33"/>
          </w:tcPr>
          <w:p w14:paraId="46E66255" w14:textId="24BBB5B0" w:rsidR="00EA0450" w:rsidRDefault="00EA0450" w:rsidP="00EA0450">
            <w:pPr>
              <w:pStyle w:val="BodyText"/>
              <w:spacing w:before="60" w:after="60" w:line="240" w:lineRule="auto"/>
              <w:rPr>
                <w:rFonts w:asciiTheme="majorHAnsi" w:hAnsiTheme="majorHAnsi" w:cstheme="majorHAnsi"/>
                <w:sz w:val="18"/>
                <w:szCs w:val="18"/>
              </w:rPr>
            </w:pPr>
            <w:r>
              <w:rPr>
                <w:rFonts w:asciiTheme="majorHAnsi" w:hAnsiTheme="majorHAnsi" w:cstheme="majorHAnsi"/>
                <w:sz w:val="18"/>
                <w:szCs w:val="18"/>
              </w:rPr>
              <w:t>Tabár</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background2" w:themeFillTint="33"/>
          </w:tcPr>
          <w:p w14:paraId="0F57434E" w14:textId="777777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background2" w:themeFillTint="33"/>
          </w:tcPr>
          <w:p w14:paraId="21BDB472" w14:textId="777777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background2" w:themeFillTint="33"/>
          </w:tcPr>
          <w:p w14:paraId="05C03A3B" w14:textId="777777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background2" w:themeFillTint="33"/>
          </w:tcPr>
          <w:p w14:paraId="3A86A17B" w14:textId="00D355D1" w:rsidR="00EA0450" w:rsidRPr="00FC5EA1"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0.65 (0.59-0.71)</w:t>
            </w:r>
          </w:p>
        </w:tc>
      </w:tr>
      <w:tr w:rsidR="00EA0450" w:rsidRPr="00FC5EA1" w14:paraId="6946DDF4"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59A327FA" w14:textId="3E7E5D06"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PI</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3418C5E" w14:textId="07C28709"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38/96</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4B2D73A" w14:textId="18333363"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1.81 (0.96-3.42)</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3BF7A72F" w14:textId="67F1E6D2"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NS</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6D58B1F" w14:textId="77777777" w:rsidR="00EA0450" w:rsidRPr="00FC5EA1"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EA0450" w:rsidRPr="00FC5EA1" w14:paraId="79EA850B"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BF8B644" w14:textId="1F02500D"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PII</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F751776" w14:textId="1FF30E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18/83</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3A11CBA8" w14:textId="54BD2C7A"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 (reference)</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57BEB1F0" w14:textId="6D218A31"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49BD3015" w14:textId="77777777" w:rsidR="00EA0450" w:rsidRPr="00FC5EA1"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EA0450" w:rsidRPr="00FC5EA1" w14:paraId="70166C17"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C3B4630" w14:textId="27C0D9DF"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PIII</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90069EB" w14:textId="6B5CC3B2"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9/13</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FEC24FB" w14:textId="4CDEE899"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3.23 (1.20-8.75)</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1536508" w14:textId="0F81B7DD"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.021</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757D86C" w14:textId="77777777" w:rsidR="00EA0450" w:rsidRPr="00FC5EA1"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EA0450" w:rsidRPr="00FC5EA1" w14:paraId="7CD55C36"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8539698" w14:textId="600BA262"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PIV</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9C50450" w14:textId="098548B2"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49/51</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643224A" w14:textId="45EA8903"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4.40 (2.31-8.38)</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388757AF" w14:textId="45211E91"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&lt;.001</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3B3BB682" w14:textId="77777777" w:rsidR="00EA0450" w:rsidRPr="00FC5EA1"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EA0450" w:rsidRPr="00FC5EA1" w14:paraId="09089DDB"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0E5FD52" w14:textId="6C528821"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PV</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233D9FB" w14:textId="193E75DB"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7/16</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A3E2595" w14:textId="1F4675CA"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1.97 (0.70-5.57)</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D34C1B2" w14:textId="3516C865" w:rsidR="00EA0450"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NS</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BF7B5DD" w14:textId="77777777" w:rsidR="00EA0450" w:rsidRPr="00FC5EA1"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EA0450" w:rsidRPr="00FC5EA1" w14:paraId="74391BE5"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3722BE83" w14:textId="545DB8E3" w:rsidR="00EA0450" w:rsidRDefault="00EA0450" w:rsidP="00EA0450">
            <w:pPr>
              <w:pStyle w:val="BodyText"/>
              <w:spacing w:before="60" w:after="60" w:line="240" w:lineRule="auto"/>
              <w:jc w:val="left"/>
              <w:rPr>
                <w:rFonts w:asciiTheme="majorHAnsi" w:hAnsiTheme="majorHAnsi" w:cstheme="majorHAnsi"/>
                <w:sz w:val="18"/>
                <w:szCs w:val="18"/>
              </w:rPr>
            </w:pPr>
            <w:r>
              <w:rPr>
                <w:rFonts w:asciiTheme="majorHAnsi" w:hAnsiTheme="majorHAnsi" w:cstheme="majorHAnsi"/>
                <w:sz w:val="18"/>
                <w:szCs w:val="18"/>
              </w:rPr>
              <w:t>MTR</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4AF38433" w14:textId="777777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7B2385D8" w14:textId="777777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1CD2B033" w14:textId="77777777" w:rsidR="00EA0450"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E7FFBD" w:themeFill="accent2" w:themeFillTint="33"/>
          </w:tcPr>
          <w:p w14:paraId="59BE4A66" w14:textId="1FDBA5B3" w:rsidR="00EA0450" w:rsidRPr="00FC5EA1"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0.63 (0.57-0.69)</w:t>
            </w:r>
          </w:p>
        </w:tc>
      </w:tr>
      <w:tr w:rsidR="00EA0450" w:rsidRPr="00FC5EA1" w14:paraId="05A791C0"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0DAD966" w14:textId="11DC033E"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Quartile 1</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6D2E17D" w14:textId="3B6DF1D2" w:rsidR="00EA0450" w:rsidRDefault="00C10A33"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19/65</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43216488" w14:textId="26604CAE" w:rsidR="00EA0450" w:rsidRDefault="008E24A6"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 (reference)</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31A9ED4" w14:textId="511E4058" w:rsidR="00EA0450" w:rsidRDefault="008E24A6"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5F4C1AA8" w14:textId="77777777" w:rsidR="00EA0450" w:rsidRPr="00FC5EA1"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EA0450" w:rsidRPr="00FC5EA1" w14:paraId="09C6C7CF"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A27394D" w14:textId="2E573CF0"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Quartile 2</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7DCE2B2A" w14:textId="386F27F3" w:rsidR="00EA0450"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24/65</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95AF58C" w14:textId="646609AB" w:rsidR="00EA0450"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1.27 (0.63-2.54)</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18AEF79" w14:textId="1ADFAEDE" w:rsidR="00EA0450"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NS</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A11D936" w14:textId="77777777" w:rsidR="00EA0450" w:rsidRPr="00FC5EA1"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EA0450" w:rsidRPr="00FC5EA1" w14:paraId="6077190C" w14:textId="77777777" w:rsidTr="00172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1FB9FC74" w14:textId="050DDE75"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Quartile 3</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3D16B89F" w14:textId="2C8881E2" w:rsidR="00EA0450" w:rsidRDefault="008E24A6"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21/65</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2BB5745E" w14:textId="3DA2DD92" w:rsidR="00EA0450" w:rsidRDefault="008E24A6"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1.11 (0.54-2.25)</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B3E145C" w14:textId="60256B34" w:rsidR="00EA0450" w:rsidRDefault="008E24A6"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NS</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47A001EF" w14:textId="77777777" w:rsidR="00EA0450" w:rsidRPr="00FC5EA1" w:rsidRDefault="00EA0450" w:rsidP="00FC5EA1">
            <w:pPr>
              <w:pStyle w:val="Body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EA0450" w:rsidRPr="00FC5EA1" w14:paraId="48642239" w14:textId="77777777" w:rsidTr="00172547">
        <w:tc>
          <w:tcPr>
            <w:cnfStyle w:val="001000000000" w:firstRow="0" w:lastRow="0" w:firstColumn="1" w:lastColumn="0" w:oddVBand="0" w:evenVBand="0" w:oddHBand="0" w:evenHBand="0" w:firstRowFirstColumn="0" w:firstRowLastColumn="0" w:lastRowFirstColumn="0" w:lastRowLastColumn="0"/>
            <w:tcW w:w="1953"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4BCFEB8D" w14:textId="5F223F05" w:rsidR="00EA0450" w:rsidRDefault="00EA0450" w:rsidP="00FC5EA1">
            <w:pPr>
              <w:pStyle w:val="BodyText"/>
              <w:spacing w:before="60" w:after="60" w:line="240" w:lineRule="auto"/>
              <w:ind w:left="720"/>
              <w:rPr>
                <w:rFonts w:asciiTheme="majorHAnsi" w:hAnsiTheme="majorHAnsi" w:cstheme="majorHAnsi"/>
                <w:sz w:val="18"/>
                <w:szCs w:val="18"/>
              </w:rPr>
            </w:pPr>
            <w:r>
              <w:rPr>
                <w:rFonts w:asciiTheme="majorHAnsi" w:hAnsiTheme="majorHAnsi" w:cstheme="majorHAnsi"/>
                <w:sz w:val="18"/>
                <w:szCs w:val="18"/>
              </w:rPr>
              <w:t>Quartile 4</w:t>
            </w:r>
          </w:p>
        </w:tc>
        <w:tc>
          <w:tcPr>
            <w:tcW w:w="2077"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28C6FE8" w14:textId="1D9A6315" w:rsidR="00EA0450"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57/64</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60ADD3D2" w14:textId="74649111" w:rsidR="00EA0450"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3.04 (1.63-5.67)</w:t>
            </w:r>
          </w:p>
        </w:tc>
        <w:tc>
          <w:tcPr>
            <w:tcW w:w="1498"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07A41682" w14:textId="15F6A0C6" w:rsidR="00EA0450" w:rsidRDefault="008E24A6"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&lt;.001</w:t>
            </w:r>
          </w:p>
        </w:tc>
        <w:tc>
          <w:tcPr>
            <w:tcW w:w="1826" w:type="dxa"/>
            <w:tcBorders>
              <w:top w:val="single" w:sz="4" w:space="0" w:color="77B800" w:themeColor="accent6"/>
              <w:left w:val="single" w:sz="4" w:space="0" w:color="77B800" w:themeColor="accent6"/>
              <w:bottom w:val="single" w:sz="4" w:space="0" w:color="77B800" w:themeColor="accent6"/>
              <w:right w:val="single" w:sz="4" w:space="0" w:color="77B800" w:themeColor="accent6"/>
            </w:tcBorders>
            <w:shd w:val="clear" w:color="auto" w:fill="FFFFFF" w:themeFill="background1"/>
          </w:tcPr>
          <w:p w14:paraId="3D001CF8" w14:textId="77777777" w:rsidR="00EA0450" w:rsidRPr="00FC5EA1" w:rsidRDefault="00EA0450" w:rsidP="00FC5EA1">
            <w:pPr>
              <w:pStyle w:val="Body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14:paraId="32F04C4D" w14:textId="2047F550" w:rsidR="000E26F6" w:rsidRPr="00522F1A" w:rsidRDefault="000E26F6" w:rsidP="000E26F6">
      <w:pPr>
        <w:pStyle w:val="BodyText"/>
        <w:rPr>
          <w:sz w:val="20"/>
          <w:szCs w:val="20"/>
        </w:rPr>
      </w:pPr>
      <w:r>
        <w:rPr>
          <w:sz w:val="20"/>
          <w:szCs w:val="20"/>
        </w:rPr>
        <w:t>NS = not statistically significant</w:t>
      </w:r>
    </w:p>
    <w:p w14:paraId="751FE057" w14:textId="3E54257E" w:rsidR="000E26F6" w:rsidRDefault="002A4634" w:rsidP="000E26F6">
      <w:pPr>
        <w:pStyle w:val="BodyText"/>
      </w:pPr>
      <w:r>
        <w:t xml:space="preserve">Providing further evidence for the validity of automated measurement approaches, </w:t>
      </w:r>
      <w:r w:rsidR="000E26F6">
        <w:t xml:space="preserve">Eng et al. (2014) compared the level of association with breast cancer risk for a number of area-based density measurement approaches (including </w:t>
      </w:r>
      <w:r w:rsidR="00275D65">
        <w:t>BIRADS</w:t>
      </w:r>
      <w:r w:rsidR="000E26F6">
        <w:t xml:space="preserve">, Cumulus and fully-automated Image-J) and fully-automated volumetric methods (including Volpara, Quantra and singe energy x-ray absorptiometry [SXA]). Using 3168 digital mammography images from 414 cases and 685 controls, they found Volpara showed the highest association with breast cancer risk (OR = 1.82, 95%CI 1.51-2.20, for each </w:t>
      </w:r>
      <w:r w:rsidR="000E26F6">
        <w:rPr>
          <w:i/>
        </w:rPr>
        <w:t xml:space="preserve">SD </w:t>
      </w:r>
      <w:r w:rsidR="000E26F6">
        <w:t xml:space="preserve">increase in </w:t>
      </w:r>
      <w:r w:rsidR="00893AA8">
        <w:t>percent density</w:t>
      </w:r>
      <w:r w:rsidR="000E26F6">
        <w:t xml:space="preserve">); this was statistically significantly higher than associations with all other measurement approaches except Cumulus (OR = 1.63, 95%CI 1.37-1.93). All six volumetric measurement approaches found positive associations between </w:t>
      </w:r>
      <w:r w:rsidR="00893AA8">
        <w:t>percent density</w:t>
      </w:r>
      <w:r w:rsidR="000E26F6">
        <w:t xml:space="preserve"> and breast cancer risk, with women in the top </w:t>
      </w:r>
      <w:r w:rsidR="00893AA8">
        <w:t>percent density</w:t>
      </w:r>
      <w:r w:rsidR="000E26F6">
        <w:t xml:space="preserve"> quintile (or </w:t>
      </w:r>
      <w:r w:rsidR="00275D65">
        <w:t>BIRADS</w:t>
      </w:r>
      <w:r w:rsidR="000E26F6">
        <w:t xml:space="preserve"> 4) having between 2.55 to 8.26 times the risk of women in the lowest quintile (or </w:t>
      </w:r>
      <w:r w:rsidR="00275D65">
        <w:t>BIRADS</w:t>
      </w:r>
      <w:r w:rsidR="000E26F6">
        <w:t xml:space="preserve"> 1), depending on the measure being used. The results of this study further highlight the importance of using consistent density measurement approaches when comparing findings across studies. This study is also important as it again shows that fully-automated approaches to measuring breast density (</w:t>
      </w:r>
      <w:r w:rsidR="00CC24AA">
        <w:t>eg,</w:t>
      </w:r>
      <w:r w:rsidR="000E26F6">
        <w:t xml:space="preserve"> Volpara) can provide valid alternatives to more labour-intensive approaches (</w:t>
      </w:r>
      <w:r w:rsidR="00CC24AA">
        <w:t>eg,</w:t>
      </w:r>
      <w:r w:rsidR="000E26F6">
        <w:t xml:space="preserve"> </w:t>
      </w:r>
      <w:r w:rsidR="00275D65">
        <w:t>BIRADS</w:t>
      </w:r>
      <w:r w:rsidR="000E26F6">
        <w:t xml:space="preserve"> and Cumulus). </w:t>
      </w:r>
    </w:p>
    <w:p w14:paraId="1E660D5D" w14:textId="7F0CC3B0" w:rsidR="002A4634" w:rsidRPr="00D14AE2" w:rsidRDefault="000E26F6" w:rsidP="00CD5890">
      <w:pPr>
        <w:pStyle w:val="BodyText"/>
      </w:pPr>
      <w:r>
        <w:t>This validation of fully-automated breast density assessment methods was supported by</w:t>
      </w:r>
      <w:r w:rsidR="00D14AE2">
        <w:t xml:space="preserve"> </w:t>
      </w:r>
      <w:r>
        <w:t>a</w:t>
      </w:r>
      <w:r w:rsidR="002A4634">
        <w:t xml:space="preserve"> further two</w:t>
      </w:r>
      <w:r>
        <w:t xml:space="preserve"> stud</w:t>
      </w:r>
      <w:r w:rsidR="002A4634">
        <w:t>ies</w:t>
      </w:r>
      <w:r>
        <w:t xml:space="preserve">. </w:t>
      </w:r>
      <w:r w:rsidR="002A4634">
        <w:t>Jeffers et al. (2017) compared three breast density measurement approaches (</w:t>
      </w:r>
      <w:r w:rsidR="00275D65">
        <w:t>BIRADS</w:t>
      </w:r>
      <w:r w:rsidR="002A4634">
        <w:t>, Cumulus and Volpara) using FFDM images sourced from 125 cases and 274 matched controls who underwent screening during 2004-2013</w:t>
      </w:r>
      <w:r w:rsidR="00846342">
        <w:t>. P</w:t>
      </w:r>
      <w:r w:rsidR="002A4634">
        <w:t>re</w:t>
      </w:r>
      <w:r w:rsidR="00AB330F">
        <w:t>-</w:t>
      </w:r>
      <w:r w:rsidR="002A4634">
        <w:t xml:space="preserve">diagnostic mammograms were used for the women diagnosed with breast cancer. </w:t>
      </w:r>
      <w:r w:rsidR="00D41714">
        <w:t xml:space="preserve">This study found good levels of agreement between the </w:t>
      </w:r>
      <w:r w:rsidR="00893AA8">
        <w:t>percent density</w:t>
      </w:r>
      <w:r w:rsidR="00D41714">
        <w:t xml:space="preserve"> estimates produced by Cumulus and Volpara (</w:t>
      </w:r>
      <w:r w:rsidR="00D41714">
        <w:rPr>
          <w:i/>
        </w:rPr>
        <w:t xml:space="preserve">r </w:t>
      </w:r>
      <w:r w:rsidR="00D41714">
        <w:t>= .82) but only moderate level of agreement between</w:t>
      </w:r>
      <w:r w:rsidR="002F041F">
        <w:t xml:space="preserve"> density categorisation based on </w:t>
      </w:r>
      <w:r w:rsidR="00275D65">
        <w:t>BIRADS</w:t>
      </w:r>
      <w:r w:rsidR="002F041F">
        <w:t xml:space="preserve"> and Volpara (kappa = 0.47). This matches the </w:t>
      </w:r>
      <w:r w:rsidR="002F041F">
        <w:lastRenderedPageBreak/>
        <w:t xml:space="preserve">findings of Sartor et al. (2016) discussed above. Jeffers et al. (2017) also found that compared to women in the second quartile for </w:t>
      </w:r>
      <w:r w:rsidR="00893AA8">
        <w:t>percent density</w:t>
      </w:r>
      <w:r w:rsidR="002F041F">
        <w:t xml:space="preserve">, women in the highest quartile had a significant increase in odds of cancer based on Cumulus estimates (OR = 2.00, 95%CI 1.01-3.98, </w:t>
      </w:r>
      <w:r w:rsidR="002F041F">
        <w:rPr>
          <w:i/>
        </w:rPr>
        <w:t xml:space="preserve">p </w:t>
      </w:r>
      <w:r w:rsidR="002F041F">
        <w:t xml:space="preserve">= .047), but a non-significant increase in odds based on Volpara estimates (OR = 1.71, 95%CI 0.83-3.53, </w:t>
      </w:r>
      <w:r w:rsidR="002F041F">
        <w:rPr>
          <w:i/>
        </w:rPr>
        <w:t>p</w:t>
      </w:r>
      <w:r w:rsidR="002F041F">
        <w:t xml:space="preserve"> = .147). Results were also mixed for </w:t>
      </w:r>
      <w:r w:rsidR="00275D65">
        <w:t>BIRADS</w:t>
      </w:r>
      <w:r w:rsidR="002F041F">
        <w:t xml:space="preserve"> categorisations. When compared to women categorised as </w:t>
      </w:r>
      <w:r w:rsidR="00275D65">
        <w:t>BIRADS</w:t>
      </w:r>
      <w:r w:rsidR="002F041F">
        <w:t xml:space="preserve"> 2, women categorised as </w:t>
      </w:r>
      <w:r w:rsidR="00275D65">
        <w:t>BIRADS</w:t>
      </w:r>
      <w:r w:rsidR="002F041F">
        <w:t xml:space="preserve"> 3 had significantly increased odds of developing cancer (OR = 2.35, 95%CI 1.34-4.12, </w:t>
      </w:r>
      <w:r w:rsidR="002F041F">
        <w:rPr>
          <w:i/>
        </w:rPr>
        <w:t>p</w:t>
      </w:r>
      <w:r w:rsidR="002F041F">
        <w:t xml:space="preserve"> = .017), but women categorised as </w:t>
      </w:r>
      <w:r w:rsidR="00275D65">
        <w:t>BIRADS</w:t>
      </w:r>
      <w:r w:rsidR="002F041F">
        <w:t xml:space="preserve"> 4 did not have a significant increase in odds of cancer (OR = </w:t>
      </w:r>
      <w:r w:rsidR="00D14AE2">
        <w:t xml:space="preserve">2.06, 95%CI 0.85-4.97, </w:t>
      </w:r>
      <w:r w:rsidR="00D14AE2">
        <w:rPr>
          <w:i/>
        </w:rPr>
        <w:t>p</w:t>
      </w:r>
      <w:r w:rsidR="00D14AE2">
        <w:t xml:space="preserve"> = .107). Overall, there was no significant difference in the ability of the different assessment methods to distinguish cases from controls (AUC = 0.68, 0.64 and 0.66 for </w:t>
      </w:r>
      <w:r w:rsidR="00275D65">
        <w:t>BIRADS</w:t>
      </w:r>
      <w:r w:rsidR="00D14AE2">
        <w:t xml:space="preserve">, Volpara </w:t>
      </w:r>
      <w:r w:rsidR="00893AA8">
        <w:t>percent density</w:t>
      </w:r>
      <w:r w:rsidR="00D14AE2">
        <w:t xml:space="preserve"> and Cumulus </w:t>
      </w:r>
      <w:r w:rsidR="00893AA8">
        <w:t>percent density</w:t>
      </w:r>
      <w:r w:rsidR="00D14AE2">
        <w:t xml:space="preserve">, respectively). </w:t>
      </w:r>
      <w:r w:rsidR="005771D0">
        <w:t>Although the small sample size means that findings need to be interpreted with caution, t</w:t>
      </w:r>
      <w:r w:rsidR="00D14AE2">
        <w:t xml:space="preserve">he mixed results from this study highlight the influence that choice of assessment method can have on estimates of </w:t>
      </w:r>
      <w:r w:rsidR="000D1AF3">
        <w:t>the association between risk and breast density, as well as the impact that the choice of comparator group has on the size of the risk estimates. It also provides additional support for the viability of fully-automated methods as a replacement for more manually intensive approaches to breast density assessment.</w:t>
      </w:r>
    </w:p>
    <w:p w14:paraId="687BB6CD" w14:textId="75AC961E" w:rsidR="002A4634" w:rsidRDefault="00D14AE2" w:rsidP="00CD5890">
      <w:pPr>
        <w:pStyle w:val="BodyText"/>
      </w:pPr>
      <w:r>
        <w:t xml:space="preserve">A further study, </w:t>
      </w:r>
      <w:r w:rsidR="000E26F6">
        <w:t>Duffy et al. (2018)</w:t>
      </w:r>
      <w:r>
        <w:t>,</w:t>
      </w:r>
      <w:r w:rsidR="000E26F6">
        <w:t xml:space="preserve"> compared the visual assessment of breast density percentage with two fully-automated methods (Volpara and Quantra). They used </w:t>
      </w:r>
      <w:r w:rsidR="00160E62">
        <w:t>a</w:t>
      </w:r>
      <w:r w:rsidR="000E26F6">
        <w:t xml:space="preserve"> sample of</w:t>
      </w:r>
      <w:r w:rsidR="00160E62">
        <w:t xml:space="preserve"> </w:t>
      </w:r>
      <w:r w:rsidR="000E26F6">
        <w:t>6020 routine screening cases</w:t>
      </w:r>
      <w:r w:rsidR="00160E62">
        <w:t xml:space="preserve"> </w:t>
      </w:r>
      <w:r w:rsidR="000E26F6">
        <w:t>(1158 of whom had breast cancer) and 1040 high</w:t>
      </w:r>
      <w:r w:rsidR="00160E62">
        <w:t>-</w:t>
      </w:r>
      <w:r w:rsidR="000E26F6">
        <w:t>risk screening cases (</w:t>
      </w:r>
      <w:r w:rsidR="00846342">
        <w:t>two</w:t>
      </w:r>
      <w:r w:rsidR="000E26F6">
        <w:t xml:space="preserve"> of whom had breast cancer) </w:t>
      </w:r>
      <w:r w:rsidR="00160E62">
        <w:t>from</w:t>
      </w:r>
      <w:r w:rsidR="000E26F6">
        <w:t xml:space="preserve"> the </w:t>
      </w:r>
      <w:r w:rsidR="00160E62">
        <w:t xml:space="preserve">TOMMY trial (TOMosynthesis with digital MammographY in the UK </w:t>
      </w:r>
      <w:r w:rsidR="000E26F6">
        <w:t>Breast Screening Programme of the National Health Service</w:t>
      </w:r>
      <w:r w:rsidR="00160E62">
        <w:t>)</w:t>
      </w:r>
      <w:r w:rsidR="00EB58FD">
        <w:t xml:space="preserve">; all cases </w:t>
      </w:r>
      <w:r w:rsidR="000E26F6">
        <w:t>had been recalled for further assessment. Consistent with the findings from Eng et al. (2014), Duffy et al. found that density assessment using Volpara showed the strongest association with breast cancer risk, equating to a 3% (95%CI 1-5%) increase in the odds of cancer per additional 10cm</w:t>
      </w:r>
      <w:r w:rsidR="000E26F6">
        <w:rPr>
          <w:vertAlign w:val="superscript"/>
        </w:rPr>
        <w:t xml:space="preserve">3 </w:t>
      </w:r>
      <w:r w:rsidR="000E26F6">
        <w:t>of dense tissue. Results for Quantra were similar, but slightly weaker (although not significantly different).</w:t>
      </w:r>
      <w:r w:rsidR="000D353F">
        <w:t xml:space="preserve"> This study provides further support for the use of fully-automated methods of assessing breast density and concluded that breast density could be a trigger for more intensive imaging techniques. </w:t>
      </w:r>
      <w:r w:rsidR="00160E62">
        <w:t xml:space="preserve">It is important to note, however, that the use of </w:t>
      </w:r>
      <w:r w:rsidR="00EB58FD">
        <w:t>a recalled</w:t>
      </w:r>
      <w:r w:rsidR="00160E62">
        <w:t xml:space="preserve"> sample in this study has the potential to inflate the measured association between breast density and risk, due to the sample being higher risk than the general screening population.</w:t>
      </w:r>
    </w:p>
    <w:p w14:paraId="461BC212" w14:textId="09D6153B" w:rsidR="0043652B" w:rsidRPr="008539B6" w:rsidRDefault="0043652B" w:rsidP="00CD5890">
      <w:pPr>
        <w:pStyle w:val="BodyText"/>
      </w:pPr>
      <w:r>
        <w:t xml:space="preserve">A study by Busana et al. (2016) also highlighted the importance of mammography image type (raw versus processed) when evaluating the link between breast density and breast cancer risk. Busana et al. compared the performance of Cumulus with a fully-automated density assessment method (Laboratory for Breast Radiodensity Assessment [LIBRA]) using both raw and processed </w:t>
      </w:r>
      <w:r w:rsidR="00801710">
        <w:t xml:space="preserve">mammographic </w:t>
      </w:r>
      <w:r>
        <w:t xml:space="preserve">images from 414 </w:t>
      </w:r>
      <w:r w:rsidR="00801710">
        <w:t xml:space="preserve">breast cancer </w:t>
      </w:r>
      <w:r>
        <w:t xml:space="preserve">cases and 684 controls. </w:t>
      </w:r>
      <w:r w:rsidR="008539B6">
        <w:t xml:space="preserve">Findings showed that </w:t>
      </w:r>
      <w:r w:rsidR="00893AA8">
        <w:t>percent density</w:t>
      </w:r>
      <w:r w:rsidR="008539B6">
        <w:t xml:space="preserve"> measurements from the two assessment methods were more strongly correlated for the processed (</w:t>
      </w:r>
      <w:r w:rsidR="008539B6">
        <w:rPr>
          <w:i/>
        </w:rPr>
        <w:t xml:space="preserve">r </w:t>
      </w:r>
      <w:r w:rsidR="008539B6">
        <w:t xml:space="preserve">= .74, </w:t>
      </w:r>
      <w:r w:rsidR="008539B6">
        <w:rPr>
          <w:i/>
        </w:rPr>
        <w:t>p</w:t>
      </w:r>
      <w:r w:rsidR="008539B6">
        <w:t xml:space="preserve"> &lt;.001) compared with the raw (</w:t>
      </w:r>
      <w:r w:rsidR="008539B6">
        <w:rPr>
          <w:i/>
        </w:rPr>
        <w:t xml:space="preserve">r </w:t>
      </w:r>
      <w:r w:rsidR="008539B6">
        <w:t xml:space="preserve">= 0.65, </w:t>
      </w:r>
      <w:r w:rsidR="008539B6">
        <w:rPr>
          <w:i/>
        </w:rPr>
        <w:t>p</w:t>
      </w:r>
      <w:r w:rsidR="008539B6">
        <w:t xml:space="preserve"> &lt;.001) images. </w:t>
      </w:r>
      <w:r w:rsidR="00D0737B">
        <w:t xml:space="preserve">The association between </w:t>
      </w:r>
      <w:r w:rsidR="00893AA8">
        <w:t>percent density</w:t>
      </w:r>
      <w:r w:rsidR="00D0737B">
        <w:t xml:space="preserve"> and breast cancer risk was also stronger for processed images than for the raw images. For each one SD increase in </w:t>
      </w:r>
      <w:r w:rsidR="00893AA8">
        <w:t>percent density</w:t>
      </w:r>
      <w:r w:rsidR="00D0737B">
        <w:t>, risk increased by 1.55 (Cumulus, 95%CI 1.29-1.85) or 1.32 (LIBRA, (95%CI 1.08-1.61) times based on processed images, compared with 1.35 (Cumulus</w:t>
      </w:r>
      <w:r w:rsidR="00801710">
        <w:t>, 95%CI 1.14-1.60</w:t>
      </w:r>
      <w:r w:rsidR="00D0737B">
        <w:t>) or 1.17 (LIBRA</w:t>
      </w:r>
      <w:r w:rsidR="00801710">
        <w:t>, 95%CI 0.99-1.37</w:t>
      </w:r>
      <w:r w:rsidR="00D0737B">
        <w:t>) times based on raw images.</w:t>
      </w:r>
      <w:r w:rsidR="00801710">
        <w:t xml:space="preserve"> The authors concluded that the same digital image type and breast density assessment method should be used when comparing the impact of breast density across populations or across time in the same population.</w:t>
      </w:r>
    </w:p>
    <w:p w14:paraId="5B235CF4" w14:textId="7B206BDF" w:rsidR="002332DB" w:rsidRPr="005F5FFB" w:rsidRDefault="000D353F" w:rsidP="000B595A">
      <w:pPr>
        <w:pStyle w:val="BodyText"/>
      </w:pPr>
      <w:r>
        <w:t xml:space="preserve">In addition to evaluating the association between different breast density measurement approaches and breast cancer risk, it is also important to understand how different assessment methods influence the evaluation of breast density’s impact on screening sensitivity. </w:t>
      </w:r>
      <w:r w:rsidR="006F33EB" w:rsidRPr="00C9279C">
        <w:t xml:space="preserve">Table </w:t>
      </w:r>
      <w:r w:rsidR="006465B1">
        <w:t>5</w:t>
      </w:r>
      <w:r w:rsidR="00491761">
        <w:t xml:space="preserve"> </w:t>
      </w:r>
      <w:r w:rsidR="001A3B61" w:rsidRPr="00C9279C">
        <w:t xml:space="preserve">(overleaf), </w:t>
      </w:r>
      <w:r w:rsidR="003A536A" w:rsidRPr="00C9279C">
        <w:t>modified from Mousa et al. (</w:t>
      </w:r>
      <w:r w:rsidR="003A536A" w:rsidRPr="005F5FFB">
        <w:t>2014)</w:t>
      </w:r>
      <w:r w:rsidR="001A3B61" w:rsidRPr="005F5FFB">
        <w:t>,</w:t>
      </w:r>
      <w:r w:rsidR="003A536A" w:rsidRPr="005F5FFB">
        <w:t xml:space="preserve"> summarises the impact of breast density on detecting </w:t>
      </w:r>
      <w:r w:rsidR="003A536A" w:rsidRPr="005F5FFB">
        <w:lastRenderedPageBreak/>
        <w:t xml:space="preserve">breast cancer using different density classification methods. </w:t>
      </w:r>
      <w:r w:rsidR="00275D65">
        <w:t>BIRADS</w:t>
      </w:r>
      <w:r w:rsidR="003A536A" w:rsidRPr="005F5FFB">
        <w:t xml:space="preserve"> was the most common classification used.</w:t>
      </w:r>
      <w:r w:rsidR="001A3B61" w:rsidRPr="005F5FFB">
        <w:t xml:space="preserve"> </w:t>
      </w:r>
      <w:r w:rsidR="002332DB" w:rsidRPr="005F5FFB">
        <w:t xml:space="preserve">All classification (in all studies) </w:t>
      </w:r>
      <w:r w:rsidR="001A3B61" w:rsidRPr="005F5FFB">
        <w:t>report</w:t>
      </w:r>
      <w:r w:rsidR="002332DB" w:rsidRPr="005F5FFB">
        <w:t xml:space="preserve">ed a difference of similar magnitude between the </w:t>
      </w:r>
      <w:r w:rsidR="003A536A" w:rsidRPr="005F5FFB">
        <w:t>sensitivity to detect</w:t>
      </w:r>
      <w:r w:rsidR="00C032EF">
        <w:t xml:space="preserve"> </w:t>
      </w:r>
      <w:hyperlink r:id="rId21" w:tooltip="Learn more about Breast Cancer" w:history="1">
        <w:r w:rsidR="003A536A" w:rsidRPr="005F5FFB">
          <w:t>breast cancer</w:t>
        </w:r>
      </w:hyperlink>
      <w:r w:rsidR="003A536A" w:rsidRPr="005F5FFB">
        <w:t xml:space="preserve"> </w:t>
      </w:r>
      <w:r w:rsidR="002332DB" w:rsidRPr="005F5FFB">
        <w:t xml:space="preserve">and breast </w:t>
      </w:r>
      <w:r w:rsidR="00040BE8" w:rsidRPr="005F5FFB">
        <w:t>density</w:t>
      </w:r>
      <w:r w:rsidR="002332DB" w:rsidRPr="005F5FFB">
        <w:t xml:space="preserve"> </w:t>
      </w:r>
      <w:r w:rsidR="00491761" w:rsidRPr="005F5FFB">
        <w:t>(i.e.,</w:t>
      </w:r>
      <w:r w:rsidR="002332DB" w:rsidRPr="005F5FFB">
        <w:t xml:space="preserve"> the ability to detect cancer </w:t>
      </w:r>
      <w:r w:rsidR="003A536A" w:rsidRPr="005F5FFB">
        <w:t xml:space="preserve">decreases </w:t>
      </w:r>
      <w:r w:rsidR="002332DB" w:rsidRPr="005F5FFB">
        <w:t>as</w:t>
      </w:r>
      <w:r w:rsidR="003A536A" w:rsidRPr="005F5FFB">
        <w:t xml:space="preserve"> </w:t>
      </w:r>
      <w:bookmarkStart w:id="50" w:name="bbib24"/>
      <w:r w:rsidR="003A536A" w:rsidRPr="005F5FFB">
        <w:t>breast densit</w:t>
      </w:r>
      <w:bookmarkEnd w:id="50"/>
      <w:r w:rsidR="003A536A" w:rsidRPr="005F5FFB">
        <w:t>y</w:t>
      </w:r>
      <w:r w:rsidR="002332DB" w:rsidRPr="005F5FFB">
        <w:t xml:space="preserve"> increase</w:t>
      </w:r>
      <w:r w:rsidR="00C032EF">
        <w:t>s</w:t>
      </w:r>
      <w:r w:rsidR="002332DB" w:rsidRPr="005F5FFB">
        <w:t xml:space="preserve"> with the ‘</w:t>
      </w:r>
      <w:proofErr w:type="gramStart"/>
      <w:r w:rsidR="002332DB" w:rsidRPr="005F5FFB">
        <w:t>most dense</w:t>
      </w:r>
      <w:proofErr w:type="gramEnd"/>
      <w:r w:rsidR="002332DB" w:rsidRPr="005F5FFB">
        <w:t>’ categories having the lowest sensitivity</w:t>
      </w:r>
      <w:r w:rsidR="00491761" w:rsidRPr="005F5FFB">
        <w:t>)</w:t>
      </w:r>
      <w:r w:rsidR="001A3B61" w:rsidRPr="005F5FFB">
        <w:t xml:space="preserve">. </w:t>
      </w:r>
      <w:r w:rsidR="00491761" w:rsidRPr="005F5FFB">
        <w:t>Further information about cancer detection is provided in section 3.3.</w:t>
      </w:r>
    </w:p>
    <w:p w14:paraId="21556926" w14:textId="036D6550" w:rsidR="0000049E" w:rsidRDefault="0000049E" w:rsidP="000B595A">
      <w:pPr>
        <w:pStyle w:val="BodyText"/>
      </w:pPr>
      <w:r w:rsidRPr="005F5FFB">
        <w:t>Not surprisingly, there is no consensus among clinicians</w:t>
      </w:r>
      <w:r w:rsidRPr="00C9279C">
        <w:t xml:space="preserve"> or researchers as to what is the best measure of breast density or threshold for what constitutes high density. As a result, studies present density using all the different classification systems</w:t>
      </w:r>
      <w:r w:rsidR="00400A40">
        <w:t>,</w:t>
      </w:r>
      <w:r w:rsidRPr="00C9279C">
        <w:t xml:space="preserve"> making comparison difficult.</w:t>
      </w:r>
    </w:p>
    <w:p w14:paraId="64AF98AA" w14:textId="77777777" w:rsidR="0000049E" w:rsidRDefault="0000049E" w:rsidP="003A536A">
      <w:pPr>
        <w:pStyle w:val="BodyText"/>
        <w:spacing w:before="40" w:after="40"/>
        <w:sectPr w:rsidR="0000049E" w:rsidSect="00487B0B">
          <w:footerReference w:type="even" r:id="rId22"/>
          <w:footerReference w:type="default" r:id="rId23"/>
          <w:pgSz w:w="11906" w:h="16838"/>
          <w:pgMar w:top="1440" w:right="1440" w:bottom="1440" w:left="1276" w:header="708" w:footer="708" w:gutter="0"/>
          <w:cols w:space="708"/>
          <w:docGrid w:linePitch="360"/>
        </w:sectPr>
      </w:pPr>
    </w:p>
    <w:p w14:paraId="2A11CC0F" w14:textId="3DB3B492" w:rsidR="009A688E" w:rsidRPr="009A688E" w:rsidRDefault="006F33EB" w:rsidP="009A688E">
      <w:pPr>
        <w:pStyle w:val="BodyText"/>
        <w:spacing w:before="40" w:after="40"/>
        <w:rPr>
          <w:b/>
          <w:bCs/>
          <w:color w:val="36424A" w:themeColor="accent1"/>
          <w:sz w:val="18"/>
          <w:szCs w:val="18"/>
        </w:rPr>
      </w:pPr>
      <w:r w:rsidRPr="006F33EB">
        <w:rPr>
          <w:b/>
          <w:bCs/>
          <w:color w:val="36424A" w:themeColor="accent1"/>
          <w:sz w:val="18"/>
          <w:szCs w:val="18"/>
        </w:rPr>
        <w:lastRenderedPageBreak/>
        <w:t xml:space="preserve">Table </w:t>
      </w:r>
      <w:r w:rsidR="006465B1">
        <w:rPr>
          <w:b/>
          <w:bCs/>
          <w:color w:val="36424A" w:themeColor="accent1"/>
          <w:sz w:val="18"/>
          <w:szCs w:val="18"/>
        </w:rPr>
        <w:t>5</w:t>
      </w:r>
      <w:r w:rsidR="003A536A" w:rsidRPr="006F33EB">
        <w:rPr>
          <w:b/>
          <w:bCs/>
          <w:color w:val="36424A" w:themeColor="accent1"/>
          <w:sz w:val="18"/>
          <w:szCs w:val="18"/>
        </w:rPr>
        <w:t>. Summary of studies examining the impact of</w:t>
      </w:r>
      <w:r w:rsidR="00BB2B6B">
        <w:rPr>
          <w:b/>
          <w:bCs/>
          <w:color w:val="36424A" w:themeColor="accent1"/>
          <w:sz w:val="18"/>
          <w:szCs w:val="18"/>
        </w:rPr>
        <w:t xml:space="preserve"> </w:t>
      </w:r>
      <w:hyperlink r:id="rId24" w:tooltip="Learn more about Breast cancer screening" w:history="1">
        <w:r w:rsidR="003A536A" w:rsidRPr="006F33EB">
          <w:rPr>
            <w:b/>
            <w:bCs/>
            <w:color w:val="36424A" w:themeColor="accent1"/>
            <w:sz w:val="18"/>
            <w:szCs w:val="18"/>
          </w:rPr>
          <w:t>breast density</w:t>
        </w:r>
      </w:hyperlink>
      <w:r w:rsidR="00BB2B6B">
        <w:rPr>
          <w:b/>
          <w:bCs/>
          <w:color w:val="36424A" w:themeColor="accent1"/>
          <w:sz w:val="18"/>
          <w:szCs w:val="18"/>
        </w:rPr>
        <w:t xml:space="preserve"> </w:t>
      </w:r>
      <w:r w:rsidR="003A536A" w:rsidRPr="006F33EB">
        <w:rPr>
          <w:b/>
          <w:bCs/>
          <w:color w:val="36424A" w:themeColor="accent1"/>
          <w:sz w:val="18"/>
          <w:szCs w:val="18"/>
        </w:rPr>
        <w:t>on screening methods and the sensitivity of cancer detection</w:t>
      </w:r>
      <w:r w:rsidR="00491761">
        <w:rPr>
          <w:b/>
          <w:bCs/>
          <w:color w:val="36424A" w:themeColor="accent1"/>
          <w:sz w:val="18"/>
          <w:szCs w:val="18"/>
        </w:rPr>
        <w:t xml:space="preserve"> (modified from Mousa et al., 2014)</w:t>
      </w:r>
    </w:p>
    <w:tbl>
      <w:tblPr>
        <w:tblStyle w:val="ACGreen-BasicTable"/>
        <w:tblW w:w="5001" w:type="pct"/>
        <w:tblLook w:val="04A0" w:firstRow="1" w:lastRow="0" w:firstColumn="1" w:lastColumn="0" w:noHBand="0" w:noVBand="1"/>
        <w:tblDescription w:val="Fourteen studies are summarised per the number of women, density classification system, study aims and sensitivity results.&#10;The study Chiu et al., 2010 had 15,658 women with the Density classification system of Tabár. The aims included the Baseline breast density effect on cancer incidence, stage, mortality and the natural course of it. No statistical comparison was completed. Sensitivity results: fatty 82, dense 62.8.&#10;The study Cook et al., 2010 had 638,947 women with the Density classification system BI-RADS. The aims included the Impact of women's breast cancer risk factors on radiologists’ performance. No statistical comparison was completed. Sensitivity results are below:&#10;BI-RADS 1: Sensitivity (OR):1.55&#10;BI-RADS 2: Sensitivity (OR):1&#10;BI-RADS 3: Sensitivity (OR):0.58&#10;BI-RADS 4: Sensitivity (OR):0.29&#10;The study Cawson et al., 2009 had 1569 women with the Density classification system BI-RADS. The aims included a Comparison of current best practice with computer-aided-detection. No statistical comparison was completed. Sensitivity results are below:&#10;BI-RADS: &#10;1- sensitivity 90 &#10;2 - sensitivity 90&#10;3 - sensitivity 93&#10;4- sensitivity 75&#10;The study Osako et al., 2007 had 165 women from the Density classification system of Japanese 4 grading BI-RADS. The aims included a Comparison between ultrasound and mammography for palpable and nonpalpable breast cancer in women aged 30–39 years No statistical comparison was completed. Sensitivity results are below:&#10;BI-RADS: &#10;1 - sensitivity 100&#10;2 - sensitivity 100&#10;3 - sensitivity 82&#10;4- sensitivity 86&#10;The study Osoko et al, 2007 had 165 women from the Density classification system of Japanese 4-grading BIRADS. The aim of this study was a comparison between ultrasound and mammography for detecting invasive and non-invasive breast cancer in women aged 30-39 years. No statistical comparison was completed. Sensitivity results are as follows, for BIRADS 1&amp;2: 88, for BIRADS 3&amp;4: 62. &#10;The study Kriege et al., 2006 had 1779 women with the density classification system Percent BI-RADS. The aims included Factors affecting sensitivity and specificity of screening mammography and MRI in women with an increased risk of breast cancer. Sensitivity Results: p = 0.58, BI-RADS1 &amp; 2: sensitivity 46.7, BIRADS 3&amp;4 sensitivity 37.9.&#10;The study Kavanagh et al., 2005 had in the first round 1086 women and 471 women in the subsequent round, with the density classification system Cumulus. The project aimed to investigage the effect of hormone replacement therapy and mammographic density on mammographic sensitivity. No statistical comparison was completed. Sensitivity results are as follows:&#10;Percent density (%): ≥0–&lt;10:  First round: 85.4, Subsequent round:77.8&#10;Percent density (%): 10 – &lt;25: First round: 80.2, Subsequent round: 70.1&#10;Percent density (%): 25 – &lt;50: First round: 60.7, Subsequent round: 60.5&#10;Percent density (%): ≥50 First round: 54.8, Subsequent round: 35.3&#10;The study Berg et al., 2004 had 111 women with the Density classification system of BIRADS. The project aims included an investigation of the diagnostic accuracy of mammography, clinical examination, ultrasound and MRI in preoperative assessment of breast cancer. No statistical comparison was completed. Sensitivity results are as follows:&#10;BIRADS 1 - sensitivity 100&#10;BIRADS 2 - sensitivity 79&#10;BIRADS 3 - sensitivity 70&#10;BIRADS 4- sensitivity 45&#10;The study Ciatto, 2004 had 576 women with the Density classification system of BIRADS. The aims included the Factors decreasing the sensitivity of mammography in young women. No statistical comparison was completed. Sensitivity results are as follows:&#10;BIRADS 1 - sensitivity 80&#10;BIRADS 2 - sensitivity 80.4&#10;BIRADS 3 - sensitivity 58.3&#10;BIRADS 4- sensitivity 29.2&#10;The study Carney et al., 2003 had 329,495 women with Density classification system of BIRADS. The study looked at the relationships between breast density, age, and use of hormone replacement therapy on mammographic accuracy. No statistical comparison was completed. Sensitivity results are as follows:&#10;BIRADS 1 - sensitivity 88.2&#10;BIRADS 2 - sensitivity 82.1&#10;BIRADS 3 - sensitivity 68.9&#10;BIRADS 4- sensitivity 62.2&#10;The study Kolb et al., 2002 had 11,130 women with the Density classification system BIRADS. The aim was a comparison between screening mammography, physical examination, and ultrasound and evaluation of the factors that affect this.No statistical comparison was completed. Sensitivity results are as follows:&#10;BIRADS 1- sensitivity 98 &#10;BIRADS 2 - sensitivity 82.9&#10;BIRADS 3 - sensitivity 64.4&#10;BIRADS 4- sensitivity 47.8&#10;The study Mandelson, 2000 had 537 women with the Density classification system BIRADS. The aim was the relationship between mammographic breast density and interval cancer risk. No statistical comparison was completed. Sensitivity results are as follows:&#10;BIRADS 1 &amp; 2 - sensitivity 80.3&#10;BIRADS 3 - sensitivity 58.8&#10;BIRADS 4 - sensitivity 30.4&#10;The study Rosenburg et al., 1998 had 109,320 women with a density classification system of BIRADS. The aims included factors affecting screening mammographic sensitivity and cancer stage at diagnosis.No statistical comparison was completed. For BIRADS 1 &amp; 2  there was sensitivity of 85, For BIRADS 3 &amp; 4  there was sensitivity of 68.&#10;The study Kerlikowske et al., 1996 had 28,271 women with the density classification system BIRADS. the aims included the effect of age, breast density and family history on the sensitivity of first screening mammography. Women &lt;50 years had a p=.79, Bi rads = 1 &amp; 2, sensitivity 81.8. BI-RAD 3&amp; 4, sensitivity 85.4. Women &gt;50 years had a p&lt;.01, BI-RAD 1&amp; 2, sensitivity 98.4. BI-RAD 3 &amp; 4, sensitivity 83.7.&#10;"/>
      </w:tblPr>
      <w:tblGrid>
        <w:gridCol w:w="990"/>
        <w:gridCol w:w="980"/>
        <w:gridCol w:w="1076"/>
        <w:gridCol w:w="3729"/>
        <w:gridCol w:w="1820"/>
        <w:gridCol w:w="1803"/>
        <w:gridCol w:w="1792"/>
        <w:gridCol w:w="1806"/>
      </w:tblGrid>
      <w:tr w:rsidR="00A03553" w:rsidRPr="00A03553" w14:paraId="4413F48B" w14:textId="77777777" w:rsidTr="00A03553">
        <w:trPr>
          <w:cnfStyle w:val="100000000000" w:firstRow="1" w:lastRow="0" w:firstColumn="0" w:lastColumn="0" w:oddVBand="0" w:evenVBand="0" w:oddHBand="0" w:evenHBand="0" w:firstRowFirstColumn="0" w:firstRowLastColumn="0" w:lastRowFirstColumn="0" w:lastRowLastColumn="0"/>
          <w:trHeight w:val="300"/>
        </w:trPr>
        <w:tc>
          <w:tcPr>
            <w:tcW w:w="351" w:type="pct"/>
          </w:tcPr>
          <w:p w14:paraId="1322D7DC" w14:textId="43670EDD" w:rsidR="00A03553" w:rsidRPr="00A03553" w:rsidRDefault="00A03553" w:rsidP="00A03553">
            <w:pPr>
              <w:rPr>
                <w:rFonts w:eastAsia="Times New Roman" w:cstheme="majorHAnsi"/>
                <w:bCs/>
                <w:color w:val="000000"/>
                <w:sz w:val="18"/>
                <w:szCs w:val="20"/>
                <w:lang w:eastAsia="en-NZ"/>
              </w:rPr>
            </w:pPr>
            <w:r w:rsidRPr="00A03553">
              <w:rPr>
                <w:rFonts w:eastAsia="Times New Roman" w:cstheme="majorHAnsi"/>
                <w:bCs/>
                <w:color w:val="000000"/>
                <w:sz w:val="18"/>
                <w:szCs w:val="20"/>
                <w:lang w:eastAsia="en-NZ"/>
              </w:rPr>
              <w:t>Study</w:t>
            </w:r>
          </w:p>
        </w:tc>
        <w:tc>
          <w:tcPr>
            <w:tcW w:w="347" w:type="pct"/>
          </w:tcPr>
          <w:p w14:paraId="3ABFC6A0" w14:textId="63B203C8" w:rsidR="00A03553" w:rsidRPr="00A03553" w:rsidRDefault="00A03553" w:rsidP="00A03553">
            <w:pPr>
              <w:rPr>
                <w:rFonts w:eastAsia="Times New Roman" w:cstheme="majorHAnsi"/>
                <w:color w:val="000000"/>
                <w:sz w:val="18"/>
                <w:szCs w:val="20"/>
                <w:lang w:eastAsia="en-NZ"/>
              </w:rPr>
            </w:pPr>
            <w:r w:rsidRPr="00A03553">
              <w:rPr>
                <w:rFonts w:eastAsia="Times New Roman" w:cstheme="majorHAnsi"/>
                <w:color w:val="000000"/>
                <w:sz w:val="18"/>
                <w:szCs w:val="20"/>
                <w:lang w:eastAsia="en-NZ"/>
              </w:rPr>
              <w:t>Number of women</w:t>
            </w:r>
          </w:p>
        </w:tc>
        <w:tc>
          <w:tcPr>
            <w:tcW w:w="381" w:type="pct"/>
          </w:tcPr>
          <w:p w14:paraId="6A33A856" w14:textId="3F480525" w:rsidR="00A03553" w:rsidRPr="00A03553" w:rsidRDefault="00A03553" w:rsidP="00A03553">
            <w:pPr>
              <w:rPr>
                <w:rFonts w:eastAsia="Times New Roman" w:cstheme="majorHAnsi"/>
                <w:color w:val="000000"/>
                <w:sz w:val="18"/>
                <w:szCs w:val="20"/>
                <w:lang w:eastAsia="en-NZ"/>
              </w:rPr>
            </w:pPr>
            <w:r w:rsidRPr="00A03553">
              <w:rPr>
                <w:rFonts w:eastAsia="Times New Roman" w:cstheme="majorHAnsi"/>
                <w:color w:val="000000"/>
                <w:sz w:val="18"/>
                <w:szCs w:val="20"/>
                <w:lang w:eastAsia="en-NZ"/>
              </w:rPr>
              <w:t>Density classification system</w:t>
            </w:r>
          </w:p>
        </w:tc>
        <w:tc>
          <w:tcPr>
            <w:tcW w:w="1334" w:type="pct"/>
          </w:tcPr>
          <w:p w14:paraId="5ACDDEA1" w14:textId="3DEE7382" w:rsidR="00A03553" w:rsidRPr="00A03553" w:rsidRDefault="00A03553" w:rsidP="00A03553">
            <w:pPr>
              <w:rPr>
                <w:rFonts w:eastAsia="Times New Roman" w:cstheme="majorHAnsi"/>
                <w:color w:val="000000"/>
                <w:sz w:val="18"/>
                <w:szCs w:val="20"/>
                <w:lang w:eastAsia="en-NZ"/>
              </w:rPr>
            </w:pPr>
            <w:r w:rsidRPr="00A03553">
              <w:rPr>
                <w:rFonts w:eastAsia="Times New Roman" w:cstheme="majorHAnsi"/>
                <w:color w:val="000000"/>
                <w:sz w:val="18"/>
                <w:szCs w:val="20"/>
                <w:lang w:eastAsia="en-NZ"/>
              </w:rPr>
              <w:t>Aims</w:t>
            </w:r>
          </w:p>
        </w:tc>
        <w:tc>
          <w:tcPr>
            <w:tcW w:w="652" w:type="pct"/>
          </w:tcPr>
          <w:p w14:paraId="26E2BC34" w14:textId="7FD219F7" w:rsidR="00A03553" w:rsidRPr="00A03553" w:rsidRDefault="00A03553" w:rsidP="00A03553">
            <w:pPr>
              <w:rPr>
                <w:rFonts w:eastAsia="Times New Roman" w:cstheme="majorHAnsi"/>
                <w:color w:val="000000"/>
                <w:sz w:val="18"/>
                <w:szCs w:val="20"/>
                <w:lang w:eastAsia="en-NZ"/>
              </w:rPr>
            </w:pPr>
            <w:r w:rsidRPr="00A03553">
              <w:rPr>
                <w:rFonts w:eastAsia="Times New Roman" w:cstheme="majorHAnsi"/>
                <w:color w:val="000000"/>
                <w:sz w:val="18"/>
                <w:szCs w:val="20"/>
                <w:lang w:eastAsia="en-NZ"/>
              </w:rPr>
              <w:t>Sensitivity results</w:t>
            </w:r>
          </w:p>
        </w:tc>
        <w:tc>
          <w:tcPr>
            <w:tcW w:w="646" w:type="pct"/>
          </w:tcPr>
          <w:p w14:paraId="635AD814" w14:textId="77777777" w:rsidR="00A03553" w:rsidRPr="00A03553" w:rsidRDefault="00A03553" w:rsidP="00A03553">
            <w:pPr>
              <w:rPr>
                <w:rFonts w:eastAsia="Times New Roman" w:cstheme="majorHAnsi"/>
                <w:color w:val="000000"/>
                <w:sz w:val="18"/>
                <w:szCs w:val="20"/>
                <w:lang w:eastAsia="en-NZ"/>
              </w:rPr>
            </w:pPr>
          </w:p>
        </w:tc>
        <w:tc>
          <w:tcPr>
            <w:tcW w:w="642" w:type="pct"/>
          </w:tcPr>
          <w:p w14:paraId="2F205228" w14:textId="77777777" w:rsidR="00A03553" w:rsidRPr="00A03553" w:rsidRDefault="00A03553" w:rsidP="00A03553">
            <w:pPr>
              <w:rPr>
                <w:rFonts w:eastAsia="Times New Roman" w:cstheme="majorHAnsi"/>
                <w:bCs/>
                <w:color w:val="000000"/>
                <w:sz w:val="18"/>
                <w:szCs w:val="20"/>
                <w:lang w:eastAsia="en-NZ"/>
              </w:rPr>
            </w:pPr>
          </w:p>
        </w:tc>
        <w:tc>
          <w:tcPr>
            <w:tcW w:w="647" w:type="pct"/>
          </w:tcPr>
          <w:p w14:paraId="05FC88AC" w14:textId="77777777" w:rsidR="00A03553" w:rsidRPr="00A03553" w:rsidRDefault="00A03553" w:rsidP="00A03553">
            <w:pPr>
              <w:rPr>
                <w:rFonts w:eastAsia="Times New Roman" w:cstheme="majorHAnsi"/>
                <w:color w:val="000000"/>
                <w:sz w:val="18"/>
                <w:szCs w:val="20"/>
                <w:lang w:eastAsia="en-NZ"/>
              </w:rPr>
            </w:pPr>
          </w:p>
        </w:tc>
      </w:tr>
      <w:tr w:rsidR="00A03553" w:rsidRPr="003319A6" w14:paraId="6D8311F8" w14:textId="77777777" w:rsidTr="00A03553">
        <w:trPr>
          <w:trHeight w:val="300"/>
        </w:trPr>
        <w:tc>
          <w:tcPr>
            <w:tcW w:w="351" w:type="pct"/>
          </w:tcPr>
          <w:p w14:paraId="4053500D" w14:textId="155F4954"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Chiu et al. (2010)</w:t>
            </w:r>
          </w:p>
        </w:tc>
        <w:tc>
          <w:tcPr>
            <w:tcW w:w="347" w:type="pct"/>
          </w:tcPr>
          <w:p w14:paraId="5732CA47" w14:textId="4B977BD3"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15,658</w:t>
            </w:r>
          </w:p>
        </w:tc>
        <w:tc>
          <w:tcPr>
            <w:tcW w:w="381" w:type="pct"/>
          </w:tcPr>
          <w:p w14:paraId="5286F18A" w14:textId="0A0C507B"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Tabár</w:t>
            </w:r>
          </w:p>
        </w:tc>
        <w:tc>
          <w:tcPr>
            <w:tcW w:w="1334" w:type="pct"/>
          </w:tcPr>
          <w:p w14:paraId="1DED1C9E" w14:textId="416246F6"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Baseline breast density effect on cancer incidence, stage, mortality and the natural course of it</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504B0A3A" w14:textId="7987468C"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Fatty: 82</w:t>
            </w:r>
          </w:p>
        </w:tc>
        <w:tc>
          <w:tcPr>
            <w:tcW w:w="646" w:type="pct"/>
          </w:tcPr>
          <w:p w14:paraId="0A086CA0" w14:textId="02740042" w:rsidR="00A03553" w:rsidRDefault="00A03553" w:rsidP="00A03553">
            <w:pPr>
              <w:jc w:val="both"/>
              <w:rPr>
                <w:rFonts w:eastAsia="Times New Roman" w:cstheme="majorHAnsi"/>
                <w:iCs/>
                <w:color w:val="000000"/>
                <w:sz w:val="18"/>
                <w:szCs w:val="20"/>
                <w:lang w:eastAsia="en-NZ"/>
              </w:rPr>
            </w:pPr>
            <w:r>
              <w:rPr>
                <w:rFonts w:eastAsia="Times New Roman" w:cstheme="majorHAnsi"/>
                <w:color w:val="000000"/>
                <w:sz w:val="18"/>
                <w:szCs w:val="20"/>
                <w:lang w:eastAsia="en-NZ"/>
              </w:rPr>
              <w:t>Dense: 62.8</w:t>
            </w:r>
          </w:p>
        </w:tc>
        <w:tc>
          <w:tcPr>
            <w:tcW w:w="642" w:type="pct"/>
          </w:tcPr>
          <w:p w14:paraId="14A5F452" w14:textId="5CC5BAD7" w:rsidR="00A03553" w:rsidRDefault="00A03553" w:rsidP="00A03553">
            <w:pPr>
              <w:rPr>
                <w:rFonts w:eastAsia="Times New Roman" w:cstheme="majorHAnsi"/>
                <w:color w:val="000000"/>
                <w:sz w:val="18"/>
                <w:szCs w:val="20"/>
                <w:lang w:eastAsia="en-NZ"/>
              </w:rPr>
            </w:pPr>
            <w:r w:rsidRPr="009A688E">
              <w:rPr>
                <w:rFonts w:eastAsia="Times New Roman" w:cstheme="majorHAnsi"/>
                <w:bCs/>
                <w:color w:val="000000"/>
                <w:sz w:val="18"/>
                <w:szCs w:val="20"/>
                <w:lang w:eastAsia="en-NZ"/>
              </w:rPr>
              <w:t>Chiu et al. (2010)</w:t>
            </w:r>
          </w:p>
        </w:tc>
        <w:tc>
          <w:tcPr>
            <w:tcW w:w="647" w:type="pct"/>
          </w:tcPr>
          <w:p w14:paraId="706BAAC4" w14:textId="45FA264E" w:rsidR="00A03553" w:rsidRDefault="00A03553" w:rsidP="00A03553">
            <w:pPr>
              <w:rPr>
                <w:rFonts w:eastAsia="Times New Roman" w:cstheme="majorHAnsi"/>
                <w:sz w:val="18"/>
                <w:szCs w:val="20"/>
                <w:lang w:eastAsia="en-NZ"/>
              </w:rPr>
            </w:pPr>
            <w:r w:rsidRPr="003319A6">
              <w:rPr>
                <w:rFonts w:eastAsia="Times New Roman" w:cstheme="majorHAnsi"/>
                <w:color w:val="000000"/>
                <w:sz w:val="18"/>
                <w:szCs w:val="20"/>
                <w:lang w:eastAsia="en-NZ"/>
              </w:rPr>
              <w:t>15,658</w:t>
            </w:r>
          </w:p>
        </w:tc>
      </w:tr>
      <w:tr w:rsidR="00A03553" w:rsidRPr="003319A6" w14:paraId="4C3C265F" w14:textId="77777777" w:rsidTr="00A03553">
        <w:trPr>
          <w:trHeight w:val="300"/>
        </w:trPr>
        <w:tc>
          <w:tcPr>
            <w:tcW w:w="351" w:type="pct"/>
          </w:tcPr>
          <w:p w14:paraId="089D2789"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Cook et al. (2010)</w:t>
            </w:r>
          </w:p>
        </w:tc>
        <w:tc>
          <w:tcPr>
            <w:tcW w:w="347" w:type="pct"/>
          </w:tcPr>
          <w:p w14:paraId="10026340"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638,947</w:t>
            </w:r>
          </w:p>
        </w:tc>
        <w:tc>
          <w:tcPr>
            <w:tcW w:w="381" w:type="pct"/>
          </w:tcPr>
          <w:p w14:paraId="46A655BB"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7633CBB6"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Impact of women's breast cancer risk factors on radiologists</w:t>
            </w:r>
            <w:r>
              <w:rPr>
                <w:rFonts w:eastAsia="Times New Roman" w:cstheme="majorHAnsi"/>
                <w:color w:val="000000"/>
                <w:sz w:val="18"/>
                <w:szCs w:val="20"/>
                <w:lang w:eastAsia="en-NZ"/>
              </w:rPr>
              <w:t>’</w:t>
            </w:r>
            <w:r w:rsidRPr="003319A6">
              <w:rPr>
                <w:rFonts w:eastAsia="Times New Roman" w:cstheme="majorHAnsi"/>
                <w:color w:val="000000"/>
                <w:sz w:val="18"/>
                <w:szCs w:val="20"/>
                <w:lang w:eastAsia="en-NZ"/>
              </w:rPr>
              <w:t xml:space="preserve"> performance</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3C1AEAB8"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Sensitivity OR</w:t>
            </w:r>
          </w:p>
          <w:p w14:paraId="6FAB7A5E"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1.55</w:t>
            </w:r>
          </w:p>
        </w:tc>
        <w:tc>
          <w:tcPr>
            <w:tcW w:w="646" w:type="pct"/>
          </w:tcPr>
          <w:p w14:paraId="20826D13"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Sensitivity OR</w:t>
            </w:r>
          </w:p>
          <w:p w14:paraId="469F2E5F" w14:textId="77777777" w:rsidR="00A03553" w:rsidRDefault="00A03553" w:rsidP="00A03553">
            <w:pPr>
              <w:jc w:val="both"/>
              <w:rPr>
                <w:rFonts w:eastAsia="Times New Roman" w:cstheme="majorHAnsi"/>
                <w:iCs/>
                <w:color w:val="000000"/>
                <w:sz w:val="18"/>
                <w:szCs w:val="20"/>
                <w:lang w:eastAsia="en-NZ"/>
              </w:rPr>
            </w:pPr>
            <w:r>
              <w:rPr>
                <w:rFonts w:eastAsia="Times New Roman" w:cstheme="majorHAnsi"/>
                <w:iCs/>
                <w:color w:val="000000"/>
                <w:sz w:val="18"/>
                <w:szCs w:val="20"/>
                <w:lang w:eastAsia="en-NZ"/>
              </w:rPr>
              <w:t>BIRADS 2: 1</w:t>
            </w:r>
          </w:p>
        </w:tc>
        <w:tc>
          <w:tcPr>
            <w:tcW w:w="642" w:type="pct"/>
          </w:tcPr>
          <w:p w14:paraId="63C2BC64"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Sensitivity OR</w:t>
            </w:r>
          </w:p>
          <w:p w14:paraId="40C225EA"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0.58</w:t>
            </w:r>
          </w:p>
        </w:tc>
        <w:tc>
          <w:tcPr>
            <w:tcW w:w="647" w:type="pct"/>
          </w:tcPr>
          <w:p w14:paraId="733556D3"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Sensitivity OR</w:t>
            </w:r>
          </w:p>
          <w:p w14:paraId="6050CE2B"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0.29</w:t>
            </w:r>
          </w:p>
        </w:tc>
      </w:tr>
      <w:tr w:rsidR="00A03553" w:rsidRPr="003319A6" w14:paraId="0BD5808B" w14:textId="77777777" w:rsidTr="00A03553">
        <w:trPr>
          <w:trHeight w:val="300"/>
        </w:trPr>
        <w:tc>
          <w:tcPr>
            <w:tcW w:w="351" w:type="pct"/>
          </w:tcPr>
          <w:p w14:paraId="3A98DD75"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Cawson et al. (2009)</w:t>
            </w:r>
          </w:p>
        </w:tc>
        <w:tc>
          <w:tcPr>
            <w:tcW w:w="347" w:type="pct"/>
          </w:tcPr>
          <w:p w14:paraId="1574AE45"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1569</w:t>
            </w:r>
          </w:p>
        </w:tc>
        <w:tc>
          <w:tcPr>
            <w:tcW w:w="381" w:type="pct"/>
          </w:tcPr>
          <w:p w14:paraId="384E3B99" w14:textId="77777777" w:rsidR="00A03553" w:rsidRPr="003319A6"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2C512EB4"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Compar</w:t>
            </w:r>
            <w:r>
              <w:rPr>
                <w:rFonts w:eastAsia="Times New Roman" w:cstheme="majorHAnsi"/>
                <w:color w:val="000000"/>
                <w:sz w:val="18"/>
                <w:szCs w:val="20"/>
                <w:lang w:eastAsia="en-NZ"/>
              </w:rPr>
              <w:t>ison</w:t>
            </w:r>
            <w:r w:rsidRPr="003319A6">
              <w:rPr>
                <w:rFonts w:eastAsia="Times New Roman" w:cstheme="majorHAnsi"/>
                <w:color w:val="000000"/>
                <w:sz w:val="18"/>
                <w:szCs w:val="20"/>
                <w:lang w:eastAsia="en-NZ"/>
              </w:rPr>
              <w:t xml:space="preserve"> </w:t>
            </w:r>
            <w:r>
              <w:rPr>
                <w:rFonts w:eastAsia="Times New Roman" w:cstheme="majorHAnsi"/>
                <w:color w:val="000000"/>
                <w:sz w:val="18"/>
                <w:szCs w:val="20"/>
                <w:lang w:eastAsia="en-NZ"/>
              </w:rPr>
              <w:t xml:space="preserve">of </w:t>
            </w:r>
            <w:r w:rsidRPr="003319A6">
              <w:rPr>
                <w:rFonts w:eastAsia="Times New Roman" w:cstheme="majorHAnsi"/>
                <w:color w:val="000000"/>
                <w:sz w:val="18"/>
                <w:szCs w:val="20"/>
                <w:lang w:eastAsia="en-NZ"/>
              </w:rPr>
              <w:t>current best practice with computer-aided-detection</w:t>
            </w:r>
            <w:r>
              <w:rPr>
                <w:rFonts w:eastAsia="Times New Roman" w:cstheme="majorHAnsi"/>
                <w:color w:val="000000"/>
                <w:sz w:val="18"/>
                <w:szCs w:val="20"/>
                <w:lang w:eastAsia="en-NZ"/>
              </w:rPr>
              <w:t>.</w:t>
            </w:r>
            <w:r w:rsidRPr="003319A6">
              <w:rPr>
                <w:rFonts w:eastAsia="Times New Roman" w:cstheme="majorHAnsi"/>
                <w:color w:val="000000"/>
                <w:sz w:val="18"/>
                <w:szCs w:val="20"/>
                <w:lang w:eastAsia="en-NZ"/>
              </w:rPr>
              <w:t xml:space="preserve"> No statistical comparison was </w:t>
            </w:r>
            <w:r>
              <w:rPr>
                <w:rFonts w:eastAsia="Times New Roman" w:cstheme="majorHAnsi"/>
                <w:color w:val="000000"/>
                <w:sz w:val="18"/>
                <w:szCs w:val="20"/>
                <w:lang w:eastAsia="en-NZ"/>
              </w:rPr>
              <w:t>completed.</w:t>
            </w:r>
          </w:p>
        </w:tc>
        <w:tc>
          <w:tcPr>
            <w:tcW w:w="652" w:type="pct"/>
          </w:tcPr>
          <w:p w14:paraId="41798C3A"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90</w:t>
            </w:r>
          </w:p>
        </w:tc>
        <w:tc>
          <w:tcPr>
            <w:tcW w:w="646" w:type="pct"/>
          </w:tcPr>
          <w:p w14:paraId="6F0568EE" w14:textId="77777777" w:rsidR="00A03553" w:rsidRDefault="00A03553" w:rsidP="00A03553">
            <w:pPr>
              <w:jc w:val="both"/>
              <w:rPr>
                <w:rFonts w:eastAsia="Times New Roman" w:cstheme="majorHAnsi"/>
                <w:iCs/>
                <w:color w:val="000000"/>
                <w:sz w:val="18"/>
                <w:szCs w:val="20"/>
                <w:lang w:eastAsia="en-NZ"/>
              </w:rPr>
            </w:pPr>
            <w:r>
              <w:rPr>
                <w:rFonts w:eastAsia="Times New Roman" w:cstheme="majorHAnsi"/>
                <w:iCs/>
                <w:color w:val="000000"/>
                <w:sz w:val="18"/>
                <w:szCs w:val="20"/>
                <w:lang w:eastAsia="en-NZ"/>
              </w:rPr>
              <w:t>BIRADS 2: 90</w:t>
            </w:r>
          </w:p>
        </w:tc>
        <w:tc>
          <w:tcPr>
            <w:tcW w:w="642" w:type="pct"/>
          </w:tcPr>
          <w:p w14:paraId="3D9766D3"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93</w:t>
            </w:r>
          </w:p>
        </w:tc>
        <w:tc>
          <w:tcPr>
            <w:tcW w:w="647" w:type="pct"/>
          </w:tcPr>
          <w:p w14:paraId="745089EF"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75</w:t>
            </w:r>
          </w:p>
        </w:tc>
      </w:tr>
      <w:tr w:rsidR="00A03553" w:rsidRPr="003319A6" w14:paraId="02072184" w14:textId="77777777" w:rsidTr="00A03553">
        <w:trPr>
          <w:trHeight w:val="300"/>
        </w:trPr>
        <w:tc>
          <w:tcPr>
            <w:tcW w:w="351" w:type="pct"/>
          </w:tcPr>
          <w:p w14:paraId="18B1055A"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Osako et al. (2007)</w:t>
            </w:r>
          </w:p>
        </w:tc>
        <w:tc>
          <w:tcPr>
            <w:tcW w:w="347" w:type="pct"/>
          </w:tcPr>
          <w:p w14:paraId="5A2711A7"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165</w:t>
            </w:r>
          </w:p>
        </w:tc>
        <w:tc>
          <w:tcPr>
            <w:tcW w:w="381" w:type="pct"/>
          </w:tcPr>
          <w:p w14:paraId="27DD2A35" w14:textId="77777777"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 xml:space="preserve">Japanese 4 grading </w:t>
            </w:r>
            <w:r>
              <w:rPr>
                <w:rFonts w:eastAsia="Times New Roman" w:cstheme="majorHAnsi"/>
                <w:color w:val="000000"/>
                <w:sz w:val="18"/>
                <w:szCs w:val="20"/>
                <w:lang w:eastAsia="en-NZ"/>
              </w:rPr>
              <w:t>BIRADS</w:t>
            </w:r>
          </w:p>
        </w:tc>
        <w:tc>
          <w:tcPr>
            <w:tcW w:w="1334" w:type="pct"/>
          </w:tcPr>
          <w:p w14:paraId="6AA8F45D"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Compar</w:t>
            </w:r>
            <w:r>
              <w:rPr>
                <w:rFonts w:eastAsia="Times New Roman" w:cstheme="majorHAnsi"/>
                <w:color w:val="000000"/>
                <w:sz w:val="18"/>
                <w:szCs w:val="20"/>
                <w:lang w:eastAsia="en-NZ"/>
              </w:rPr>
              <w:t>ison</w:t>
            </w:r>
            <w:r w:rsidRPr="003319A6">
              <w:rPr>
                <w:rFonts w:eastAsia="Times New Roman" w:cstheme="majorHAnsi"/>
                <w:color w:val="000000"/>
                <w:sz w:val="18"/>
                <w:szCs w:val="20"/>
                <w:lang w:eastAsia="en-NZ"/>
              </w:rPr>
              <w:t xml:space="preserve"> between ultrasound and mammography for palpable and nonpalpable breast cancer in women aged 30–39 years</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6EB38E11"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100</w:t>
            </w:r>
          </w:p>
        </w:tc>
        <w:tc>
          <w:tcPr>
            <w:tcW w:w="646" w:type="pct"/>
          </w:tcPr>
          <w:p w14:paraId="795E0CCC" w14:textId="77777777" w:rsidR="00A03553" w:rsidRDefault="00A03553" w:rsidP="00A03553">
            <w:pPr>
              <w:jc w:val="both"/>
              <w:rPr>
                <w:rFonts w:eastAsia="Times New Roman" w:cstheme="majorHAnsi"/>
                <w:iCs/>
                <w:color w:val="000000"/>
                <w:sz w:val="18"/>
                <w:szCs w:val="20"/>
                <w:lang w:eastAsia="en-NZ"/>
              </w:rPr>
            </w:pPr>
            <w:r>
              <w:rPr>
                <w:rFonts w:eastAsia="Times New Roman" w:cstheme="majorHAnsi"/>
                <w:iCs/>
                <w:color w:val="000000"/>
                <w:sz w:val="18"/>
                <w:szCs w:val="20"/>
                <w:lang w:eastAsia="en-NZ"/>
              </w:rPr>
              <w:t>BIRADS 2: 100</w:t>
            </w:r>
          </w:p>
        </w:tc>
        <w:tc>
          <w:tcPr>
            <w:tcW w:w="642" w:type="pct"/>
          </w:tcPr>
          <w:p w14:paraId="281DDA3C"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82</w:t>
            </w:r>
          </w:p>
        </w:tc>
        <w:tc>
          <w:tcPr>
            <w:tcW w:w="647" w:type="pct"/>
          </w:tcPr>
          <w:p w14:paraId="1C49E779"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86</w:t>
            </w:r>
          </w:p>
        </w:tc>
      </w:tr>
      <w:tr w:rsidR="00A03553" w:rsidRPr="003319A6" w14:paraId="31071D45" w14:textId="77777777" w:rsidTr="00A03553">
        <w:trPr>
          <w:trHeight w:val="300"/>
        </w:trPr>
        <w:tc>
          <w:tcPr>
            <w:tcW w:w="351" w:type="pct"/>
          </w:tcPr>
          <w:p w14:paraId="2A440E72" w14:textId="40947738"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Osoko et al. (2007)</w:t>
            </w:r>
          </w:p>
        </w:tc>
        <w:tc>
          <w:tcPr>
            <w:tcW w:w="347" w:type="pct"/>
          </w:tcPr>
          <w:p w14:paraId="0FEAEBA2" w14:textId="1AAE7211"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165</w:t>
            </w:r>
          </w:p>
        </w:tc>
        <w:tc>
          <w:tcPr>
            <w:tcW w:w="381" w:type="pct"/>
          </w:tcPr>
          <w:p w14:paraId="425E4C84" w14:textId="315ABE09"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 xml:space="preserve">Japanese 4 grading </w:t>
            </w:r>
            <w:r>
              <w:rPr>
                <w:rFonts w:eastAsia="Times New Roman" w:cstheme="majorHAnsi"/>
                <w:color w:val="000000"/>
                <w:sz w:val="18"/>
                <w:szCs w:val="20"/>
                <w:lang w:eastAsia="en-NZ"/>
              </w:rPr>
              <w:t>BIRADS</w:t>
            </w:r>
          </w:p>
        </w:tc>
        <w:tc>
          <w:tcPr>
            <w:tcW w:w="1334" w:type="pct"/>
          </w:tcPr>
          <w:p w14:paraId="36AA334E" w14:textId="37AB7EBE"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Compar</w:t>
            </w:r>
            <w:r>
              <w:rPr>
                <w:rFonts w:eastAsia="Times New Roman" w:cstheme="majorHAnsi"/>
                <w:color w:val="000000"/>
                <w:sz w:val="18"/>
                <w:szCs w:val="20"/>
                <w:lang w:eastAsia="en-NZ"/>
              </w:rPr>
              <w:t>ison</w:t>
            </w:r>
            <w:r w:rsidRPr="003319A6">
              <w:rPr>
                <w:rFonts w:eastAsia="Times New Roman" w:cstheme="majorHAnsi"/>
                <w:color w:val="000000"/>
                <w:sz w:val="18"/>
                <w:szCs w:val="20"/>
                <w:lang w:eastAsia="en-NZ"/>
              </w:rPr>
              <w:t xml:space="preserve"> between ultrasound and mammography for detecting invasive and non-invasive breast cancer in women aged 30–39 years</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3A7EF886" w14:textId="36808AED"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1&amp;2: 88</w:t>
            </w:r>
          </w:p>
        </w:tc>
        <w:tc>
          <w:tcPr>
            <w:tcW w:w="646" w:type="pct"/>
          </w:tcPr>
          <w:p w14:paraId="34110792" w14:textId="7C5E84CE" w:rsidR="00A03553" w:rsidRDefault="00A03553" w:rsidP="00A03553">
            <w:pPr>
              <w:jc w:val="both"/>
              <w:rPr>
                <w:rFonts w:eastAsia="Times New Roman" w:cstheme="majorHAnsi"/>
                <w:color w:val="000000"/>
                <w:sz w:val="18"/>
                <w:szCs w:val="20"/>
                <w:lang w:eastAsia="en-NZ"/>
              </w:rPr>
            </w:pPr>
            <w:r>
              <w:rPr>
                <w:rFonts w:eastAsia="Times New Roman" w:cstheme="majorHAnsi"/>
                <w:color w:val="000000"/>
                <w:sz w:val="18"/>
                <w:szCs w:val="20"/>
                <w:lang w:eastAsia="en-NZ"/>
              </w:rPr>
              <w:t>BIRADS 3&amp;4: 62</w:t>
            </w:r>
          </w:p>
        </w:tc>
        <w:tc>
          <w:tcPr>
            <w:tcW w:w="642" w:type="pct"/>
          </w:tcPr>
          <w:p w14:paraId="0C5C2C2E" w14:textId="77777777" w:rsidR="00A03553" w:rsidRPr="00400A40" w:rsidRDefault="00A03553" w:rsidP="00A03553">
            <w:pPr>
              <w:rPr>
                <w:rFonts w:eastAsia="Times New Roman" w:cstheme="majorHAnsi"/>
                <w:i/>
                <w:color w:val="000000"/>
                <w:sz w:val="18"/>
                <w:szCs w:val="20"/>
                <w:lang w:eastAsia="en-NZ"/>
              </w:rPr>
            </w:pPr>
          </w:p>
        </w:tc>
        <w:tc>
          <w:tcPr>
            <w:tcW w:w="647" w:type="pct"/>
          </w:tcPr>
          <w:p w14:paraId="4717A6C5" w14:textId="77777777" w:rsidR="00A03553" w:rsidRDefault="00A03553" w:rsidP="00A03553">
            <w:pPr>
              <w:rPr>
                <w:rFonts w:eastAsia="Times New Roman" w:cstheme="majorHAnsi"/>
                <w:sz w:val="18"/>
                <w:szCs w:val="20"/>
                <w:lang w:eastAsia="en-NZ"/>
              </w:rPr>
            </w:pPr>
          </w:p>
        </w:tc>
      </w:tr>
      <w:tr w:rsidR="00A03553" w:rsidRPr="003319A6" w14:paraId="5659812A" w14:textId="77777777" w:rsidTr="00A03553">
        <w:trPr>
          <w:trHeight w:val="300"/>
        </w:trPr>
        <w:tc>
          <w:tcPr>
            <w:tcW w:w="351" w:type="pct"/>
          </w:tcPr>
          <w:p w14:paraId="59B71736"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Kriege et al. (2006)</w:t>
            </w:r>
          </w:p>
        </w:tc>
        <w:tc>
          <w:tcPr>
            <w:tcW w:w="347" w:type="pct"/>
          </w:tcPr>
          <w:p w14:paraId="60025CCA"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1779</w:t>
            </w:r>
          </w:p>
        </w:tc>
        <w:tc>
          <w:tcPr>
            <w:tcW w:w="381" w:type="pct"/>
          </w:tcPr>
          <w:p w14:paraId="55AE99FB" w14:textId="77777777"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 xml:space="preserve">Percent </w:t>
            </w:r>
            <w:r>
              <w:rPr>
                <w:rFonts w:eastAsia="Times New Roman" w:cstheme="majorHAnsi"/>
                <w:color w:val="000000"/>
                <w:sz w:val="18"/>
                <w:szCs w:val="20"/>
                <w:lang w:eastAsia="en-NZ"/>
              </w:rPr>
              <w:t>BIRADS</w:t>
            </w:r>
          </w:p>
        </w:tc>
        <w:tc>
          <w:tcPr>
            <w:tcW w:w="1334" w:type="pct"/>
          </w:tcPr>
          <w:p w14:paraId="265621E7" w14:textId="492A1856"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Factors affecting sensitivity and specificity of screening mammography and MRI in women with an increased risk of breast cancer</w:t>
            </w:r>
            <w:r>
              <w:rPr>
                <w:rFonts w:eastAsia="Times New Roman" w:cstheme="majorHAnsi"/>
                <w:color w:val="000000"/>
                <w:sz w:val="18"/>
                <w:szCs w:val="20"/>
                <w:lang w:eastAsia="en-NZ"/>
              </w:rPr>
              <w:t>.</w:t>
            </w:r>
          </w:p>
        </w:tc>
        <w:tc>
          <w:tcPr>
            <w:tcW w:w="652" w:type="pct"/>
          </w:tcPr>
          <w:p w14:paraId="515F6E16" w14:textId="5119C374"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1&amp;2: 46.7</w:t>
            </w:r>
          </w:p>
        </w:tc>
        <w:tc>
          <w:tcPr>
            <w:tcW w:w="646" w:type="pct"/>
          </w:tcPr>
          <w:p w14:paraId="550F33A8" w14:textId="646C1347" w:rsidR="00A03553" w:rsidRDefault="00A03553" w:rsidP="00A03553">
            <w:pPr>
              <w:jc w:val="both"/>
              <w:rPr>
                <w:rFonts w:eastAsia="Times New Roman" w:cstheme="majorHAnsi"/>
                <w:color w:val="000000"/>
                <w:sz w:val="18"/>
                <w:szCs w:val="20"/>
                <w:lang w:eastAsia="en-NZ"/>
              </w:rPr>
            </w:pPr>
            <w:r>
              <w:rPr>
                <w:rFonts w:eastAsia="Times New Roman" w:cstheme="majorHAnsi"/>
                <w:color w:val="000000"/>
                <w:sz w:val="18"/>
                <w:szCs w:val="20"/>
                <w:lang w:eastAsia="en-NZ"/>
              </w:rPr>
              <w:t>BIRADS 3&amp;4: 37.9</w:t>
            </w:r>
          </w:p>
        </w:tc>
        <w:tc>
          <w:tcPr>
            <w:tcW w:w="642" w:type="pct"/>
          </w:tcPr>
          <w:p w14:paraId="433DA2ED" w14:textId="17AF2446" w:rsidR="00A03553" w:rsidRDefault="00A03553" w:rsidP="00A03553">
            <w:pPr>
              <w:rPr>
                <w:rFonts w:eastAsia="Times New Roman" w:cstheme="majorHAnsi"/>
                <w:color w:val="000000"/>
                <w:sz w:val="18"/>
                <w:szCs w:val="20"/>
                <w:lang w:eastAsia="en-NZ"/>
              </w:rPr>
            </w:pPr>
            <w:r w:rsidRPr="00400A40">
              <w:rPr>
                <w:rFonts w:eastAsia="Times New Roman" w:cstheme="majorHAnsi"/>
                <w:i/>
                <w:color w:val="000000"/>
                <w:sz w:val="18"/>
                <w:szCs w:val="20"/>
                <w:lang w:eastAsia="en-NZ"/>
              </w:rPr>
              <w:t>p</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0.58</w:t>
            </w:r>
          </w:p>
        </w:tc>
        <w:tc>
          <w:tcPr>
            <w:tcW w:w="647" w:type="pct"/>
          </w:tcPr>
          <w:p w14:paraId="2EA03158" w14:textId="16FDFC04" w:rsidR="00A03553" w:rsidRDefault="00A03553" w:rsidP="00A03553">
            <w:pPr>
              <w:rPr>
                <w:rFonts w:eastAsia="Times New Roman" w:cstheme="majorHAnsi"/>
                <w:sz w:val="18"/>
                <w:szCs w:val="20"/>
                <w:lang w:eastAsia="en-NZ"/>
              </w:rPr>
            </w:pPr>
          </w:p>
        </w:tc>
      </w:tr>
      <w:tr w:rsidR="00A03553" w:rsidRPr="003319A6" w14:paraId="077C0BE0" w14:textId="77777777" w:rsidTr="00A03553">
        <w:trPr>
          <w:trHeight w:val="300"/>
        </w:trPr>
        <w:tc>
          <w:tcPr>
            <w:tcW w:w="351" w:type="pct"/>
          </w:tcPr>
          <w:p w14:paraId="6734560C"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Kavanagh et al. (2005)</w:t>
            </w:r>
          </w:p>
        </w:tc>
        <w:tc>
          <w:tcPr>
            <w:tcW w:w="347" w:type="pct"/>
          </w:tcPr>
          <w:p w14:paraId="5DD5EE89" w14:textId="77777777" w:rsidR="00A03553" w:rsidRDefault="00A03553" w:rsidP="00A03553">
            <w:pPr>
              <w:jc w:val="right"/>
              <w:rPr>
                <w:rFonts w:eastAsia="Times New Roman" w:cstheme="majorHAnsi"/>
                <w:color w:val="000000"/>
                <w:sz w:val="18"/>
                <w:szCs w:val="20"/>
                <w:lang w:eastAsia="en-NZ"/>
              </w:rPr>
            </w:pPr>
            <w:r>
              <w:rPr>
                <w:rFonts w:eastAsia="Times New Roman" w:cstheme="majorHAnsi"/>
                <w:color w:val="000000"/>
                <w:sz w:val="18"/>
                <w:szCs w:val="20"/>
                <w:lang w:eastAsia="en-NZ"/>
              </w:rPr>
              <w:t>First round: 1086</w:t>
            </w:r>
          </w:p>
          <w:p w14:paraId="732CF859" w14:textId="77777777" w:rsidR="00A03553" w:rsidRDefault="00A03553" w:rsidP="00A03553">
            <w:pPr>
              <w:jc w:val="right"/>
              <w:rPr>
                <w:rFonts w:eastAsia="Times New Roman" w:cstheme="majorHAnsi"/>
                <w:color w:val="000000"/>
                <w:sz w:val="18"/>
                <w:szCs w:val="20"/>
                <w:lang w:eastAsia="en-NZ"/>
              </w:rPr>
            </w:pPr>
            <w:r>
              <w:rPr>
                <w:rFonts w:eastAsia="Times New Roman" w:cstheme="majorHAnsi"/>
                <w:color w:val="000000"/>
                <w:sz w:val="18"/>
                <w:szCs w:val="20"/>
                <w:lang w:eastAsia="en-NZ"/>
              </w:rPr>
              <w:t>Subsequent round: 471</w:t>
            </w:r>
          </w:p>
          <w:p w14:paraId="1F4074D5" w14:textId="77777777" w:rsidR="00A03553" w:rsidRPr="003319A6" w:rsidRDefault="00A03553" w:rsidP="00A03553">
            <w:pPr>
              <w:jc w:val="right"/>
              <w:rPr>
                <w:rFonts w:eastAsia="Times New Roman" w:cstheme="majorHAnsi"/>
                <w:color w:val="000000"/>
                <w:sz w:val="18"/>
                <w:szCs w:val="20"/>
                <w:lang w:eastAsia="en-NZ"/>
              </w:rPr>
            </w:pPr>
          </w:p>
        </w:tc>
        <w:tc>
          <w:tcPr>
            <w:tcW w:w="381" w:type="pct"/>
          </w:tcPr>
          <w:p w14:paraId="06CEC4A8" w14:textId="77777777"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Cumulus</w:t>
            </w:r>
          </w:p>
        </w:tc>
        <w:tc>
          <w:tcPr>
            <w:tcW w:w="1334" w:type="pct"/>
          </w:tcPr>
          <w:p w14:paraId="455B1A20"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Effect of hormone replacement therapy and mammographic density on mammographic sensitivity</w:t>
            </w:r>
            <w:r>
              <w:rPr>
                <w:rFonts w:eastAsia="Times New Roman" w:cstheme="majorHAnsi"/>
                <w:color w:val="000000"/>
                <w:sz w:val="18"/>
                <w:szCs w:val="20"/>
                <w:lang w:eastAsia="en-NZ"/>
              </w:rPr>
              <w:t>.</w:t>
            </w:r>
            <w:r w:rsidRPr="003319A6">
              <w:rPr>
                <w:rFonts w:eastAsia="Times New Roman" w:cstheme="majorHAnsi"/>
                <w:color w:val="000000"/>
                <w:sz w:val="18"/>
                <w:szCs w:val="20"/>
                <w:lang w:eastAsia="en-NZ"/>
              </w:rPr>
              <w:t xml:space="preserve"> No statistical comparison was </w:t>
            </w:r>
            <w:r>
              <w:rPr>
                <w:rFonts w:eastAsia="Times New Roman" w:cstheme="majorHAnsi"/>
                <w:color w:val="000000"/>
                <w:sz w:val="18"/>
                <w:szCs w:val="20"/>
                <w:lang w:eastAsia="en-NZ"/>
              </w:rPr>
              <w:t>completed.</w:t>
            </w:r>
          </w:p>
        </w:tc>
        <w:tc>
          <w:tcPr>
            <w:tcW w:w="652" w:type="pct"/>
          </w:tcPr>
          <w:p w14:paraId="53062733"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 xml:space="preserve">Percent density: </w:t>
            </w:r>
            <w:r w:rsidRPr="007F7D8D">
              <w:rPr>
                <w:rFonts w:eastAsia="Times New Roman" w:cstheme="majorHAnsi"/>
                <w:color w:val="000000"/>
                <w:sz w:val="18"/>
                <w:szCs w:val="20"/>
                <w:u w:val="single"/>
                <w:lang w:eastAsia="en-NZ"/>
              </w:rPr>
              <w:t>&gt;</w:t>
            </w:r>
            <w:r>
              <w:rPr>
                <w:rFonts w:eastAsia="Times New Roman" w:cstheme="majorHAnsi"/>
                <w:color w:val="000000"/>
                <w:sz w:val="18"/>
                <w:szCs w:val="20"/>
                <w:lang w:eastAsia="en-NZ"/>
              </w:rPr>
              <w:t>0-10%:</w:t>
            </w:r>
            <w:r w:rsidRPr="003319A6">
              <w:rPr>
                <w:rFonts w:eastAsia="Times New Roman" w:cstheme="majorHAnsi"/>
                <w:color w:val="000000"/>
                <w:sz w:val="18"/>
                <w:szCs w:val="20"/>
                <w:lang w:eastAsia="en-NZ"/>
              </w:rPr>
              <w:t xml:space="preserve"> </w:t>
            </w:r>
          </w:p>
          <w:p w14:paraId="2E1AA6BF"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First round: 85.4</w:t>
            </w:r>
          </w:p>
          <w:p w14:paraId="4F7BB159"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Subsequent round: 77.8</w:t>
            </w:r>
          </w:p>
        </w:tc>
        <w:tc>
          <w:tcPr>
            <w:tcW w:w="646" w:type="pct"/>
          </w:tcPr>
          <w:p w14:paraId="574F7381"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Percent density: 10-25%:</w:t>
            </w:r>
          </w:p>
          <w:p w14:paraId="1E0F0357"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First round: 80.2</w:t>
            </w:r>
          </w:p>
          <w:p w14:paraId="40FFF487"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Subsequent round: 70.1</w:t>
            </w:r>
          </w:p>
        </w:tc>
        <w:tc>
          <w:tcPr>
            <w:tcW w:w="642" w:type="pct"/>
          </w:tcPr>
          <w:p w14:paraId="3654A34E"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Percent density: 25-&lt;50%:</w:t>
            </w:r>
          </w:p>
          <w:p w14:paraId="6809AD04"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First round: 60.7</w:t>
            </w:r>
          </w:p>
          <w:p w14:paraId="563F6FCF"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Subsequent round: 60.5</w:t>
            </w:r>
          </w:p>
        </w:tc>
        <w:tc>
          <w:tcPr>
            <w:tcW w:w="647" w:type="pct"/>
          </w:tcPr>
          <w:p w14:paraId="5AB12D9E"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 xml:space="preserve">Percent density: </w:t>
            </w:r>
            <w:r w:rsidRPr="007F7D8D">
              <w:rPr>
                <w:rFonts w:eastAsia="Times New Roman" w:cstheme="majorHAnsi"/>
                <w:color w:val="000000"/>
                <w:sz w:val="18"/>
                <w:szCs w:val="20"/>
                <w:u w:val="single"/>
                <w:lang w:eastAsia="en-NZ"/>
              </w:rPr>
              <w:t>&gt;</w:t>
            </w:r>
            <w:r>
              <w:rPr>
                <w:rFonts w:eastAsia="Times New Roman" w:cstheme="majorHAnsi"/>
                <w:color w:val="000000"/>
                <w:sz w:val="18"/>
                <w:szCs w:val="20"/>
                <w:lang w:eastAsia="en-NZ"/>
              </w:rPr>
              <w:t>50%:</w:t>
            </w:r>
          </w:p>
          <w:p w14:paraId="5A2FE2EF"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First round: 54.8</w:t>
            </w:r>
          </w:p>
          <w:p w14:paraId="7A21D12C"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Subsequent round: 35.3</w:t>
            </w:r>
          </w:p>
        </w:tc>
      </w:tr>
      <w:tr w:rsidR="00A03553" w:rsidRPr="003319A6" w14:paraId="4534364B" w14:textId="77777777" w:rsidTr="00A03553">
        <w:trPr>
          <w:trHeight w:val="300"/>
        </w:trPr>
        <w:tc>
          <w:tcPr>
            <w:tcW w:w="351" w:type="pct"/>
          </w:tcPr>
          <w:p w14:paraId="75AB3790"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lastRenderedPageBreak/>
              <w:t>Berg et al. (2004)</w:t>
            </w:r>
          </w:p>
        </w:tc>
        <w:tc>
          <w:tcPr>
            <w:tcW w:w="347" w:type="pct"/>
          </w:tcPr>
          <w:p w14:paraId="447F8D91"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111</w:t>
            </w:r>
          </w:p>
        </w:tc>
        <w:tc>
          <w:tcPr>
            <w:tcW w:w="381" w:type="pct"/>
          </w:tcPr>
          <w:p w14:paraId="6C66D00F"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3F48CE3A"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 xml:space="preserve">Diagnostic accuracy of mammography, clinical examination, ultrasound and </w:t>
            </w:r>
            <w:r>
              <w:rPr>
                <w:rFonts w:eastAsia="Times New Roman" w:cstheme="majorHAnsi"/>
                <w:color w:val="000000"/>
                <w:sz w:val="18"/>
                <w:szCs w:val="20"/>
                <w:lang w:eastAsia="en-NZ"/>
              </w:rPr>
              <w:t xml:space="preserve">MRI </w:t>
            </w:r>
            <w:r w:rsidRPr="003319A6">
              <w:rPr>
                <w:rFonts w:eastAsia="Times New Roman" w:cstheme="majorHAnsi"/>
                <w:color w:val="000000"/>
                <w:sz w:val="18"/>
                <w:szCs w:val="20"/>
                <w:lang w:eastAsia="en-NZ"/>
              </w:rPr>
              <w:t>in preoperative assessment of breast cancer</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671C6DCC"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100</w:t>
            </w:r>
          </w:p>
        </w:tc>
        <w:tc>
          <w:tcPr>
            <w:tcW w:w="646" w:type="pct"/>
          </w:tcPr>
          <w:p w14:paraId="48AD0612" w14:textId="77777777" w:rsidR="00A03553" w:rsidRDefault="00A03553" w:rsidP="00A03553">
            <w:pPr>
              <w:jc w:val="both"/>
              <w:rPr>
                <w:rFonts w:eastAsia="Times New Roman" w:cstheme="majorHAnsi"/>
                <w:color w:val="000000"/>
                <w:sz w:val="18"/>
                <w:szCs w:val="20"/>
                <w:lang w:eastAsia="en-NZ"/>
              </w:rPr>
            </w:pPr>
            <w:r>
              <w:rPr>
                <w:rFonts w:eastAsia="Times New Roman" w:cstheme="majorHAnsi"/>
                <w:iCs/>
                <w:color w:val="000000"/>
                <w:sz w:val="18"/>
                <w:szCs w:val="20"/>
                <w:lang w:eastAsia="en-NZ"/>
              </w:rPr>
              <w:t>BIRADS 2: 79</w:t>
            </w:r>
          </w:p>
        </w:tc>
        <w:tc>
          <w:tcPr>
            <w:tcW w:w="642" w:type="pct"/>
          </w:tcPr>
          <w:p w14:paraId="30CECE03"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70</w:t>
            </w:r>
          </w:p>
        </w:tc>
        <w:tc>
          <w:tcPr>
            <w:tcW w:w="647" w:type="pct"/>
          </w:tcPr>
          <w:p w14:paraId="08C20B08"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45</w:t>
            </w:r>
          </w:p>
        </w:tc>
      </w:tr>
      <w:tr w:rsidR="00A03553" w:rsidRPr="003319A6" w14:paraId="337A82F7" w14:textId="77777777" w:rsidTr="00A03553">
        <w:trPr>
          <w:trHeight w:val="300"/>
        </w:trPr>
        <w:tc>
          <w:tcPr>
            <w:tcW w:w="351" w:type="pct"/>
          </w:tcPr>
          <w:p w14:paraId="7F13B42F" w14:textId="77777777" w:rsidR="00A03553" w:rsidRPr="009A688E" w:rsidRDefault="00A03553" w:rsidP="00A03553">
            <w:pPr>
              <w:rPr>
                <w:rFonts w:eastAsia="Times New Roman" w:cstheme="majorHAnsi"/>
                <w:color w:val="000000"/>
                <w:sz w:val="18"/>
                <w:szCs w:val="20"/>
                <w:lang w:eastAsia="en-NZ"/>
              </w:rPr>
            </w:pPr>
            <w:r w:rsidRPr="009A688E">
              <w:rPr>
                <w:rFonts w:eastAsia="Times New Roman" w:cstheme="majorHAnsi"/>
                <w:bCs/>
                <w:color w:val="000000"/>
                <w:sz w:val="18"/>
                <w:szCs w:val="20"/>
                <w:lang w:eastAsia="en-NZ"/>
              </w:rPr>
              <w:t xml:space="preserve">Ciatto </w:t>
            </w:r>
          </w:p>
          <w:p w14:paraId="31F47738" w14:textId="77777777" w:rsidR="00A03553" w:rsidRPr="009A688E" w:rsidRDefault="00A03553" w:rsidP="00A03553">
            <w:pPr>
              <w:rPr>
                <w:rFonts w:eastAsia="Times New Roman" w:cstheme="majorHAnsi"/>
                <w:color w:val="000000"/>
                <w:sz w:val="18"/>
                <w:szCs w:val="20"/>
                <w:lang w:eastAsia="en-NZ"/>
              </w:rPr>
            </w:pPr>
            <w:r w:rsidRPr="009A688E">
              <w:rPr>
                <w:rFonts w:eastAsia="Times New Roman" w:cstheme="majorHAnsi"/>
                <w:bCs/>
                <w:color w:val="000000"/>
                <w:sz w:val="18"/>
                <w:szCs w:val="20"/>
                <w:lang w:eastAsia="en-NZ"/>
              </w:rPr>
              <w:t>(2004</w:t>
            </w:r>
            <w:r w:rsidRPr="009A688E">
              <w:rPr>
                <w:rFonts w:eastAsia="Times New Roman" w:cstheme="majorHAnsi"/>
                <w:color w:val="000000"/>
                <w:sz w:val="18"/>
                <w:szCs w:val="20"/>
                <w:lang w:eastAsia="en-NZ"/>
              </w:rPr>
              <w:t>)</w:t>
            </w:r>
          </w:p>
          <w:p w14:paraId="0A8E7AD6" w14:textId="77777777" w:rsidR="00A03553" w:rsidRPr="009A688E" w:rsidRDefault="00A03553" w:rsidP="00A03553">
            <w:pPr>
              <w:rPr>
                <w:rFonts w:eastAsia="Times New Roman" w:cstheme="majorHAnsi"/>
                <w:color w:val="000000"/>
                <w:sz w:val="18"/>
                <w:szCs w:val="20"/>
                <w:lang w:eastAsia="en-NZ"/>
              </w:rPr>
            </w:pPr>
          </w:p>
          <w:p w14:paraId="170B0EE7" w14:textId="77777777" w:rsidR="00A03553" w:rsidRPr="009A688E" w:rsidRDefault="00A03553" w:rsidP="00A03553">
            <w:pPr>
              <w:rPr>
                <w:rFonts w:eastAsia="Times New Roman" w:cstheme="majorHAnsi"/>
                <w:bCs/>
                <w:color w:val="000000"/>
                <w:sz w:val="18"/>
                <w:szCs w:val="20"/>
                <w:lang w:eastAsia="en-NZ"/>
              </w:rPr>
            </w:pPr>
          </w:p>
        </w:tc>
        <w:tc>
          <w:tcPr>
            <w:tcW w:w="347" w:type="pct"/>
          </w:tcPr>
          <w:p w14:paraId="1E477F60"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576</w:t>
            </w:r>
          </w:p>
        </w:tc>
        <w:tc>
          <w:tcPr>
            <w:tcW w:w="381" w:type="pct"/>
          </w:tcPr>
          <w:p w14:paraId="37EE35FB"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4899A930"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Factors decreasing the sensitivity of mammography in young women</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49FC6975"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80</w:t>
            </w:r>
          </w:p>
        </w:tc>
        <w:tc>
          <w:tcPr>
            <w:tcW w:w="646" w:type="pct"/>
          </w:tcPr>
          <w:p w14:paraId="7366913B" w14:textId="77777777" w:rsidR="00A03553" w:rsidRDefault="00A03553" w:rsidP="00A03553">
            <w:pPr>
              <w:jc w:val="both"/>
              <w:rPr>
                <w:rFonts w:eastAsia="Times New Roman" w:cstheme="majorHAnsi"/>
                <w:iCs/>
                <w:color w:val="000000"/>
                <w:sz w:val="18"/>
                <w:szCs w:val="20"/>
                <w:lang w:eastAsia="en-NZ"/>
              </w:rPr>
            </w:pPr>
            <w:r>
              <w:rPr>
                <w:rFonts w:eastAsia="Times New Roman" w:cstheme="majorHAnsi"/>
                <w:iCs/>
                <w:color w:val="000000"/>
                <w:sz w:val="18"/>
                <w:szCs w:val="20"/>
                <w:lang w:eastAsia="en-NZ"/>
              </w:rPr>
              <w:t>BIRADS 2: 80.4</w:t>
            </w:r>
          </w:p>
        </w:tc>
        <w:tc>
          <w:tcPr>
            <w:tcW w:w="642" w:type="pct"/>
          </w:tcPr>
          <w:p w14:paraId="40DE7B92"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58.3</w:t>
            </w:r>
          </w:p>
        </w:tc>
        <w:tc>
          <w:tcPr>
            <w:tcW w:w="647" w:type="pct"/>
          </w:tcPr>
          <w:p w14:paraId="323762B0"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29.2</w:t>
            </w:r>
          </w:p>
        </w:tc>
      </w:tr>
      <w:tr w:rsidR="00A03553" w:rsidRPr="003319A6" w14:paraId="4569D8CF" w14:textId="77777777" w:rsidTr="00A03553">
        <w:trPr>
          <w:trHeight w:val="300"/>
        </w:trPr>
        <w:tc>
          <w:tcPr>
            <w:tcW w:w="351" w:type="pct"/>
          </w:tcPr>
          <w:p w14:paraId="6E3A6C48"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Carney et al. (2003)</w:t>
            </w:r>
          </w:p>
        </w:tc>
        <w:tc>
          <w:tcPr>
            <w:tcW w:w="347" w:type="pct"/>
          </w:tcPr>
          <w:p w14:paraId="5258F5F3"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329,495</w:t>
            </w:r>
          </w:p>
        </w:tc>
        <w:tc>
          <w:tcPr>
            <w:tcW w:w="381" w:type="pct"/>
          </w:tcPr>
          <w:p w14:paraId="39E05C7F"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6F493938"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The relationships between breast density, age, and use of hormone replacement therapy on mammographic accuracy</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67250550"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88.2</w:t>
            </w:r>
          </w:p>
        </w:tc>
        <w:tc>
          <w:tcPr>
            <w:tcW w:w="646" w:type="pct"/>
          </w:tcPr>
          <w:p w14:paraId="1249C487" w14:textId="77777777" w:rsidR="00A03553" w:rsidRDefault="00A03553" w:rsidP="00A03553">
            <w:pPr>
              <w:jc w:val="both"/>
              <w:rPr>
                <w:rFonts w:eastAsia="Times New Roman" w:cstheme="majorHAnsi"/>
                <w:iCs/>
                <w:color w:val="000000"/>
                <w:sz w:val="18"/>
                <w:szCs w:val="20"/>
                <w:lang w:eastAsia="en-NZ"/>
              </w:rPr>
            </w:pPr>
            <w:r>
              <w:rPr>
                <w:rFonts w:eastAsia="Times New Roman" w:cstheme="majorHAnsi"/>
                <w:iCs/>
                <w:color w:val="000000"/>
                <w:sz w:val="18"/>
                <w:szCs w:val="20"/>
                <w:lang w:eastAsia="en-NZ"/>
              </w:rPr>
              <w:t>BIRADS 2: 82.1</w:t>
            </w:r>
          </w:p>
        </w:tc>
        <w:tc>
          <w:tcPr>
            <w:tcW w:w="642" w:type="pct"/>
          </w:tcPr>
          <w:p w14:paraId="33052930"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68.9</w:t>
            </w:r>
          </w:p>
        </w:tc>
        <w:tc>
          <w:tcPr>
            <w:tcW w:w="647" w:type="pct"/>
          </w:tcPr>
          <w:p w14:paraId="6809EE7A"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62.2</w:t>
            </w:r>
          </w:p>
        </w:tc>
      </w:tr>
      <w:tr w:rsidR="00A03553" w:rsidRPr="003319A6" w14:paraId="0002AA48" w14:textId="77777777" w:rsidTr="00A03553">
        <w:trPr>
          <w:trHeight w:val="300"/>
        </w:trPr>
        <w:tc>
          <w:tcPr>
            <w:tcW w:w="351" w:type="pct"/>
          </w:tcPr>
          <w:p w14:paraId="31E0C17C"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Kolb et al. (2002)</w:t>
            </w:r>
          </w:p>
        </w:tc>
        <w:tc>
          <w:tcPr>
            <w:tcW w:w="347" w:type="pct"/>
          </w:tcPr>
          <w:p w14:paraId="166B8F86"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11,130</w:t>
            </w:r>
          </w:p>
        </w:tc>
        <w:tc>
          <w:tcPr>
            <w:tcW w:w="381" w:type="pct"/>
          </w:tcPr>
          <w:p w14:paraId="376DBEDD"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084008CE" w14:textId="77777777"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Comparison between screening mammography, physical examination, and ultrasound and evaluat</w:t>
            </w:r>
            <w:r>
              <w:rPr>
                <w:rFonts w:eastAsia="Times New Roman" w:cstheme="majorHAnsi"/>
                <w:color w:val="000000"/>
                <w:sz w:val="18"/>
                <w:szCs w:val="20"/>
                <w:lang w:eastAsia="en-NZ"/>
              </w:rPr>
              <w:t>ion of</w:t>
            </w:r>
            <w:r w:rsidRPr="003319A6">
              <w:rPr>
                <w:rFonts w:eastAsia="Times New Roman" w:cstheme="majorHAnsi"/>
                <w:color w:val="000000"/>
                <w:sz w:val="18"/>
                <w:szCs w:val="20"/>
                <w:lang w:eastAsia="en-NZ"/>
              </w:rPr>
              <w:t xml:space="preserve"> the factors that affect </w:t>
            </w:r>
            <w:r>
              <w:rPr>
                <w:rFonts w:eastAsia="Times New Roman" w:cstheme="majorHAnsi"/>
                <w:color w:val="000000"/>
                <w:sz w:val="18"/>
                <w:szCs w:val="20"/>
                <w:lang w:eastAsia="en-NZ"/>
              </w:rPr>
              <w:t>this</w:t>
            </w:r>
            <w:r w:rsidRPr="003319A6">
              <w:rPr>
                <w:rFonts w:eastAsia="Times New Roman" w:cstheme="majorHAnsi"/>
                <w:color w:val="000000"/>
                <w:sz w:val="18"/>
                <w:szCs w:val="20"/>
                <w:lang w:eastAsia="en-NZ"/>
              </w:rPr>
              <w:t>.</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1B9E80D5"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 98</w:t>
            </w:r>
          </w:p>
        </w:tc>
        <w:tc>
          <w:tcPr>
            <w:tcW w:w="646" w:type="pct"/>
          </w:tcPr>
          <w:p w14:paraId="2AC1357C" w14:textId="77777777" w:rsidR="00A03553" w:rsidRDefault="00A03553" w:rsidP="00A03553">
            <w:pPr>
              <w:jc w:val="both"/>
              <w:rPr>
                <w:rFonts w:eastAsia="Times New Roman" w:cstheme="majorHAnsi"/>
                <w:iCs/>
                <w:color w:val="000000"/>
                <w:sz w:val="18"/>
                <w:szCs w:val="20"/>
                <w:lang w:eastAsia="en-NZ"/>
              </w:rPr>
            </w:pPr>
            <w:r>
              <w:rPr>
                <w:rFonts w:eastAsia="Times New Roman" w:cstheme="majorHAnsi"/>
                <w:iCs/>
                <w:color w:val="000000"/>
                <w:sz w:val="18"/>
                <w:szCs w:val="20"/>
                <w:lang w:eastAsia="en-NZ"/>
              </w:rPr>
              <w:t>BIRADS 2: 82.9</w:t>
            </w:r>
          </w:p>
        </w:tc>
        <w:tc>
          <w:tcPr>
            <w:tcW w:w="642" w:type="pct"/>
          </w:tcPr>
          <w:p w14:paraId="512DA22C" w14:textId="7777777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3: 64.4</w:t>
            </w:r>
          </w:p>
        </w:tc>
        <w:tc>
          <w:tcPr>
            <w:tcW w:w="647" w:type="pct"/>
          </w:tcPr>
          <w:p w14:paraId="5EB360CD" w14:textId="77777777" w:rsidR="00A03553" w:rsidRDefault="00A03553" w:rsidP="00A03553">
            <w:pPr>
              <w:rPr>
                <w:rFonts w:eastAsia="Times New Roman" w:cstheme="majorHAnsi"/>
                <w:sz w:val="18"/>
                <w:szCs w:val="20"/>
                <w:lang w:eastAsia="en-NZ"/>
              </w:rPr>
            </w:pPr>
            <w:r>
              <w:rPr>
                <w:rFonts w:eastAsia="Times New Roman" w:cstheme="majorHAnsi"/>
                <w:sz w:val="18"/>
                <w:szCs w:val="20"/>
                <w:lang w:eastAsia="en-NZ"/>
              </w:rPr>
              <w:t>BIRADS 4: 47.8</w:t>
            </w:r>
          </w:p>
        </w:tc>
      </w:tr>
      <w:tr w:rsidR="00A03553" w:rsidRPr="003319A6" w14:paraId="5BC5B183" w14:textId="77777777" w:rsidTr="00A03553">
        <w:trPr>
          <w:trHeight w:val="300"/>
        </w:trPr>
        <w:tc>
          <w:tcPr>
            <w:tcW w:w="351" w:type="pct"/>
          </w:tcPr>
          <w:p w14:paraId="31DA442E" w14:textId="77777777"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Mandelson (2000)</w:t>
            </w:r>
          </w:p>
        </w:tc>
        <w:tc>
          <w:tcPr>
            <w:tcW w:w="347" w:type="pct"/>
          </w:tcPr>
          <w:p w14:paraId="1D765F85" w14:textId="7777777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537</w:t>
            </w:r>
          </w:p>
        </w:tc>
        <w:tc>
          <w:tcPr>
            <w:tcW w:w="381" w:type="pct"/>
          </w:tcPr>
          <w:p w14:paraId="613B3DBE" w14:textId="77777777" w:rsidR="00A03553" w:rsidRPr="003319A6"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337B0CDA" w14:textId="36335629"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The relationship between mammographic breast density and interval cancer risk</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12A8DF17" w14:textId="212C7857"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1&amp;2: 80.3</w:t>
            </w:r>
          </w:p>
        </w:tc>
        <w:tc>
          <w:tcPr>
            <w:tcW w:w="646" w:type="pct"/>
          </w:tcPr>
          <w:p w14:paraId="73832B4D" w14:textId="42116A83" w:rsidR="00A03553" w:rsidRDefault="00A03553" w:rsidP="00A03553">
            <w:pPr>
              <w:jc w:val="both"/>
              <w:rPr>
                <w:rFonts w:eastAsia="Times New Roman" w:cstheme="majorHAnsi"/>
                <w:iCs/>
                <w:color w:val="000000"/>
                <w:sz w:val="18"/>
                <w:szCs w:val="20"/>
                <w:lang w:eastAsia="en-NZ"/>
              </w:rPr>
            </w:pPr>
            <w:r>
              <w:rPr>
                <w:rFonts w:eastAsia="Times New Roman" w:cstheme="majorHAnsi"/>
                <w:color w:val="000000"/>
                <w:sz w:val="18"/>
                <w:szCs w:val="20"/>
                <w:lang w:eastAsia="en-NZ"/>
              </w:rPr>
              <w:t xml:space="preserve">BIRADS 3: </w:t>
            </w:r>
            <w:r>
              <w:rPr>
                <w:rFonts w:eastAsia="Times New Roman" w:cstheme="majorHAnsi"/>
                <w:sz w:val="18"/>
                <w:szCs w:val="20"/>
                <w:lang w:eastAsia="en-NZ"/>
              </w:rPr>
              <w:t>58.8</w:t>
            </w:r>
          </w:p>
        </w:tc>
        <w:tc>
          <w:tcPr>
            <w:tcW w:w="642" w:type="pct"/>
          </w:tcPr>
          <w:p w14:paraId="0A2120C9" w14:textId="312FF351"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4: 30.4</w:t>
            </w:r>
          </w:p>
        </w:tc>
        <w:tc>
          <w:tcPr>
            <w:tcW w:w="647" w:type="pct"/>
          </w:tcPr>
          <w:p w14:paraId="33F38394" w14:textId="6F257F3D" w:rsidR="00A03553" w:rsidRDefault="00A03553" w:rsidP="00A03553">
            <w:pPr>
              <w:rPr>
                <w:rFonts w:eastAsia="Times New Roman" w:cstheme="majorHAnsi"/>
                <w:sz w:val="18"/>
                <w:szCs w:val="20"/>
                <w:lang w:eastAsia="en-NZ"/>
              </w:rPr>
            </w:pPr>
          </w:p>
        </w:tc>
      </w:tr>
      <w:tr w:rsidR="00A03553" w:rsidRPr="003319A6" w14:paraId="536B406D" w14:textId="77777777" w:rsidTr="00A03553">
        <w:trPr>
          <w:trHeight w:val="300"/>
        </w:trPr>
        <w:tc>
          <w:tcPr>
            <w:tcW w:w="351" w:type="pct"/>
          </w:tcPr>
          <w:p w14:paraId="65D4DE3B" w14:textId="2AFC7FDF"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Rosenburg et al. (1998)</w:t>
            </w:r>
          </w:p>
        </w:tc>
        <w:tc>
          <w:tcPr>
            <w:tcW w:w="347" w:type="pct"/>
          </w:tcPr>
          <w:p w14:paraId="325E61FD" w14:textId="33C24948"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109,320</w:t>
            </w:r>
          </w:p>
        </w:tc>
        <w:tc>
          <w:tcPr>
            <w:tcW w:w="381" w:type="pct"/>
          </w:tcPr>
          <w:p w14:paraId="69E1F79B" w14:textId="3F821CA2"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1CE4E734" w14:textId="688E4509" w:rsidR="00A03553" w:rsidRPr="003319A6"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Factor</w:t>
            </w:r>
            <w:r>
              <w:rPr>
                <w:rFonts w:eastAsia="Times New Roman" w:cstheme="majorHAnsi"/>
                <w:color w:val="000000"/>
                <w:sz w:val="18"/>
                <w:szCs w:val="20"/>
                <w:lang w:eastAsia="en-NZ"/>
              </w:rPr>
              <w:t>s</w:t>
            </w:r>
            <w:r w:rsidRPr="003319A6">
              <w:rPr>
                <w:rFonts w:eastAsia="Times New Roman" w:cstheme="majorHAnsi"/>
                <w:color w:val="000000"/>
                <w:sz w:val="18"/>
                <w:szCs w:val="20"/>
                <w:lang w:eastAsia="en-NZ"/>
              </w:rPr>
              <w:t xml:space="preserve"> affect</w:t>
            </w:r>
            <w:r>
              <w:rPr>
                <w:rFonts w:eastAsia="Times New Roman" w:cstheme="majorHAnsi"/>
                <w:color w:val="000000"/>
                <w:sz w:val="18"/>
                <w:szCs w:val="20"/>
                <w:lang w:eastAsia="en-NZ"/>
              </w:rPr>
              <w:t>ing</w:t>
            </w:r>
            <w:r w:rsidRPr="003319A6">
              <w:rPr>
                <w:rFonts w:eastAsia="Times New Roman" w:cstheme="majorHAnsi"/>
                <w:color w:val="000000"/>
                <w:sz w:val="18"/>
                <w:szCs w:val="20"/>
                <w:lang w:eastAsia="en-NZ"/>
              </w:rPr>
              <w:t xml:space="preserve"> screening mammographic sensitivity and cancer stage at diagnosis</w:t>
            </w:r>
            <w:r>
              <w:rPr>
                <w:rFonts w:eastAsia="Times New Roman" w:cstheme="majorHAnsi"/>
                <w:color w:val="000000"/>
                <w:sz w:val="18"/>
                <w:szCs w:val="20"/>
                <w:lang w:eastAsia="en-NZ"/>
              </w:rPr>
              <w:t xml:space="preserve">. </w:t>
            </w:r>
            <w:r w:rsidRPr="003319A6">
              <w:rPr>
                <w:rFonts w:eastAsia="Times New Roman" w:cstheme="majorHAnsi"/>
                <w:color w:val="000000"/>
                <w:sz w:val="18"/>
                <w:szCs w:val="20"/>
                <w:lang w:eastAsia="en-NZ"/>
              </w:rPr>
              <w:t xml:space="preserve">No statistical comparison was </w:t>
            </w:r>
            <w:r>
              <w:rPr>
                <w:rFonts w:eastAsia="Times New Roman" w:cstheme="majorHAnsi"/>
                <w:color w:val="000000"/>
                <w:sz w:val="18"/>
                <w:szCs w:val="20"/>
                <w:lang w:eastAsia="en-NZ"/>
              </w:rPr>
              <w:t>completed.</w:t>
            </w:r>
          </w:p>
        </w:tc>
        <w:tc>
          <w:tcPr>
            <w:tcW w:w="652" w:type="pct"/>
          </w:tcPr>
          <w:p w14:paraId="14866CF7" w14:textId="6A0106D4"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 1&amp;2 sensitivity: 85</w:t>
            </w:r>
          </w:p>
        </w:tc>
        <w:tc>
          <w:tcPr>
            <w:tcW w:w="646" w:type="pct"/>
          </w:tcPr>
          <w:p w14:paraId="040F069E" w14:textId="227FBAC7" w:rsidR="00A03553" w:rsidRDefault="00A03553" w:rsidP="00A03553">
            <w:pPr>
              <w:jc w:val="both"/>
              <w:rPr>
                <w:rFonts w:eastAsia="Times New Roman" w:cstheme="majorHAnsi"/>
                <w:color w:val="000000"/>
                <w:sz w:val="18"/>
                <w:szCs w:val="20"/>
                <w:lang w:eastAsia="en-NZ"/>
              </w:rPr>
            </w:pPr>
            <w:r>
              <w:rPr>
                <w:rFonts w:eastAsia="Times New Roman" w:cstheme="majorHAnsi"/>
                <w:color w:val="000000"/>
                <w:sz w:val="18"/>
                <w:szCs w:val="20"/>
                <w:lang w:eastAsia="en-NZ"/>
              </w:rPr>
              <w:t xml:space="preserve">BIRADS 3&amp;4 sensitivity: </w:t>
            </w:r>
            <w:r>
              <w:rPr>
                <w:rFonts w:eastAsia="Times New Roman" w:cstheme="majorHAnsi"/>
                <w:sz w:val="18"/>
                <w:szCs w:val="20"/>
                <w:lang w:eastAsia="en-NZ"/>
              </w:rPr>
              <w:t>68</w:t>
            </w:r>
          </w:p>
        </w:tc>
        <w:tc>
          <w:tcPr>
            <w:tcW w:w="642" w:type="pct"/>
          </w:tcPr>
          <w:p w14:paraId="4F7D886E" w14:textId="41B0B554" w:rsidR="00A03553" w:rsidRDefault="00A03553" w:rsidP="00A03553">
            <w:pPr>
              <w:rPr>
                <w:rFonts w:eastAsia="Times New Roman" w:cstheme="majorHAnsi"/>
                <w:color w:val="000000"/>
                <w:sz w:val="18"/>
                <w:szCs w:val="20"/>
                <w:lang w:eastAsia="en-NZ"/>
              </w:rPr>
            </w:pPr>
          </w:p>
        </w:tc>
        <w:tc>
          <w:tcPr>
            <w:tcW w:w="647" w:type="pct"/>
          </w:tcPr>
          <w:p w14:paraId="1DE7C42C" w14:textId="6985423A" w:rsidR="00A03553" w:rsidRDefault="00A03553" w:rsidP="00A03553">
            <w:pPr>
              <w:rPr>
                <w:rFonts w:eastAsia="Times New Roman" w:cstheme="majorHAnsi"/>
                <w:sz w:val="18"/>
                <w:szCs w:val="20"/>
                <w:lang w:eastAsia="en-NZ"/>
              </w:rPr>
            </w:pPr>
          </w:p>
        </w:tc>
      </w:tr>
      <w:tr w:rsidR="00A03553" w:rsidRPr="003319A6" w14:paraId="7FCAFF9C" w14:textId="77777777" w:rsidTr="00A03553">
        <w:trPr>
          <w:trHeight w:val="300"/>
        </w:trPr>
        <w:tc>
          <w:tcPr>
            <w:tcW w:w="351" w:type="pct"/>
          </w:tcPr>
          <w:p w14:paraId="2A066E9F" w14:textId="3F18F1A0" w:rsidR="00A03553" w:rsidRPr="009A688E" w:rsidRDefault="00A03553" w:rsidP="00A03553">
            <w:pPr>
              <w:rPr>
                <w:rFonts w:eastAsia="Times New Roman" w:cstheme="majorHAnsi"/>
                <w:bCs/>
                <w:color w:val="000000"/>
                <w:sz w:val="18"/>
                <w:szCs w:val="20"/>
                <w:lang w:eastAsia="en-NZ"/>
              </w:rPr>
            </w:pPr>
            <w:r w:rsidRPr="009A688E">
              <w:rPr>
                <w:rFonts w:eastAsia="Times New Roman" w:cstheme="majorHAnsi"/>
                <w:bCs/>
                <w:color w:val="000000"/>
                <w:sz w:val="18"/>
                <w:szCs w:val="20"/>
                <w:lang w:eastAsia="en-NZ"/>
              </w:rPr>
              <w:t>Kerlikowske et al. (1996)</w:t>
            </w:r>
          </w:p>
        </w:tc>
        <w:tc>
          <w:tcPr>
            <w:tcW w:w="347" w:type="pct"/>
          </w:tcPr>
          <w:p w14:paraId="53CE92AB" w14:textId="3AFA6D07" w:rsidR="00A03553" w:rsidRPr="003319A6" w:rsidRDefault="00A03553" w:rsidP="00A03553">
            <w:pPr>
              <w:jc w:val="right"/>
              <w:rPr>
                <w:rFonts w:eastAsia="Times New Roman" w:cstheme="majorHAnsi"/>
                <w:color w:val="000000"/>
                <w:sz w:val="18"/>
                <w:szCs w:val="20"/>
                <w:lang w:eastAsia="en-NZ"/>
              </w:rPr>
            </w:pPr>
            <w:r w:rsidRPr="003319A6">
              <w:rPr>
                <w:rFonts w:eastAsia="Times New Roman" w:cstheme="majorHAnsi"/>
                <w:color w:val="000000"/>
                <w:sz w:val="18"/>
                <w:szCs w:val="20"/>
                <w:lang w:eastAsia="en-NZ"/>
              </w:rPr>
              <w:t>28,271</w:t>
            </w:r>
          </w:p>
        </w:tc>
        <w:tc>
          <w:tcPr>
            <w:tcW w:w="381" w:type="pct"/>
          </w:tcPr>
          <w:p w14:paraId="36DD79D8" w14:textId="34358095" w:rsidR="00A03553" w:rsidRDefault="00A03553" w:rsidP="00A03553">
            <w:pPr>
              <w:rPr>
                <w:rFonts w:eastAsia="Times New Roman" w:cstheme="majorHAnsi"/>
                <w:color w:val="000000"/>
                <w:sz w:val="18"/>
                <w:szCs w:val="20"/>
                <w:lang w:eastAsia="en-NZ"/>
              </w:rPr>
            </w:pPr>
            <w:r>
              <w:rPr>
                <w:rFonts w:eastAsia="Times New Roman" w:cstheme="majorHAnsi"/>
                <w:color w:val="000000"/>
                <w:sz w:val="18"/>
                <w:szCs w:val="20"/>
                <w:lang w:eastAsia="en-NZ"/>
              </w:rPr>
              <w:t>BIRADS</w:t>
            </w:r>
          </w:p>
        </w:tc>
        <w:tc>
          <w:tcPr>
            <w:tcW w:w="1334" w:type="pct"/>
          </w:tcPr>
          <w:p w14:paraId="6517A57D" w14:textId="77777777"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Effect of age, breast density and family history on the sensitivity of first screening mammography</w:t>
            </w:r>
            <w:r>
              <w:rPr>
                <w:rFonts w:eastAsia="Times New Roman" w:cstheme="majorHAnsi"/>
                <w:color w:val="000000"/>
                <w:sz w:val="18"/>
                <w:szCs w:val="20"/>
                <w:lang w:eastAsia="en-NZ"/>
              </w:rPr>
              <w:t>:</w:t>
            </w:r>
          </w:p>
          <w:p w14:paraId="6998377F" w14:textId="3D64F4FF" w:rsidR="00A03553" w:rsidRPr="003319A6" w:rsidRDefault="00A03553" w:rsidP="00A03553">
            <w:pPr>
              <w:rPr>
                <w:rFonts w:eastAsia="Times New Roman" w:cstheme="majorHAnsi"/>
                <w:color w:val="000000"/>
                <w:sz w:val="18"/>
                <w:szCs w:val="20"/>
                <w:lang w:eastAsia="en-NZ"/>
              </w:rPr>
            </w:pPr>
          </w:p>
        </w:tc>
        <w:tc>
          <w:tcPr>
            <w:tcW w:w="652" w:type="pct"/>
          </w:tcPr>
          <w:p w14:paraId="51291842" w14:textId="77777777"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Women &lt;50 years</w:t>
            </w:r>
            <w:r>
              <w:rPr>
                <w:rFonts w:eastAsia="Times New Roman" w:cstheme="majorHAnsi"/>
                <w:color w:val="000000"/>
                <w:sz w:val="18"/>
                <w:szCs w:val="20"/>
                <w:lang w:eastAsia="en-NZ"/>
              </w:rPr>
              <w:t xml:space="preserve"> and BIRADS 1 &amp; 2: 81.8</w:t>
            </w:r>
          </w:p>
          <w:p w14:paraId="0F95EFC9" w14:textId="6213200A" w:rsidR="00A03553" w:rsidRPr="0019321B" w:rsidRDefault="00A03553" w:rsidP="00A03553">
            <w:pPr>
              <w:rPr>
                <w:rFonts w:eastAsia="Times New Roman" w:cstheme="majorHAnsi"/>
                <w:i/>
                <w:color w:val="000000"/>
                <w:sz w:val="18"/>
                <w:szCs w:val="20"/>
                <w:lang w:eastAsia="en-NZ"/>
              </w:rPr>
            </w:pPr>
            <w:r>
              <w:rPr>
                <w:rFonts w:eastAsia="Times New Roman" w:cstheme="majorHAnsi"/>
                <w:i/>
                <w:color w:val="000000"/>
                <w:sz w:val="18"/>
                <w:szCs w:val="20"/>
                <w:lang w:eastAsia="en-NZ"/>
              </w:rPr>
              <w:t>p=.79</w:t>
            </w:r>
          </w:p>
        </w:tc>
        <w:tc>
          <w:tcPr>
            <w:tcW w:w="646" w:type="pct"/>
          </w:tcPr>
          <w:p w14:paraId="061CB409" w14:textId="154AE5EE" w:rsidR="00A03553" w:rsidRDefault="00A03553" w:rsidP="00A03553">
            <w:pPr>
              <w:jc w:val="both"/>
              <w:rPr>
                <w:rFonts w:eastAsia="Times New Roman" w:cstheme="majorHAnsi"/>
                <w:color w:val="000000"/>
                <w:sz w:val="18"/>
                <w:szCs w:val="20"/>
                <w:lang w:eastAsia="en-NZ"/>
              </w:rPr>
            </w:pPr>
            <w:r w:rsidRPr="003319A6">
              <w:rPr>
                <w:rFonts w:eastAsia="Times New Roman" w:cstheme="majorHAnsi"/>
                <w:color w:val="000000"/>
                <w:sz w:val="18"/>
                <w:szCs w:val="20"/>
                <w:lang w:eastAsia="en-NZ"/>
              </w:rPr>
              <w:t>Women &lt;50 years</w:t>
            </w:r>
            <w:r>
              <w:rPr>
                <w:rFonts w:eastAsia="Times New Roman" w:cstheme="majorHAnsi"/>
                <w:color w:val="000000"/>
                <w:sz w:val="18"/>
                <w:szCs w:val="20"/>
                <w:lang w:eastAsia="en-NZ"/>
              </w:rPr>
              <w:t xml:space="preserve"> and BIRADS 3 &amp; 4: 85.4</w:t>
            </w:r>
          </w:p>
        </w:tc>
        <w:tc>
          <w:tcPr>
            <w:tcW w:w="642" w:type="pct"/>
          </w:tcPr>
          <w:p w14:paraId="163371B9" w14:textId="76E9474D"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 xml:space="preserve">Women </w:t>
            </w:r>
            <w:r>
              <w:rPr>
                <w:rFonts w:eastAsia="Times New Roman" w:cstheme="majorHAnsi"/>
                <w:color w:val="000000"/>
                <w:sz w:val="18"/>
                <w:szCs w:val="20"/>
                <w:lang w:eastAsia="en-NZ"/>
              </w:rPr>
              <w:t>&gt;</w:t>
            </w:r>
            <w:r w:rsidRPr="003319A6">
              <w:rPr>
                <w:rFonts w:eastAsia="Times New Roman" w:cstheme="majorHAnsi"/>
                <w:color w:val="000000"/>
                <w:sz w:val="18"/>
                <w:szCs w:val="20"/>
                <w:lang w:eastAsia="en-NZ"/>
              </w:rPr>
              <w:t>50 years</w:t>
            </w:r>
            <w:r>
              <w:rPr>
                <w:rFonts w:eastAsia="Times New Roman" w:cstheme="majorHAnsi"/>
                <w:color w:val="000000"/>
                <w:sz w:val="18"/>
                <w:szCs w:val="20"/>
                <w:lang w:eastAsia="en-NZ"/>
              </w:rPr>
              <w:t xml:space="preserve"> and BIRADS 1 &amp; 2: 98.4</w:t>
            </w:r>
          </w:p>
        </w:tc>
        <w:tc>
          <w:tcPr>
            <w:tcW w:w="647" w:type="pct"/>
          </w:tcPr>
          <w:p w14:paraId="31ED49C4" w14:textId="77777777" w:rsidR="00A03553" w:rsidRDefault="00A03553" w:rsidP="00A03553">
            <w:pPr>
              <w:rPr>
                <w:rFonts w:eastAsia="Times New Roman" w:cstheme="majorHAnsi"/>
                <w:color w:val="000000"/>
                <w:sz w:val="18"/>
                <w:szCs w:val="20"/>
                <w:lang w:eastAsia="en-NZ"/>
              </w:rPr>
            </w:pPr>
            <w:r w:rsidRPr="003319A6">
              <w:rPr>
                <w:rFonts w:eastAsia="Times New Roman" w:cstheme="majorHAnsi"/>
                <w:color w:val="000000"/>
                <w:sz w:val="18"/>
                <w:szCs w:val="20"/>
                <w:lang w:eastAsia="en-NZ"/>
              </w:rPr>
              <w:t xml:space="preserve">Women </w:t>
            </w:r>
            <w:r>
              <w:rPr>
                <w:rFonts w:eastAsia="Times New Roman" w:cstheme="majorHAnsi"/>
                <w:color w:val="000000"/>
                <w:sz w:val="18"/>
                <w:szCs w:val="20"/>
                <w:lang w:eastAsia="en-NZ"/>
              </w:rPr>
              <w:t>&gt;</w:t>
            </w:r>
            <w:r w:rsidRPr="003319A6">
              <w:rPr>
                <w:rFonts w:eastAsia="Times New Roman" w:cstheme="majorHAnsi"/>
                <w:color w:val="000000"/>
                <w:sz w:val="18"/>
                <w:szCs w:val="20"/>
                <w:lang w:eastAsia="en-NZ"/>
              </w:rPr>
              <w:t>50 years</w:t>
            </w:r>
            <w:r>
              <w:rPr>
                <w:rFonts w:eastAsia="Times New Roman" w:cstheme="majorHAnsi"/>
                <w:color w:val="000000"/>
                <w:sz w:val="18"/>
                <w:szCs w:val="20"/>
                <w:lang w:eastAsia="en-NZ"/>
              </w:rPr>
              <w:t xml:space="preserve"> and BIRADS 3 &amp; 4: 83.7</w:t>
            </w:r>
          </w:p>
          <w:p w14:paraId="4E9E7F60" w14:textId="639FFEFA" w:rsidR="00A03553" w:rsidRPr="0019321B" w:rsidRDefault="00A03553" w:rsidP="00A03553">
            <w:pPr>
              <w:rPr>
                <w:rFonts w:eastAsia="Times New Roman" w:cstheme="majorHAnsi"/>
                <w:sz w:val="18"/>
                <w:szCs w:val="20"/>
                <w:lang w:eastAsia="en-NZ"/>
              </w:rPr>
            </w:pPr>
            <w:r>
              <w:rPr>
                <w:rFonts w:eastAsia="Times New Roman" w:cstheme="majorHAnsi"/>
                <w:i/>
                <w:sz w:val="18"/>
                <w:szCs w:val="20"/>
                <w:lang w:eastAsia="en-NZ"/>
              </w:rPr>
              <w:t>P</w:t>
            </w:r>
            <w:r>
              <w:rPr>
                <w:rFonts w:eastAsia="Times New Roman" w:cstheme="majorHAnsi"/>
                <w:sz w:val="18"/>
                <w:szCs w:val="20"/>
                <w:lang w:eastAsia="en-NZ"/>
              </w:rPr>
              <w:t>&lt;.01</w:t>
            </w:r>
          </w:p>
        </w:tc>
      </w:tr>
    </w:tbl>
    <w:p w14:paraId="1DDA2387" w14:textId="77777777" w:rsidR="003A536A" w:rsidRDefault="003A536A" w:rsidP="003A536A">
      <w:pPr>
        <w:pStyle w:val="BodyText"/>
        <w:spacing w:before="40" w:after="40"/>
      </w:pPr>
    </w:p>
    <w:p w14:paraId="5491B853" w14:textId="4D40ECD2" w:rsidR="00CD5890" w:rsidRDefault="00CD5890" w:rsidP="00CD5890">
      <w:pPr>
        <w:pStyle w:val="BodyText"/>
        <w:rPr>
          <w:highlight w:val="green"/>
        </w:rPr>
        <w:sectPr w:rsidR="00CD5890" w:rsidSect="00007037">
          <w:headerReference w:type="default" r:id="rId25"/>
          <w:footerReference w:type="even" r:id="rId26"/>
          <w:footerReference w:type="default" r:id="rId27"/>
          <w:pgSz w:w="16839" w:h="11907" w:orient="landscape" w:code="9"/>
          <w:pgMar w:top="1418" w:right="1418" w:bottom="1418" w:left="1418" w:header="964" w:footer="964" w:gutter="0"/>
          <w:cols w:space="708"/>
          <w:docGrid w:linePitch="360"/>
        </w:sectPr>
      </w:pPr>
    </w:p>
    <w:p w14:paraId="75593086" w14:textId="77777777" w:rsidR="00EB35FA" w:rsidRDefault="00EB35FA" w:rsidP="00EB35FA">
      <w:pPr>
        <w:pStyle w:val="NumberedHeading2"/>
      </w:pPr>
      <w:bookmarkStart w:id="51" w:name="_Toc518922201"/>
      <w:r w:rsidRPr="00126B6A">
        <w:lastRenderedPageBreak/>
        <w:t>Risk of breast cancer: the association with breast density</w:t>
      </w:r>
      <w:bookmarkEnd w:id="51"/>
    </w:p>
    <w:p w14:paraId="79A785DA" w14:textId="7660B576" w:rsidR="00EB35FA" w:rsidRDefault="00EB35FA" w:rsidP="00EB35FA">
      <w:pPr>
        <w:pStyle w:val="BodyText"/>
      </w:pPr>
      <w:r w:rsidRPr="00937D38">
        <w:t xml:space="preserve">The mechanisms </w:t>
      </w:r>
      <w:r w:rsidR="003E5009">
        <w:t>by</w:t>
      </w:r>
      <w:r w:rsidRPr="00937D38">
        <w:t xml:space="preserve"> which breast density affects breast cancer risk are not fully understood. </w:t>
      </w:r>
      <w:r>
        <w:t>We know that d</w:t>
      </w:r>
      <w:r w:rsidRPr="00937D38">
        <w:t xml:space="preserve">ensity reflects the proportion of </w:t>
      </w:r>
      <w:r w:rsidR="00E219CB">
        <w:t>fibroglandular</w:t>
      </w:r>
      <w:r w:rsidRPr="00937D38">
        <w:t xml:space="preserve"> tissue in the breast as opposed to non-dense fatty tissue. </w:t>
      </w:r>
      <w:r w:rsidR="00E219CB">
        <w:t>Furthermore, b</w:t>
      </w:r>
      <w:r w:rsidRPr="00937D38">
        <w:t xml:space="preserve">reast cancers originate in </w:t>
      </w:r>
      <w:r w:rsidR="00E219CB">
        <w:t xml:space="preserve">fibroglandular tissue (specifically in </w:t>
      </w:r>
      <w:r w:rsidRPr="00937D38">
        <w:t>epithelial cells</w:t>
      </w:r>
      <w:r w:rsidR="00E219CB">
        <w:t>)</w:t>
      </w:r>
      <w:r w:rsidRPr="00937D38">
        <w:t xml:space="preserve">, so greater areas of fibroglandular tissue may reflect a greater number of cells that are at risk of carcinogenesis and/or an increased rate of epithelial proliferation (Boyd et al., 2005). It is </w:t>
      </w:r>
      <w:r>
        <w:t xml:space="preserve">also </w:t>
      </w:r>
      <w:r w:rsidRPr="00937D38">
        <w:t xml:space="preserve">plausible that many of the established breast cancer risk factors influence risk through their effect on density. </w:t>
      </w:r>
      <w:r>
        <w:t xml:space="preserve">For example, </w:t>
      </w:r>
      <w:r w:rsidR="00592E99">
        <w:t>as</w:t>
      </w:r>
      <w:r w:rsidR="00B03C55">
        <w:t xml:space="preserve"> BMI increase</w:t>
      </w:r>
      <w:r w:rsidR="003E5009">
        <w:t>s</w:t>
      </w:r>
      <w:r w:rsidR="00B03C55">
        <w:t xml:space="preserve">, </w:t>
      </w:r>
      <w:r w:rsidR="003E5009">
        <w:t xml:space="preserve">only </w:t>
      </w:r>
      <w:r w:rsidR="00B03C55">
        <w:t>the amount of fat (non-dense tissue) in the breast increases or</w:t>
      </w:r>
      <w:r w:rsidR="00C032EF">
        <w:t xml:space="preserve"> the non-dense tissue</w:t>
      </w:r>
      <w:r w:rsidR="00B03C55">
        <w:t xml:space="preserve"> increases at a greater rate than the dense tissue. Consequently, while the absolute area of dense tissue remains the same, the total breast area increases, and the </w:t>
      </w:r>
      <w:r w:rsidR="00893AA8">
        <w:t>percent density</w:t>
      </w:r>
      <w:r w:rsidR="00B03C55">
        <w:t xml:space="preserve"> </w:t>
      </w:r>
      <w:r w:rsidR="00B03C55" w:rsidRPr="00A56081">
        <w:t>d</w:t>
      </w:r>
      <w:r w:rsidR="00A56081" w:rsidRPr="00A56081">
        <w:t>ecreases</w:t>
      </w:r>
      <w:r w:rsidR="00A56081">
        <w:t xml:space="preserve"> (Vachon et al., 2000)</w:t>
      </w:r>
      <w:r w:rsidRPr="00A56081">
        <w:t>.</w:t>
      </w:r>
      <w:r w:rsidR="00132FEC">
        <w:t xml:space="preserve"> These potential causal pathways between breast density and breast cancer raise the risk of developing breast cancer through cumulative exposure to breast density over the lifetime.</w:t>
      </w:r>
    </w:p>
    <w:p w14:paraId="2AC70218" w14:textId="7239393B" w:rsidR="00592E99" w:rsidRDefault="00592E99" w:rsidP="00EB35FA">
      <w:pPr>
        <w:pStyle w:val="BodyText"/>
      </w:pPr>
      <w:r>
        <w:t xml:space="preserve">Boyd et al. </w:t>
      </w:r>
      <w:r w:rsidR="00D34288">
        <w:t>(</w:t>
      </w:r>
      <w:r>
        <w:t>200</w:t>
      </w:r>
      <w:r w:rsidR="00DF49B8">
        <w:t>7</w:t>
      </w:r>
      <w:r w:rsidR="00D34288">
        <w:t>)</w:t>
      </w:r>
      <w:r>
        <w:t xml:space="preserve"> noted that the decline of density with age parallels that of the rate of breast tissue aging in a model proposed by Pike et al</w:t>
      </w:r>
      <w:r w:rsidR="000F7823">
        <w:t>.</w:t>
      </w:r>
      <w:r>
        <w:t xml:space="preserve"> </w:t>
      </w:r>
      <w:r w:rsidR="000F7823">
        <w:t>(</w:t>
      </w:r>
      <w:r>
        <w:t>1983</w:t>
      </w:r>
      <w:r w:rsidR="000F7823">
        <w:t>)</w:t>
      </w:r>
      <w:r>
        <w:t xml:space="preserve"> to explain the age-incidence curve of breast cancer. In this model, the age-specific rate of breast tissue aging is high between menarche and age at first birth, drops slightly after pregnancies and </w:t>
      </w:r>
      <w:r w:rsidR="00737B1F">
        <w:t xml:space="preserve">then </w:t>
      </w:r>
      <w:r>
        <w:t xml:space="preserve">considerably after the menopause. Breast cancer incidence rates are related to breast tissue age, which means age could potentially be used as a proxy measure for density. </w:t>
      </w:r>
    </w:p>
    <w:p w14:paraId="2FA81CF9" w14:textId="40B432FB" w:rsidR="008768DE" w:rsidRPr="008768DE" w:rsidRDefault="008768DE" w:rsidP="00C00DD8">
      <w:pPr>
        <w:pStyle w:val="BodyText"/>
      </w:pPr>
      <w:r w:rsidRPr="008768DE">
        <w:t xml:space="preserve">Our inclusion criteria for the association between breast density and the risk of breast cancer was </w:t>
      </w:r>
      <w:r w:rsidR="00202000">
        <w:t xml:space="preserve">limited to </w:t>
      </w:r>
      <w:r w:rsidRPr="008768DE">
        <w:t>systematic</w:t>
      </w:r>
      <w:r w:rsidR="00202000">
        <w:t xml:space="preserve"> and narrative</w:t>
      </w:r>
      <w:r w:rsidRPr="008768DE">
        <w:t xml:space="preserve"> reviews</w:t>
      </w:r>
      <w:r w:rsidR="00202000">
        <w:t>, RCTs and prospective cohort or case-control studies</w:t>
      </w:r>
      <w:r w:rsidR="008524B4">
        <w:t>.</w:t>
      </w:r>
      <w:r w:rsidRPr="008768DE">
        <w:t xml:space="preserve"> We identified </w:t>
      </w:r>
      <w:r w:rsidR="00300114">
        <w:t>four</w:t>
      </w:r>
      <w:r w:rsidRPr="008768DE">
        <w:t xml:space="preserve"> systematic reviews (covering 31 </w:t>
      </w:r>
      <w:r w:rsidR="008524B4">
        <w:t>studies</w:t>
      </w:r>
      <w:r w:rsidRPr="008768DE">
        <w:t>)</w:t>
      </w:r>
      <w:r w:rsidR="00202000">
        <w:t xml:space="preserve">, </w:t>
      </w:r>
      <w:r w:rsidR="00300114">
        <w:t>three</w:t>
      </w:r>
      <w:r w:rsidRPr="008768DE">
        <w:t xml:space="preserve"> narrative literature reviews (covering 166 studies)</w:t>
      </w:r>
      <w:r w:rsidR="00202000">
        <w:t xml:space="preserve"> and 15 prospective cohort or case-control studies</w:t>
      </w:r>
      <w:r w:rsidRPr="008768DE">
        <w:t xml:space="preserve"> </w:t>
      </w:r>
      <w:r w:rsidR="00202000">
        <w:t>that</w:t>
      </w:r>
      <w:r w:rsidRPr="008768DE">
        <w:t xml:space="preserve"> reported on ways to measure and validate breast density.</w:t>
      </w:r>
      <w:r w:rsidR="009F0797">
        <w:t xml:space="preserve"> </w:t>
      </w:r>
    </w:p>
    <w:p w14:paraId="5F6C5685" w14:textId="77777777" w:rsidR="008768DE" w:rsidRPr="008768DE" w:rsidRDefault="008768DE" w:rsidP="00491761">
      <w:pPr>
        <w:pStyle w:val="BodyText"/>
        <w:ind w:firstLine="720"/>
        <w:rPr>
          <w:rFonts w:asciiTheme="majorHAnsi" w:hAnsiTheme="majorHAnsi" w:cstheme="majorHAnsi"/>
          <w:b/>
          <w:color w:val="36424A" w:themeColor="text2"/>
          <w:sz w:val="24"/>
        </w:rPr>
      </w:pPr>
      <w:r w:rsidRPr="008768DE">
        <w:rPr>
          <w:rFonts w:asciiTheme="majorHAnsi" w:hAnsiTheme="majorHAnsi" w:cstheme="majorHAnsi"/>
          <w:b/>
          <w:color w:val="36424A" w:themeColor="text2"/>
          <w:sz w:val="24"/>
        </w:rPr>
        <w:t>Systematic reviews</w:t>
      </w:r>
    </w:p>
    <w:p w14:paraId="5A4012E4" w14:textId="42B21764" w:rsidR="008768DE" w:rsidRPr="008768DE" w:rsidRDefault="00491761" w:rsidP="00491761">
      <w:pPr>
        <w:pStyle w:val="BodyText"/>
        <w:ind w:left="720"/>
      </w:pPr>
      <w:r>
        <w:t xml:space="preserve">Four reviews: </w:t>
      </w:r>
      <w:r w:rsidRPr="008768DE">
        <w:t xml:space="preserve">Bae </w:t>
      </w:r>
      <w:r w:rsidR="006D65FE">
        <w:t>and Kim</w:t>
      </w:r>
      <w:r w:rsidRPr="008768DE">
        <w:t xml:space="preserve"> </w:t>
      </w:r>
      <w:r>
        <w:t>(</w:t>
      </w:r>
      <w:r w:rsidRPr="008768DE">
        <w:t>2016</w:t>
      </w:r>
      <w:r>
        <w:t>)</w:t>
      </w:r>
      <w:r w:rsidRPr="008768DE">
        <w:t xml:space="preserve">; Petterson et al. </w:t>
      </w:r>
      <w:r>
        <w:t>(</w:t>
      </w:r>
      <w:r w:rsidRPr="008768DE">
        <w:t>2014</w:t>
      </w:r>
      <w:r>
        <w:t>)</w:t>
      </w:r>
      <w:r w:rsidRPr="008768DE">
        <w:t xml:space="preserve">; </w:t>
      </w:r>
      <w:r w:rsidR="008768DE" w:rsidRPr="008768DE">
        <w:t xml:space="preserve">Bertrand et al. </w:t>
      </w:r>
      <w:r>
        <w:t>(</w:t>
      </w:r>
      <w:r w:rsidR="008768DE" w:rsidRPr="008768DE">
        <w:t>2013</w:t>
      </w:r>
      <w:r>
        <w:t>)</w:t>
      </w:r>
      <w:r w:rsidR="008768DE" w:rsidRPr="008768DE">
        <w:t xml:space="preserve">; Yankaskas et al. </w:t>
      </w:r>
      <w:r>
        <w:t>(</w:t>
      </w:r>
      <w:r w:rsidR="008768DE" w:rsidRPr="008768DE">
        <w:t>2010</w:t>
      </w:r>
      <w:r>
        <w:t>)</w:t>
      </w:r>
    </w:p>
    <w:p w14:paraId="6721A837" w14:textId="77777777" w:rsidR="008768DE" w:rsidRPr="008768DE" w:rsidRDefault="008768DE" w:rsidP="00491761">
      <w:pPr>
        <w:pStyle w:val="BodyText"/>
        <w:ind w:left="720"/>
        <w:rPr>
          <w:rFonts w:asciiTheme="majorHAnsi" w:hAnsiTheme="majorHAnsi" w:cstheme="majorHAnsi"/>
          <w:b/>
          <w:color w:val="36424A" w:themeColor="text2"/>
          <w:sz w:val="24"/>
        </w:rPr>
      </w:pPr>
      <w:r w:rsidRPr="008768DE">
        <w:rPr>
          <w:rFonts w:asciiTheme="majorHAnsi" w:hAnsiTheme="majorHAnsi" w:cstheme="majorHAnsi"/>
          <w:b/>
          <w:color w:val="36424A" w:themeColor="text2"/>
          <w:sz w:val="24"/>
        </w:rPr>
        <w:t>Narrative literature reviews</w:t>
      </w:r>
    </w:p>
    <w:p w14:paraId="113F3BB2" w14:textId="41FB9FDA" w:rsidR="008768DE" w:rsidRDefault="00491761" w:rsidP="00491761">
      <w:pPr>
        <w:pStyle w:val="BodyText"/>
        <w:ind w:left="720"/>
      </w:pPr>
      <w:r>
        <w:t xml:space="preserve">Three reviews: </w:t>
      </w:r>
      <w:r w:rsidRPr="008768DE">
        <w:t xml:space="preserve">Hooley </w:t>
      </w:r>
      <w:r>
        <w:t>(</w:t>
      </w:r>
      <w:r w:rsidRPr="008768DE">
        <w:t>2017</w:t>
      </w:r>
      <w:r>
        <w:t xml:space="preserve">); </w:t>
      </w:r>
      <w:r w:rsidR="008768DE" w:rsidRPr="008768DE">
        <w:t xml:space="preserve">Huo et al. </w:t>
      </w:r>
      <w:r>
        <w:t>(</w:t>
      </w:r>
      <w:r w:rsidR="008768DE" w:rsidRPr="008768DE">
        <w:t>2014</w:t>
      </w:r>
      <w:r>
        <w:t>)</w:t>
      </w:r>
      <w:r w:rsidR="008768DE" w:rsidRPr="008768DE">
        <w:t xml:space="preserve">; </w:t>
      </w:r>
      <w:r w:rsidRPr="008768DE">
        <w:t xml:space="preserve">Colin et al. </w:t>
      </w:r>
      <w:r>
        <w:t>(</w:t>
      </w:r>
      <w:r w:rsidRPr="008768DE">
        <w:t>2013</w:t>
      </w:r>
      <w:r>
        <w:t>)</w:t>
      </w:r>
    </w:p>
    <w:p w14:paraId="714267B0" w14:textId="231A0086" w:rsidR="003908AD" w:rsidRPr="008768DE" w:rsidRDefault="003908AD" w:rsidP="003908AD">
      <w:pPr>
        <w:pStyle w:val="BodyText"/>
        <w:ind w:left="720"/>
        <w:rPr>
          <w:rFonts w:asciiTheme="majorHAnsi" w:hAnsiTheme="majorHAnsi" w:cstheme="majorHAnsi"/>
          <w:b/>
          <w:color w:val="36424A" w:themeColor="text2"/>
          <w:sz w:val="24"/>
        </w:rPr>
      </w:pPr>
      <w:r>
        <w:rPr>
          <w:rFonts w:asciiTheme="majorHAnsi" w:hAnsiTheme="majorHAnsi" w:cstheme="majorHAnsi"/>
          <w:b/>
          <w:color w:val="36424A" w:themeColor="text2"/>
          <w:sz w:val="24"/>
        </w:rPr>
        <w:t>Prospective cohort or case-control studies</w:t>
      </w:r>
    </w:p>
    <w:p w14:paraId="6D304E8D" w14:textId="5DBFCD30" w:rsidR="003908AD" w:rsidRDefault="003908AD" w:rsidP="003908AD">
      <w:pPr>
        <w:pStyle w:val="BodyText"/>
        <w:ind w:left="720"/>
      </w:pPr>
      <w:r>
        <w:t>Fifteen studies: Assi et al. (2015); Chowdhury et al. (2018); Habel et al. (2016); Kerlikowske et al. (2017); Krishnan et al. (2016); Krishnan et al. (2017); Masala et al. (2017); Maskarinec et al. (2017); Nguyen et al. (2015); Nguyen et al. (2017); Park et al. (2018); Rice et al. (2016); Trieu et al. (2017); Yaghjyan et al. (2015a); Yaghjyan et al. (2015b)</w:t>
      </w:r>
    </w:p>
    <w:p w14:paraId="66E926D5" w14:textId="77777777" w:rsidR="00403BDB" w:rsidRDefault="00BD439F" w:rsidP="00B30F96">
      <w:pPr>
        <w:pStyle w:val="BodyText"/>
      </w:pPr>
      <w:r>
        <w:t>There is evidence that breast density is a risk factor for breast cancer (although much of this evidence predate</w:t>
      </w:r>
      <w:r w:rsidR="00C032EF">
        <w:t>s</w:t>
      </w:r>
      <w:r>
        <w:t xml:space="preserve"> the literature search undertaken in this review). There is strong evidence that breast density changes with ageing</w:t>
      </w:r>
      <w:r w:rsidR="00887A38">
        <w:t>;</w:t>
      </w:r>
      <w:r>
        <w:t xml:space="preserve"> however, there is weak evidence as to how this is associated with cancer risk. There is moderate evidence that breast density differs due to genetic variation and ethnicity. There is some evidence that density is associated with different biological factors such as receptor subtypes.</w:t>
      </w:r>
      <w:r w:rsidR="00B30F96">
        <w:t xml:space="preserve"> </w:t>
      </w:r>
    </w:p>
    <w:p w14:paraId="6D735ACC" w14:textId="77777777" w:rsidR="00403BDB" w:rsidRDefault="00403BDB">
      <w:r>
        <w:br w:type="page"/>
      </w:r>
    </w:p>
    <w:p w14:paraId="46D66EAE" w14:textId="1983B995" w:rsidR="00B30F96" w:rsidRDefault="00B30F96" w:rsidP="00B30F96">
      <w:pPr>
        <w:pStyle w:val="BodyText"/>
      </w:pPr>
      <w:r>
        <w:lastRenderedPageBreak/>
        <w:t>In this section, we discuss:</w:t>
      </w:r>
    </w:p>
    <w:p w14:paraId="2B60D7F6" w14:textId="77777777" w:rsidR="00B30F96" w:rsidRPr="00AD1026" w:rsidRDefault="00B30F96" w:rsidP="00B30F96">
      <w:pPr>
        <w:pStyle w:val="List-BulletLvl1"/>
      </w:pPr>
      <w:r w:rsidRPr="008C1846">
        <w:t xml:space="preserve">McCormack and dos Santos Silva’s </w:t>
      </w:r>
      <w:r w:rsidRPr="00AD1026">
        <w:t>2008 review establishing the relationship between breast density and breast cancer risk</w:t>
      </w:r>
    </w:p>
    <w:p w14:paraId="3D49CE89" w14:textId="6DB56ACF" w:rsidR="00B30F96" w:rsidRPr="00AD1026" w:rsidRDefault="00B30F96" w:rsidP="00B30F96">
      <w:pPr>
        <w:pStyle w:val="List-BulletLvl1"/>
      </w:pPr>
      <w:r w:rsidRPr="00AD1026">
        <w:t>Systematic reviews quantifying the relationship between breast density and cancer risk</w:t>
      </w:r>
    </w:p>
    <w:p w14:paraId="53853343" w14:textId="77777777" w:rsidR="00B30F96" w:rsidRPr="00AD1026" w:rsidRDefault="00B30F96" w:rsidP="00B30F96">
      <w:pPr>
        <w:pStyle w:val="List-BulletLvl1"/>
      </w:pPr>
      <w:r w:rsidRPr="00AD1026">
        <w:t>Age, breast density and breast cancer risk</w:t>
      </w:r>
    </w:p>
    <w:p w14:paraId="380C74D8" w14:textId="77777777" w:rsidR="00B30F96" w:rsidRPr="00AD1026" w:rsidRDefault="00B30F96" w:rsidP="00B30F96">
      <w:pPr>
        <w:pStyle w:val="List-BulletLvl1"/>
      </w:pPr>
      <w:r w:rsidRPr="00AD1026">
        <w:t>The role of ethnicity in the relationship between breast density and breast cancer risk</w:t>
      </w:r>
    </w:p>
    <w:p w14:paraId="50EB64B3" w14:textId="77777777" w:rsidR="00B30F96" w:rsidRPr="00AD1026" w:rsidRDefault="00B30F96" w:rsidP="00B30F96">
      <w:pPr>
        <w:pStyle w:val="List-BulletLvl1"/>
      </w:pPr>
      <w:r w:rsidRPr="00AD1026">
        <w:t>Cancer characteristics, breast density and breast cancer risk</w:t>
      </w:r>
    </w:p>
    <w:p w14:paraId="718305E2" w14:textId="77777777" w:rsidR="00B30F96" w:rsidRPr="00AD1026" w:rsidRDefault="00B30F96" w:rsidP="00B30F96">
      <w:pPr>
        <w:pStyle w:val="List-BulletLvl1"/>
      </w:pPr>
      <w:r w:rsidRPr="00AD1026">
        <w:t>Genetic links</w:t>
      </w:r>
    </w:p>
    <w:p w14:paraId="18D97E00" w14:textId="77777777" w:rsidR="00B30F96" w:rsidRDefault="00B30F96" w:rsidP="00B30F96">
      <w:pPr>
        <w:pStyle w:val="List-BulletLvl1"/>
      </w:pPr>
      <w:r w:rsidRPr="00AD1026">
        <w:t>Mammographic density phenotypes, and</w:t>
      </w:r>
    </w:p>
    <w:p w14:paraId="072186A2" w14:textId="2A351BEB" w:rsidR="00F32F05" w:rsidRDefault="00B30F96" w:rsidP="00F32F05">
      <w:pPr>
        <w:pStyle w:val="List-BulletLvl1"/>
      </w:pPr>
      <w:r w:rsidRPr="00AD1026">
        <w:t>Breast density</w:t>
      </w:r>
      <w:r>
        <w:t xml:space="preserve"> as a modifiable risk factor.</w:t>
      </w:r>
    </w:p>
    <w:p w14:paraId="1C615593" w14:textId="77777777" w:rsidR="00F32F05" w:rsidRPr="003B5292"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3B5292">
        <w:rPr>
          <w:b/>
        </w:rPr>
        <w:t>Key findings about breast density and breast cancer risk</w:t>
      </w:r>
    </w:p>
    <w:p w14:paraId="5D1CB786"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Breast density is an established risk factor for breast cancer through cumulative exposure over the lifetime, but t</w:t>
      </w:r>
      <w:r w:rsidRPr="007D184A">
        <w:t>he extent to which breast density affects risk for breast cancer is not absolutely established</w:t>
      </w:r>
      <w:r>
        <w:t xml:space="preserve">. Many (but not all) studies compare women </w:t>
      </w:r>
      <w:r w:rsidRPr="00641FE3">
        <w:t xml:space="preserve">with a </w:t>
      </w:r>
      <w:r>
        <w:t>percent density</w:t>
      </w:r>
      <w:r w:rsidRPr="00641FE3">
        <w:t xml:space="preserve"> of more than 75% </w:t>
      </w:r>
      <w:r>
        <w:t xml:space="preserve">compared to </w:t>
      </w:r>
      <w:r w:rsidRPr="00641FE3">
        <w:t xml:space="preserve">women with a </w:t>
      </w:r>
      <w:r>
        <w:t xml:space="preserve">percent density of </w:t>
      </w:r>
      <w:r w:rsidRPr="00641FE3">
        <w:t>&lt;5%</w:t>
      </w:r>
      <w:r>
        <w:t>, with the former group having</w:t>
      </w:r>
      <w:r w:rsidRPr="00641FE3">
        <w:t xml:space="preserve"> four to six times higher risk for breast cancer</w:t>
      </w:r>
      <w:r>
        <w:t>. These studies inflate</w:t>
      </w:r>
      <w:r w:rsidRPr="007D184A">
        <w:t xml:space="preserve"> the </w:t>
      </w:r>
      <w:r>
        <w:t xml:space="preserve">breast cancer </w:t>
      </w:r>
      <w:r w:rsidRPr="007D184A">
        <w:t xml:space="preserve">risk </w:t>
      </w:r>
      <w:r>
        <w:t>because</w:t>
      </w:r>
      <w:r w:rsidRPr="007D184A">
        <w:t xml:space="preserve"> </w:t>
      </w:r>
      <w:r>
        <w:t xml:space="preserve">this risk </w:t>
      </w:r>
      <w:r w:rsidRPr="007D184A">
        <w:t>does not represent th</w:t>
      </w:r>
      <w:r>
        <w:t xml:space="preserve">at posed to the </w:t>
      </w:r>
      <w:r w:rsidRPr="007D184A">
        <w:t xml:space="preserve">average </w:t>
      </w:r>
      <w:r>
        <w:t xml:space="preserve">women (as these categories are at the extreme ends of the population continuum). When risk is compared between women </w:t>
      </w:r>
      <w:r w:rsidRPr="00D4067C">
        <w:t xml:space="preserve">with heterogeneously or extremely dense breast tissue </w:t>
      </w:r>
      <w:r>
        <w:t xml:space="preserve">and </w:t>
      </w:r>
      <w:r w:rsidRPr="00D4067C">
        <w:t>with women with average breast d</w:t>
      </w:r>
      <w:r>
        <w:t xml:space="preserve">ensity, the relative risk decreases to </w:t>
      </w:r>
      <w:r w:rsidRPr="00D4067C">
        <w:t xml:space="preserve">approximately 1.2 </w:t>
      </w:r>
      <w:r>
        <w:t>to</w:t>
      </w:r>
      <w:r w:rsidRPr="00D4067C">
        <w:t xml:space="preserve"> 2.1</w:t>
      </w:r>
      <w:r>
        <w:t xml:space="preserve">. </w:t>
      </w:r>
    </w:p>
    <w:p w14:paraId="31B988B1"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Despite the lack in standardisation of breast density thresholds, there is still an association between breast density and breast cancer regardless of how breast density is defined. When mammographic phenotypes are examined, percent density area (</w:t>
      </w:r>
      <w:r w:rsidRPr="00060730">
        <w:t>calculated by dividing the dense area by the total breast area</w:t>
      </w:r>
      <w:r>
        <w:t xml:space="preserve">) is generally found to have </w:t>
      </w:r>
      <w:r w:rsidRPr="00DF05C7">
        <w:t xml:space="preserve">a stronger </w:t>
      </w:r>
      <w:r>
        <w:t xml:space="preserve">association to </w:t>
      </w:r>
      <w:r w:rsidRPr="00DF05C7">
        <w:t>breast cancer than absolute dense area</w:t>
      </w:r>
      <w:r>
        <w:t xml:space="preserve"> (i.e.,</w:t>
      </w:r>
      <w:r w:rsidRPr="00E5091F">
        <w:t xml:space="preserve"> the amount of fibroglandu</w:t>
      </w:r>
      <w:r>
        <w:t>lar tissue per mm</w:t>
      </w:r>
      <w:r w:rsidRPr="00E5091F">
        <w:rPr>
          <w:vertAlign w:val="superscript"/>
        </w:rPr>
        <w:t>2</w:t>
      </w:r>
      <w:r>
        <w:t xml:space="preserve"> or cm</w:t>
      </w:r>
      <w:r w:rsidRPr="00E5091F">
        <w:rPr>
          <w:vertAlign w:val="superscript"/>
        </w:rPr>
        <w:t>2</w:t>
      </w:r>
      <w:r>
        <w:t>)</w:t>
      </w:r>
      <w:r w:rsidRPr="00DF05C7">
        <w:t>.</w:t>
      </w:r>
      <w:r>
        <w:t xml:space="preserve"> That said, one large cohort study found that combining information on both absolute dense area and percent density significantly improved risk prediction compared to using the information independently.</w:t>
      </w:r>
    </w:p>
    <w:p w14:paraId="35BDAF31" w14:textId="77777777" w:rsidR="00F32F05" w:rsidRDefault="00F32F05" w:rsidP="00F32F05">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7D184A">
        <w:t xml:space="preserve">The relative risk conferred by breast density in part depends on a woman's other risk factors for breast cancer. </w:t>
      </w:r>
      <w:r w:rsidRPr="001C1662">
        <w:t>Many studies investigating breast density and breast cancer risk (and screening) comprise women with an elevated risk of breast cancer, independent of their breast density (</w:t>
      </w:r>
      <w:r>
        <w:t>eg,</w:t>
      </w:r>
      <w:r w:rsidRPr="001C1662">
        <w:t xml:space="preserve"> familial risk). Therefore, it is difficult to conclude what the risk and screening options for women with dense breasts and </w:t>
      </w:r>
      <w:r>
        <w:t xml:space="preserve">no </w:t>
      </w:r>
      <w:r w:rsidRPr="001C1662">
        <w:t xml:space="preserve">other </w:t>
      </w:r>
      <w:r>
        <w:t xml:space="preserve">moderate or strong </w:t>
      </w:r>
      <w:r w:rsidRPr="001C1662">
        <w:t>risk factors would be and much of the research is silent on this issue.</w:t>
      </w:r>
      <w:r>
        <w:t xml:space="preserve"> That said, most studies that control for these potential confounding factors find that they do not have a significant impact on the association between breast density and breast cancer risk. This suggests that breast density is an independent predictor of breast cancer risk.</w:t>
      </w:r>
    </w:p>
    <w:p w14:paraId="00E48CD6" w14:textId="6AF99131" w:rsidR="00F32F05" w:rsidRDefault="00F32F05" w:rsidP="00F32F05">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pPr>
      <w:r w:rsidRPr="009925C4">
        <w:t>Kerlikowske et al. (2015) reported that breast density should not be the sole criterion for deciding whether supplemental imaging is justified because not all women with dense breasts have high interval cancer rates. Age and breast cancer risk influence screening performance, cancer incidence, and tumour stage at diagnosis. These factors should be considered along with</w:t>
      </w:r>
      <w:r>
        <w:t xml:space="preserve"> </w:t>
      </w:r>
      <w:r w:rsidRPr="009925C4">
        <w:t>breast density to optimise identification of women with high interval cancer rates or high rates of false-positive results who may benefit from supplemental</w:t>
      </w:r>
      <w:r>
        <w:t xml:space="preserve"> imaging</w:t>
      </w:r>
      <w:r w:rsidRPr="009925C4">
        <w:t xml:space="preserve"> </w:t>
      </w:r>
      <w:r>
        <w:t>or</w:t>
      </w:r>
      <w:r w:rsidRPr="00F32F05">
        <w:t xml:space="preserve"> </w:t>
      </w:r>
      <w:r>
        <w:t xml:space="preserve">alternative </w:t>
      </w:r>
      <w:r w:rsidRPr="009925C4">
        <w:t>screening tests</w:t>
      </w:r>
      <w:r>
        <w:t>.</w:t>
      </w:r>
    </w:p>
    <w:p w14:paraId="5B250C53" w14:textId="77777777" w:rsidR="00F32F05" w:rsidRDefault="00F32F05" w:rsidP="00F32F05">
      <w:pPr>
        <w:pStyle w:val="List-BulletLvl1"/>
        <w:numPr>
          <w:ilvl w:val="0"/>
          <w:numId w:val="0"/>
        </w:numPr>
      </w:pPr>
    </w:p>
    <w:p w14:paraId="1AE97F60" w14:textId="59A3EB13" w:rsidR="00F32F05" w:rsidRDefault="00F32F05" w:rsidP="00F32F05">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pPr>
      <w:r>
        <w:lastRenderedPageBreak/>
        <w:t>There is some evidence that breast density differs due to genetic variation and ethnicity, and that breast density is associated with different biological factors such as receptor subtypes. Increased breast</w:t>
      </w:r>
      <w:r w:rsidRPr="00FD6AF6">
        <w:t xml:space="preserve"> density</w:t>
      </w:r>
      <w:r>
        <w:t xml:space="preserve"> was found to be </w:t>
      </w:r>
      <w:r w:rsidRPr="00FD6AF6">
        <w:t xml:space="preserve">a risk factor for </w:t>
      </w:r>
      <w:r>
        <w:t>most breast cancers subtypes; however, the particular</w:t>
      </w:r>
      <w:r w:rsidRPr="00FD6AF6">
        <w:t xml:space="preserve"> association</w:t>
      </w:r>
      <w:r>
        <w:t xml:space="preserve"> for each subtype needs to be further explored, as current evidence is mixed regarding the association between breast density and specific subtypes of breast cancer. Similarly, high breast density was found to be associated with gene variation in a number of genes. It is l</w:t>
      </w:r>
      <w:r w:rsidRPr="0038007C">
        <w:t>ikely</w:t>
      </w:r>
      <w:r>
        <w:t xml:space="preserve"> that breast density will </w:t>
      </w:r>
      <w:r w:rsidRPr="0038007C">
        <w:t xml:space="preserve">be affected by </w:t>
      </w:r>
      <w:r>
        <w:t>several</w:t>
      </w:r>
      <w:r w:rsidRPr="0038007C">
        <w:t xml:space="preserve"> genes that are largely unknown at the present time</w:t>
      </w:r>
      <w:r>
        <w:t>.</w:t>
      </w:r>
    </w:p>
    <w:p w14:paraId="0AC838FB" w14:textId="77777777" w:rsidR="00F32F05" w:rsidRDefault="00F32F05" w:rsidP="00F32F05">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pPr>
      <w:r>
        <w:t>A number of studies were identified that reported w</w:t>
      </w:r>
      <w:r w:rsidRPr="00937D38">
        <w:t xml:space="preserve">omen of Asian ethnicity have a lower risk of breast cancer related to breast density than that reported for </w:t>
      </w:r>
      <w:r>
        <w:t xml:space="preserve">European women. The </w:t>
      </w:r>
      <w:r w:rsidRPr="00937D38">
        <w:t>reason for these findings are unknown</w:t>
      </w:r>
      <w:r>
        <w:t xml:space="preserve">. </w:t>
      </w:r>
      <w:r w:rsidRPr="00937D38">
        <w:t>Further research is needed in women of different ethnicities</w:t>
      </w:r>
      <w:r>
        <w:t>.</w:t>
      </w:r>
    </w:p>
    <w:p w14:paraId="66D3C34A" w14:textId="3E3EA404" w:rsidR="003B5292" w:rsidRDefault="00F32F05" w:rsidP="00F32F05">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pPr>
      <w:r>
        <w:t>There were limited studies focusing on the relationship between age and density. Findings from those studies suggest that the association between breast density and breast cancer risk (and screening performance) may be stronger for younger women. Even taking this into consideration, the risk of breast cancer remains low and the harms of screening (listed below in this review) are likely to outweigh the small benefits of screening for this population.</w:t>
      </w:r>
    </w:p>
    <w:p w14:paraId="06A947D5" w14:textId="77777777" w:rsidR="00EB35FA" w:rsidRDefault="00EB35FA" w:rsidP="00EB35FA">
      <w:pPr>
        <w:pStyle w:val="NumberedHeading3"/>
      </w:pPr>
      <w:bookmarkStart w:id="52" w:name="_Toc507914428"/>
      <w:bookmarkStart w:id="53" w:name="_Toc507976153"/>
      <w:bookmarkStart w:id="54" w:name="_Toc518922202"/>
      <w:r>
        <w:t>McCormack and dos Santos Silva’s 2008 review on breast density and cancer risk</w:t>
      </w:r>
      <w:bookmarkEnd w:id="52"/>
      <w:bookmarkEnd w:id="53"/>
      <w:bookmarkEnd w:id="54"/>
    </w:p>
    <w:p w14:paraId="27355FBE" w14:textId="008A86F4" w:rsidR="00EB35FA" w:rsidRDefault="00EB35FA" w:rsidP="00EB35FA">
      <w:pPr>
        <w:pStyle w:val="BodyText"/>
      </w:pPr>
      <w:r>
        <w:t xml:space="preserve">An extensive, and </w:t>
      </w:r>
      <w:r w:rsidR="00F14772">
        <w:t>influential</w:t>
      </w:r>
      <w:r>
        <w:t xml:space="preserve">, review of the relationship between breast density and breast cancer risk was completed in 2008 (McCormack and dos Santos Silva, 2008). </w:t>
      </w:r>
      <w:r>
        <w:rPr>
          <w:i/>
        </w:rPr>
        <w:t>Allen + Clarke</w:t>
      </w:r>
      <w:r>
        <w:t>’s</w:t>
      </w:r>
      <w:r>
        <w:rPr>
          <w:i/>
        </w:rPr>
        <w:t xml:space="preserve"> </w:t>
      </w:r>
      <w:r>
        <w:t>literature</w:t>
      </w:r>
      <w:r>
        <w:rPr>
          <w:i/>
        </w:rPr>
        <w:t xml:space="preserve"> </w:t>
      </w:r>
      <w:r>
        <w:t xml:space="preserve">review </w:t>
      </w:r>
      <w:r w:rsidR="00F14772">
        <w:t>was limited to research published between 2010 and 2018; however</w:t>
      </w:r>
      <w:r>
        <w:t xml:space="preserve">, to understand the post-2010 material (and the direction taken by the research community), it is important to understand McCormack and dos Santos Silva’s findings. </w:t>
      </w:r>
    </w:p>
    <w:p w14:paraId="45A6B9B0" w14:textId="2A9011D6" w:rsidR="00EB35FA" w:rsidRPr="0026548C" w:rsidRDefault="00EB35FA" w:rsidP="0026548C">
      <w:pPr>
        <w:pStyle w:val="BodyText"/>
      </w:pPr>
      <w:r>
        <w:t xml:space="preserve">McCormack and dos Santos Silva’s </w:t>
      </w:r>
      <w:r w:rsidR="00141E99">
        <w:t>(</w:t>
      </w:r>
      <w:r>
        <w:t>2008</w:t>
      </w:r>
      <w:r w:rsidR="00141E99">
        <w:t>)</w:t>
      </w:r>
      <w:r>
        <w:t xml:space="preserve"> review demonstrated that there is a relationship between breast density and breast cancer risk. They r</w:t>
      </w:r>
      <w:r w:rsidRPr="00CA4111">
        <w:t xml:space="preserve">eviewed data on the association of breast density with risk of breast cancer </w:t>
      </w:r>
      <w:r>
        <w:t xml:space="preserve">in their </w:t>
      </w:r>
      <w:r w:rsidRPr="00CA4111">
        <w:t xml:space="preserve">systematic meta-analysis of data for more than 14,000 cases </w:t>
      </w:r>
      <w:r>
        <w:t xml:space="preserve">(women with more dense breasts) </w:t>
      </w:r>
      <w:r w:rsidRPr="00CA4111">
        <w:t xml:space="preserve">and 226,000 non-cases </w:t>
      </w:r>
      <w:r>
        <w:t xml:space="preserve">(women with less dense breasts) </w:t>
      </w:r>
      <w:r w:rsidRPr="00CA4111">
        <w:t>from 42 studies. The authors found that having more dense breasts was consistently associated with risk of breast cancer</w:t>
      </w:r>
      <w:r w:rsidR="00B66D01">
        <w:t>. Women with</w:t>
      </w:r>
      <w:r>
        <w:t xml:space="preserve"> dense breasts were defined as having a </w:t>
      </w:r>
      <w:r w:rsidR="00893AA8">
        <w:t>percent density</w:t>
      </w:r>
      <w:r w:rsidRPr="00E0761B">
        <w:t xml:space="preserve"> </w:t>
      </w:r>
      <w:r w:rsidR="00141E99">
        <w:t>greater than or equal to</w:t>
      </w:r>
      <w:r>
        <w:t xml:space="preserve"> </w:t>
      </w:r>
      <w:r w:rsidRPr="00E0761B">
        <w:t>50%</w:t>
      </w:r>
      <w:r w:rsidR="00141E99">
        <w:t>. The relative risk</w:t>
      </w:r>
      <w:r w:rsidR="007A06FB">
        <w:t xml:space="preserve"> (RR)</w:t>
      </w:r>
      <w:r w:rsidR="00141E99">
        <w:t xml:space="preserve"> of </w:t>
      </w:r>
      <w:r>
        <w:t xml:space="preserve">cancer </w:t>
      </w:r>
      <w:r w:rsidR="007A06FB">
        <w:t xml:space="preserve">incidence </w:t>
      </w:r>
      <w:r>
        <w:t>ranged from 2.92 (95%CI 2.49-</w:t>
      </w:r>
      <w:r w:rsidRPr="00E0761B">
        <w:t>3.42) to 4.64 (</w:t>
      </w:r>
      <w:r>
        <w:t>95%CI 3.64-</w:t>
      </w:r>
      <w:r w:rsidRPr="00E0761B">
        <w:t>5.91</w:t>
      </w:r>
      <w:r>
        <w:t>)</w:t>
      </w:r>
      <w:r w:rsidRPr="00E0761B">
        <w:t xml:space="preserve"> for </w:t>
      </w:r>
      <w:r w:rsidR="007A06FB">
        <w:t xml:space="preserve">women with 50-74% and </w:t>
      </w:r>
      <w:r w:rsidR="007A06FB" w:rsidRPr="0026548C">
        <w:t>≥75%</w:t>
      </w:r>
      <w:r w:rsidR="007A06FB">
        <w:t xml:space="preserve"> density, respectively,</w:t>
      </w:r>
      <w:r w:rsidRPr="0026548C">
        <w:t xml:space="preserve"> compared to women with fatty breasts (&lt;5%</w:t>
      </w:r>
      <w:r w:rsidR="007A06FB">
        <w:t xml:space="preserve"> density</w:t>
      </w:r>
      <w:r w:rsidRPr="0026548C">
        <w:t>)</w:t>
      </w:r>
      <w:r w:rsidR="007A06FB">
        <w:t xml:space="preserve">. This means that the risk of developing cancer was 2.92 or 4.64 times higher for women with denser breasts compared to women with fatty breasts. </w:t>
      </w:r>
      <w:r w:rsidRPr="0026548C">
        <w:t xml:space="preserve">The strength of the association </w:t>
      </w:r>
      <w:r w:rsidR="007A06FB">
        <w:t>between</w:t>
      </w:r>
      <w:r w:rsidRPr="0026548C">
        <w:t xml:space="preserve"> breast density</w:t>
      </w:r>
      <w:r w:rsidR="007A06FB">
        <w:t xml:space="preserve"> and</w:t>
      </w:r>
      <w:r w:rsidRPr="0026548C">
        <w:t xml:space="preserve"> breast cancer risk was found to be greater than that for most other established breast cancer risk factors, </w:t>
      </w:r>
      <w:r w:rsidR="008D405F" w:rsidRPr="0026548C">
        <w:t>except for</w:t>
      </w:r>
      <w:r w:rsidRPr="0026548C">
        <w:t xml:space="preserve"> age and some genetic factors. </w:t>
      </w:r>
    </w:p>
    <w:p w14:paraId="282E8196" w14:textId="408F3084" w:rsidR="00EB35FA" w:rsidRPr="0026548C" w:rsidRDefault="00354EDC" w:rsidP="0026548C">
      <w:pPr>
        <w:pStyle w:val="BodyText"/>
      </w:pPr>
      <w:r>
        <w:t>W</w:t>
      </w:r>
      <w:r w:rsidRPr="0026548C">
        <w:t xml:space="preserve">ithin McCormack and dos Santos Silva’s review, there was no threshold level below which </w:t>
      </w:r>
      <w:r w:rsidR="00180B2C">
        <w:t xml:space="preserve">increased </w:t>
      </w:r>
      <w:r w:rsidRPr="0026548C">
        <w:t xml:space="preserve">density was not associated with increased cancer risk. </w:t>
      </w:r>
      <w:r w:rsidR="007A06FB">
        <w:t xml:space="preserve">Based on </w:t>
      </w:r>
      <w:r>
        <w:t>their</w:t>
      </w:r>
      <w:r w:rsidR="007A06FB">
        <w:t xml:space="preserve"> findings,</w:t>
      </w:r>
      <w:r w:rsidR="00EB35FA" w:rsidRPr="0026548C">
        <w:t xml:space="preserve"> </w:t>
      </w:r>
      <w:r w:rsidR="007A06FB">
        <w:t xml:space="preserve">if approximately </w:t>
      </w:r>
      <w:r w:rsidR="00EB35FA" w:rsidRPr="0026548C">
        <w:t>20% and 10% of premenopausal women have densities of 50% to 74% and ≥75%, respectively, the population attributable fraction is 26.7% for densities over 75% and 42.8% for densities over 50%.</w:t>
      </w:r>
      <w:r w:rsidR="007A06FB">
        <w:t xml:space="preserve"> This means that 26.7% of breast cancer cases involving women with densities greater than 75% and </w:t>
      </w:r>
      <w:r>
        <w:t>42.8% of breast cancer cases involving women with densities greater than 50% are attributable to breast density.</w:t>
      </w:r>
      <w:r w:rsidR="00EB35FA" w:rsidRPr="0026548C">
        <w:t xml:space="preserve"> At postmenopausal ages, the corresponding fractions would be 9.8% and 23.2% (based on 10% and 3% </w:t>
      </w:r>
      <w:r>
        <w:t xml:space="preserve">of the population </w:t>
      </w:r>
      <w:r w:rsidR="00EB35FA" w:rsidRPr="0026548C">
        <w:t xml:space="preserve">with densities of 50-74% and ≥75%). </w:t>
      </w:r>
    </w:p>
    <w:p w14:paraId="1B2E1982" w14:textId="77777777" w:rsidR="00EB35FA" w:rsidRDefault="00EB35FA" w:rsidP="0026548C">
      <w:pPr>
        <w:pStyle w:val="BodyText"/>
      </w:pPr>
      <w:r w:rsidRPr="0026548C">
        <w:t>The increased cancer risk associated with breast density was found to be independent of other known risk factors for</w:t>
      </w:r>
      <w:r w:rsidRPr="00E0761B">
        <w:t xml:space="preserve"> this disease but </w:t>
      </w:r>
      <w:r>
        <w:t>was</w:t>
      </w:r>
      <w:r w:rsidRPr="00E0761B">
        <w:t xml:space="preserve"> confounded by age and </w:t>
      </w:r>
      <w:r>
        <w:t>body mass index (BMI)</w:t>
      </w:r>
      <w:r w:rsidR="00DA0DD8">
        <w:t xml:space="preserve"> (the confounding relationship is explained in further detail below)</w:t>
      </w:r>
      <w:r w:rsidRPr="00E0761B">
        <w:t xml:space="preserve">. Importantly, </w:t>
      </w:r>
      <w:r w:rsidR="00B05DAE">
        <w:t xml:space="preserve">McCormack and dos Santos Silva’s </w:t>
      </w:r>
      <w:r w:rsidRPr="00E0761B">
        <w:t>combined data suggest</w:t>
      </w:r>
      <w:r w:rsidR="00B05DAE">
        <w:t>ed</w:t>
      </w:r>
      <w:r w:rsidRPr="00E0761B">
        <w:t xml:space="preserve"> that breast density measured at both premenopausal and </w:t>
      </w:r>
      <w:r w:rsidRPr="00E0761B">
        <w:lastRenderedPageBreak/>
        <w:t>postmenopausal ages is a marker of subsequent breast cancer risk</w:t>
      </w:r>
      <w:r w:rsidR="00B05DAE">
        <w:t>. T</w:t>
      </w:r>
      <w:r w:rsidRPr="00E0761B">
        <w:t xml:space="preserve">here </w:t>
      </w:r>
      <w:r>
        <w:t>was</w:t>
      </w:r>
      <w:r w:rsidRPr="00E0761B">
        <w:t xml:space="preserve"> no clear evidence that the strength of this association differs between these ages.</w:t>
      </w:r>
      <w:r>
        <w:t xml:space="preserve"> This means that</w:t>
      </w:r>
      <w:r w:rsidR="00DA0DD8">
        <w:t xml:space="preserve"> </w:t>
      </w:r>
      <w:r w:rsidR="00DA0DD8" w:rsidRPr="00DA0DD8">
        <w:t xml:space="preserve">breast density measured in either early adulthood </w:t>
      </w:r>
      <w:r w:rsidR="00DA0DD8">
        <w:t xml:space="preserve">(20-30 years) </w:t>
      </w:r>
      <w:r w:rsidR="00DA0DD8" w:rsidRPr="00DA0DD8">
        <w:t xml:space="preserve">or later adulthood (after </w:t>
      </w:r>
      <w:r w:rsidR="00B05DAE">
        <w:t xml:space="preserve">aged </w:t>
      </w:r>
      <w:r w:rsidR="00DA0DD8" w:rsidRPr="00DA0DD8">
        <w:t>60</w:t>
      </w:r>
      <w:r w:rsidR="00DA0DD8">
        <w:t xml:space="preserve"> years</w:t>
      </w:r>
      <w:r w:rsidR="00DA0DD8" w:rsidRPr="00DA0DD8">
        <w:t>) is predictive of risk in later life</w:t>
      </w:r>
      <w:r>
        <w:t>.</w:t>
      </w:r>
      <w:r w:rsidRPr="00E0761B">
        <w:t xml:space="preserve"> </w:t>
      </w:r>
      <w:r>
        <w:t>There was</w:t>
      </w:r>
      <w:r w:rsidRPr="00E0761B">
        <w:t xml:space="preserve"> no evidence to suggest that this association does not hold in all studied ethnic groups (</w:t>
      </w:r>
      <w:r w:rsidR="0099573E">
        <w:t>European,</w:t>
      </w:r>
      <w:r w:rsidRPr="00E0761B">
        <w:t xml:space="preserve"> Asian, and African American</w:t>
      </w:r>
      <w:r>
        <w:t xml:space="preserve"> women</w:t>
      </w:r>
      <w:r w:rsidRPr="00E0761B">
        <w:t>). Future studies based on or including women of other ethnicities would be informative.</w:t>
      </w:r>
    </w:p>
    <w:p w14:paraId="529544AD" w14:textId="77777777" w:rsidR="00EB35FA" w:rsidRDefault="00EB35FA" w:rsidP="00EB35FA">
      <w:pPr>
        <w:pStyle w:val="NumberedHeading3"/>
      </w:pPr>
      <w:bookmarkStart w:id="55" w:name="_Toc507914429"/>
      <w:bookmarkStart w:id="56" w:name="_Toc507976154"/>
      <w:bookmarkStart w:id="57" w:name="_Toc518922203"/>
      <w:r>
        <w:t>Quantifying the relationship between breast density and breast cancer risk</w:t>
      </w:r>
      <w:bookmarkEnd w:id="55"/>
      <w:bookmarkEnd w:id="56"/>
      <w:bookmarkEnd w:id="57"/>
    </w:p>
    <w:p w14:paraId="43788062" w14:textId="24880BC2" w:rsidR="00EB35FA" w:rsidRPr="00BC4116" w:rsidRDefault="00EB35FA" w:rsidP="00BC4116">
      <w:pPr>
        <w:pStyle w:val="BodyText"/>
      </w:pPr>
      <w:r w:rsidRPr="00BC4116">
        <w:rPr>
          <w:rStyle w:val="CommentReference"/>
          <w:sz w:val="22"/>
          <w:szCs w:val="22"/>
        </w:rPr>
        <w:t>Tw</w:t>
      </w:r>
      <w:r w:rsidRPr="00BC4116">
        <w:t xml:space="preserve">o more recent narrative reviews have continued to report that women with more dense breasts have increased </w:t>
      </w:r>
      <w:r w:rsidR="002637D1">
        <w:t xml:space="preserve">breast </w:t>
      </w:r>
      <w:r w:rsidRPr="00BC4116">
        <w:t>cancer risk compared to women who have less dense breasts</w:t>
      </w:r>
      <w:r w:rsidR="0026548C" w:rsidRPr="00BC4116">
        <w:t xml:space="preserve">. These later studies </w:t>
      </w:r>
      <w:r w:rsidRPr="00BC4116">
        <w:t>have attempted to further quantify the magnitude of this risk; however, quantification is challenged by a body of literature that uses a range of different systems to assess, categorise and compare study participants.</w:t>
      </w:r>
    </w:p>
    <w:p w14:paraId="00E1F9C9" w14:textId="4B114B9E" w:rsidR="00EB35FA" w:rsidRPr="00BC4116" w:rsidRDefault="0026548C" w:rsidP="00BC4116">
      <w:pPr>
        <w:pStyle w:val="BodyText"/>
      </w:pPr>
      <w:r w:rsidRPr="00BC4116">
        <w:t>A</w:t>
      </w:r>
      <w:r w:rsidR="00EB35FA" w:rsidRPr="00BC4116">
        <w:t xml:space="preserve"> narrative review of 14 prospective and nested case–control studies was completed by Colin et al. (201</w:t>
      </w:r>
      <w:r w:rsidR="00AB39C0" w:rsidRPr="00BC4116">
        <w:t>3</w:t>
      </w:r>
      <w:r w:rsidRPr="00BC4116">
        <w:t>)</w:t>
      </w:r>
      <w:r w:rsidR="00EB35FA" w:rsidRPr="00BC4116">
        <w:t xml:space="preserve"> to evaluate mammographic density as a breast cancer risk. Individual study results are provided in Table </w:t>
      </w:r>
      <w:r w:rsidR="006465B1">
        <w:t>6</w:t>
      </w:r>
      <w:r w:rsidR="006F33EB" w:rsidRPr="00BC4116">
        <w:t xml:space="preserve"> (see page</w:t>
      </w:r>
      <w:r w:rsidR="00E219CB">
        <w:t>s</w:t>
      </w:r>
      <w:r w:rsidR="006F33EB" w:rsidRPr="00BC4116">
        <w:t xml:space="preserve"> </w:t>
      </w:r>
      <w:r w:rsidR="00E219CB">
        <w:t>4</w:t>
      </w:r>
      <w:r w:rsidR="006465B1">
        <w:t>2</w:t>
      </w:r>
      <w:r w:rsidR="00F94434">
        <w:t>-</w:t>
      </w:r>
      <w:r w:rsidR="00E219CB">
        <w:t>4</w:t>
      </w:r>
      <w:r w:rsidR="006465B1">
        <w:t>3</w:t>
      </w:r>
      <w:r w:rsidR="00EB35FA" w:rsidRPr="00BC4116">
        <w:t>).</w:t>
      </w:r>
      <w:r w:rsidR="00BB2B6B">
        <w:t xml:space="preserve"> </w:t>
      </w:r>
      <w:r w:rsidR="00EB35FA" w:rsidRPr="00BC4116">
        <w:t xml:space="preserve">Details on study selection procedures and quality assurance were not provided, and a range of breast density classifications and thresholds were used in the primary research informing the review. This </w:t>
      </w:r>
      <w:r w:rsidR="007D20D9">
        <w:t xml:space="preserve">negatively </w:t>
      </w:r>
      <w:r w:rsidR="00EB35FA" w:rsidRPr="00BC4116">
        <w:t>influences the overall strength of Colin et al.’s findings.</w:t>
      </w:r>
    </w:p>
    <w:p w14:paraId="783840C0" w14:textId="4C711664" w:rsidR="00EB35FA" w:rsidRPr="00BC4116" w:rsidRDefault="00EB35FA" w:rsidP="00BC4116">
      <w:pPr>
        <w:pStyle w:val="BodyText"/>
      </w:pPr>
      <w:r w:rsidRPr="00BC4116">
        <w:t xml:space="preserve">Colin et al.’s overall finding was that the </w:t>
      </w:r>
      <w:r w:rsidR="001627A8">
        <w:t>odds of</w:t>
      </w:r>
      <w:r w:rsidRPr="00BC4116">
        <w:t xml:space="preserve"> developing breast cancer</w:t>
      </w:r>
      <w:r w:rsidR="001627A8">
        <w:t xml:space="preserve"> was higher</w:t>
      </w:r>
      <w:r w:rsidRPr="00BC4116">
        <w:t xml:space="preserve"> for</w:t>
      </w:r>
      <w:r w:rsidR="001627A8">
        <w:t xml:space="preserve"> women in</w:t>
      </w:r>
      <w:r w:rsidRPr="00BC4116">
        <w:t xml:space="preserve"> “the most dense” compared with “the least dense</w:t>
      </w:r>
      <w:r w:rsidR="00AC1FB3">
        <w:t>”</w:t>
      </w:r>
      <w:r w:rsidRPr="00BC4116">
        <w:t xml:space="preserve"> breast tissue categories</w:t>
      </w:r>
      <w:r w:rsidR="00AC1FB3">
        <w:t xml:space="preserve">. Odds ratios (OR) </w:t>
      </w:r>
      <w:r w:rsidRPr="00BC4116">
        <w:t>rang</w:t>
      </w:r>
      <w:r w:rsidR="00AC1FB3">
        <w:t>ed</w:t>
      </w:r>
      <w:r w:rsidRPr="00BC4116">
        <w:t xml:space="preserve"> from 1.5 to 6</w:t>
      </w:r>
      <w:r w:rsidR="00AC1FB3">
        <w:t xml:space="preserve"> across studies, </w:t>
      </w:r>
      <w:r w:rsidRPr="00BC4116">
        <w:t xml:space="preserve">which </w:t>
      </w:r>
      <w:r w:rsidR="00AC1FB3">
        <w:t>mean</w:t>
      </w:r>
      <w:r w:rsidR="00F510BF">
        <w:t>s</w:t>
      </w:r>
      <w:r w:rsidR="00AC1FB3">
        <w:t xml:space="preserve"> that the odds of developing breast cancer </w:t>
      </w:r>
      <w:r w:rsidR="009217CA">
        <w:t>was</w:t>
      </w:r>
      <w:r w:rsidR="00AC1FB3">
        <w:t xml:space="preserve"> 1.5 to 6 times higher for women with the most dense </w:t>
      </w:r>
      <w:r w:rsidR="004118A3">
        <w:t xml:space="preserve">breasts compared to women with the least dense breasts. </w:t>
      </w:r>
      <w:r w:rsidR="00F510BF">
        <w:t xml:space="preserve">This </w:t>
      </w:r>
      <w:r w:rsidRPr="00BC4116">
        <w:t xml:space="preserve">is consistent with McCormack and dos Santos Silva’s findings. </w:t>
      </w:r>
      <w:r w:rsidR="00AB39C0" w:rsidRPr="00BC4116">
        <w:t>Of</w:t>
      </w:r>
      <w:r w:rsidRPr="00BC4116">
        <w:t xml:space="preserve"> the seven cohort studies in</w:t>
      </w:r>
      <w:r w:rsidR="00AB39C0" w:rsidRPr="00BC4116">
        <w:t>cluded in</w:t>
      </w:r>
      <w:r w:rsidRPr="00BC4116">
        <w:t xml:space="preserve"> Colin et al</w:t>
      </w:r>
      <w:r w:rsidR="008D405F">
        <w:t>.</w:t>
      </w:r>
      <w:r w:rsidRPr="00BC4116">
        <w:t>’s review (Brisson,</w:t>
      </w:r>
      <w:r w:rsidR="00BB2B6B">
        <w:t xml:space="preserve"> </w:t>
      </w:r>
      <w:r w:rsidRPr="00BC4116">
        <w:t>1988, Ciatto, 1993, Olsen, 2009, de Stavola,</w:t>
      </w:r>
      <w:r w:rsidR="00BB2B6B">
        <w:t xml:space="preserve"> </w:t>
      </w:r>
      <w:r w:rsidRPr="00BC4116">
        <w:t xml:space="preserve">1990, Torres-Mejia, 2005, Vacek, 2004, Ziv, 2004 and van Gils, 1998), </w:t>
      </w:r>
      <w:r w:rsidR="0026548C" w:rsidRPr="00BC4116">
        <w:t>t</w:t>
      </w:r>
      <w:r w:rsidR="00AB39C0" w:rsidRPr="00BC4116">
        <w:t xml:space="preserve">wo </w:t>
      </w:r>
      <w:r w:rsidRPr="00BC4116">
        <w:t xml:space="preserve">showed that higher breast density (defined as </w:t>
      </w:r>
      <w:r w:rsidR="00275D65">
        <w:t>BIRADS</w:t>
      </w:r>
      <w:r w:rsidRPr="00BC4116">
        <w:t xml:space="preserve"> 3 and 4 or </w:t>
      </w:r>
      <w:r w:rsidR="00275D65">
        <w:t>BIRADS</w:t>
      </w:r>
      <w:r w:rsidRPr="00BC4116">
        <w:t xml:space="preserve"> </w:t>
      </w:r>
      <w:r w:rsidR="00F510BF">
        <w:t>2-</w:t>
      </w:r>
      <w:r w:rsidRPr="00BC4116">
        <w:t xml:space="preserve">4) </w:t>
      </w:r>
      <w:r w:rsidR="009217CA">
        <w:t>is</w:t>
      </w:r>
      <w:r w:rsidR="00C80ABE" w:rsidRPr="00BC4116">
        <w:t xml:space="preserve"> associated with breast cancer</w:t>
      </w:r>
      <w:r w:rsidR="00F510BF">
        <w:t>,</w:t>
      </w:r>
      <w:r w:rsidR="00C80ABE" w:rsidRPr="00BC4116">
        <w:t xml:space="preserve"> with </w:t>
      </w:r>
      <w:r w:rsidRPr="00BC4116">
        <w:t>OR</w:t>
      </w:r>
      <w:r w:rsidR="009217CA">
        <w:t>s</w:t>
      </w:r>
      <w:r w:rsidRPr="00BC4116">
        <w:t xml:space="preserve"> reaching a maximum of 2.</w:t>
      </w:r>
      <w:r w:rsidR="009217CA">
        <w:t>1</w:t>
      </w:r>
      <w:r w:rsidRPr="00BC4116">
        <w:t xml:space="preserve"> </w:t>
      </w:r>
      <w:r w:rsidR="00C80ABE" w:rsidRPr="00BC4116">
        <w:t>(</w:t>
      </w:r>
      <w:r w:rsidR="00275D65">
        <w:t>BIRADS</w:t>
      </w:r>
      <w:r w:rsidR="00C80ABE" w:rsidRPr="00BC4116">
        <w:t xml:space="preserve"> 3 and 4) </w:t>
      </w:r>
      <w:r w:rsidRPr="00BC4116">
        <w:t xml:space="preserve">and 4.2 </w:t>
      </w:r>
      <w:r w:rsidR="00C80ABE" w:rsidRPr="00BC4116">
        <w:t>(</w:t>
      </w:r>
      <w:r w:rsidR="00275D65">
        <w:t>BIRADS</w:t>
      </w:r>
      <w:r w:rsidR="00C80ABE" w:rsidRPr="00BC4116">
        <w:t xml:space="preserve"> 2-4</w:t>
      </w:r>
      <w:r w:rsidRPr="00BC4116">
        <w:t xml:space="preserve">). That risk was independent of age, family history of cancer, BMI, use of hormone replacement therapy, menopausal status and race. </w:t>
      </w:r>
    </w:p>
    <w:p w14:paraId="45F1827D" w14:textId="00D154BF" w:rsidR="00F538C3" w:rsidRPr="00BC4116" w:rsidRDefault="00F538C3" w:rsidP="00F538C3">
      <w:pPr>
        <w:pStyle w:val="BodyText"/>
      </w:pPr>
      <w:r w:rsidRPr="00BC4116">
        <w:t>The remaining studies (</w:t>
      </w:r>
      <w:r w:rsidRPr="00AB33EA">
        <w:rPr>
          <w:i/>
        </w:rPr>
        <w:t>n</w:t>
      </w:r>
      <w:r w:rsidRPr="00BC4116">
        <w:t xml:space="preserve">=7) discussed by Colin et al. </w:t>
      </w:r>
      <w:r>
        <w:t xml:space="preserve">(2013) </w:t>
      </w:r>
      <w:r w:rsidRPr="00BC4116">
        <w:t>had methodological biases</w:t>
      </w:r>
      <w:r w:rsidR="009217CA">
        <w:t xml:space="preserve"> that</w:t>
      </w:r>
      <w:r w:rsidRPr="00BC4116">
        <w:t xml:space="preserve"> impacted on </w:t>
      </w:r>
      <w:r>
        <w:t xml:space="preserve">the </w:t>
      </w:r>
      <w:r w:rsidRPr="00BC4116">
        <w:t>strength of their findings</w:t>
      </w:r>
      <w:r w:rsidR="009217CA">
        <w:t>, s</w:t>
      </w:r>
      <w:r w:rsidR="009217CA" w:rsidRPr="00BC4116">
        <w:t>uch as not adjusting risk for the use of hormone replacement therapy</w:t>
      </w:r>
      <w:r w:rsidR="009217CA">
        <w:t>. D</w:t>
      </w:r>
      <w:r w:rsidRPr="00BC4116">
        <w:t xml:space="preserve">espite </w:t>
      </w:r>
      <w:r w:rsidR="009217CA">
        <w:t>these</w:t>
      </w:r>
      <w:r w:rsidRPr="00BC4116">
        <w:t xml:space="preserve"> methodological limitations, the direction of effect was similar to the studies with stronger methodologies. For example, a large cohort study (Brisson et al., 1998) of 48,052 women followed for 11 years found an increased </w:t>
      </w:r>
      <w:r w:rsidR="009217CA">
        <w:t>odds</w:t>
      </w:r>
      <w:r w:rsidRPr="00BC4116">
        <w:t xml:space="preserve"> of breast cancer in women with high breast density </w:t>
      </w:r>
      <w:r w:rsidR="009217CA">
        <w:t>(</w:t>
      </w:r>
      <w:r w:rsidRPr="00BC4116">
        <w:t>OR 2.45</w:t>
      </w:r>
      <w:r w:rsidR="009217CA">
        <w:t xml:space="preserve">, </w:t>
      </w:r>
      <w:r w:rsidRPr="00BC4116">
        <w:t>95%CI 2.14–2.81) compared to women with non-dense breasts. However, this result must be taken with some caution. First, the breast density was</w:t>
      </w:r>
      <w:r>
        <w:t xml:space="preserve"> </w:t>
      </w:r>
      <w:r w:rsidRPr="00BC4116">
        <w:t>evaluated by</w:t>
      </w:r>
      <w:r w:rsidR="009217CA">
        <w:t xml:space="preserve"> arbitrarily categorising women as having dense or non-dense breasts (</w:t>
      </w:r>
      <w:r w:rsidRPr="00BC4116">
        <w:t xml:space="preserve">derived from </w:t>
      </w:r>
      <w:r w:rsidR="00275D65">
        <w:t>BIRADS</w:t>
      </w:r>
      <w:r w:rsidRPr="00BC4116">
        <w:t xml:space="preserve"> classification</w:t>
      </w:r>
      <w:r w:rsidR="009217CA">
        <w:t>),</w:t>
      </w:r>
      <w:r w:rsidRPr="00BC4116">
        <w:t xml:space="preserve"> and secondly, the mammography screening was different according to the first breast density evaluation. In the case of women with fatty breasts, a single mammogram view (m</w:t>
      </w:r>
      <w:r>
        <w:t xml:space="preserve">ediolateral-oblique or </w:t>
      </w:r>
      <w:r w:rsidRPr="00BC4116">
        <w:t xml:space="preserve">craniocaudal) was always taken at each round of the follow-up whereas two views were taken when the radiologist assessed density as high. </w:t>
      </w:r>
    </w:p>
    <w:p w14:paraId="5D27D83D" w14:textId="44999DEE" w:rsidR="00F538C3" w:rsidRPr="00BC4116" w:rsidRDefault="00F538C3" w:rsidP="00F538C3">
      <w:pPr>
        <w:pStyle w:val="BodyText"/>
      </w:pPr>
      <w:r w:rsidRPr="00BC4116">
        <w:t xml:space="preserve">Colin et al.’s review presented a number of studies with </w:t>
      </w:r>
      <w:r w:rsidR="00DD3496">
        <w:t>high</w:t>
      </w:r>
      <w:r w:rsidRPr="00BC4116">
        <w:t xml:space="preserve"> participant numbers </w:t>
      </w:r>
      <w:r>
        <w:t>that</w:t>
      </w:r>
      <w:r w:rsidRPr="00BC4116">
        <w:t xml:space="preserve"> describe a link between breast tissue mammographic patterns and risk for breast cancers. </w:t>
      </w:r>
      <w:r w:rsidR="00DD3496">
        <w:t>That said, a</w:t>
      </w:r>
      <w:r w:rsidRPr="00BC4116">
        <w:t>ll studies have considerable flaws</w:t>
      </w:r>
      <w:r>
        <w:t>,</w:t>
      </w:r>
      <w:r w:rsidRPr="00BC4116">
        <w:t xml:space="preserve"> </w:t>
      </w:r>
      <w:r w:rsidR="00DD3496">
        <w:t xml:space="preserve">including variations </w:t>
      </w:r>
      <w:r w:rsidRPr="00BC4116">
        <w:t>in definitions of high breast densit</w:t>
      </w:r>
      <w:r w:rsidR="00DD3496">
        <w:t>y and</w:t>
      </w:r>
      <w:r w:rsidRPr="00BC4116">
        <w:t xml:space="preserve"> methods of </w:t>
      </w:r>
      <w:r w:rsidR="00DD3496">
        <w:t xml:space="preserve">measuring </w:t>
      </w:r>
      <w:r w:rsidRPr="00BC4116">
        <w:t>breast density, non-specified modalities of breast cancer diagnos</w:t>
      </w:r>
      <w:r w:rsidR="00C17A91">
        <w:t>i</w:t>
      </w:r>
      <w:r w:rsidRPr="00BC4116">
        <w:t>s</w:t>
      </w:r>
      <w:r w:rsidR="00DD3496">
        <w:t>,</w:t>
      </w:r>
      <w:r w:rsidRPr="00BC4116">
        <w:t xml:space="preserve"> and </w:t>
      </w:r>
      <w:r w:rsidR="00DD3496">
        <w:t xml:space="preserve">uncontrolled </w:t>
      </w:r>
      <w:r w:rsidRPr="00BC4116">
        <w:t>confounding factors.</w:t>
      </w:r>
    </w:p>
    <w:p w14:paraId="5C9F8C67" w14:textId="0302EC5B" w:rsidR="00F538C3" w:rsidRDefault="00F538C3" w:rsidP="00F538C3">
      <w:pPr>
        <w:pStyle w:val="BodyText"/>
      </w:pPr>
      <w:r w:rsidRPr="005D61F4">
        <w:lastRenderedPageBreak/>
        <w:t>Huo et al</w:t>
      </w:r>
      <w:r>
        <w:t>. (</w:t>
      </w:r>
      <w:r w:rsidRPr="005D61F4">
        <w:t>201</w:t>
      </w:r>
      <w:r w:rsidR="00657167">
        <w:t>4</w:t>
      </w:r>
      <w:r>
        <w:t>)</w:t>
      </w:r>
      <w:r w:rsidRPr="005D61F4">
        <w:t xml:space="preserve"> undertook a narrative review to investigate </w:t>
      </w:r>
      <w:r>
        <w:t>more</w:t>
      </w:r>
      <w:r w:rsidRPr="005D61F4">
        <w:t xml:space="preserve"> current (2007-2013) literature for breast density</w:t>
      </w:r>
      <w:r>
        <w:t xml:space="preserve"> to provide an update of breast density and cancer risk. T</w:t>
      </w:r>
      <w:r w:rsidRPr="005D61F4">
        <w:t>his</w:t>
      </w:r>
      <w:r>
        <w:t xml:space="preserve"> review</w:t>
      </w:r>
      <w:r w:rsidRPr="005D61F4">
        <w:t xml:space="preserve"> </w:t>
      </w:r>
      <w:r>
        <w:t xml:space="preserve">covers similar material to </w:t>
      </w:r>
      <w:r w:rsidRPr="005D61F4">
        <w:t xml:space="preserve">the McCormack </w:t>
      </w:r>
      <w:r>
        <w:t>and dos Santos Silva study (breast density as a risk factor for breast cancer) but follows on by analysing specific factors associated with breast density such as biological and genetic factors.</w:t>
      </w:r>
      <w:r w:rsidRPr="005D61F4">
        <w:t xml:space="preserve"> Study selection criteria was not defined</w:t>
      </w:r>
      <w:r>
        <w:t xml:space="preserve"> by Huo et al. </w:t>
      </w:r>
      <w:r w:rsidRPr="005D61F4">
        <w:t xml:space="preserve">and the analyses and commentary on the studies were </w:t>
      </w:r>
      <w:r>
        <w:t xml:space="preserve">not provided, which limits the usefulness of this study overall. </w:t>
      </w:r>
    </w:p>
    <w:p w14:paraId="3C0FE215" w14:textId="77A7635A" w:rsidR="00F538C3" w:rsidRPr="003754AE" w:rsidRDefault="00F538C3" w:rsidP="00F538C3">
      <w:pPr>
        <w:pStyle w:val="BodyText"/>
      </w:pPr>
      <w:r>
        <w:t>Huo et al. included</w:t>
      </w:r>
      <w:r w:rsidRPr="005D61F4">
        <w:t xml:space="preserve"> 119</w:t>
      </w:r>
      <w:r>
        <w:t xml:space="preserve"> studies. Studies included research involving women of all ages; however, data were not presented for the risk associated with breast density by different age groups. A variety of breast density classification systems were used including T</w:t>
      </w:r>
      <w:r w:rsidRPr="00417BB6">
        <w:t xml:space="preserve">abár, </w:t>
      </w:r>
      <w:r>
        <w:t>C</w:t>
      </w:r>
      <w:r w:rsidRPr="00417BB6">
        <w:t xml:space="preserve">umulus, </w:t>
      </w:r>
      <w:r w:rsidR="00275D65">
        <w:t>BIRADS</w:t>
      </w:r>
      <w:r w:rsidRPr="00417BB6">
        <w:t xml:space="preserve"> and computer assisted</w:t>
      </w:r>
      <w:r>
        <w:t xml:space="preserve"> methods. </w:t>
      </w:r>
      <w:r w:rsidRPr="005D61F4">
        <w:t xml:space="preserve">Table </w:t>
      </w:r>
      <w:r w:rsidR="006465B1">
        <w:t>7</w:t>
      </w:r>
      <w:r>
        <w:t xml:space="preserve"> (</w:t>
      </w:r>
      <w:r w:rsidR="00D57B2D">
        <w:t xml:space="preserve">page </w:t>
      </w:r>
      <w:r w:rsidR="00E219CB">
        <w:t>4</w:t>
      </w:r>
      <w:r w:rsidR="006465B1">
        <w:t>4</w:t>
      </w:r>
      <w:r>
        <w:t>) describes the 18</w:t>
      </w:r>
      <w:r w:rsidRPr="005D61F4">
        <w:t xml:space="preserve"> studies included as part of the </w:t>
      </w:r>
      <w:r w:rsidR="00C17A91">
        <w:t xml:space="preserve">analysis of </w:t>
      </w:r>
      <w:r>
        <w:t>m</w:t>
      </w:r>
      <w:r w:rsidRPr="005D61F4">
        <w:t>ammographic density and its association</w:t>
      </w:r>
      <w:r>
        <w:t xml:space="preserve"> with breast cancer risk.</w:t>
      </w:r>
      <w:r w:rsidR="00EF3FBF">
        <w:t xml:space="preserve"> </w:t>
      </w:r>
      <w:r>
        <w:t xml:space="preserve">Studies included in Huo et al. mainly had large </w:t>
      </w:r>
      <w:r w:rsidR="00EF3FBF">
        <w:t>sample sizes</w:t>
      </w:r>
      <w:r>
        <w:t xml:space="preserve"> with the smallest study having 358 cases of breast cancer compared to 859 controls (Lokate et al.,</w:t>
      </w:r>
      <w:r w:rsidRPr="00417BB6">
        <w:t xml:space="preserve"> 2011</w:t>
      </w:r>
      <w:r>
        <w:t xml:space="preserve">). </w:t>
      </w:r>
    </w:p>
    <w:p w14:paraId="4BB64E68" w14:textId="73E73B7F" w:rsidR="00183B38" w:rsidRDefault="00F538C3" w:rsidP="00183B38">
      <w:pPr>
        <w:pStyle w:val="BodyText"/>
        <w:spacing w:before="40" w:after="40"/>
      </w:pPr>
      <w:r>
        <w:t>All studies discussed in Huo et al. (201</w:t>
      </w:r>
      <w:r w:rsidR="00657167">
        <w:t>4</w:t>
      </w:r>
      <w:r>
        <w:t xml:space="preserve">) found a positive association </w:t>
      </w:r>
      <w:r w:rsidR="00EF3FBF">
        <w:t>between</w:t>
      </w:r>
      <w:r>
        <w:t xml:space="preserve"> increased breast density</w:t>
      </w:r>
      <w:r w:rsidR="00EF3FBF">
        <w:t xml:space="preserve"> (as defined by each study)</w:t>
      </w:r>
      <w:r>
        <w:t xml:space="preserve"> and breast cancer risk, with OR ranging from 1.37 -3.47. </w:t>
      </w:r>
      <w:r w:rsidR="00EF3FBF">
        <w:t xml:space="preserve">This means that the odds of developing breast cancer was 1.37 to 3.47 times higher for </w:t>
      </w:r>
      <w:r w:rsidR="003024F4">
        <w:t xml:space="preserve">women with higher breast density compared to women with lower breast density. </w:t>
      </w:r>
      <w:r>
        <w:t>Unfortunately, the studies</w:t>
      </w:r>
      <w:r w:rsidR="003024F4">
        <w:t xml:space="preserve"> </w:t>
      </w:r>
      <w:r>
        <w:t xml:space="preserve">used different density thresholds in their analysis. For example, Boyd et al. (2007) defined women with more dense breasts as </w:t>
      </w:r>
      <w:r w:rsidRPr="00BC68AC">
        <w:t>density ≥75%</w:t>
      </w:r>
      <w:r w:rsidR="003024F4">
        <w:t>; the odds</w:t>
      </w:r>
      <w:r w:rsidR="0066338C">
        <w:t xml:space="preserve"> </w:t>
      </w:r>
      <w:r w:rsidR="003024F4">
        <w:t>of t</w:t>
      </w:r>
      <w:r>
        <w:t>hese women</w:t>
      </w:r>
      <w:r w:rsidR="003024F4">
        <w:t xml:space="preserve"> developing breast cancer was </w:t>
      </w:r>
      <w:r w:rsidR="003024F4" w:rsidRPr="00403BDB">
        <w:t>4.7 times</w:t>
      </w:r>
      <w:r w:rsidR="003024F4">
        <w:t xml:space="preserve"> higher than </w:t>
      </w:r>
      <w:r w:rsidR="0066338C">
        <w:t xml:space="preserve">the odds for </w:t>
      </w:r>
      <w:r w:rsidR="003024F4">
        <w:t>women</w:t>
      </w:r>
      <w:r w:rsidRPr="00BC68AC">
        <w:t xml:space="preserve"> with density &lt;10%</w:t>
      </w:r>
      <w:r>
        <w:t>.</w:t>
      </w:r>
      <w:r w:rsidRPr="00BC68AC">
        <w:t xml:space="preserve"> </w:t>
      </w:r>
      <w:r w:rsidR="003024F4">
        <w:t xml:space="preserve">On the other hand, </w:t>
      </w:r>
      <w:r w:rsidRPr="00BC68AC">
        <w:t>Tamimi et al.</w:t>
      </w:r>
      <w:r>
        <w:t xml:space="preserve"> (</w:t>
      </w:r>
      <w:r w:rsidRPr="00BC68AC">
        <w:t>2007</w:t>
      </w:r>
      <w:r>
        <w:t xml:space="preserve">) </w:t>
      </w:r>
      <w:r w:rsidRPr="00BC68AC">
        <w:t>and Shepard et al.</w:t>
      </w:r>
      <w:r>
        <w:t xml:space="preserve"> (</w:t>
      </w:r>
      <w:r w:rsidRPr="00BC68AC">
        <w:t>2011</w:t>
      </w:r>
      <w:r>
        <w:t>)</w:t>
      </w:r>
      <w:r w:rsidRPr="00BC68AC">
        <w:t xml:space="preserve"> compared women with breast density in the highest quartile compared with the</w:t>
      </w:r>
      <w:r>
        <w:t xml:space="preserve"> lowest quartile. </w:t>
      </w:r>
      <w:r w:rsidR="003024F4">
        <w:t>They found that the odds or risk of women in the highest quartile developing breast cancer was 2.9 (OR) to 3.8 (RR) times higher than the odds or risk for women in the lowest quartile. The classification of density was more inclusive in this latter study, which potentially led to the lower odds and risk ratios than was found in Boyd et al. (2007). This</w:t>
      </w:r>
      <w:r>
        <w:t xml:space="preserve"> makes it extremely difficult to pool analyses and provide a more conclusive</w:t>
      </w:r>
      <w:r w:rsidR="003024F4">
        <w:t xml:space="preserve"> estimate of the association between</w:t>
      </w:r>
      <w:r>
        <w:t xml:space="preserve"> risk </w:t>
      </w:r>
      <w:r w:rsidR="003024F4">
        <w:t>and breast density</w:t>
      </w:r>
      <w:r>
        <w:t>.</w:t>
      </w:r>
    </w:p>
    <w:p w14:paraId="68D4749F" w14:textId="740917AE" w:rsidR="00183B38" w:rsidRDefault="00183B38" w:rsidP="00183B38">
      <w:pPr>
        <w:pStyle w:val="BodyText"/>
        <w:spacing w:before="40" w:after="40"/>
      </w:pPr>
      <w:r>
        <w:t xml:space="preserve">Research continues to be conducted that adds to the body of evidence regarding the association between breast density and breast cancer risk. For example, Habel et al. (2016) provided estimates of this association in a case-control study nested within the Research Program in Genes, Environment and Health of Kaiser Permanente Northern California. The sample comprised 297 cases and 1149 age-matched controls, all of whom were </w:t>
      </w:r>
      <w:r w:rsidR="00186A77">
        <w:t>non-Hispanic White females between the ages of 40 and 74 years; women with breast implants were excluded from the study. Cumulus was used to assess breast density from screening images produced by FFDM.</w:t>
      </w:r>
      <w:r>
        <w:t xml:space="preserve"> </w:t>
      </w:r>
      <w:r w:rsidR="00893AA8">
        <w:t xml:space="preserve">As with the other studies discussed above, they found that percent density was </w:t>
      </w:r>
      <w:r w:rsidR="00845B0A">
        <w:t>significantly</w:t>
      </w:r>
      <w:r w:rsidR="00893AA8">
        <w:t xml:space="preserve"> associated with breast cancer risk, with the odds of developing breast cancer increasing 1.70 times (95%CI 1.41-2.04) for every one standard deviation increase in percent density. </w:t>
      </w:r>
      <w:r w:rsidR="00845B0A">
        <w:t xml:space="preserve">This association held after controlling for BMI, parity, family history of breast cancer and hormone use. Absolute dense area was also significantly positively associated with breast cancer risk, although this association was weaker than the association for percent density (OR = 1.54, 95%CI 1.34-1.77). </w:t>
      </w:r>
    </w:p>
    <w:p w14:paraId="2060B28C" w14:textId="2162CB65" w:rsidR="00183B38" w:rsidRDefault="00960F15" w:rsidP="00403BDB">
      <w:pPr>
        <w:pStyle w:val="BodyText"/>
        <w:spacing w:before="40" w:after="40"/>
      </w:pPr>
      <w:r>
        <w:t xml:space="preserve">One recent nested case-control study conducted in a Mediterranean population was also identified (Masala et al., 2017). This study sourced their sample from the 10,083 women enrolled in the EPIC Florence cohort, using 136 cases and 635 age-matched controls. Breast density was visually assessed using </w:t>
      </w:r>
      <w:r w:rsidR="00275D65">
        <w:t>BIRADS</w:t>
      </w:r>
      <w:r>
        <w:t xml:space="preserve">. Compared to women categorised as </w:t>
      </w:r>
      <w:r w:rsidR="00275D65">
        <w:t>BIRADS</w:t>
      </w:r>
      <w:r>
        <w:t xml:space="preserve"> 1, the odds of developing cancer </w:t>
      </w:r>
      <w:r w:rsidR="00E82D90">
        <w:t>were</w:t>
      </w:r>
      <w:r>
        <w:t xml:space="preserve"> 1.83 (95%CI 1.12-3.00), 2.29 (1.35-3.89) or 2.68 (95%CI 1.14-6.30) times higher for women categorised as </w:t>
      </w:r>
      <w:r w:rsidR="00275D65">
        <w:t>BIRADS</w:t>
      </w:r>
      <w:r>
        <w:t xml:space="preserve"> 2, 3 or 4, respectively. These associations remained similar after controlling for education, BMI, parity, breast feeding, </w:t>
      </w:r>
      <w:proofErr w:type="gramStart"/>
      <w:r>
        <w:t>family</w:t>
      </w:r>
      <w:proofErr w:type="gramEnd"/>
      <w:r>
        <w:t xml:space="preserve"> history of breast cancer, previous biopsy, and hormone therapy use.</w:t>
      </w:r>
      <w:r w:rsidR="00E82D90">
        <w:t xml:space="preserve"> The odds ratios found in this study were relatively smaller than </w:t>
      </w:r>
      <w:r w:rsidR="00E82D90">
        <w:lastRenderedPageBreak/>
        <w:t>other studies comparing the same breast density categories, however results were likely to be affected by the small sample size (this is suggested by the large confidence intervals associated with each OR).</w:t>
      </w:r>
    </w:p>
    <w:p w14:paraId="2873FF80" w14:textId="398AE42F" w:rsidR="00183B38" w:rsidRDefault="00183B38" w:rsidP="00F538C3">
      <w:pPr>
        <w:pStyle w:val="BodyText"/>
        <w:spacing w:before="40" w:after="40"/>
        <w:jc w:val="left"/>
        <w:sectPr w:rsidR="00183B38" w:rsidSect="00487B0B">
          <w:pgSz w:w="11906" w:h="16838"/>
          <w:pgMar w:top="1440" w:right="1440" w:bottom="1440" w:left="1276" w:header="708" w:footer="708" w:gutter="0"/>
          <w:cols w:space="708"/>
          <w:docGrid w:linePitch="360"/>
        </w:sectPr>
      </w:pPr>
    </w:p>
    <w:p w14:paraId="61B552EA" w14:textId="3EC2208F" w:rsidR="00EB35FA" w:rsidRDefault="006F33EB" w:rsidP="00EB35FA">
      <w:pPr>
        <w:pStyle w:val="Caption"/>
      </w:pPr>
      <w:r w:rsidRPr="006F33EB">
        <w:lastRenderedPageBreak/>
        <w:t xml:space="preserve">Table </w:t>
      </w:r>
      <w:r w:rsidR="006465B1">
        <w:t>6</w:t>
      </w:r>
      <w:r w:rsidR="00EB35FA" w:rsidRPr="006F33EB">
        <w:t>. Characteristics</w:t>
      </w:r>
      <w:r w:rsidR="00EB35FA" w:rsidRPr="002A364F">
        <w:t xml:space="preserve"> of population studies, mammographic assessments, breast density definitions and classifications, in relation to breast cancer incidence (modified from Colin et al., 2013)</w:t>
      </w:r>
    </w:p>
    <w:tbl>
      <w:tblPr>
        <w:tblStyle w:val="ACGreen-BasicTable"/>
        <w:tblW w:w="5000" w:type="pct"/>
        <w:tblInd w:w="0" w:type="dxa"/>
        <w:tblLook w:val="04A0" w:firstRow="1" w:lastRow="0" w:firstColumn="1" w:lastColumn="0" w:noHBand="0" w:noVBand="1"/>
        <w:tblDescription w:val="The table describes fourteen studies by study design, number of participants, the number of breast cancers (screening or interval cancers), age (mean plus or minus standard deviation) or age range (years), follow-up screening (years), mammographic feature classification, definition of high breast density, and OR: breast density dense versus non-dense (CI). &#10;The Study Olsen et al., 2009 was a cohort study with 48,052 study participants. The number of breast cancers (screening or interval cancers) was 1009 and the Age (mean ± SD) or range (years) was 50–69. The Follow-up screening (years) was 11 and the Mammographic feature: classification was BI-RADS. The Definition of high breast density was &gt;50% and the OR: breast cancer dense versus non-dense (CI) was 2.5 (2.1–2.8).&#10;The Study Pisano et al., 2008 was a comparative prospective study with 42,117 study participants. The number of breast cancers (screening or interval cancers) was 335 and the Age (mean ± SD) or range (years) was 47–69. The Follow-up screening (years) was 1.25 and the Mammographic feature: classification was BI-RADS. The Definition of high breast density was &gt;50% and the OR: breast cancer dense versus non-dense (CI) was not indicated.&#10;The Study Van Gils et al., 2008 was a nested case–control study with 922 study participants in the control group. The number of breast cancers (screening or interval cancers) was 352 and the Age (mean ± SD) or range (years) was &gt;35. The Follow-up screening (years) was 6 and the Mammographic feature: classification was Wolfe, PD. The Definition of high breast density was &gt;25% and the OR: breast cancer dense versus non-dense (CI) was 3.3 and (1.5–7.1).&#10;The Study Boyd et al., 2007 was a nested case–control study and with 1112 participants in the control group. The number of breast cancers (screening or interval cancers) was 1112 and the Age (mean ± SD) or range (years) was 56.7 ± 9.1. The Follow-up screening (years) was 18 and the Mammographic feature: classification was Wolfe, PD. The Definition of high breast density was &gt;75% and the OR: breast cancer dense versus non-dense (CI) was 4.7 (3.0–7.4).&#10;The Study Boyd et al., 2005 was a nested case–control study and with 354 study participants in the control group. The number of breast cancers (screening or interval cancers) was 354 and the Age (mean ± SD) or range (years) was 40–59. The Follow-up screening (years) was 5.25 and the Mammographic feature: classification was Wolfe, PD. The Definition of high breast density was “The least extensive, The most extensive” and the OR: breast cancer dense versus non-dense (CI) was 6.0 and (2.8–12.3).&#10;The Study Bryne et al, 2005 was a nested case–control study with 2152 study participants in the control group. The number of breast cancers (screening or interval cancers) was 1880 and the Age (mean ± SD) or range (years) was 35–74. The Follow-up screening (years) was 16 and the Mammographic feature: classification was Wolfe, PD. The Definition of high breast density was &gt;75% and the OR: breast cancer dense versus non-dense (CI) was 5 and (3.6–7.1).&#10;The Study Maskarinec et al., 2005 was a nested case–control study with 667 study participants in the control group. The number of breast cancers (screening or interval cancers) was 607 and the Age (mean ± SD) or range (years) was 45–75. The Follow-up screening (years) was 4 and the Mammographic feature: classification was Wolfe, PD. The Definition of high breast density was ≥50% and the OR: breast cancer dense versus non-dense (CI) was 3.6 (2.3–5.6).&#10;The Study Torres-Mejia et al., 2005 was a cohort study with 3211 study participants. The number of breast cancers (screening or interval cancers) was 111 and the Age (mean ± SD) or range (years) was ≥35. The Follow-up screening (years) was 18 and the Mammographic feature: classification was Wolfe, PD. The Definition of high breast density was DY and the OR: breast cancer dense versus non-dense (CI) was 3.9 (1.8–8.6).&#10;The Study Vacek and Geller, 2004 was a cohort study with 61,844 study participants. The number of breast cancers (screening or interval cancers) was 1191 and the Age (mean ± SD) or range (years) was 54 ± 12. The Follow-up screening (years) was 3.1 and the Mammographic feature: classification was BI-RADS. The Definition of high breast density was &gt;25% and the OR: breast cancer dense versus non-dense (CI) was 3.0 BI-RADS 3 (2.2–4.0) and 4.0 BI-RADS 4 (2.8–5.7).&#10;The Study Ziv, et al., 2004 was a cohort study with 44,811 study participants. The number of breast cancers (screening or interval cancers) was 701 and the Age (mean ± SD) or range (years) was 54 ± 12. The Follow-up screening (years) was 7.5 and the Mammographic feature: classification was BI-RADS. The Definition of high breast density was &gt;75% and the OR: breast cancer dense versus non-dense (CI) was 2.0 (1.6–2.6).&#10;The Study Ciatto and Zappa, 1993 was a cohort study with 17,911 study participants. The number of breast cancers (screening or interval cancers) was 40 and the Age (mean ± SD) or range (years) was 40–70. The Follow-up screening (years) was 5 and the Mammographic feature: classification was Wolfe. The Definition of high breast density was P2 + DY and the OR: breast cancer dense versus non-dense (CI) was 2.0 and (1.4–13.3).&#10;The Study De Stavola, 1990 was a cohort study with 4954 study participants. The number of breast cancers (screening or interval cancers) was 69 and the Age (mean ± SD) or range (years) was 35–75. The Follow-up screening (years) was 7 and the Mammographic feature: classification was Wolfe. The Definition of high breast density was P2 + DY and the OR: breast cancer dense versus non-dense (CI) was 1.5 and (0.9–2.7)&#10;The Study Brisson et al., 1988 was a cohort study with 55,053 study participants. The number of breast cancers (screening or interval cancers) was 3392 and the Age (mean ± SD) or range (years) was 35–74. The Follow-up screening (years) was 9 and the Mammographic feature: classification was BI-RADS. The Definition of high breast density was Glandular + homogeneously dense and the OR: breast cancer dense versus non-dense (CI) was Not indicated.&#10;The Study Van Gils, et al. 1998 was a cohort study with 19,152 study participants. The number of breast cancers (screening or interval cancers) was 403 and the Age (mean ± SD) or range (years) was 50–69. The Follow-up screening (years) was 19 and the Mammographic feature: classification was Wolfe, PD. The Definition of high breast density was &gt;25% and the OR: breast cancer dense versus non-dense (CI) was Not indicated.&#10;"/>
      </w:tblPr>
      <w:tblGrid>
        <w:gridCol w:w="1203"/>
        <w:gridCol w:w="1323"/>
        <w:gridCol w:w="1584"/>
        <w:gridCol w:w="1417"/>
        <w:gridCol w:w="1121"/>
        <w:gridCol w:w="1230"/>
        <w:gridCol w:w="1808"/>
        <w:gridCol w:w="2170"/>
        <w:gridCol w:w="2092"/>
      </w:tblGrid>
      <w:tr w:rsidR="00345CCE" w:rsidRPr="00345CCE" w14:paraId="09C84036" w14:textId="77777777" w:rsidTr="00C80ABE">
        <w:trPr>
          <w:cnfStyle w:val="100000000000" w:firstRow="1" w:lastRow="0" w:firstColumn="0" w:lastColumn="0" w:oddVBand="0" w:evenVBand="0" w:oddHBand="0" w:evenHBand="0" w:firstRowFirstColumn="0" w:firstRowLastColumn="0" w:lastRowFirstColumn="0" w:lastRowLastColumn="0"/>
          <w:trHeight w:val="959"/>
        </w:trPr>
        <w:tc>
          <w:tcPr>
            <w:tcW w:w="431" w:type="pct"/>
            <w:vAlign w:val="center"/>
            <w:hideMark/>
          </w:tcPr>
          <w:p w14:paraId="043AC257" w14:textId="77777777" w:rsidR="00EB35FA" w:rsidRPr="00345CCE" w:rsidRDefault="00EB35FA" w:rsidP="00BC4116">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Study</w:t>
            </w:r>
          </w:p>
        </w:tc>
        <w:tc>
          <w:tcPr>
            <w:tcW w:w="474" w:type="pct"/>
            <w:vAlign w:val="center"/>
            <w:hideMark/>
          </w:tcPr>
          <w:p w14:paraId="5D3E2339" w14:textId="77777777"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Study design</w:t>
            </w:r>
          </w:p>
        </w:tc>
        <w:tc>
          <w:tcPr>
            <w:tcW w:w="568" w:type="pct"/>
            <w:vAlign w:val="center"/>
            <w:hideMark/>
          </w:tcPr>
          <w:p w14:paraId="33DA3493" w14:textId="77777777"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Study participants</w:t>
            </w:r>
          </w:p>
        </w:tc>
        <w:tc>
          <w:tcPr>
            <w:tcW w:w="508" w:type="pct"/>
            <w:vAlign w:val="center"/>
            <w:hideMark/>
          </w:tcPr>
          <w:p w14:paraId="551FB056" w14:textId="77777777"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No. breast cancers (screening or interval cancers)</w:t>
            </w:r>
          </w:p>
        </w:tc>
        <w:tc>
          <w:tcPr>
            <w:tcW w:w="402" w:type="pct"/>
            <w:vAlign w:val="center"/>
            <w:hideMark/>
          </w:tcPr>
          <w:p w14:paraId="3BBCB147" w14:textId="2C8C4FCA"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Age (mean</w:t>
            </w:r>
            <w:r w:rsidR="00BB2B6B" w:rsidRPr="00345CCE">
              <w:rPr>
                <w:rFonts w:eastAsia="Times New Roman" w:cstheme="majorHAnsi"/>
                <w:bCs/>
                <w:color w:val="auto"/>
                <w:sz w:val="18"/>
                <w:szCs w:val="18"/>
                <w:lang w:eastAsia="en-NZ"/>
              </w:rPr>
              <w:t xml:space="preserve"> </w:t>
            </w:r>
            <w:r w:rsidRPr="00345CCE">
              <w:rPr>
                <w:rFonts w:eastAsia="Times New Roman" w:cstheme="majorHAnsi"/>
                <w:bCs/>
                <w:color w:val="auto"/>
                <w:sz w:val="18"/>
                <w:szCs w:val="18"/>
                <w:lang w:eastAsia="en-NZ"/>
              </w:rPr>
              <w:t>±</w:t>
            </w:r>
            <w:r w:rsidR="00BB2B6B" w:rsidRPr="00345CCE">
              <w:rPr>
                <w:rFonts w:eastAsia="Times New Roman" w:cstheme="majorHAnsi"/>
                <w:bCs/>
                <w:color w:val="auto"/>
                <w:sz w:val="18"/>
                <w:szCs w:val="18"/>
                <w:lang w:eastAsia="en-NZ"/>
              </w:rPr>
              <w:t xml:space="preserve"> </w:t>
            </w:r>
            <w:r w:rsidRPr="00345CCE">
              <w:rPr>
                <w:rFonts w:eastAsia="Times New Roman" w:cstheme="majorHAnsi"/>
                <w:bCs/>
                <w:color w:val="auto"/>
                <w:sz w:val="18"/>
                <w:szCs w:val="18"/>
                <w:lang w:eastAsia="en-NZ"/>
              </w:rPr>
              <w:t>SD) or range (years)</w:t>
            </w:r>
          </w:p>
        </w:tc>
        <w:tc>
          <w:tcPr>
            <w:tcW w:w="441" w:type="pct"/>
            <w:vAlign w:val="center"/>
            <w:hideMark/>
          </w:tcPr>
          <w:p w14:paraId="50E9C90F" w14:textId="77777777"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Follow-up screening (years)</w:t>
            </w:r>
          </w:p>
        </w:tc>
        <w:tc>
          <w:tcPr>
            <w:tcW w:w="648" w:type="pct"/>
            <w:vAlign w:val="center"/>
            <w:hideMark/>
          </w:tcPr>
          <w:p w14:paraId="33D31D3E" w14:textId="77777777"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Mammographic feature: classification</w:t>
            </w:r>
          </w:p>
        </w:tc>
        <w:tc>
          <w:tcPr>
            <w:tcW w:w="778" w:type="pct"/>
            <w:vAlign w:val="center"/>
            <w:hideMark/>
          </w:tcPr>
          <w:p w14:paraId="4515905D" w14:textId="77777777" w:rsidR="00EB35FA" w:rsidRPr="00345CCE" w:rsidRDefault="00EB35FA"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Definition of high breast density</w:t>
            </w:r>
          </w:p>
        </w:tc>
        <w:tc>
          <w:tcPr>
            <w:tcW w:w="750" w:type="pct"/>
            <w:vAlign w:val="center"/>
            <w:hideMark/>
          </w:tcPr>
          <w:p w14:paraId="67502C81" w14:textId="77777777" w:rsidR="00EB35FA" w:rsidRPr="00345CCE" w:rsidRDefault="00761B6F" w:rsidP="00EB35FA">
            <w:pPr>
              <w:jc w:val="center"/>
              <w:rPr>
                <w:rFonts w:eastAsia="Times New Roman" w:cstheme="majorHAnsi"/>
                <w:bCs/>
                <w:color w:val="auto"/>
                <w:sz w:val="18"/>
                <w:szCs w:val="18"/>
                <w:lang w:eastAsia="en-NZ"/>
              </w:rPr>
            </w:pPr>
            <w:r w:rsidRPr="00345CCE">
              <w:rPr>
                <w:rFonts w:eastAsia="Times New Roman" w:cstheme="majorHAnsi"/>
                <w:bCs/>
                <w:color w:val="auto"/>
                <w:sz w:val="18"/>
                <w:szCs w:val="18"/>
                <w:lang w:eastAsia="en-NZ"/>
              </w:rPr>
              <w:t xml:space="preserve">OR: </w:t>
            </w:r>
            <w:r w:rsidR="00EB35FA" w:rsidRPr="00345CCE">
              <w:rPr>
                <w:rFonts w:eastAsia="Times New Roman" w:cstheme="majorHAnsi"/>
                <w:bCs/>
                <w:color w:val="auto"/>
                <w:sz w:val="18"/>
                <w:szCs w:val="18"/>
                <w:lang w:eastAsia="en-NZ"/>
              </w:rPr>
              <w:t>breast cancer dense versus non-dense (CI)</w:t>
            </w:r>
          </w:p>
        </w:tc>
      </w:tr>
      <w:tr w:rsidR="0012309A" w:rsidRPr="00C03EC4" w14:paraId="414A4C44" w14:textId="77777777" w:rsidTr="00F66F74">
        <w:trPr>
          <w:trHeight w:val="432"/>
        </w:trPr>
        <w:tc>
          <w:tcPr>
            <w:tcW w:w="431" w:type="pct"/>
            <w:vAlign w:val="center"/>
            <w:hideMark/>
          </w:tcPr>
          <w:p w14:paraId="5DF02971" w14:textId="77777777" w:rsidR="0012309A" w:rsidRDefault="0012309A" w:rsidP="00F66F74">
            <w:pPr>
              <w:rPr>
                <w:rFonts w:eastAsia="Times New Roman" w:cstheme="majorHAnsi"/>
                <w:sz w:val="18"/>
                <w:szCs w:val="18"/>
                <w:lang w:eastAsia="en-NZ"/>
              </w:rPr>
            </w:pPr>
            <w:r w:rsidRPr="003122C0">
              <w:rPr>
                <w:rFonts w:eastAsia="Times New Roman" w:cstheme="majorHAnsi"/>
                <w:sz w:val="18"/>
                <w:szCs w:val="18"/>
                <w:lang w:eastAsia="en-NZ"/>
              </w:rPr>
              <w:t>Olsen</w:t>
            </w:r>
            <w:r>
              <w:rPr>
                <w:rFonts w:eastAsia="Times New Roman" w:cstheme="majorHAnsi"/>
                <w:sz w:val="18"/>
                <w:szCs w:val="18"/>
                <w:lang w:eastAsia="en-NZ"/>
              </w:rPr>
              <w:t xml:space="preserve"> et al.</w:t>
            </w:r>
          </w:p>
          <w:p w14:paraId="6172B4B5" w14:textId="77777777" w:rsidR="0012309A" w:rsidRPr="00C03EC4" w:rsidRDefault="0012309A" w:rsidP="00F66F74">
            <w:pPr>
              <w:rPr>
                <w:rFonts w:eastAsia="Times New Roman" w:cstheme="majorHAnsi"/>
                <w:sz w:val="18"/>
                <w:szCs w:val="18"/>
                <w:u w:val="single"/>
                <w:lang w:eastAsia="en-NZ"/>
              </w:rPr>
            </w:pPr>
            <w:r>
              <w:rPr>
                <w:rFonts w:eastAsia="Times New Roman" w:cstheme="majorHAnsi"/>
                <w:sz w:val="18"/>
                <w:szCs w:val="18"/>
                <w:lang w:eastAsia="en-NZ"/>
              </w:rPr>
              <w:t>(</w:t>
            </w:r>
            <w:r w:rsidRPr="003122C0">
              <w:rPr>
                <w:rFonts w:eastAsia="Times New Roman" w:cstheme="majorHAnsi"/>
                <w:sz w:val="18"/>
                <w:szCs w:val="18"/>
                <w:lang w:eastAsia="en-NZ"/>
              </w:rPr>
              <w:t>2009</w:t>
            </w:r>
            <w:r>
              <w:rPr>
                <w:rFonts w:eastAsia="Times New Roman" w:cstheme="majorHAnsi"/>
                <w:sz w:val="18"/>
                <w:szCs w:val="18"/>
                <w:lang w:eastAsia="en-NZ"/>
              </w:rPr>
              <w:t>)</w:t>
            </w:r>
          </w:p>
        </w:tc>
        <w:tc>
          <w:tcPr>
            <w:tcW w:w="474" w:type="pct"/>
            <w:vAlign w:val="center"/>
            <w:hideMark/>
          </w:tcPr>
          <w:p w14:paraId="088B69BC"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hideMark/>
          </w:tcPr>
          <w:p w14:paraId="67640CF0"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48</w:t>
            </w:r>
            <w:r w:rsidRPr="003122C0">
              <w:rPr>
                <w:rFonts w:eastAsia="Times New Roman" w:cstheme="majorHAnsi"/>
                <w:sz w:val="18"/>
                <w:szCs w:val="18"/>
                <w:lang w:eastAsia="en-NZ"/>
              </w:rPr>
              <w:t>,</w:t>
            </w:r>
            <w:r w:rsidRPr="00C03EC4">
              <w:rPr>
                <w:rFonts w:eastAsia="Times New Roman" w:cstheme="majorHAnsi"/>
                <w:sz w:val="18"/>
                <w:szCs w:val="18"/>
                <w:lang w:eastAsia="en-NZ"/>
              </w:rPr>
              <w:t>052</w:t>
            </w:r>
          </w:p>
        </w:tc>
        <w:tc>
          <w:tcPr>
            <w:tcW w:w="508" w:type="pct"/>
            <w:vAlign w:val="center"/>
            <w:hideMark/>
          </w:tcPr>
          <w:p w14:paraId="04514382"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1009</w:t>
            </w:r>
          </w:p>
        </w:tc>
        <w:tc>
          <w:tcPr>
            <w:tcW w:w="402" w:type="pct"/>
            <w:vAlign w:val="center"/>
            <w:hideMark/>
          </w:tcPr>
          <w:p w14:paraId="3C97906B"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50–69</w:t>
            </w:r>
          </w:p>
        </w:tc>
        <w:tc>
          <w:tcPr>
            <w:tcW w:w="441" w:type="pct"/>
            <w:vAlign w:val="center"/>
            <w:hideMark/>
          </w:tcPr>
          <w:p w14:paraId="1D8C2992"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11</w:t>
            </w:r>
          </w:p>
        </w:tc>
        <w:tc>
          <w:tcPr>
            <w:tcW w:w="648" w:type="pct"/>
            <w:vAlign w:val="center"/>
            <w:hideMark/>
          </w:tcPr>
          <w:p w14:paraId="25239192" w14:textId="77777777" w:rsidR="0012309A" w:rsidRPr="00C03EC4" w:rsidRDefault="0012309A" w:rsidP="00F66F74">
            <w:pPr>
              <w:jc w:val="center"/>
              <w:rPr>
                <w:rFonts w:eastAsia="Times New Roman" w:cstheme="majorHAnsi"/>
                <w:sz w:val="18"/>
                <w:szCs w:val="18"/>
                <w:lang w:eastAsia="en-NZ"/>
              </w:rPr>
            </w:pPr>
            <w:r>
              <w:rPr>
                <w:rFonts w:eastAsia="Times New Roman" w:cstheme="majorHAnsi"/>
                <w:sz w:val="18"/>
                <w:szCs w:val="18"/>
                <w:lang w:eastAsia="en-NZ"/>
              </w:rPr>
              <w:t>BIRADS</w:t>
            </w:r>
          </w:p>
        </w:tc>
        <w:tc>
          <w:tcPr>
            <w:tcW w:w="778" w:type="pct"/>
            <w:vAlign w:val="center"/>
            <w:hideMark/>
          </w:tcPr>
          <w:p w14:paraId="6094451C"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&gt;50%</w:t>
            </w:r>
          </w:p>
        </w:tc>
        <w:tc>
          <w:tcPr>
            <w:tcW w:w="750" w:type="pct"/>
            <w:vAlign w:val="center"/>
            <w:hideMark/>
          </w:tcPr>
          <w:p w14:paraId="332C306B"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2.5 (2.1–2.8)</w:t>
            </w:r>
          </w:p>
        </w:tc>
      </w:tr>
      <w:tr w:rsidR="0012309A" w:rsidRPr="00C03EC4" w14:paraId="2EEFBDE1" w14:textId="77777777" w:rsidTr="00F66F74">
        <w:trPr>
          <w:trHeight w:val="388"/>
        </w:trPr>
        <w:tc>
          <w:tcPr>
            <w:tcW w:w="431" w:type="pct"/>
            <w:vAlign w:val="center"/>
            <w:hideMark/>
          </w:tcPr>
          <w:p w14:paraId="223F21D5" w14:textId="77777777" w:rsidR="0012309A" w:rsidRPr="00C03EC4" w:rsidRDefault="0012309A" w:rsidP="00F66F74">
            <w:pPr>
              <w:rPr>
                <w:rFonts w:eastAsia="Times New Roman" w:cstheme="majorHAnsi"/>
                <w:sz w:val="18"/>
                <w:szCs w:val="18"/>
                <w:lang w:eastAsia="en-NZ"/>
              </w:rPr>
            </w:pPr>
            <w:r w:rsidRPr="003122C0">
              <w:rPr>
                <w:rFonts w:eastAsia="Times New Roman" w:cstheme="majorHAnsi"/>
                <w:sz w:val="18"/>
                <w:szCs w:val="18"/>
                <w:lang w:eastAsia="en-NZ"/>
              </w:rPr>
              <w:t>Pisano et al.</w:t>
            </w:r>
            <w:r>
              <w:rPr>
                <w:rFonts w:eastAsia="Times New Roman" w:cstheme="majorHAnsi"/>
                <w:sz w:val="18"/>
                <w:szCs w:val="18"/>
                <w:lang w:eastAsia="en-NZ"/>
              </w:rPr>
              <w:t xml:space="preserve"> (</w:t>
            </w:r>
            <w:r w:rsidRPr="003122C0">
              <w:rPr>
                <w:rFonts w:eastAsia="Times New Roman" w:cstheme="majorHAnsi"/>
                <w:sz w:val="18"/>
                <w:szCs w:val="18"/>
                <w:lang w:eastAsia="en-NZ"/>
              </w:rPr>
              <w:t>2008</w:t>
            </w:r>
            <w:r>
              <w:rPr>
                <w:rFonts w:eastAsia="Times New Roman" w:cstheme="majorHAnsi"/>
                <w:sz w:val="18"/>
                <w:szCs w:val="18"/>
                <w:lang w:eastAsia="en-NZ"/>
              </w:rPr>
              <w:t>)</w:t>
            </w:r>
          </w:p>
        </w:tc>
        <w:tc>
          <w:tcPr>
            <w:tcW w:w="474" w:type="pct"/>
            <w:vAlign w:val="center"/>
            <w:hideMark/>
          </w:tcPr>
          <w:p w14:paraId="6B01B361"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Comparative prospective study</w:t>
            </w:r>
          </w:p>
        </w:tc>
        <w:tc>
          <w:tcPr>
            <w:tcW w:w="568" w:type="pct"/>
            <w:vAlign w:val="center"/>
            <w:hideMark/>
          </w:tcPr>
          <w:p w14:paraId="3B4B899F"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42</w:t>
            </w:r>
            <w:r w:rsidRPr="003122C0">
              <w:rPr>
                <w:rFonts w:eastAsia="Times New Roman" w:cstheme="majorHAnsi"/>
                <w:sz w:val="18"/>
                <w:szCs w:val="18"/>
                <w:lang w:eastAsia="en-NZ"/>
              </w:rPr>
              <w:t>,</w:t>
            </w:r>
            <w:r w:rsidRPr="00C03EC4">
              <w:rPr>
                <w:rFonts w:eastAsia="Times New Roman" w:cstheme="majorHAnsi"/>
                <w:sz w:val="18"/>
                <w:szCs w:val="18"/>
                <w:lang w:eastAsia="en-NZ"/>
              </w:rPr>
              <w:t>117</w:t>
            </w:r>
          </w:p>
        </w:tc>
        <w:tc>
          <w:tcPr>
            <w:tcW w:w="508" w:type="pct"/>
            <w:vAlign w:val="center"/>
            <w:hideMark/>
          </w:tcPr>
          <w:p w14:paraId="5BEB7C7D"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335</w:t>
            </w:r>
          </w:p>
        </w:tc>
        <w:tc>
          <w:tcPr>
            <w:tcW w:w="402" w:type="pct"/>
            <w:vAlign w:val="center"/>
            <w:hideMark/>
          </w:tcPr>
          <w:p w14:paraId="7413BE8B"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47–69</w:t>
            </w:r>
          </w:p>
        </w:tc>
        <w:tc>
          <w:tcPr>
            <w:tcW w:w="441" w:type="pct"/>
            <w:vAlign w:val="center"/>
            <w:hideMark/>
          </w:tcPr>
          <w:p w14:paraId="3481D35B"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1.25</w:t>
            </w:r>
          </w:p>
        </w:tc>
        <w:tc>
          <w:tcPr>
            <w:tcW w:w="648" w:type="pct"/>
            <w:vAlign w:val="center"/>
            <w:hideMark/>
          </w:tcPr>
          <w:p w14:paraId="73962372" w14:textId="77777777" w:rsidR="0012309A" w:rsidRPr="00C03EC4" w:rsidRDefault="0012309A" w:rsidP="00F66F74">
            <w:pPr>
              <w:jc w:val="center"/>
              <w:rPr>
                <w:rFonts w:eastAsia="Times New Roman" w:cstheme="majorHAnsi"/>
                <w:sz w:val="18"/>
                <w:szCs w:val="18"/>
                <w:lang w:eastAsia="en-NZ"/>
              </w:rPr>
            </w:pPr>
            <w:r>
              <w:rPr>
                <w:rFonts w:eastAsia="Times New Roman" w:cstheme="majorHAnsi"/>
                <w:sz w:val="18"/>
                <w:szCs w:val="18"/>
                <w:lang w:eastAsia="en-NZ"/>
              </w:rPr>
              <w:t>BIRADS</w:t>
            </w:r>
          </w:p>
        </w:tc>
        <w:tc>
          <w:tcPr>
            <w:tcW w:w="778" w:type="pct"/>
            <w:vAlign w:val="center"/>
            <w:hideMark/>
          </w:tcPr>
          <w:p w14:paraId="61DAC100"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&gt;50%</w:t>
            </w:r>
          </w:p>
        </w:tc>
        <w:tc>
          <w:tcPr>
            <w:tcW w:w="750" w:type="pct"/>
            <w:vAlign w:val="center"/>
            <w:hideMark/>
          </w:tcPr>
          <w:p w14:paraId="202B0F1E" w14:textId="114B5412"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No</w:t>
            </w:r>
            <w:r w:rsidR="005D35E9">
              <w:rPr>
                <w:rFonts w:eastAsia="Times New Roman" w:cstheme="majorHAnsi"/>
                <w:sz w:val="18"/>
                <w:szCs w:val="18"/>
                <w:lang w:eastAsia="en-NZ"/>
              </w:rPr>
              <w:t>t</w:t>
            </w:r>
            <w:r w:rsidRPr="00C03EC4">
              <w:rPr>
                <w:rFonts w:eastAsia="Times New Roman" w:cstheme="majorHAnsi"/>
                <w:sz w:val="18"/>
                <w:szCs w:val="18"/>
                <w:lang w:eastAsia="en-NZ"/>
              </w:rPr>
              <w:t xml:space="preserve"> indicated</w:t>
            </w:r>
          </w:p>
        </w:tc>
      </w:tr>
      <w:tr w:rsidR="004135A4" w:rsidRPr="00C03EC4" w14:paraId="6A2CD629" w14:textId="77777777" w:rsidTr="00F66F74">
        <w:trPr>
          <w:trHeight w:val="675"/>
        </w:trPr>
        <w:tc>
          <w:tcPr>
            <w:tcW w:w="431" w:type="pct"/>
            <w:vAlign w:val="center"/>
          </w:tcPr>
          <w:p w14:paraId="455D4EC0" w14:textId="77777777" w:rsidR="004135A4" w:rsidRPr="00C03EC4" w:rsidRDefault="004135A4" w:rsidP="00F66F74">
            <w:pPr>
              <w:rPr>
                <w:rFonts w:eastAsia="Times New Roman" w:cstheme="majorHAnsi"/>
                <w:sz w:val="18"/>
                <w:szCs w:val="18"/>
                <w:lang w:eastAsia="en-NZ"/>
              </w:rPr>
            </w:pPr>
            <w:r>
              <w:rPr>
                <w:rFonts w:eastAsia="Times New Roman" w:cstheme="majorHAnsi"/>
                <w:sz w:val="18"/>
                <w:szCs w:val="18"/>
                <w:lang w:eastAsia="en-NZ"/>
              </w:rPr>
              <w:t>Van Gils et al. (</w:t>
            </w:r>
            <w:r w:rsidRPr="003122C0">
              <w:rPr>
                <w:rFonts w:eastAsia="Times New Roman" w:cstheme="majorHAnsi"/>
                <w:sz w:val="18"/>
                <w:szCs w:val="18"/>
                <w:lang w:eastAsia="en-NZ"/>
              </w:rPr>
              <w:t>2008</w:t>
            </w:r>
            <w:r>
              <w:rPr>
                <w:rFonts w:eastAsia="Times New Roman" w:cstheme="majorHAnsi"/>
                <w:sz w:val="18"/>
                <w:szCs w:val="18"/>
                <w:lang w:eastAsia="en-NZ"/>
              </w:rPr>
              <w:t>)</w:t>
            </w:r>
          </w:p>
        </w:tc>
        <w:tc>
          <w:tcPr>
            <w:tcW w:w="474" w:type="pct"/>
            <w:vAlign w:val="center"/>
          </w:tcPr>
          <w:p w14:paraId="27A2E51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Nested case–control study</w:t>
            </w:r>
          </w:p>
        </w:tc>
        <w:tc>
          <w:tcPr>
            <w:tcW w:w="568" w:type="pct"/>
            <w:vAlign w:val="center"/>
          </w:tcPr>
          <w:p w14:paraId="2F3C1B72"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922 control group</w:t>
            </w:r>
          </w:p>
        </w:tc>
        <w:tc>
          <w:tcPr>
            <w:tcW w:w="508" w:type="pct"/>
            <w:vAlign w:val="center"/>
          </w:tcPr>
          <w:p w14:paraId="2FF5A7B3"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352</w:t>
            </w:r>
          </w:p>
        </w:tc>
        <w:tc>
          <w:tcPr>
            <w:tcW w:w="402" w:type="pct"/>
            <w:vAlign w:val="center"/>
          </w:tcPr>
          <w:p w14:paraId="7E2F5C35"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&gt;35</w:t>
            </w:r>
          </w:p>
        </w:tc>
        <w:tc>
          <w:tcPr>
            <w:tcW w:w="441" w:type="pct"/>
            <w:vAlign w:val="center"/>
          </w:tcPr>
          <w:p w14:paraId="79F169D1"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6</w:t>
            </w:r>
          </w:p>
        </w:tc>
        <w:tc>
          <w:tcPr>
            <w:tcW w:w="648" w:type="pct"/>
            <w:vAlign w:val="center"/>
          </w:tcPr>
          <w:p w14:paraId="3D756DD6" w14:textId="77777777" w:rsidR="004135A4" w:rsidRPr="00C03EC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Wolfe, PD</w:t>
            </w:r>
          </w:p>
          <w:p w14:paraId="5D038EC5" w14:textId="77777777" w:rsidR="004135A4" w:rsidRPr="00C03EC4" w:rsidRDefault="004135A4" w:rsidP="00F66F74">
            <w:pPr>
              <w:jc w:val="center"/>
              <w:rPr>
                <w:rFonts w:eastAsia="Times New Roman" w:cstheme="majorHAnsi"/>
                <w:sz w:val="18"/>
                <w:szCs w:val="18"/>
                <w:lang w:eastAsia="en-NZ"/>
              </w:rPr>
            </w:pPr>
          </w:p>
        </w:tc>
        <w:tc>
          <w:tcPr>
            <w:tcW w:w="778" w:type="pct"/>
            <w:vAlign w:val="center"/>
          </w:tcPr>
          <w:p w14:paraId="6C890836"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&gt;25%</w:t>
            </w:r>
          </w:p>
        </w:tc>
        <w:tc>
          <w:tcPr>
            <w:tcW w:w="750" w:type="pct"/>
            <w:vAlign w:val="center"/>
            <w:hideMark/>
          </w:tcPr>
          <w:p w14:paraId="600CE7FE" w14:textId="77777777" w:rsidR="004135A4" w:rsidRPr="00C03EC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3.3 (1.5-7.1)</w:t>
            </w:r>
          </w:p>
        </w:tc>
      </w:tr>
      <w:tr w:rsidR="0012309A" w:rsidRPr="00C03EC4" w14:paraId="0D4E3124" w14:textId="77777777" w:rsidTr="00F66F74">
        <w:trPr>
          <w:trHeight w:val="363"/>
        </w:trPr>
        <w:tc>
          <w:tcPr>
            <w:tcW w:w="431" w:type="pct"/>
            <w:vAlign w:val="center"/>
            <w:hideMark/>
          </w:tcPr>
          <w:p w14:paraId="057BC386" w14:textId="77777777" w:rsidR="0012309A" w:rsidRPr="00C03EC4" w:rsidRDefault="0012309A" w:rsidP="00F66F74">
            <w:pPr>
              <w:rPr>
                <w:rFonts w:eastAsia="Times New Roman" w:cstheme="majorHAnsi"/>
                <w:sz w:val="18"/>
                <w:szCs w:val="18"/>
                <w:lang w:eastAsia="en-NZ"/>
              </w:rPr>
            </w:pPr>
            <w:r w:rsidRPr="003122C0">
              <w:rPr>
                <w:rFonts w:eastAsia="Times New Roman" w:cstheme="majorHAnsi"/>
                <w:sz w:val="18"/>
                <w:szCs w:val="18"/>
                <w:lang w:eastAsia="en-NZ"/>
              </w:rPr>
              <w:t>Boyd et al.</w:t>
            </w:r>
            <w:r>
              <w:rPr>
                <w:rFonts w:eastAsia="Times New Roman" w:cstheme="majorHAnsi"/>
                <w:sz w:val="18"/>
                <w:szCs w:val="18"/>
                <w:lang w:eastAsia="en-NZ"/>
              </w:rPr>
              <w:t xml:space="preserve"> (</w:t>
            </w:r>
            <w:r w:rsidRPr="003122C0">
              <w:rPr>
                <w:rFonts w:eastAsia="Times New Roman" w:cstheme="majorHAnsi"/>
                <w:sz w:val="18"/>
                <w:szCs w:val="18"/>
                <w:lang w:eastAsia="en-NZ"/>
              </w:rPr>
              <w:t>2007</w:t>
            </w:r>
            <w:r>
              <w:rPr>
                <w:rFonts w:eastAsia="Times New Roman" w:cstheme="majorHAnsi"/>
                <w:sz w:val="18"/>
                <w:szCs w:val="18"/>
                <w:lang w:eastAsia="en-NZ"/>
              </w:rPr>
              <w:t>)</w:t>
            </w:r>
          </w:p>
        </w:tc>
        <w:tc>
          <w:tcPr>
            <w:tcW w:w="474" w:type="pct"/>
            <w:vAlign w:val="center"/>
            <w:hideMark/>
          </w:tcPr>
          <w:p w14:paraId="7808A9B8"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Nested case–control study</w:t>
            </w:r>
          </w:p>
        </w:tc>
        <w:tc>
          <w:tcPr>
            <w:tcW w:w="568" w:type="pct"/>
            <w:vAlign w:val="center"/>
            <w:hideMark/>
          </w:tcPr>
          <w:p w14:paraId="7F63E0F7"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1112 control group</w:t>
            </w:r>
          </w:p>
        </w:tc>
        <w:tc>
          <w:tcPr>
            <w:tcW w:w="508" w:type="pct"/>
            <w:vAlign w:val="center"/>
            <w:hideMark/>
          </w:tcPr>
          <w:p w14:paraId="35BA5DF1"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1112</w:t>
            </w:r>
          </w:p>
        </w:tc>
        <w:tc>
          <w:tcPr>
            <w:tcW w:w="402" w:type="pct"/>
            <w:vAlign w:val="center"/>
            <w:hideMark/>
          </w:tcPr>
          <w:p w14:paraId="49B2A3EB"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56.7</w:t>
            </w:r>
            <w:r>
              <w:rPr>
                <w:rFonts w:eastAsia="Times New Roman" w:cstheme="majorHAnsi"/>
                <w:sz w:val="18"/>
                <w:szCs w:val="18"/>
                <w:lang w:eastAsia="en-NZ"/>
              </w:rPr>
              <w:t xml:space="preserve"> </w:t>
            </w:r>
            <w:r w:rsidRPr="00C03EC4">
              <w:rPr>
                <w:rFonts w:eastAsia="Times New Roman" w:cstheme="majorHAnsi"/>
                <w:sz w:val="18"/>
                <w:szCs w:val="18"/>
                <w:lang w:eastAsia="en-NZ"/>
              </w:rPr>
              <w:t>±</w:t>
            </w:r>
            <w:r>
              <w:rPr>
                <w:rFonts w:eastAsia="Times New Roman" w:cstheme="majorHAnsi"/>
                <w:sz w:val="18"/>
                <w:szCs w:val="18"/>
                <w:lang w:eastAsia="en-NZ"/>
              </w:rPr>
              <w:t xml:space="preserve"> </w:t>
            </w:r>
            <w:r w:rsidRPr="00C03EC4">
              <w:rPr>
                <w:rFonts w:eastAsia="Times New Roman" w:cstheme="majorHAnsi"/>
                <w:sz w:val="18"/>
                <w:szCs w:val="18"/>
                <w:lang w:eastAsia="en-NZ"/>
              </w:rPr>
              <w:t>9.1</w:t>
            </w:r>
          </w:p>
        </w:tc>
        <w:tc>
          <w:tcPr>
            <w:tcW w:w="441" w:type="pct"/>
            <w:vAlign w:val="center"/>
            <w:hideMark/>
          </w:tcPr>
          <w:p w14:paraId="65473F24"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18</w:t>
            </w:r>
          </w:p>
        </w:tc>
        <w:tc>
          <w:tcPr>
            <w:tcW w:w="648" w:type="pct"/>
            <w:vAlign w:val="center"/>
            <w:hideMark/>
          </w:tcPr>
          <w:p w14:paraId="794E40EF"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Wolfe, PD</w:t>
            </w:r>
          </w:p>
        </w:tc>
        <w:tc>
          <w:tcPr>
            <w:tcW w:w="778" w:type="pct"/>
            <w:vAlign w:val="center"/>
            <w:hideMark/>
          </w:tcPr>
          <w:p w14:paraId="4A1E1080"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&gt;75%</w:t>
            </w:r>
          </w:p>
        </w:tc>
        <w:tc>
          <w:tcPr>
            <w:tcW w:w="750" w:type="pct"/>
            <w:vAlign w:val="center"/>
            <w:hideMark/>
          </w:tcPr>
          <w:p w14:paraId="7E6BEC1E"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4.7 (3.0–7.4)</w:t>
            </w:r>
          </w:p>
        </w:tc>
      </w:tr>
      <w:bookmarkStart w:id="58" w:name="RANGE!B42"/>
      <w:tr w:rsidR="004135A4" w:rsidRPr="00C03EC4" w14:paraId="2E4A40F1" w14:textId="77777777" w:rsidTr="00F66F74">
        <w:trPr>
          <w:trHeight w:val="438"/>
        </w:trPr>
        <w:tc>
          <w:tcPr>
            <w:tcW w:w="431" w:type="pct"/>
            <w:vAlign w:val="center"/>
          </w:tcPr>
          <w:p w14:paraId="5F25AFBD" w14:textId="77777777" w:rsidR="004135A4" w:rsidRPr="00C03EC4" w:rsidRDefault="004135A4" w:rsidP="00F66F74">
            <w:pPr>
              <w:rPr>
                <w:rFonts w:eastAsia="Times New Roman" w:cstheme="majorHAnsi"/>
                <w:sz w:val="18"/>
                <w:szCs w:val="18"/>
                <w:lang w:eastAsia="en-NZ"/>
              </w:rPr>
            </w:pPr>
            <w:r w:rsidRPr="00C03EC4">
              <w:rPr>
                <w:rFonts w:eastAsia="Times New Roman" w:cstheme="majorHAnsi"/>
                <w:sz w:val="18"/>
                <w:szCs w:val="18"/>
                <w:lang w:eastAsia="en-NZ"/>
              </w:rPr>
              <w:fldChar w:fldCharType="begin"/>
            </w:r>
            <w:r w:rsidRPr="00C03EC4">
              <w:rPr>
                <w:rFonts w:eastAsia="Times New Roman" w:cstheme="majorHAnsi"/>
                <w:sz w:val="18"/>
                <w:szCs w:val="18"/>
                <w:lang w:eastAsia="en-NZ"/>
              </w:rPr>
              <w:instrText xml:space="preserve"> HYPERLINK "https://www-sciencedirect-com.ezproxy.otago.ac.nz/science/article/pii/S0720048X10000185" \l "bib0010" </w:instrText>
            </w:r>
            <w:r w:rsidRPr="00C03EC4">
              <w:rPr>
                <w:rFonts w:eastAsia="Times New Roman" w:cstheme="majorHAnsi"/>
                <w:sz w:val="18"/>
                <w:szCs w:val="18"/>
                <w:lang w:eastAsia="en-NZ"/>
              </w:rPr>
              <w:fldChar w:fldCharType="separate"/>
            </w:r>
            <w:r w:rsidRPr="003122C0">
              <w:rPr>
                <w:rFonts w:eastAsia="Times New Roman" w:cstheme="majorHAnsi"/>
                <w:sz w:val="18"/>
                <w:szCs w:val="18"/>
                <w:lang w:eastAsia="en-NZ"/>
              </w:rPr>
              <w:t>Boyd</w:t>
            </w:r>
            <w:r w:rsidRPr="00C03EC4">
              <w:rPr>
                <w:rFonts w:eastAsia="Times New Roman" w:cstheme="majorHAnsi"/>
                <w:sz w:val="18"/>
                <w:szCs w:val="18"/>
                <w:lang w:eastAsia="en-NZ"/>
              </w:rPr>
              <w:fldChar w:fldCharType="end"/>
            </w:r>
            <w:bookmarkEnd w:id="58"/>
            <w:r w:rsidRPr="003122C0">
              <w:rPr>
                <w:rFonts w:eastAsia="Times New Roman" w:cstheme="majorHAnsi"/>
                <w:sz w:val="18"/>
                <w:szCs w:val="18"/>
                <w:lang w:eastAsia="en-NZ"/>
              </w:rPr>
              <w:t xml:space="preserve"> et al.</w:t>
            </w:r>
            <w:r>
              <w:rPr>
                <w:rFonts w:eastAsia="Times New Roman" w:cstheme="majorHAnsi"/>
                <w:sz w:val="18"/>
                <w:szCs w:val="18"/>
                <w:lang w:eastAsia="en-NZ"/>
              </w:rPr>
              <w:t xml:space="preserve"> (</w:t>
            </w:r>
            <w:r w:rsidRPr="003122C0">
              <w:rPr>
                <w:rFonts w:eastAsia="Times New Roman" w:cstheme="majorHAnsi"/>
                <w:sz w:val="18"/>
                <w:szCs w:val="18"/>
                <w:lang w:eastAsia="en-NZ"/>
              </w:rPr>
              <w:t>2005</w:t>
            </w:r>
            <w:r>
              <w:rPr>
                <w:rFonts w:eastAsia="Times New Roman" w:cstheme="majorHAnsi"/>
                <w:sz w:val="18"/>
                <w:szCs w:val="18"/>
                <w:lang w:eastAsia="en-NZ"/>
              </w:rPr>
              <w:t>)</w:t>
            </w:r>
          </w:p>
        </w:tc>
        <w:tc>
          <w:tcPr>
            <w:tcW w:w="474" w:type="pct"/>
            <w:vAlign w:val="center"/>
          </w:tcPr>
          <w:p w14:paraId="43D3DA8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Nested case–control study</w:t>
            </w:r>
          </w:p>
        </w:tc>
        <w:tc>
          <w:tcPr>
            <w:tcW w:w="568" w:type="pct"/>
            <w:vAlign w:val="center"/>
          </w:tcPr>
          <w:p w14:paraId="3174147D"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354 control group</w:t>
            </w:r>
          </w:p>
        </w:tc>
        <w:tc>
          <w:tcPr>
            <w:tcW w:w="508" w:type="pct"/>
            <w:vAlign w:val="center"/>
          </w:tcPr>
          <w:p w14:paraId="4D42BAE7"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354</w:t>
            </w:r>
          </w:p>
        </w:tc>
        <w:tc>
          <w:tcPr>
            <w:tcW w:w="402" w:type="pct"/>
            <w:vAlign w:val="center"/>
          </w:tcPr>
          <w:p w14:paraId="1409124D"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40–59</w:t>
            </w:r>
          </w:p>
        </w:tc>
        <w:tc>
          <w:tcPr>
            <w:tcW w:w="441" w:type="pct"/>
            <w:vAlign w:val="center"/>
          </w:tcPr>
          <w:p w14:paraId="3B0FDA68"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5.25</w:t>
            </w:r>
          </w:p>
        </w:tc>
        <w:tc>
          <w:tcPr>
            <w:tcW w:w="648" w:type="pct"/>
            <w:vAlign w:val="center"/>
          </w:tcPr>
          <w:p w14:paraId="6A3A97BA" w14:textId="77777777" w:rsidR="004135A4" w:rsidRPr="00C03EC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Wolfe, PD</w:t>
            </w:r>
          </w:p>
        </w:tc>
        <w:tc>
          <w:tcPr>
            <w:tcW w:w="778" w:type="pct"/>
            <w:vAlign w:val="center"/>
          </w:tcPr>
          <w:p w14:paraId="64DBB381"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“The least extensive</w:t>
            </w:r>
            <w:r w:rsidRPr="003122C0">
              <w:rPr>
                <w:rFonts w:eastAsia="Times New Roman" w:cstheme="majorHAnsi"/>
                <w:sz w:val="18"/>
                <w:szCs w:val="18"/>
                <w:lang w:eastAsia="en-NZ"/>
              </w:rPr>
              <w:t>,</w:t>
            </w:r>
            <w:r w:rsidRPr="00C03EC4">
              <w:rPr>
                <w:rFonts w:eastAsia="Times New Roman" w:cstheme="majorHAnsi"/>
                <w:sz w:val="18"/>
                <w:szCs w:val="18"/>
                <w:lang w:eastAsia="en-NZ"/>
              </w:rPr>
              <w:t xml:space="preserve"> The most extensive”</w:t>
            </w:r>
          </w:p>
        </w:tc>
        <w:tc>
          <w:tcPr>
            <w:tcW w:w="750" w:type="pct"/>
            <w:vAlign w:val="center"/>
          </w:tcPr>
          <w:p w14:paraId="5B823C25" w14:textId="77777777" w:rsidR="004135A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6.0 (2.8-12.3)</w:t>
            </w:r>
          </w:p>
        </w:tc>
      </w:tr>
      <w:bookmarkStart w:id="59" w:name="RANGE!B40"/>
      <w:tr w:rsidR="004135A4" w:rsidRPr="00C03EC4" w14:paraId="180656CD" w14:textId="77777777" w:rsidTr="00F66F74">
        <w:trPr>
          <w:trHeight w:val="438"/>
        </w:trPr>
        <w:tc>
          <w:tcPr>
            <w:tcW w:w="431" w:type="pct"/>
            <w:vAlign w:val="center"/>
          </w:tcPr>
          <w:p w14:paraId="6E4CBAE3" w14:textId="77777777" w:rsidR="004135A4" w:rsidRPr="003122C0" w:rsidRDefault="004135A4" w:rsidP="00F66F74">
            <w:pPr>
              <w:rPr>
                <w:rFonts w:eastAsia="Times New Roman" w:cstheme="majorHAnsi"/>
                <w:sz w:val="18"/>
                <w:szCs w:val="18"/>
                <w:lang w:eastAsia="en-NZ"/>
              </w:rPr>
            </w:pPr>
            <w:r w:rsidRPr="00C03EC4">
              <w:rPr>
                <w:rFonts w:eastAsia="Times New Roman" w:cstheme="majorHAnsi"/>
                <w:sz w:val="18"/>
                <w:szCs w:val="18"/>
                <w:lang w:eastAsia="en-NZ"/>
              </w:rPr>
              <w:fldChar w:fldCharType="begin"/>
            </w:r>
            <w:r w:rsidRPr="00C03EC4">
              <w:rPr>
                <w:rFonts w:eastAsia="Times New Roman" w:cstheme="majorHAnsi"/>
                <w:sz w:val="18"/>
                <w:szCs w:val="18"/>
                <w:lang w:eastAsia="en-NZ"/>
              </w:rPr>
              <w:instrText xml:space="preserve"> HYPERLINK "https://www-sciencedirect-com.ezproxy.otago.ac.nz/science/article/pii/S0720048X10000185" \l "bib0025" </w:instrText>
            </w:r>
            <w:r w:rsidRPr="00C03EC4">
              <w:rPr>
                <w:rFonts w:eastAsia="Times New Roman" w:cstheme="majorHAnsi"/>
                <w:sz w:val="18"/>
                <w:szCs w:val="18"/>
                <w:lang w:eastAsia="en-NZ"/>
              </w:rPr>
              <w:fldChar w:fldCharType="separate"/>
            </w:r>
            <w:r w:rsidRPr="003122C0">
              <w:rPr>
                <w:rFonts w:eastAsia="Times New Roman" w:cstheme="majorHAnsi"/>
                <w:sz w:val="18"/>
                <w:szCs w:val="18"/>
                <w:lang w:eastAsia="en-NZ"/>
              </w:rPr>
              <w:t>Bryne</w:t>
            </w:r>
            <w:r w:rsidRPr="00C03EC4">
              <w:rPr>
                <w:rFonts w:eastAsia="Times New Roman" w:cstheme="majorHAnsi"/>
                <w:sz w:val="18"/>
                <w:szCs w:val="18"/>
                <w:lang w:eastAsia="en-NZ"/>
              </w:rPr>
              <w:fldChar w:fldCharType="end"/>
            </w:r>
            <w:bookmarkEnd w:id="59"/>
            <w:r w:rsidRPr="003122C0">
              <w:rPr>
                <w:rFonts w:eastAsia="Times New Roman" w:cstheme="majorHAnsi"/>
                <w:sz w:val="18"/>
                <w:szCs w:val="18"/>
                <w:lang w:eastAsia="en-NZ"/>
              </w:rPr>
              <w:t xml:space="preserve"> et al</w:t>
            </w:r>
            <w:r>
              <w:rPr>
                <w:rFonts w:eastAsia="Times New Roman" w:cstheme="majorHAnsi"/>
                <w:sz w:val="18"/>
                <w:szCs w:val="18"/>
                <w:lang w:eastAsia="en-NZ"/>
              </w:rPr>
              <w:t>. (</w:t>
            </w:r>
            <w:r w:rsidRPr="003122C0">
              <w:rPr>
                <w:rFonts w:eastAsia="Times New Roman" w:cstheme="majorHAnsi"/>
                <w:sz w:val="18"/>
                <w:szCs w:val="18"/>
                <w:lang w:eastAsia="en-NZ"/>
              </w:rPr>
              <w:t>2005</w:t>
            </w:r>
            <w:r>
              <w:rPr>
                <w:rFonts w:eastAsia="Times New Roman" w:cstheme="majorHAnsi"/>
                <w:sz w:val="18"/>
                <w:szCs w:val="18"/>
                <w:lang w:eastAsia="en-NZ"/>
              </w:rPr>
              <w:t>)</w:t>
            </w:r>
          </w:p>
        </w:tc>
        <w:tc>
          <w:tcPr>
            <w:tcW w:w="474" w:type="pct"/>
            <w:vAlign w:val="center"/>
          </w:tcPr>
          <w:p w14:paraId="10AA8596"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Nested case–control study</w:t>
            </w:r>
          </w:p>
        </w:tc>
        <w:tc>
          <w:tcPr>
            <w:tcW w:w="568" w:type="pct"/>
            <w:vAlign w:val="center"/>
          </w:tcPr>
          <w:p w14:paraId="78D38D5A"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2152 control group</w:t>
            </w:r>
          </w:p>
        </w:tc>
        <w:tc>
          <w:tcPr>
            <w:tcW w:w="508" w:type="pct"/>
            <w:vAlign w:val="center"/>
          </w:tcPr>
          <w:p w14:paraId="66E2A8EF"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1880</w:t>
            </w:r>
          </w:p>
        </w:tc>
        <w:tc>
          <w:tcPr>
            <w:tcW w:w="402" w:type="pct"/>
            <w:vAlign w:val="center"/>
          </w:tcPr>
          <w:p w14:paraId="2077C0C1"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35–74</w:t>
            </w:r>
          </w:p>
        </w:tc>
        <w:tc>
          <w:tcPr>
            <w:tcW w:w="441" w:type="pct"/>
            <w:vAlign w:val="center"/>
          </w:tcPr>
          <w:p w14:paraId="2D2A5D1E"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16</w:t>
            </w:r>
          </w:p>
        </w:tc>
        <w:tc>
          <w:tcPr>
            <w:tcW w:w="648" w:type="pct"/>
            <w:vAlign w:val="center"/>
          </w:tcPr>
          <w:p w14:paraId="4D4319CB" w14:textId="77777777" w:rsidR="004135A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Wolfe, PD</w:t>
            </w:r>
          </w:p>
        </w:tc>
        <w:tc>
          <w:tcPr>
            <w:tcW w:w="778" w:type="pct"/>
            <w:vAlign w:val="center"/>
          </w:tcPr>
          <w:p w14:paraId="22416F0B"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&gt;75%</w:t>
            </w:r>
          </w:p>
        </w:tc>
        <w:tc>
          <w:tcPr>
            <w:tcW w:w="750" w:type="pct"/>
            <w:vAlign w:val="center"/>
          </w:tcPr>
          <w:p w14:paraId="434DBADC" w14:textId="77777777" w:rsidR="004135A4" w:rsidRPr="00C03EC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5 (3.6-7.1)</w:t>
            </w:r>
          </w:p>
        </w:tc>
      </w:tr>
      <w:tr w:rsidR="004135A4" w:rsidRPr="00C03EC4" w14:paraId="3AABF535" w14:textId="77777777" w:rsidTr="00F66F74">
        <w:trPr>
          <w:trHeight w:val="438"/>
        </w:trPr>
        <w:tc>
          <w:tcPr>
            <w:tcW w:w="431" w:type="pct"/>
            <w:vAlign w:val="center"/>
          </w:tcPr>
          <w:p w14:paraId="0813B68F" w14:textId="77777777" w:rsidR="004135A4" w:rsidRPr="00C03EC4" w:rsidRDefault="004135A4" w:rsidP="00F66F74">
            <w:pPr>
              <w:rPr>
                <w:rFonts w:eastAsia="Times New Roman" w:cstheme="majorHAnsi"/>
                <w:sz w:val="18"/>
                <w:szCs w:val="18"/>
                <w:lang w:eastAsia="en-NZ"/>
              </w:rPr>
            </w:pPr>
            <w:r w:rsidRPr="003122C0">
              <w:rPr>
                <w:rFonts w:eastAsia="Times New Roman" w:cstheme="majorHAnsi"/>
                <w:sz w:val="18"/>
                <w:szCs w:val="18"/>
                <w:lang w:eastAsia="en-NZ"/>
              </w:rPr>
              <w:t>Maskarinec</w:t>
            </w:r>
            <w:r>
              <w:rPr>
                <w:rFonts w:eastAsia="Times New Roman" w:cstheme="majorHAnsi"/>
                <w:sz w:val="18"/>
                <w:szCs w:val="18"/>
                <w:lang w:eastAsia="en-NZ"/>
              </w:rPr>
              <w:t xml:space="preserve"> et al. (</w:t>
            </w:r>
            <w:r w:rsidRPr="003122C0">
              <w:rPr>
                <w:rFonts w:eastAsia="Times New Roman" w:cstheme="majorHAnsi"/>
                <w:sz w:val="18"/>
                <w:szCs w:val="18"/>
                <w:lang w:eastAsia="en-NZ"/>
              </w:rPr>
              <w:t>2005</w:t>
            </w:r>
            <w:r>
              <w:rPr>
                <w:rFonts w:eastAsia="Times New Roman" w:cstheme="majorHAnsi"/>
                <w:sz w:val="18"/>
                <w:szCs w:val="18"/>
                <w:lang w:eastAsia="en-NZ"/>
              </w:rPr>
              <w:t>)</w:t>
            </w:r>
          </w:p>
        </w:tc>
        <w:tc>
          <w:tcPr>
            <w:tcW w:w="474" w:type="pct"/>
            <w:vAlign w:val="center"/>
          </w:tcPr>
          <w:p w14:paraId="774F3CCD"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Nested case–control study</w:t>
            </w:r>
          </w:p>
        </w:tc>
        <w:tc>
          <w:tcPr>
            <w:tcW w:w="568" w:type="pct"/>
            <w:vAlign w:val="center"/>
          </w:tcPr>
          <w:p w14:paraId="35DC6EC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667 control group</w:t>
            </w:r>
          </w:p>
        </w:tc>
        <w:tc>
          <w:tcPr>
            <w:tcW w:w="508" w:type="pct"/>
            <w:vAlign w:val="center"/>
          </w:tcPr>
          <w:p w14:paraId="6493585B"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607</w:t>
            </w:r>
          </w:p>
        </w:tc>
        <w:tc>
          <w:tcPr>
            <w:tcW w:w="402" w:type="pct"/>
            <w:vAlign w:val="center"/>
          </w:tcPr>
          <w:p w14:paraId="03B18982"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45–75</w:t>
            </w:r>
          </w:p>
        </w:tc>
        <w:tc>
          <w:tcPr>
            <w:tcW w:w="441" w:type="pct"/>
            <w:vAlign w:val="center"/>
          </w:tcPr>
          <w:p w14:paraId="4CF4E9A9"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w:t>
            </w:r>
          </w:p>
        </w:tc>
        <w:tc>
          <w:tcPr>
            <w:tcW w:w="648" w:type="pct"/>
            <w:vAlign w:val="center"/>
          </w:tcPr>
          <w:p w14:paraId="6AB4E364" w14:textId="77777777" w:rsidR="004135A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 xml:space="preserve">Wolfe, </w:t>
            </w:r>
            <w:r w:rsidRPr="00C03EC4">
              <w:rPr>
                <w:rFonts w:eastAsia="Times New Roman" w:cstheme="majorHAnsi"/>
                <w:sz w:val="18"/>
                <w:szCs w:val="18"/>
                <w:lang w:eastAsia="en-NZ"/>
              </w:rPr>
              <w:t>PD</w:t>
            </w:r>
          </w:p>
        </w:tc>
        <w:tc>
          <w:tcPr>
            <w:tcW w:w="778" w:type="pct"/>
            <w:vAlign w:val="center"/>
          </w:tcPr>
          <w:p w14:paraId="38845BDB"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≥50</w:t>
            </w:r>
            <w:r>
              <w:rPr>
                <w:rFonts w:eastAsia="Times New Roman" w:cstheme="majorHAnsi"/>
                <w:sz w:val="18"/>
                <w:szCs w:val="18"/>
                <w:lang w:eastAsia="en-NZ"/>
              </w:rPr>
              <w:t>%</w:t>
            </w:r>
          </w:p>
        </w:tc>
        <w:tc>
          <w:tcPr>
            <w:tcW w:w="750" w:type="pct"/>
            <w:vAlign w:val="center"/>
          </w:tcPr>
          <w:p w14:paraId="48C4A2F2" w14:textId="77777777" w:rsidR="004135A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3.6 (2.3–5.6)</w:t>
            </w:r>
          </w:p>
        </w:tc>
      </w:tr>
      <w:tr w:rsidR="0012309A" w:rsidRPr="00C03EC4" w14:paraId="4BCDBA0F" w14:textId="77777777" w:rsidTr="00F66F74">
        <w:trPr>
          <w:trHeight w:val="184"/>
        </w:trPr>
        <w:tc>
          <w:tcPr>
            <w:tcW w:w="431" w:type="pct"/>
            <w:vAlign w:val="center"/>
            <w:hideMark/>
          </w:tcPr>
          <w:p w14:paraId="68FBF947" w14:textId="77777777" w:rsidR="0012309A" w:rsidRPr="00C03EC4" w:rsidRDefault="0012309A" w:rsidP="00F66F74">
            <w:pPr>
              <w:rPr>
                <w:rFonts w:eastAsia="Times New Roman" w:cstheme="majorHAnsi"/>
                <w:sz w:val="18"/>
                <w:szCs w:val="18"/>
                <w:lang w:eastAsia="en-NZ"/>
              </w:rPr>
            </w:pPr>
            <w:r w:rsidRPr="003122C0">
              <w:rPr>
                <w:rFonts w:eastAsia="Times New Roman" w:cstheme="majorHAnsi"/>
                <w:sz w:val="18"/>
                <w:szCs w:val="18"/>
                <w:lang w:eastAsia="en-NZ"/>
              </w:rPr>
              <w:t>Torres-Mejia</w:t>
            </w:r>
            <w:r>
              <w:rPr>
                <w:rFonts w:eastAsia="Times New Roman" w:cstheme="majorHAnsi"/>
                <w:sz w:val="18"/>
                <w:szCs w:val="18"/>
                <w:lang w:eastAsia="en-NZ"/>
              </w:rPr>
              <w:t xml:space="preserve"> et al. (</w:t>
            </w:r>
            <w:r w:rsidRPr="003122C0">
              <w:rPr>
                <w:rFonts w:eastAsia="Times New Roman" w:cstheme="majorHAnsi"/>
                <w:sz w:val="18"/>
                <w:szCs w:val="18"/>
                <w:lang w:eastAsia="en-NZ"/>
              </w:rPr>
              <w:t>2005</w:t>
            </w:r>
            <w:r>
              <w:rPr>
                <w:rFonts w:eastAsia="Times New Roman" w:cstheme="majorHAnsi"/>
                <w:sz w:val="18"/>
                <w:szCs w:val="18"/>
                <w:lang w:eastAsia="en-NZ"/>
              </w:rPr>
              <w:t>)</w:t>
            </w:r>
          </w:p>
        </w:tc>
        <w:tc>
          <w:tcPr>
            <w:tcW w:w="474" w:type="pct"/>
            <w:vAlign w:val="center"/>
            <w:hideMark/>
          </w:tcPr>
          <w:p w14:paraId="259719F9"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hideMark/>
          </w:tcPr>
          <w:p w14:paraId="30CC1EA1"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3211</w:t>
            </w:r>
          </w:p>
        </w:tc>
        <w:tc>
          <w:tcPr>
            <w:tcW w:w="508" w:type="pct"/>
            <w:vAlign w:val="center"/>
            <w:hideMark/>
          </w:tcPr>
          <w:p w14:paraId="21BFD0AB"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111</w:t>
            </w:r>
          </w:p>
        </w:tc>
        <w:tc>
          <w:tcPr>
            <w:tcW w:w="402" w:type="pct"/>
            <w:vAlign w:val="center"/>
            <w:hideMark/>
          </w:tcPr>
          <w:p w14:paraId="56B50337"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≥35</w:t>
            </w:r>
          </w:p>
        </w:tc>
        <w:tc>
          <w:tcPr>
            <w:tcW w:w="441" w:type="pct"/>
            <w:vAlign w:val="center"/>
            <w:hideMark/>
          </w:tcPr>
          <w:p w14:paraId="79493FAD"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18</w:t>
            </w:r>
          </w:p>
        </w:tc>
        <w:tc>
          <w:tcPr>
            <w:tcW w:w="648" w:type="pct"/>
            <w:vAlign w:val="center"/>
            <w:hideMark/>
          </w:tcPr>
          <w:p w14:paraId="0A1CC2DE"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Wolfe, PD</w:t>
            </w:r>
          </w:p>
        </w:tc>
        <w:tc>
          <w:tcPr>
            <w:tcW w:w="778" w:type="pct"/>
            <w:vAlign w:val="center"/>
            <w:hideMark/>
          </w:tcPr>
          <w:p w14:paraId="0C6C6B3C"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DY</w:t>
            </w:r>
          </w:p>
        </w:tc>
        <w:tc>
          <w:tcPr>
            <w:tcW w:w="750" w:type="pct"/>
            <w:vAlign w:val="center"/>
            <w:hideMark/>
          </w:tcPr>
          <w:p w14:paraId="365A9332" w14:textId="77777777" w:rsidR="0012309A" w:rsidRPr="00C03EC4" w:rsidRDefault="0012309A" w:rsidP="00F66F74">
            <w:pPr>
              <w:jc w:val="center"/>
              <w:rPr>
                <w:rFonts w:eastAsia="Times New Roman" w:cstheme="majorHAnsi"/>
                <w:sz w:val="18"/>
                <w:szCs w:val="18"/>
                <w:lang w:eastAsia="en-NZ"/>
              </w:rPr>
            </w:pPr>
            <w:r w:rsidRPr="00C03EC4">
              <w:rPr>
                <w:rFonts w:eastAsia="Times New Roman" w:cstheme="majorHAnsi"/>
                <w:sz w:val="18"/>
                <w:szCs w:val="18"/>
                <w:lang w:eastAsia="en-NZ"/>
              </w:rPr>
              <w:t>3.9 (1.8–8.6)</w:t>
            </w:r>
          </w:p>
        </w:tc>
      </w:tr>
      <w:bookmarkStart w:id="60" w:name="RANGE!B48"/>
      <w:tr w:rsidR="004135A4" w:rsidRPr="00C03EC4" w14:paraId="52B70AF4" w14:textId="77777777" w:rsidTr="00F66F74">
        <w:trPr>
          <w:trHeight w:val="675"/>
        </w:trPr>
        <w:tc>
          <w:tcPr>
            <w:tcW w:w="431" w:type="pct"/>
            <w:vAlign w:val="center"/>
          </w:tcPr>
          <w:p w14:paraId="111791BC" w14:textId="77777777" w:rsidR="004135A4" w:rsidRDefault="004135A4" w:rsidP="00F66F74">
            <w:pPr>
              <w:rPr>
                <w:rFonts w:eastAsia="Times New Roman" w:cstheme="majorHAnsi"/>
                <w:sz w:val="18"/>
                <w:szCs w:val="18"/>
                <w:lang w:eastAsia="en-NZ"/>
              </w:rPr>
            </w:pPr>
            <w:r w:rsidRPr="00C03EC4">
              <w:rPr>
                <w:rFonts w:eastAsia="Times New Roman" w:cstheme="majorHAnsi"/>
                <w:sz w:val="18"/>
                <w:szCs w:val="18"/>
                <w:lang w:eastAsia="en-NZ"/>
              </w:rPr>
              <w:fldChar w:fldCharType="begin"/>
            </w:r>
            <w:r w:rsidRPr="00C03EC4">
              <w:rPr>
                <w:rFonts w:eastAsia="Times New Roman" w:cstheme="majorHAnsi"/>
                <w:sz w:val="18"/>
                <w:szCs w:val="18"/>
                <w:lang w:eastAsia="en-NZ"/>
              </w:rPr>
              <w:instrText xml:space="preserve"> HYPERLINK "https://www-sciencedirect-com.ezproxy.otago.ac.nz/science/article/pii/S0720048X10000185" \l "bib0050" </w:instrText>
            </w:r>
            <w:r w:rsidRPr="00C03EC4">
              <w:rPr>
                <w:rFonts w:eastAsia="Times New Roman" w:cstheme="majorHAnsi"/>
                <w:sz w:val="18"/>
                <w:szCs w:val="18"/>
                <w:lang w:eastAsia="en-NZ"/>
              </w:rPr>
              <w:fldChar w:fldCharType="separate"/>
            </w:r>
            <w:r w:rsidRPr="003122C0">
              <w:rPr>
                <w:rFonts w:eastAsia="Times New Roman" w:cstheme="majorHAnsi"/>
                <w:sz w:val="18"/>
                <w:szCs w:val="18"/>
                <w:lang w:eastAsia="en-NZ"/>
              </w:rPr>
              <w:t>Vacek</w:t>
            </w:r>
            <w:r>
              <w:rPr>
                <w:rFonts w:eastAsia="Times New Roman" w:cstheme="majorHAnsi"/>
                <w:sz w:val="18"/>
                <w:szCs w:val="18"/>
                <w:lang w:eastAsia="en-NZ"/>
              </w:rPr>
              <w:t xml:space="preserve"> &amp; Geller (</w:t>
            </w:r>
            <w:r w:rsidRPr="00C03EC4">
              <w:rPr>
                <w:rFonts w:eastAsia="Times New Roman" w:cstheme="majorHAnsi"/>
                <w:sz w:val="18"/>
                <w:szCs w:val="18"/>
                <w:lang w:eastAsia="en-NZ"/>
              </w:rPr>
              <w:fldChar w:fldCharType="end"/>
            </w:r>
            <w:bookmarkEnd w:id="60"/>
            <w:r w:rsidRPr="003122C0">
              <w:rPr>
                <w:rFonts w:eastAsia="Times New Roman" w:cstheme="majorHAnsi"/>
                <w:sz w:val="18"/>
                <w:szCs w:val="18"/>
                <w:lang w:eastAsia="en-NZ"/>
              </w:rPr>
              <w:t>2004</w:t>
            </w:r>
            <w:r>
              <w:rPr>
                <w:rFonts w:eastAsia="Times New Roman" w:cstheme="majorHAnsi"/>
                <w:sz w:val="18"/>
                <w:szCs w:val="18"/>
                <w:lang w:eastAsia="en-NZ"/>
              </w:rPr>
              <w:t>)</w:t>
            </w:r>
          </w:p>
        </w:tc>
        <w:tc>
          <w:tcPr>
            <w:tcW w:w="474" w:type="pct"/>
            <w:vAlign w:val="center"/>
          </w:tcPr>
          <w:p w14:paraId="503E9B88"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tcPr>
          <w:p w14:paraId="0CE1A021"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61</w:t>
            </w:r>
            <w:r w:rsidRPr="003122C0">
              <w:rPr>
                <w:rFonts w:eastAsia="Times New Roman" w:cstheme="majorHAnsi"/>
                <w:sz w:val="18"/>
                <w:szCs w:val="18"/>
                <w:lang w:eastAsia="en-NZ"/>
              </w:rPr>
              <w:t>,</w:t>
            </w:r>
            <w:r w:rsidRPr="00C03EC4">
              <w:rPr>
                <w:rFonts w:eastAsia="Times New Roman" w:cstheme="majorHAnsi"/>
                <w:sz w:val="18"/>
                <w:szCs w:val="18"/>
                <w:lang w:eastAsia="en-NZ"/>
              </w:rPr>
              <w:t>844</w:t>
            </w:r>
          </w:p>
        </w:tc>
        <w:tc>
          <w:tcPr>
            <w:tcW w:w="508" w:type="pct"/>
            <w:vAlign w:val="center"/>
          </w:tcPr>
          <w:p w14:paraId="46C8BEC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1191</w:t>
            </w:r>
          </w:p>
        </w:tc>
        <w:tc>
          <w:tcPr>
            <w:tcW w:w="402" w:type="pct"/>
            <w:vAlign w:val="center"/>
          </w:tcPr>
          <w:p w14:paraId="1E4C636A"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54</w:t>
            </w:r>
            <w:r>
              <w:rPr>
                <w:rFonts w:eastAsia="Times New Roman" w:cstheme="majorHAnsi"/>
                <w:sz w:val="18"/>
                <w:szCs w:val="18"/>
                <w:lang w:eastAsia="en-NZ"/>
              </w:rPr>
              <w:t xml:space="preserve"> </w:t>
            </w:r>
            <w:r w:rsidRPr="00C03EC4">
              <w:rPr>
                <w:rFonts w:eastAsia="Times New Roman" w:cstheme="majorHAnsi"/>
                <w:sz w:val="18"/>
                <w:szCs w:val="18"/>
                <w:lang w:eastAsia="en-NZ"/>
              </w:rPr>
              <w:t>±</w:t>
            </w:r>
            <w:r>
              <w:rPr>
                <w:rFonts w:eastAsia="Times New Roman" w:cstheme="majorHAnsi"/>
                <w:sz w:val="18"/>
                <w:szCs w:val="18"/>
                <w:lang w:eastAsia="en-NZ"/>
              </w:rPr>
              <w:t xml:space="preserve"> </w:t>
            </w:r>
            <w:r w:rsidRPr="00C03EC4">
              <w:rPr>
                <w:rFonts w:eastAsia="Times New Roman" w:cstheme="majorHAnsi"/>
                <w:sz w:val="18"/>
                <w:szCs w:val="18"/>
                <w:lang w:eastAsia="en-NZ"/>
              </w:rPr>
              <w:t>12</w:t>
            </w:r>
          </w:p>
        </w:tc>
        <w:tc>
          <w:tcPr>
            <w:tcW w:w="441" w:type="pct"/>
            <w:vAlign w:val="center"/>
          </w:tcPr>
          <w:p w14:paraId="738EA209"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3.1</w:t>
            </w:r>
          </w:p>
        </w:tc>
        <w:tc>
          <w:tcPr>
            <w:tcW w:w="648" w:type="pct"/>
            <w:vAlign w:val="center"/>
          </w:tcPr>
          <w:p w14:paraId="41EB2CE1" w14:textId="77777777" w:rsidR="004135A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BIRADS</w:t>
            </w:r>
          </w:p>
        </w:tc>
        <w:tc>
          <w:tcPr>
            <w:tcW w:w="778" w:type="pct"/>
            <w:vAlign w:val="center"/>
          </w:tcPr>
          <w:p w14:paraId="76258615"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&gt;25%</w:t>
            </w:r>
          </w:p>
        </w:tc>
        <w:tc>
          <w:tcPr>
            <w:tcW w:w="750" w:type="pct"/>
            <w:vAlign w:val="center"/>
          </w:tcPr>
          <w:p w14:paraId="1895C55F" w14:textId="77777777" w:rsidR="004135A4" w:rsidRDefault="004135A4" w:rsidP="00F66F74">
            <w:pPr>
              <w:rPr>
                <w:rFonts w:eastAsia="Times New Roman" w:cstheme="majorHAnsi"/>
                <w:sz w:val="18"/>
                <w:szCs w:val="18"/>
                <w:lang w:eastAsia="en-NZ"/>
              </w:rPr>
            </w:pPr>
            <w:r>
              <w:rPr>
                <w:rFonts w:eastAsia="Times New Roman" w:cstheme="majorHAnsi"/>
                <w:sz w:val="18"/>
                <w:szCs w:val="18"/>
                <w:lang w:eastAsia="en-NZ"/>
              </w:rPr>
              <w:t>BIRADS 3: 3.0 (2.2-4.0)</w:t>
            </w:r>
          </w:p>
          <w:p w14:paraId="44C19D29" w14:textId="77777777" w:rsidR="004135A4" w:rsidRDefault="004135A4" w:rsidP="00F66F74">
            <w:pPr>
              <w:rPr>
                <w:rFonts w:eastAsia="Times New Roman" w:cstheme="majorHAnsi"/>
                <w:sz w:val="18"/>
                <w:szCs w:val="18"/>
                <w:lang w:eastAsia="en-NZ"/>
              </w:rPr>
            </w:pPr>
            <w:r>
              <w:rPr>
                <w:rFonts w:eastAsia="Times New Roman" w:cstheme="majorHAnsi"/>
                <w:sz w:val="18"/>
                <w:szCs w:val="18"/>
                <w:lang w:eastAsia="en-NZ"/>
              </w:rPr>
              <w:t>BIRADS 4: 4.0 (2.8-5.7)</w:t>
            </w:r>
          </w:p>
        </w:tc>
      </w:tr>
      <w:bookmarkStart w:id="61" w:name="RANGE!B50"/>
      <w:tr w:rsidR="004135A4" w:rsidRPr="00C03EC4" w14:paraId="7549032B" w14:textId="77777777" w:rsidTr="00F66F74">
        <w:trPr>
          <w:trHeight w:val="675"/>
        </w:trPr>
        <w:tc>
          <w:tcPr>
            <w:tcW w:w="431" w:type="pct"/>
            <w:vAlign w:val="center"/>
          </w:tcPr>
          <w:p w14:paraId="774C342C" w14:textId="77777777" w:rsidR="004135A4" w:rsidRPr="00C03EC4" w:rsidRDefault="004135A4" w:rsidP="00F66F74">
            <w:pPr>
              <w:rPr>
                <w:rFonts w:eastAsia="Times New Roman" w:cstheme="majorHAnsi"/>
                <w:sz w:val="18"/>
                <w:szCs w:val="18"/>
                <w:lang w:eastAsia="en-NZ"/>
              </w:rPr>
            </w:pPr>
            <w:r w:rsidRPr="00C03EC4">
              <w:rPr>
                <w:rFonts w:eastAsia="Times New Roman" w:cstheme="majorHAnsi"/>
                <w:sz w:val="18"/>
                <w:szCs w:val="18"/>
                <w:lang w:eastAsia="en-NZ"/>
              </w:rPr>
              <w:lastRenderedPageBreak/>
              <w:fldChar w:fldCharType="begin"/>
            </w:r>
            <w:r w:rsidRPr="00C03EC4">
              <w:rPr>
                <w:rFonts w:eastAsia="Times New Roman" w:cstheme="majorHAnsi"/>
                <w:sz w:val="18"/>
                <w:szCs w:val="18"/>
                <w:lang w:eastAsia="en-NZ"/>
              </w:rPr>
              <w:instrText xml:space="preserve"> HYPERLINK "https://www-sciencedirect-com.ezproxy.otago.ac.nz/science/article/pii/S0720048X10000185" \l "bib0055" </w:instrText>
            </w:r>
            <w:r w:rsidRPr="00C03EC4">
              <w:rPr>
                <w:rFonts w:eastAsia="Times New Roman" w:cstheme="majorHAnsi"/>
                <w:sz w:val="18"/>
                <w:szCs w:val="18"/>
                <w:lang w:eastAsia="en-NZ"/>
              </w:rPr>
              <w:fldChar w:fldCharType="separate"/>
            </w:r>
            <w:r w:rsidRPr="003122C0">
              <w:rPr>
                <w:rFonts w:eastAsia="Times New Roman" w:cstheme="majorHAnsi"/>
                <w:sz w:val="18"/>
                <w:szCs w:val="18"/>
                <w:lang w:eastAsia="en-NZ"/>
              </w:rPr>
              <w:t>Ziv</w:t>
            </w:r>
            <w:r w:rsidRPr="00C03EC4">
              <w:rPr>
                <w:rFonts w:eastAsia="Times New Roman" w:cstheme="majorHAnsi"/>
                <w:sz w:val="18"/>
                <w:szCs w:val="18"/>
                <w:lang w:eastAsia="en-NZ"/>
              </w:rPr>
              <w:fldChar w:fldCharType="end"/>
            </w:r>
            <w:bookmarkEnd w:id="61"/>
            <w:r w:rsidRPr="003122C0">
              <w:rPr>
                <w:rFonts w:eastAsia="Times New Roman" w:cstheme="majorHAnsi"/>
                <w:sz w:val="18"/>
                <w:szCs w:val="18"/>
                <w:lang w:eastAsia="en-NZ"/>
              </w:rPr>
              <w:t xml:space="preserve"> </w:t>
            </w:r>
            <w:r>
              <w:rPr>
                <w:rFonts w:eastAsia="Times New Roman" w:cstheme="majorHAnsi"/>
                <w:sz w:val="18"/>
                <w:szCs w:val="18"/>
                <w:lang w:eastAsia="en-NZ"/>
              </w:rPr>
              <w:t>et al. (</w:t>
            </w:r>
            <w:r w:rsidRPr="003122C0">
              <w:rPr>
                <w:rFonts w:eastAsia="Times New Roman" w:cstheme="majorHAnsi"/>
                <w:sz w:val="18"/>
                <w:szCs w:val="18"/>
                <w:lang w:eastAsia="en-NZ"/>
              </w:rPr>
              <w:t>2004</w:t>
            </w:r>
            <w:r>
              <w:rPr>
                <w:rFonts w:eastAsia="Times New Roman" w:cstheme="majorHAnsi"/>
                <w:sz w:val="18"/>
                <w:szCs w:val="18"/>
                <w:lang w:eastAsia="en-NZ"/>
              </w:rPr>
              <w:t>)</w:t>
            </w:r>
          </w:p>
        </w:tc>
        <w:tc>
          <w:tcPr>
            <w:tcW w:w="474" w:type="pct"/>
            <w:vAlign w:val="center"/>
          </w:tcPr>
          <w:p w14:paraId="417A7C90"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tcPr>
          <w:p w14:paraId="13096E77"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44</w:t>
            </w:r>
            <w:r w:rsidRPr="003122C0">
              <w:rPr>
                <w:rFonts w:eastAsia="Times New Roman" w:cstheme="majorHAnsi"/>
                <w:sz w:val="18"/>
                <w:szCs w:val="18"/>
                <w:lang w:eastAsia="en-NZ"/>
              </w:rPr>
              <w:t>,</w:t>
            </w:r>
            <w:r w:rsidRPr="00C03EC4">
              <w:rPr>
                <w:rFonts w:eastAsia="Times New Roman" w:cstheme="majorHAnsi"/>
                <w:sz w:val="18"/>
                <w:szCs w:val="18"/>
                <w:lang w:eastAsia="en-NZ"/>
              </w:rPr>
              <w:t>811</w:t>
            </w:r>
          </w:p>
        </w:tc>
        <w:tc>
          <w:tcPr>
            <w:tcW w:w="508" w:type="pct"/>
            <w:vAlign w:val="center"/>
          </w:tcPr>
          <w:p w14:paraId="6BDF9003"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701</w:t>
            </w:r>
          </w:p>
        </w:tc>
        <w:tc>
          <w:tcPr>
            <w:tcW w:w="402" w:type="pct"/>
            <w:vAlign w:val="center"/>
          </w:tcPr>
          <w:p w14:paraId="7AA4B98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54</w:t>
            </w:r>
            <w:r>
              <w:rPr>
                <w:rFonts w:eastAsia="Times New Roman" w:cstheme="majorHAnsi"/>
                <w:sz w:val="18"/>
                <w:szCs w:val="18"/>
                <w:lang w:eastAsia="en-NZ"/>
              </w:rPr>
              <w:t xml:space="preserve"> </w:t>
            </w:r>
            <w:r w:rsidRPr="00C03EC4">
              <w:rPr>
                <w:rFonts w:eastAsia="Times New Roman" w:cstheme="majorHAnsi"/>
                <w:sz w:val="18"/>
                <w:szCs w:val="18"/>
                <w:lang w:eastAsia="en-NZ"/>
              </w:rPr>
              <w:t>±</w:t>
            </w:r>
            <w:r>
              <w:rPr>
                <w:rFonts w:eastAsia="Times New Roman" w:cstheme="majorHAnsi"/>
                <w:sz w:val="18"/>
                <w:szCs w:val="18"/>
                <w:lang w:eastAsia="en-NZ"/>
              </w:rPr>
              <w:t xml:space="preserve"> </w:t>
            </w:r>
            <w:r w:rsidRPr="00C03EC4">
              <w:rPr>
                <w:rFonts w:eastAsia="Times New Roman" w:cstheme="majorHAnsi"/>
                <w:sz w:val="18"/>
                <w:szCs w:val="18"/>
                <w:lang w:eastAsia="en-NZ"/>
              </w:rPr>
              <w:t>12</w:t>
            </w:r>
          </w:p>
        </w:tc>
        <w:tc>
          <w:tcPr>
            <w:tcW w:w="441" w:type="pct"/>
            <w:vAlign w:val="center"/>
          </w:tcPr>
          <w:p w14:paraId="1C6F36CF"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7.5</w:t>
            </w:r>
          </w:p>
        </w:tc>
        <w:tc>
          <w:tcPr>
            <w:tcW w:w="648" w:type="pct"/>
            <w:vAlign w:val="center"/>
          </w:tcPr>
          <w:p w14:paraId="71965BEB" w14:textId="77777777" w:rsidR="004135A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BIRADS</w:t>
            </w:r>
          </w:p>
        </w:tc>
        <w:tc>
          <w:tcPr>
            <w:tcW w:w="778" w:type="pct"/>
            <w:vAlign w:val="center"/>
          </w:tcPr>
          <w:p w14:paraId="30513378"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&gt;75%</w:t>
            </w:r>
          </w:p>
        </w:tc>
        <w:tc>
          <w:tcPr>
            <w:tcW w:w="750" w:type="pct"/>
            <w:vAlign w:val="center"/>
          </w:tcPr>
          <w:p w14:paraId="3630480E" w14:textId="77777777" w:rsidR="004135A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2.0 (1.6-2.6)</w:t>
            </w:r>
          </w:p>
        </w:tc>
      </w:tr>
      <w:tr w:rsidR="004135A4" w:rsidRPr="00C03EC4" w14:paraId="3AA0C980" w14:textId="77777777" w:rsidTr="00F66F74">
        <w:trPr>
          <w:trHeight w:val="438"/>
        </w:trPr>
        <w:tc>
          <w:tcPr>
            <w:tcW w:w="431" w:type="pct"/>
            <w:vAlign w:val="center"/>
          </w:tcPr>
          <w:p w14:paraId="386BAEEE" w14:textId="77777777" w:rsidR="004135A4" w:rsidRPr="003122C0" w:rsidRDefault="004135A4" w:rsidP="00F66F74">
            <w:pPr>
              <w:rPr>
                <w:rFonts w:eastAsia="Times New Roman" w:cstheme="majorHAnsi"/>
                <w:sz w:val="18"/>
                <w:szCs w:val="18"/>
                <w:lang w:eastAsia="en-NZ"/>
              </w:rPr>
            </w:pPr>
            <w:r w:rsidRPr="003122C0">
              <w:rPr>
                <w:rFonts w:eastAsia="Times New Roman" w:cstheme="majorHAnsi"/>
                <w:sz w:val="18"/>
                <w:szCs w:val="18"/>
                <w:lang w:eastAsia="en-NZ"/>
              </w:rPr>
              <w:t xml:space="preserve">Ciatto </w:t>
            </w:r>
            <w:r>
              <w:rPr>
                <w:rFonts w:eastAsia="Times New Roman" w:cstheme="majorHAnsi"/>
                <w:sz w:val="18"/>
                <w:szCs w:val="18"/>
                <w:lang w:eastAsia="en-NZ"/>
              </w:rPr>
              <w:t>&amp;</w:t>
            </w:r>
            <w:r w:rsidRPr="003122C0">
              <w:rPr>
                <w:rFonts w:eastAsia="Times New Roman" w:cstheme="majorHAnsi"/>
                <w:sz w:val="18"/>
                <w:szCs w:val="18"/>
                <w:lang w:eastAsia="en-NZ"/>
              </w:rPr>
              <w:t xml:space="preserve"> Zappa</w:t>
            </w:r>
            <w:r>
              <w:rPr>
                <w:rFonts w:eastAsia="Times New Roman" w:cstheme="majorHAnsi"/>
                <w:sz w:val="18"/>
                <w:szCs w:val="18"/>
                <w:lang w:eastAsia="en-NZ"/>
              </w:rPr>
              <w:t xml:space="preserve"> (</w:t>
            </w:r>
            <w:r w:rsidRPr="003122C0">
              <w:rPr>
                <w:rFonts w:eastAsia="Times New Roman" w:cstheme="majorHAnsi"/>
                <w:sz w:val="18"/>
                <w:szCs w:val="18"/>
                <w:lang w:eastAsia="en-NZ"/>
              </w:rPr>
              <w:t>1993</w:t>
            </w:r>
            <w:r>
              <w:rPr>
                <w:rFonts w:eastAsia="Times New Roman" w:cstheme="majorHAnsi"/>
                <w:sz w:val="18"/>
                <w:szCs w:val="18"/>
                <w:lang w:eastAsia="en-NZ"/>
              </w:rPr>
              <w:t>)</w:t>
            </w:r>
          </w:p>
        </w:tc>
        <w:tc>
          <w:tcPr>
            <w:tcW w:w="474" w:type="pct"/>
            <w:vAlign w:val="center"/>
          </w:tcPr>
          <w:p w14:paraId="1622B4D5"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tcPr>
          <w:p w14:paraId="4C801716"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17</w:t>
            </w:r>
            <w:r w:rsidRPr="003122C0">
              <w:rPr>
                <w:rFonts w:eastAsia="Times New Roman" w:cstheme="majorHAnsi"/>
                <w:sz w:val="18"/>
                <w:szCs w:val="18"/>
                <w:lang w:eastAsia="en-NZ"/>
              </w:rPr>
              <w:t>,</w:t>
            </w:r>
            <w:r w:rsidRPr="00C03EC4">
              <w:rPr>
                <w:rFonts w:eastAsia="Times New Roman" w:cstheme="majorHAnsi"/>
                <w:sz w:val="18"/>
                <w:szCs w:val="18"/>
                <w:lang w:eastAsia="en-NZ"/>
              </w:rPr>
              <w:t>911</w:t>
            </w:r>
          </w:p>
        </w:tc>
        <w:tc>
          <w:tcPr>
            <w:tcW w:w="508" w:type="pct"/>
            <w:vAlign w:val="center"/>
          </w:tcPr>
          <w:p w14:paraId="69027A4F"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40</w:t>
            </w:r>
          </w:p>
        </w:tc>
        <w:tc>
          <w:tcPr>
            <w:tcW w:w="402" w:type="pct"/>
            <w:vAlign w:val="center"/>
          </w:tcPr>
          <w:p w14:paraId="1F1B284E"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40–70</w:t>
            </w:r>
          </w:p>
        </w:tc>
        <w:tc>
          <w:tcPr>
            <w:tcW w:w="441" w:type="pct"/>
            <w:vAlign w:val="center"/>
          </w:tcPr>
          <w:p w14:paraId="6FE5F89F"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5</w:t>
            </w:r>
          </w:p>
        </w:tc>
        <w:tc>
          <w:tcPr>
            <w:tcW w:w="648" w:type="pct"/>
            <w:vAlign w:val="center"/>
          </w:tcPr>
          <w:p w14:paraId="647FE61E" w14:textId="77777777" w:rsidR="004135A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Wolfe</w:t>
            </w:r>
          </w:p>
        </w:tc>
        <w:tc>
          <w:tcPr>
            <w:tcW w:w="778" w:type="pct"/>
            <w:vAlign w:val="center"/>
          </w:tcPr>
          <w:p w14:paraId="19ABFE91"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P2</w:t>
            </w:r>
            <w:r>
              <w:rPr>
                <w:rFonts w:eastAsia="Times New Roman" w:cstheme="majorHAnsi"/>
                <w:sz w:val="18"/>
                <w:szCs w:val="18"/>
                <w:lang w:eastAsia="en-NZ"/>
              </w:rPr>
              <w:t xml:space="preserve"> </w:t>
            </w:r>
            <w:r w:rsidRPr="00C03EC4">
              <w:rPr>
                <w:rFonts w:eastAsia="Times New Roman" w:cstheme="majorHAnsi"/>
                <w:sz w:val="18"/>
                <w:szCs w:val="18"/>
                <w:lang w:eastAsia="en-NZ"/>
              </w:rPr>
              <w:t>+</w:t>
            </w:r>
            <w:r>
              <w:rPr>
                <w:rFonts w:eastAsia="Times New Roman" w:cstheme="majorHAnsi"/>
                <w:sz w:val="18"/>
                <w:szCs w:val="18"/>
                <w:lang w:eastAsia="en-NZ"/>
              </w:rPr>
              <w:t xml:space="preserve"> </w:t>
            </w:r>
            <w:r w:rsidRPr="00C03EC4">
              <w:rPr>
                <w:rFonts w:eastAsia="Times New Roman" w:cstheme="majorHAnsi"/>
                <w:sz w:val="18"/>
                <w:szCs w:val="18"/>
                <w:lang w:eastAsia="en-NZ"/>
              </w:rPr>
              <w:t>DY</w:t>
            </w:r>
          </w:p>
        </w:tc>
        <w:tc>
          <w:tcPr>
            <w:tcW w:w="750" w:type="pct"/>
            <w:vAlign w:val="center"/>
          </w:tcPr>
          <w:p w14:paraId="7651C934" w14:textId="77777777" w:rsidR="004135A4" w:rsidRPr="00C03EC4" w:rsidRDefault="004135A4" w:rsidP="00F66F74">
            <w:pPr>
              <w:jc w:val="center"/>
              <w:rPr>
                <w:rFonts w:eastAsia="Times New Roman" w:cstheme="majorHAnsi"/>
                <w:sz w:val="18"/>
                <w:szCs w:val="18"/>
                <w:lang w:eastAsia="en-NZ"/>
              </w:rPr>
            </w:pPr>
            <w:r>
              <w:rPr>
                <w:rFonts w:eastAsia="Times New Roman" w:cstheme="majorHAnsi"/>
                <w:sz w:val="18"/>
                <w:szCs w:val="18"/>
                <w:lang w:eastAsia="en-NZ"/>
              </w:rPr>
              <w:t>2.0 (1.4-13.3)</w:t>
            </w:r>
          </w:p>
        </w:tc>
      </w:tr>
      <w:tr w:rsidR="004135A4" w:rsidRPr="00C03EC4" w14:paraId="50FC2F8A" w14:textId="77777777" w:rsidTr="00F66F74">
        <w:trPr>
          <w:trHeight w:val="438"/>
        </w:trPr>
        <w:tc>
          <w:tcPr>
            <w:tcW w:w="431" w:type="pct"/>
            <w:vAlign w:val="center"/>
          </w:tcPr>
          <w:p w14:paraId="65853E24" w14:textId="77777777" w:rsidR="004135A4" w:rsidRPr="003122C0" w:rsidRDefault="004135A4" w:rsidP="00F66F74">
            <w:pPr>
              <w:rPr>
                <w:rFonts w:eastAsia="Times New Roman" w:cstheme="majorHAnsi"/>
                <w:sz w:val="18"/>
                <w:szCs w:val="18"/>
                <w:lang w:eastAsia="en-NZ"/>
              </w:rPr>
            </w:pPr>
            <w:r w:rsidRPr="003122C0">
              <w:rPr>
                <w:rFonts w:eastAsia="Times New Roman" w:cstheme="majorHAnsi"/>
                <w:sz w:val="18"/>
                <w:szCs w:val="18"/>
                <w:lang w:eastAsia="en-NZ"/>
              </w:rPr>
              <w:t>De Stavola</w:t>
            </w:r>
            <w:r>
              <w:rPr>
                <w:rFonts w:eastAsia="Times New Roman" w:cstheme="majorHAnsi"/>
                <w:sz w:val="18"/>
                <w:szCs w:val="18"/>
                <w:lang w:eastAsia="en-NZ"/>
              </w:rPr>
              <w:t xml:space="preserve"> (</w:t>
            </w:r>
            <w:r w:rsidRPr="003122C0">
              <w:rPr>
                <w:rFonts w:eastAsia="Times New Roman" w:cstheme="majorHAnsi"/>
                <w:sz w:val="18"/>
                <w:szCs w:val="18"/>
                <w:lang w:eastAsia="en-NZ"/>
              </w:rPr>
              <w:t>1990</w:t>
            </w:r>
            <w:r>
              <w:rPr>
                <w:rFonts w:eastAsia="Times New Roman" w:cstheme="majorHAnsi"/>
                <w:sz w:val="18"/>
                <w:szCs w:val="18"/>
                <w:lang w:eastAsia="en-NZ"/>
              </w:rPr>
              <w:t>)</w:t>
            </w:r>
          </w:p>
        </w:tc>
        <w:tc>
          <w:tcPr>
            <w:tcW w:w="474" w:type="pct"/>
            <w:vAlign w:val="center"/>
          </w:tcPr>
          <w:p w14:paraId="43ADD241"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tcPr>
          <w:p w14:paraId="7E67E605"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4954</w:t>
            </w:r>
          </w:p>
        </w:tc>
        <w:tc>
          <w:tcPr>
            <w:tcW w:w="508" w:type="pct"/>
            <w:vAlign w:val="center"/>
          </w:tcPr>
          <w:p w14:paraId="72F048E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69</w:t>
            </w:r>
          </w:p>
        </w:tc>
        <w:tc>
          <w:tcPr>
            <w:tcW w:w="402" w:type="pct"/>
            <w:vAlign w:val="center"/>
          </w:tcPr>
          <w:p w14:paraId="072A705C"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35–75</w:t>
            </w:r>
          </w:p>
        </w:tc>
        <w:tc>
          <w:tcPr>
            <w:tcW w:w="441" w:type="pct"/>
            <w:vAlign w:val="center"/>
          </w:tcPr>
          <w:p w14:paraId="02253F2F"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7</w:t>
            </w:r>
          </w:p>
        </w:tc>
        <w:tc>
          <w:tcPr>
            <w:tcW w:w="648" w:type="pct"/>
            <w:vAlign w:val="center"/>
          </w:tcPr>
          <w:p w14:paraId="69F5A5AB" w14:textId="77777777" w:rsidR="004135A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Wolfe</w:t>
            </w:r>
          </w:p>
        </w:tc>
        <w:tc>
          <w:tcPr>
            <w:tcW w:w="778" w:type="pct"/>
            <w:vAlign w:val="center"/>
          </w:tcPr>
          <w:p w14:paraId="0FE188CA" w14:textId="77777777" w:rsidR="004135A4" w:rsidRPr="00C03EC4" w:rsidRDefault="004135A4" w:rsidP="00F66F74">
            <w:pPr>
              <w:jc w:val="center"/>
              <w:rPr>
                <w:rFonts w:eastAsia="Times New Roman" w:cstheme="majorHAnsi"/>
                <w:sz w:val="18"/>
                <w:szCs w:val="18"/>
                <w:lang w:eastAsia="en-NZ"/>
              </w:rPr>
            </w:pPr>
            <w:r w:rsidRPr="00C03EC4">
              <w:rPr>
                <w:rFonts w:eastAsia="Times New Roman" w:cstheme="majorHAnsi"/>
                <w:sz w:val="18"/>
                <w:szCs w:val="18"/>
                <w:lang w:eastAsia="en-NZ"/>
              </w:rPr>
              <w:t>P2</w:t>
            </w:r>
            <w:r>
              <w:rPr>
                <w:rFonts w:eastAsia="Times New Roman" w:cstheme="majorHAnsi"/>
                <w:sz w:val="18"/>
                <w:szCs w:val="18"/>
                <w:lang w:eastAsia="en-NZ"/>
              </w:rPr>
              <w:t xml:space="preserve"> </w:t>
            </w:r>
            <w:r w:rsidRPr="00C03EC4">
              <w:rPr>
                <w:rFonts w:eastAsia="Times New Roman" w:cstheme="majorHAnsi"/>
                <w:sz w:val="18"/>
                <w:szCs w:val="18"/>
                <w:lang w:eastAsia="en-NZ"/>
              </w:rPr>
              <w:t>+</w:t>
            </w:r>
            <w:r>
              <w:rPr>
                <w:rFonts w:eastAsia="Times New Roman" w:cstheme="majorHAnsi"/>
                <w:sz w:val="18"/>
                <w:szCs w:val="18"/>
                <w:lang w:eastAsia="en-NZ"/>
              </w:rPr>
              <w:t xml:space="preserve"> </w:t>
            </w:r>
            <w:r w:rsidRPr="00C03EC4">
              <w:rPr>
                <w:rFonts w:eastAsia="Times New Roman" w:cstheme="majorHAnsi"/>
                <w:sz w:val="18"/>
                <w:szCs w:val="18"/>
                <w:lang w:eastAsia="en-NZ"/>
              </w:rPr>
              <w:t>DY</w:t>
            </w:r>
          </w:p>
        </w:tc>
        <w:tc>
          <w:tcPr>
            <w:tcW w:w="750" w:type="pct"/>
            <w:vAlign w:val="center"/>
          </w:tcPr>
          <w:p w14:paraId="5A495492" w14:textId="77777777" w:rsidR="004135A4" w:rsidRDefault="004135A4" w:rsidP="004135A4">
            <w:pPr>
              <w:jc w:val="center"/>
              <w:rPr>
                <w:rFonts w:eastAsia="Times New Roman" w:cstheme="majorHAnsi"/>
                <w:sz w:val="18"/>
                <w:szCs w:val="18"/>
                <w:lang w:eastAsia="en-NZ"/>
              </w:rPr>
            </w:pPr>
            <w:r>
              <w:rPr>
                <w:rFonts w:eastAsia="Times New Roman" w:cstheme="majorHAnsi"/>
                <w:sz w:val="18"/>
                <w:szCs w:val="18"/>
                <w:lang w:eastAsia="en-NZ"/>
              </w:rPr>
              <w:t>1.5 (0.9-2.7)</w:t>
            </w:r>
          </w:p>
          <w:p w14:paraId="4A3E3ECE" w14:textId="77777777" w:rsidR="004135A4" w:rsidRPr="00C03EC4" w:rsidRDefault="004135A4" w:rsidP="004135A4">
            <w:pPr>
              <w:jc w:val="center"/>
              <w:rPr>
                <w:rFonts w:eastAsia="Times New Roman" w:cstheme="majorHAnsi"/>
                <w:sz w:val="18"/>
                <w:szCs w:val="18"/>
                <w:lang w:eastAsia="en-NZ"/>
              </w:rPr>
            </w:pPr>
          </w:p>
        </w:tc>
      </w:tr>
      <w:tr w:rsidR="00EB35FA" w:rsidRPr="00C03EC4" w14:paraId="59B67380" w14:textId="77777777" w:rsidTr="00C80ABE">
        <w:trPr>
          <w:trHeight w:val="438"/>
        </w:trPr>
        <w:tc>
          <w:tcPr>
            <w:tcW w:w="431" w:type="pct"/>
            <w:vAlign w:val="center"/>
            <w:hideMark/>
          </w:tcPr>
          <w:p w14:paraId="625407F2" w14:textId="50FF3F2C" w:rsidR="00EB35FA" w:rsidRPr="00C03EC4" w:rsidRDefault="00EB35FA" w:rsidP="00BC4116">
            <w:pPr>
              <w:rPr>
                <w:rFonts w:eastAsia="Times New Roman" w:cstheme="majorHAnsi"/>
                <w:sz w:val="18"/>
                <w:szCs w:val="18"/>
                <w:u w:val="single"/>
                <w:lang w:eastAsia="en-NZ"/>
              </w:rPr>
            </w:pPr>
            <w:r w:rsidRPr="003122C0">
              <w:rPr>
                <w:rFonts w:eastAsia="Times New Roman" w:cstheme="majorHAnsi"/>
                <w:sz w:val="18"/>
                <w:szCs w:val="18"/>
                <w:lang w:eastAsia="en-NZ"/>
              </w:rPr>
              <w:t>Brisson et al.</w:t>
            </w:r>
            <w:r w:rsidR="00DB122D">
              <w:rPr>
                <w:rFonts w:eastAsia="Times New Roman" w:cstheme="majorHAnsi"/>
                <w:sz w:val="18"/>
                <w:szCs w:val="18"/>
                <w:lang w:eastAsia="en-NZ"/>
              </w:rPr>
              <w:t xml:space="preserve"> (</w:t>
            </w:r>
            <w:r w:rsidRPr="003122C0">
              <w:rPr>
                <w:rFonts w:eastAsia="Times New Roman" w:cstheme="majorHAnsi"/>
                <w:sz w:val="18"/>
                <w:szCs w:val="18"/>
                <w:lang w:eastAsia="en-NZ"/>
              </w:rPr>
              <w:t>1988</w:t>
            </w:r>
            <w:r w:rsidR="00DB122D">
              <w:rPr>
                <w:rFonts w:eastAsia="Times New Roman" w:cstheme="majorHAnsi"/>
                <w:sz w:val="18"/>
                <w:szCs w:val="18"/>
                <w:lang w:eastAsia="en-NZ"/>
              </w:rPr>
              <w:t>)</w:t>
            </w:r>
          </w:p>
        </w:tc>
        <w:tc>
          <w:tcPr>
            <w:tcW w:w="474" w:type="pct"/>
            <w:vAlign w:val="center"/>
            <w:hideMark/>
          </w:tcPr>
          <w:p w14:paraId="4CC1AED2" w14:textId="77777777" w:rsidR="00EB35FA" w:rsidRPr="00C03EC4" w:rsidRDefault="00EB35FA" w:rsidP="00EB35FA">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hideMark/>
          </w:tcPr>
          <w:p w14:paraId="3D5C9B4F" w14:textId="77777777" w:rsidR="00EB35FA" w:rsidRPr="00C03EC4" w:rsidRDefault="00EB35FA" w:rsidP="00EB35FA">
            <w:pPr>
              <w:jc w:val="center"/>
              <w:rPr>
                <w:rFonts w:eastAsia="Times New Roman" w:cstheme="majorHAnsi"/>
                <w:sz w:val="18"/>
                <w:szCs w:val="18"/>
                <w:lang w:eastAsia="en-NZ"/>
              </w:rPr>
            </w:pPr>
            <w:r w:rsidRPr="00C03EC4">
              <w:rPr>
                <w:rFonts w:eastAsia="Times New Roman" w:cstheme="majorHAnsi"/>
                <w:sz w:val="18"/>
                <w:szCs w:val="18"/>
                <w:lang w:eastAsia="en-NZ"/>
              </w:rPr>
              <w:t>55</w:t>
            </w:r>
            <w:r w:rsidRPr="003122C0">
              <w:rPr>
                <w:rFonts w:eastAsia="Times New Roman" w:cstheme="majorHAnsi"/>
                <w:sz w:val="18"/>
                <w:szCs w:val="18"/>
                <w:lang w:eastAsia="en-NZ"/>
              </w:rPr>
              <w:t>,</w:t>
            </w:r>
            <w:r w:rsidRPr="00C03EC4">
              <w:rPr>
                <w:rFonts w:eastAsia="Times New Roman" w:cstheme="majorHAnsi"/>
                <w:sz w:val="18"/>
                <w:szCs w:val="18"/>
                <w:lang w:eastAsia="en-NZ"/>
              </w:rPr>
              <w:t>053</w:t>
            </w:r>
          </w:p>
        </w:tc>
        <w:tc>
          <w:tcPr>
            <w:tcW w:w="508" w:type="pct"/>
            <w:vAlign w:val="center"/>
            <w:hideMark/>
          </w:tcPr>
          <w:p w14:paraId="24BF0A8E" w14:textId="77777777" w:rsidR="00EB35FA" w:rsidRPr="00C03EC4" w:rsidRDefault="00EB35FA" w:rsidP="00EB35FA">
            <w:pPr>
              <w:jc w:val="center"/>
              <w:rPr>
                <w:rFonts w:eastAsia="Times New Roman" w:cstheme="majorHAnsi"/>
                <w:sz w:val="18"/>
                <w:szCs w:val="18"/>
                <w:lang w:eastAsia="en-NZ"/>
              </w:rPr>
            </w:pPr>
            <w:r w:rsidRPr="00C03EC4">
              <w:rPr>
                <w:rFonts w:eastAsia="Times New Roman" w:cstheme="majorHAnsi"/>
                <w:sz w:val="18"/>
                <w:szCs w:val="18"/>
                <w:lang w:eastAsia="en-NZ"/>
              </w:rPr>
              <w:t>3392</w:t>
            </w:r>
          </w:p>
        </w:tc>
        <w:tc>
          <w:tcPr>
            <w:tcW w:w="402" w:type="pct"/>
            <w:vAlign w:val="center"/>
            <w:hideMark/>
          </w:tcPr>
          <w:p w14:paraId="5004AFCB" w14:textId="77777777" w:rsidR="00EB35FA" w:rsidRPr="00C03EC4" w:rsidRDefault="00EB35FA" w:rsidP="00EB35FA">
            <w:pPr>
              <w:jc w:val="center"/>
              <w:rPr>
                <w:rFonts w:eastAsia="Times New Roman" w:cstheme="majorHAnsi"/>
                <w:sz w:val="18"/>
                <w:szCs w:val="18"/>
                <w:lang w:eastAsia="en-NZ"/>
              </w:rPr>
            </w:pPr>
            <w:r w:rsidRPr="00C03EC4">
              <w:rPr>
                <w:rFonts w:eastAsia="Times New Roman" w:cstheme="majorHAnsi"/>
                <w:sz w:val="18"/>
                <w:szCs w:val="18"/>
                <w:lang w:eastAsia="en-NZ"/>
              </w:rPr>
              <w:t>35–74</w:t>
            </w:r>
          </w:p>
        </w:tc>
        <w:tc>
          <w:tcPr>
            <w:tcW w:w="441" w:type="pct"/>
            <w:vAlign w:val="center"/>
            <w:hideMark/>
          </w:tcPr>
          <w:p w14:paraId="5ED8E027" w14:textId="77777777" w:rsidR="00EB35FA" w:rsidRPr="00C03EC4" w:rsidRDefault="00EB35FA" w:rsidP="00EB35FA">
            <w:pPr>
              <w:jc w:val="center"/>
              <w:rPr>
                <w:rFonts w:eastAsia="Times New Roman" w:cstheme="majorHAnsi"/>
                <w:sz w:val="18"/>
                <w:szCs w:val="18"/>
                <w:lang w:eastAsia="en-NZ"/>
              </w:rPr>
            </w:pPr>
            <w:r w:rsidRPr="00C03EC4">
              <w:rPr>
                <w:rFonts w:eastAsia="Times New Roman" w:cstheme="majorHAnsi"/>
                <w:sz w:val="18"/>
                <w:szCs w:val="18"/>
                <w:lang w:eastAsia="en-NZ"/>
              </w:rPr>
              <w:t>9</w:t>
            </w:r>
          </w:p>
        </w:tc>
        <w:tc>
          <w:tcPr>
            <w:tcW w:w="648" w:type="pct"/>
            <w:vAlign w:val="center"/>
            <w:hideMark/>
          </w:tcPr>
          <w:p w14:paraId="411C171A" w14:textId="34A5FECA" w:rsidR="00EB35FA" w:rsidRPr="00C03EC4" w:rsidRDefault="00275D65" w:rsidP="00C80ABE">
            <w:pPr>
              <w:jc w:val="center"/>
              <w:rPr>
                <w:rFonts w:eastAsia="Times New Roman" w:cstheme="majorHAnsi"/>
                <w:sz w:val="18"/>
                <w:szCs w:val="18"/>
                <w:lang w:eastAsia="en-NZ"/>
              </w:rPr>
            </w:pPr>
            <w:r>
              <w:rPr>
                <w:rFonts w:eastAsia="Times New Roman" w:cstheme="majorHAnsi"/>
                <w:sz w:val="18"/>
                <w:szCs w:val="18"/>
                <w:lang w:eastAsia="en-NZ"/>
              </w:rPr>
              <w:t>BIRADS</w:t>
            </w:r>
          </w:p>
        </w:tc>
        <w:tc>
          <w:tcPr>
            <w:tcW w:w="778" w:type="pct"/>
            <w:vAlign w:val="center"/>
            <w:hideMark/>
          </w:tcPr>
          <w:p w14:paraId="6DAF1F9A" w14:textId="1907BE46" w:rsidR="00EB35FA" w:rsidRPr="00C03EC4" w:rsidRDefault="00EB35FA" w:rsidP="00EB35FA">
            <w:pPr>
              <w:jc w:val="center"/>
              <w:rPr>
                <w:rFonts w:eastAsia="Times New Roman" w:cstheme="majorHAnsi"/>
                <w:sz w:val="18"/>
                <w:szCs w:val="18"/>
                <w:lang w:eastAsia="en-NZ"/>
              </w:rPr>
            </w:pPr>
            <w:r w:rsidRPr="00C03EC4">
              <w:rPr>
                <w:rFonts w:eastAsia="Times New Roman" w:cstheme="majorHAnsi"/>
                <w:sz w:val="18"/>
                <w:szCs w:val="18"/>
                <w:lang w:eastAsia="en-NZ"/>
              </w:rPr>
              <w:t>Glandular</w:t>
            </w:r>
            <w:r w:rsidR="00BB2B6B">
              <w:rPr>
                <w:rFonts w:eastAsia="Times New Roman" w:cstheme="majorHAnsi"/>
                <w:sz w:val="18"/>
                <w:szCs w:val="18"/>
                <w:lang w:eastAsia="en-NZ"/>
              </w:rPr>
              <w:t xml:space="preserve"> </w:t>
            </w:r>
            <w:r w:rsidRPr="00C03EC4">
              <w:rPr>
                <w:rFonts w:eastAsia="Times New Roman" w:cstheme="majorHAnsi"/>
                <w:sz w:val="18"/>
                <w:szCs w:val="18"/>
                <w:lang w:eastAsia="en-NZ"/>
              </w:rPr>
              <w:t>+</w:t>
            </w:r>
            <w:r w:rsidR="00BB2B6B">
              <w:rPr>
                <w:rFonts w:eastAsia="Times New Roman" w:cstheme="majorHAnsi"/>
                <w:sz w:val="18"/>
                <w:szCs w:val="18"/>
                <w:lang w:eastAsia="en-NZ"/>
              </w:rPr>
              <w:t xml:space="preserve"> </w:t>
            </w:r>
            <w:r w:rsidRPr="00C03EC4">
              <w:rPr>
                <w:rFonts w:eastAsia="Times New Roman" w:cstheme="majorHAnsi"/>
                <w:sz w:val="18"/>
                <w:szCs w:val="18"/>
                <w:lang w:eastAsia="en-NZ"/>
              </w:rPr>
              <w:t>homogeneously dense</w:t>
            </w:r>
          </w:p>
        </w:tc>
        <w:tc>
          <w:tcPr>
            <w:tcW w:w="750" w:type="pct"/>
            <w:vAlign w:val="center"/>
            <w:hideMark/>
          </w:tcPr>
          <w:p w14:paraId="725C4B02" w14:textId="12E0FB39" w:rsidR="00EB35FA" w:rsidRPr="00C03EC4" w:rsidRDefault="00EB35FA" w:rsidP="004135A4">
            <w:pPr>
              <w:jc w:val="center"/>
              <w:rPr>
                <w:rFonts w:eastAsia="Times New Roman" w:cstheme="majorHAnsi"/>
                <w:sz w:val="18"/>
                <w:szCs w:val="18"/>
                <w:lang w:eastAsia="en-NZ"/>
              </w:rPr>
            </w:pPr>
            <w:r w:rsidRPr="00C03EC4">
              <w:rPr>
                <w:rFonts w:eastAsia="Times New Roman" w:cstheme="majorHAnsi"/>
                <w:sz w:val="18"/>
                <w:szCs w:val="18"/>
                <w:lang w:eastAsia="en-NZ"/>
              </w:rPr>
              <w:t>No</w:t>
            </w:r>
            <w:r w:rsidR="004135A4">
              <w:rPr>
                <w:rFonts w:eastAsia="Times New Roman" w:cstheme="majorHAnsi"/>
                <w:sz w:val="18"/>
                <w:szCs w:val="18"/>
                <w:lang w:eastAsia="en-NZ"/>
              </w:rPr>
              <w:t>t</w:t>
            </w:r>
            <w:r w:rsidRPr="00C03EC4">
              <w:rPr>
                <w:rFonts w:eastAsia="Times New Roman" w:cstheme="majorHAnsi"/>
                <w:sz w:val="18"/>
                <w:szCs w:val="18"/>
                <w:lang w:eastAsia="en-NZ"/>
              </w:rPr>
              <w:t xml:space="preserve"> indicated</w:t>
            </w:r>
          </w:p>
        </w:tc>
      </w:tr>
      <w:bookmarkStart w:id="62" w:name="RANGE!B44"/>
      <w:tr w:rsidR="004135A4" w:rsidRPr="00C03EC4" w14:paraId="018BF610" w14:textId="77777777" w:rsidTr="00C80ABE">
        <w:trPr>
          <w:trHeight w:val="438"/>
        </w:trPr>
        <w:tc>
          <w:tcPr>
            <w:tcW w:w="431" w:type="pct"/>
            <w:vAlign w:val="center"/>
          </w:tcPr>
          <w:p w14:paraId="65EC430E" w14:textId="7672E2D3" w:rsidR="004135A4" w:rsidRPr="00C03EC4" w:rsidRDefault="004135A4" w:rsidP="004135A4">
            <w:pPr>
              <w:rPr>
                <w:rFonts w:eastAsia="Times New Roman" w:cstheme="majorHAnsi"/>
                <w:sz w:val="18"/>
                <w:szCs w:val="18"/>
                <w:lang w:eastAsia="en-NZ"/>
              </w:rPr>
            </w:pPr>
            <w:r w:rsidRPr="00C03EC4">
              <w:rPr>
                <w:rFonts w:eastAsia="Times New Roman" w:cstheme="majorHAnsi"/>
                <w:sz w:val="18"/>
                <w:szCs w:val="18"/>
                <w:lang w:eastAsia="en-NZ"/>
              </w:rPr>
              <w:fldChar w:fldCharType="begin"/>
            </w:r>
            <w:r w:rsidRPr="00C03EC4">
              <w:rPr>
                <w:rFonts w:eastAsia="Times New Roman" w:cstheme="majorHAnsi"/>
                <w:sz w:val="18"/>
                <w:szCs w:val="18"/>
                <w:lang w:eastAsia="en-NZ"/>
              </w:rPr>
              <w:instrText xml:space="preserve"> HYPERLINK "https://www-sciencedirect-com.ezproxy.otago.ac.nz/science/article/pii/S0720048X10000185" \l "bib0070" </w:instrText>
            </w:r>
            <w:r w:rsidRPr="00C03EC4">
              <w:rPr>
                <w:rFonts w:eastAsia="Times New Roman" w:cstheme="majorHAnsi"/>
                <w:sz w:val="18"/>
                <w:szCs w:val="18"/>
                <w:lang w:eastAsia="en-NZ"/>
              </w:rPr>
              <w:fldChar w:fldCharType="separate"/>
            </w:r>
            <w:r w:rsidRPr="003122C0">
              <w:rPr>
                <w:rFonts w:eastAsia="Times New Roman" w:cstheme="majorHAnsi"/>
                <w:sz w:val="18"/>
                <w:szCs w:val="18"/>
                <w:lang w:eastAsia="en-NZ"/>
              </w:rPr>
              <w:t>Van</w:t>
            </w:r>
            <w:r w:rsidRPr="00C03EC4">
              <w:rPr>
                <w:rFonts w:eastAsia="Times New Roman" w:cstheme="majorHAnsi"/>
                <w:sz w:val="18"/>
                <w:szCs w:val="18"/>
                <w:lang w:eastAsia="en-NZ"/>
              </w:rPr>
              <w:fldChar w:fldCharType="end"/>
            </w:r>
            <w:bookmarkEnd w:id="62"/>
            <w:r w:rsidRPr="003122C0">
              <w:rPr>
                <w:rFonts w:eastAsia="Times New Roman" w:cstheme="majorHAnsi"/>
                <w:sz w:val="18"/>
                <w:szCs w:val="18"/>
                <w:lang w:eastAsia="en-NZ"/>
              </w:rPr>
              <w:t xml:space="preserve"> Gils</w:t>
            </w:r>
            <w:r>
              <w:rPr>
                <w:rFonts w:eastAsia="Times New Roman" w:cstheme="majorHAnsi"/>
                <w:sz w:val="18"/>
                <w:szCs w:val="18"/>
                <w:lang w:eastAsia="en-NZ"/>
              </w:rPr>
              <w:t xml:space="preserve"> et al.</w:t>
            </w:r>
            <w:r w:rsidRPr="003122C0">
              <w:rPr>
                <w:rFonts w:eastAsia="Times New Roman" w:cstheme="majorHAnsi"/>
                <w:sz w:val="18"/>
                <w:szCs w:val="18"/>
                <w:lang w:eastAsia="en-NZ"/>
              </w:rPr>
              <w:t xml:space="preserve"> </w:t>
            </w:r>
            <w:r>
              <w:rPr>
                <w:rFonts w:eastAsia="Times New Roman" w:cstheme="majorHAnsi"/>
                <w:sz w:val="18"/>
                <w:szCs w:val="18"/>
                <w:lang w:eastAsia="en-NZ"/>
              </w:rPr>
              <w:t>(</w:t>
            </w:r>
            <w:r w:rsidRPr="003122C0">
              <w:rPr>
                <w:rFonts w:eastAsia="Times New Roman" w:cstheme="majorHAnsi"/>
                <w:sz w:val="18"/>
                <w:szCs w:val="18"/>
                <w:lang w:eastAsia="en-NZ"/>
              </w:rPr>
              <w:t>1998</w:t>
            </w:r>
            <w:r>
              <w:rPr>
                <w:rFonts w:eastAsia="Times New Roman" w:cstheme="majorHAnsi"/>
                <w:sz w:val="18"/>
                <w:szCs w:val="18"/>
                <w:lang w:eastAsia="en-NZ"/>
              </w:rPr>
              <w:t>)</w:t>
            </w:r>
          </w:p>
        </w:tc>
        <w:tc>
          <w:tcPr>
            <w:tcW w:w="474" w:type="pct"/>
            <w:vAlign w:val="center"/>
          </w:tcPr>
          <w:p w14:paraId="33D5692C" w14:textId="3074A753" w:rsidR="004135A4" w:rsidRPr="00C03EC4" w:rsidRDefault="004135A4" w:rsidP="004135A4">
            <w:pPr>
              <w:jc w:val="center"/>
              <w:rPr>
                <w:rFonts w:eastAsia="Times New Roman" w:cstheme="majorHAnsi"/>
                <w:sz w:val="18"/>
                <w:szCs w:val="18"/>
                <w:lang w:eastAsia="en-NZ"/>
              </w:rPr>
            </w:pPr>
            <w:r w:rsidRPr="00C03EC4">
              <w:rPr>
                <w:rFonts w:eastAsia="Times New Roman" w:cstheme="majorHAnsi"/>
                <w:sz w:val="18"/>
                <w:szCs w:val="18"/>
                <w:lang w:eastAsia="en-NZ"/>
              </w:rPr>
              <w:t>Cohort study</w:t>
            </w:r>
          </w:p>
        </w:tc>
        <w:tc>
          <w:tcPr>
            <w:tcW w:w="568" w:type="pct"/>
            <w:vAlign w:val="center"/>
          </w:tcPr>
          <w:p w14:paraId="1D3084D8" w14:textId="0643D992" w:rsidR="004135A4" w:rsidRPr="00C03EC4" w:rsidRDefault="004135A4" w:rsidP="004135A4">
            <w:pPr>
              <w:jc w:val="center"/>
              <w:rPr>
                <w:rFonts w:eastAsia="Times New Roman" w:cstheme="majorHAnsi"/>
                <w:sz w:val="18"/>
                <w:szCs w:val="18"/>
                <w:lang w:eastAsia="en-NZ"/>
              </w:rPr>
            </w:pPr>
            <w:r w:rsidRPr="00C03EC4">
              <w:rPr>
                <w:rFonts w:eastAsia="Times New Roman" w:cstheme="majorHAnsi"/>
                <w:sz w:val="18"/>
                <w:szCs w:val="18"/>
                <w:lang w:eastAsia="en-NZ"/>
              </w:rPr>
              <w:t>19</w:t>
            </w:r>
            <w:r w:rsidRPr="003122C0">
              <w:rPr>
                <w:rFonts w:eastAsia="Times New Roman" w:cstheme="majorHAnsi"/>
                <w:sz w:val="18"/>
                <w:szCs w:val="18"/>
                <w:lang w:eastAsia="en-NZ"/>
              </w:rPr>
              <w:t>,</w:t>
            </w:r>
            <w:r w:rsidRPr="00C03EC4">
              <w:rPr>
                <w:rFonts w:eastAsia="Times New Roman" w:cstheme="majorHAnsi"/>
                <w:sz w:val="18"/>
                <w:szCs w:val="18"/>
                <w:lang w:eastAsia="en-NZ"/>
              </w:rPr>
              <w:t>152</w:t>
            </w:r>
          </w:p>
        </w:tc>
        <w:tc>
          <w:tcPr>
            <w:tcW w:w="508" w:type="pct"/>
            <w:vAlign w:val="center"/>
          </w:tcPr>
          <w:p w14:paraId="69650D5C" w14:textId="73FE7547" w:rsidR="004135A4" w:rsidRPr="00C03EC4" w:rsidRDefault="004135A4" w:rsidP="004135A4">
            <w:pPr>
              <w:jc w:val="center"/>
              <w:rPr>
                <w:rFonts w:eastAsia="Times New Roman" w:cstheme="majorHAnsi"/>
                <w:sz w:val="18"/>
                <w:szCs w:val="18"/>
                <w:lang w:eastAsia="en-NZ"/>
              </w:rPr>
            </w:pPr>
            <w:r w:rsidRPr="00C03EC4">
              <w:rPr>
                <w:rFonts w:eastAsia="Times New Roman" w:cstheme="majorHAnsi"/>
                <w:sz w:val="18"/>
                <w:szCs w:val="18"/>
                <w:lang w:eastAsia="en-NZ"/>
              </w:rPr>
              <w:t>403</w:t>
            </w:r>
          </w:p>
        </w:tc>
        <w:tc>
          <w:tcPr>
            <w:tcW w:w="402" w:type="pct"/>
            <w:vAlign w:val="center"/>
          </w:tcPr>
          <w:p w14:paraId="64BE79C8" w14:textId="03E60A53" w:rsidR="004135A4" w:rsidRPr="00C03EC4" w:rsidRDefault="004135A4" w:rsidP="004135A4">
            <w:pPr>
              <w:jc w:val="center"/>
              <w:rPr>
                <w:rFonts w:eastAsia="Times New Roman" w:cstheme="majorHAnsi"/>
                <w:sz w:val="18"/>
                <w:szCs w:val="18"/>
                <w:lang w:eastAsia="en-NZ"/>
              </w:rPr>
            </w:pPr>
            <w:r w:rsidRPr="00C03EC4">
              <w:rPr>
                <w:rFonts w:eastAsia="Times New Roman" w:cstheme="majorHAnsi"/>
                <w:sz w:val="18"/>
                <w:szCs w:val="18"/>
                <w:lang w:eastAsia="en-NZ"/>
              </w:rPr>
              <w:t>50–69</w:t>
            </w:r>
          </w:p>
        </w:tc>
        <w:tc>
          <w:tcPr>
            <w:tcW w:w="441" w:type="pct"/>
            <w:vAlign w:val="center"/>
          </w:tcPr>
          <w:p w14:paraId="7A52D50E" w14:textId="2B26CA6D" w:rsidR="004135A4" w:rsidRPr="00C03EC4" w:rsidRDefault="004135A4" w:rsidP="004135A4">
            <w:pPr>
              <w:jc w:val="center"/>
              <w:rPr>
                <w:rFonts w:eastAsia="Times New Roman" w:cstheme="majorHAnsi"/>
                <w:sz w:val="18"/>
                <w:szCs w:val="18"/>
                <w:lang w:eastAsia="en-NZ"/>
              </w:rPr>
            </w:pPr>
            <w:r w:rsidRPr="00C03EC4">
              <w:rPr>
                <w:rFonts w:eastAsia="Times New Roman" w:cstheme="majorHAnsi"/>
                <w:sz w:val="18"/>
                <w:szCs w:val="18"/>
                <w:lang w:eastAsia="en-NZ"/>
              </w:rPr>
              <w:t>19</w:t>
            </w:r>
          </w:p>
        </w:tc>
        <w:tc>
          <w:tcPr>
            <w:tcW w:w="648" w:type="pct"/>
            <w:vAlign w:val="center"/>
          </w:tcPr>
          <w:p w14:paraId="0A307AE3" w14:textId="77777777" w:rsidR="004135A4" w:rsidRPr="00C03EC4" w:rsidRDefault="004135A4" w:rsidP="004135A4">
            <w:pPr>
              <w:jc w:val="center"/>
              <w:rPr>
                <w:rFonts w:eastAsia="Times New Roman" w:cstheme="majorHAnsi"/>
                <w:sz w:val="18"/>
                <w:szCs w:val="18"/>
                <w:lang w:eastAsia="en-NZ"/>
              </w:rPr>
            </w:pPr>
            <w:r>
              <w:rPr>
                <w:rFonts w:eastAsia="Times New Roman" w:cstheme="majorHAnsi"/>
                <w:sz w:val="18"/>
                <w:szCs w:val="18"/>
                <w:lang w:eastAsia="en-NZ"/>
              </w:rPr>
              <w:t>Wolfe, PD</w:t>
            </w:r>
          </w:p>
          <w:p w14:paraId="56C46D66" w14:textId="77777777" w:rsidR="004135A4" w:rsidRPr="00C03EC4" w:rsidRDefault="004135A4" w:rsidP="004135A4">
            <w:pPr>
              <w:jc w:val="center"/>
              <w:rPr>
                <w:rFonts w:eastAsia="Times New Roman" w:cstheme="majorHAnsi"/>
                <w:sz w:val="18"/>
                <w:szCs w:val="18"/>
                <w:lang w:eastAsia="en-NZ"/>
              </w:rPr>
            </w:pPr>
          </w:p>
        </w:tc>
        <w:tc>
          <w:tcPr>
            <w:tcW w:w="778" w:type="pct"/>
            <w:vAlign w:val="center"/>
          </w:tcPr>
          <w:p w14:paraId="48A5D0E0" w14:textId="00E70E4A" w:rsidR="004135A4" w:rsidRPr="00C03EC4" w:rsidRDefault="004135A4" w:rsidP="004135A4">
            <w:pPr>
              <w:jc w:val="center"/>
              <w:rPr>
                <w:rFonts w:eastAsia="Times New Roman" w:cstheme="majorHAnsi"/>
                <w:sz w:val="18"/>
                <w:szCs w:val="18"/>
                <w:lang w:eastAsia="en-NZ"/>
              </w:rPr>
            </w:pPr>
            <w:r w:rsidRPr="00C03EC4">
              <w:rPr>
                <w:rFonts w:eastAsia="Times New Roman" w:cstheme="majorHAnsi"/>
                <w:sz w:val="18"/>
                <w:szCs w:val="18"/>
                <w:lang w:eastAsia="en-NZ"/>
              </w:rPr>
              <w:t>&gt;25%</w:t>
            </w:r>
          </w:p>
        </w:tc>
        <w:tc>
          <w:tcPr>
            <w:tcW w:w="750" w:type="pct"/>
            <w:vAlign w:val="center"/>
          </w:tcPr>
          <w:p w14:paraId="1C4AEDA8" w14:textId="32A2E26B" w:rsidR="004135A4" w:rsidRDefault="004135A4" w:rsidP="004135A4">
            <w:pPr>
              <w:jc w:val="center"/>
              <w:rPr>
                <w:rFonts w:eastAsia="Times New Roman" w:cstheme="majorHAnsi"/>
                <w:sz w:val="18"/>
                <w:szCs w:val="18"/>
                <w:lang w:eastAsia="en-NZ"/>
              </w:rPr>
            </w:pPr>
            <w:r>
              <w:rPr>
                <w:rFonts w:eastAsia="Times New Roman" w:cstheme="majorHAnsi"/>
                <w:sz w:val="18"/>
                <w:szCs w:val="18"/>
                <w:lang w:eastAsia="en-NZ"/>
              </w:rPr>
              <w:t>Not indicated</w:t>
            </w:r>
          </w:p>
        </w:tc>
      </w:tr>
    </w:tbl>
    <w:p w14:paraId="10EA7E41" w14:textId="750C8D7D" w:rsidR="00EB35FA" w:rsidRDefault="00EB35FA" w:rsidP="00EB35FA">
      <w:pPr>
        <w:pStyle w:val="BodyText"/>
        <w:spacing w:before="40" w:after="40"/>
        <w:rPr>
          <w:rFonts w:asciiTheme="majorHAnsi" w:hAnsiTheme="majorHAnsi" w:cstheme="majorHAnsi"/>
          <w:sz w:val="18"/>
          <w:szCs w:val="20"/>
        </w:rPr>
      </w:pPr>
      <w:r w:rsidRPr="003122C0">
        <w:rPr>
          <w:rStyle w:val="Emphasis"/>
          <w:rFonts w:asciiTheme="majorHAnsi" w:hAnsiTheme="majorHAnsi" w:cstheme="majorHAnsi"/>
          <w:sz w:val="18"/>
          <w:szCs w:val="20"/>
        </w:rPr>
        <w:t>Abbreviations</w:t>
      </w:r>
      <w:r w:rsidRPr="003122C0">
        <w:rPr>
          <w:rFonts w:asciiTheme="majorHAnsi" w:hAnsiTheme="majorHAnsi" w:cstheme="majorHAnsi"/>
          <w:sz w:val="18"/>
          <w:szCs w:val="20"/>
        </w:rPr>
        <w:t>: PD</w:t>
      </w:r>
      <w:r w:rsidR="00CA6B4A">
        <w:rPr>
          <w:rFonts w:asciiTheme="majorHAnsi" w:hAnsiTheme="majorHAnsi" w:cstheme="majorHAnsi"/>
          <w:sz w:val="18"/>
          <w:szCs w:val="20"/>
        </w:rPr>
        <w:t xml:space="preserve"> = </w:t>
      </w:r>
      <w:r w:rsidR="00893AA8">
        <w:rPr>
          <w:rFonts w:asciiTheme="majorHAnsi" w:hAnsiTheme="majorHAnsi" w:cstheme="majorHAnsi"/>
          <w:sz w:val="18"/>
          <w:szCs w:val="20"/>
        </w:rPr>
        <w:t>percent density</w:t>
      </w:r>
      <w:r w:rsidRPr="003122C0">
        <w:rPr>
          <w:rFonts w:asciiTheme="majorHAnsi" w:hAnsiTheme="majorHAnsi" w:cstheme="majorHAnsi"/>
          <w:sz w:val="18"/>
          <w:szCs w:val="20"/>
        </w:rPr>
        <w:t>; P2</w:t>
      </w:r>
      <w:r w:rsidR="00BB2B6B">
        <w:rPr>
          <w:rFonts w:asciiTheme="majorHAnsi" w:hAnsiTheme="majorHAnsi" w:cstheme="majorHAnsi"/>
          <w:sz w:val="18"/>
          <w:szCs w:val="20"/>
        </w:rPr>
        <w:t xml:space="preserve"> </w:t>
      </w:r>
      <w:r w:rsidRPr="003122C0">
        <w:rPr>
          <w:rFonts w:asciiTheme="majorHAnsi" w:hAnsiTheme="majorHAnsi" w:cstheme="majorHAnsi"/>
          <w:sz w:val="18"/>
          <w:szCs w:val="20"/>
        </w:rPr>
        <w:t>=</w:t>
      </w:r>
      <w:r w:rsidR="00BB2B6B">
        <w:rPr>
          <w:rFonts w:asciiTheme="majorHAnsi" w:hAnsiTheme="majorHAnsi" w:cstheme="majorHAnsi"/>
          <w:sz w:val="18"/>
          <w:szCs w:val="20"/>
        </w:rPr>
        <w:t xml:space="preserve"> </w:t>
      </w:r>
      <w:r w:rsidRPr="003122C0">
        <w:rPr>
          <w:rFonts w:asciiTheme="majorHAnsi" w:hAnsiTheme="majorHAnsi" w:cstheme="majorHAnsi"/>
          <w:sz w:val="18"/>
          <w:szCs w:val="20"/>
        </w:rPr>
        <w:t>prominence involving more than a quarter of the breast and often with a nodular component</w:t>
      </w:r>
      <w:r w:rsidR="00D750B1">
        <w:rPr>
          <w:rFonts w:asciiTheme="majorHAnsi" w:hAnsiTheme="majorHAnsi" w:cstheme="majorHAnsi"/>
          <w:sz w:val="18"/>
          <w:szCs w:val="20"/>
        </w:rPr>
        <w:t>;</w:t>
      </w:r>
      <w:r w:rsidRPr="003122C0">
        <w:rPr>
          <w:rFonts w:asciiTheme="majorHAnsi" w:hAnsiTheme="majorHAnsi" w:cstheme="majorHAnsi"/>
          <w:sz w:val="18"/>
          <w:szCs w:val="20"/>
        </w:rPr>
        <w:t xml:space="preserve"> DY</w:t>
      </w:r>
      <w:r w:rsidR="00BB2B6B">
        <w:rPr>
          <w:rFonts w:asciiTheme="majorHAnsi" w:hAnsiTheme="majorHAnsi" w:cstheme="majorHAnsi"/>
          <w:sz w:val="18"/>
          <w:szCs w:val="20"/>
        </w:rPr>
        <w:t xml:space="preserve"> </w:t>
      </w:r>
      <w:r w:rsidRPr="003122C0">
        <w:rPr>
          <w:rFonts w:asciiTheme="majorHAnsi" w:hAnsiTheme="majorHAnsi" w:cstheme="majorHAnsi"/>
          <w:sz w:val="18"/>
          <w:szCs w:val="20"/>
        </w:rPr>
        <w:t>=</w:t>
      </w:r>
      <w:r w:rsidR="00BB2B6B">
        <w:rPr>
          <w:rFonts w:asciiTheme="majorHAnsi" w:hAnsiTheme="majorHAnsi" w:cstheme="majorHAnsi"/>
          <w:sz w:val="18"/>
          <w:szCs w:val="20"/>
        </w:rPr>
        <w:t xml:space="preserve"> </w:t>
      </w:r>
      <w:r w:rsidRPr="003122C0">
        <w:rPr>
          <w:rFonts w:asciiTheme="majorHAnsi" w:hAnsiTheme="majorHAnsi" w:cstheme="majorHAnsi"/>
          <w:sz w:val="18"/>
          <w:szCs w:val="20"/>
        </w:rPr>
        <w:t>increased density of the parenchyma with or without areas of nodularity (Wolfe's classification)</w:t>
      </w:r>
    </w:p>
    <w:p w14:paraId="0EFA34C5" w14:textId="77777777" w:rsidR="00EB35FA" w:rsidRPr="003122C0" w:rsidRDefault="00EB35FA" w:rsidP="00EB35FA">
      <w:pPr>
        <w:pStyle w:val="BodyText"/>
        <w:spacing w:before="40" w:after="40"/>
        <w:rPr>
          <w:rFonts w:asciiTheme="majorHAnsi" w:hAnsiTheme="majorHAnsi" w:cstheme="majorHAnsi"/>
          <w:sz w:val="20"/>
        </w:rPr>
        <w:sectPr w:rsidR="00EB35FA" w:rsidRPr="003122C0" w:rsidSect="00487B0B">
          <w:pgSz w:w="16838" w:h="11906" w:orient="landscape"/>
          <w:pgMar w:top="1276" w:right="1440" w:bottom="1440" w:left="1440" w:header="708" w:footer="708" w:gutter="0"/>
          <w:cols w:space="708"/>
          <w:docGrid w:linePitch="360"/>
        </w:sectPr>
      </w:pPr>
    </w:p>
    <w:p w14:paraId="74A7BDF8" w14:textId="101B0405" w:rsidR="00EB35FA" w:rsidRPr="00345CCE" w:rsidRDefault="006F33EB" w:rsidP="00FF61D8">
      <w:pPr>
        <w:pStyle w:val="Caption"/>
        <w:spacing w:after="0" w:line="240" w:lineRule="auto"/>
        <w:rPr>
          <w:color w:val="auto"/>
        </w:rPr>
      </w:pPr>
      <w:r>
        <w:lastRenderedPageBreak/>
        <w:t>Table</w:t>
      </w:r>
      <w:r w:rsidR="007D4A21">
        <w:t xml:space="preserve"> </w:t>
      </w:r>
      <w:r w:rsidR="006465B1">
        <w:t>7</w:t>
      </w:r>
      <w:r w:rsidR="00EB35FA" w:rsidRPr="009E5987">
        <w:t>. Studies included in the Huo et al</w:t>
      </w:r>
      <w:r w:rsidR="00EB35FA">
        <w:t>.</w:t>
      </w:r>
      <w:r w:rsidR="00102B9A">
        <w:t>’s</w:t>
      </w:r>
      <w:r w:rsidR="00EB35FA" w:rsidRPr="009E5987">
        <w:t xml:space="preserve"> </w:t>
      </w:r>
      <w:r w:rsidR="00E16AC0">
        <w:t>(</w:t>
      </w:r>
      <w:r w:rsidR="00EB35FA" w:rsidRPr="009E5987">
        <w:t>201</w:t>
      </w:r>
      <w:r w:rsidR="00657167">
        <w:t>4</w:t>
      </w:r>
      <w:r w:rsidR="00E16AC0">
        <w:t>)</w:t>
      </w:r>
      <w:r w:rsidR="00EB35FA" w:rsidRPr="009E5987">
        <w:t xml:space="preserve"> review</w:t>
      </w:r>
    </w:p>
    <w:tbl>
      <w:tblPr>
        <w:tblStyle w:val="ACGreen-BasicTable"/>
        <w:tblpPr w:leftFromText="181" w:rightFromText="181" w:vertAnchor="text" w:horzAnchor="margin" w:tblpY="471"/>
        <w:tblOverlap w:val="never"/>
        <w:tblW w:w="13887" w:type="dxa"/>
        <w:tblInd w:w="0" w:type="dxa"/>
        <w:tblLayout w:type="fixed"/>
        <w:tblLook w:val="04A0" w:firstRow="1" w:lastRow="0" w:firstColumn="1" w:lastColumn="0" w:noHBand="0" w:noVBand="1"/>
        <w:tblDescription w:val="The table describes studies by design,population, matching variables, variables adjusted for in analysis, number of cases or non cases, age (years), mammographic feature, and key finding. Details of each study are provided below.&#10;&#10;The study conducted by Tice et al. in 2013 had a study design of a Cohort, with a study population of Breast Cancer Surveillance Consortium (BCSC), USA, 1994-2009. The matching variable was N/A and the variables adjusted for in analysis was for Age, race, HRT, BMI. The number of cases: non-cases was 1,359: 41,459, for ages 30+ years  and mammographic features of BI-RADS. The key findings were a Combination of atypical hyperplasia, and HD was associated with high risk of BC (HR 5.34, 95%CI 3.52–8.09, p &lt; 0.001).&#10;&#10;The study conducted by Linton et al. in 2013 had a study design of a Case-control with a study population of Sisters from Breast Cancer Family Registry, USA; Weekend to End Breast Cancer, Canada; Canadian twin study. The matching variable was Age at menopauseand the variables adjusted for in analysis was for Age, BMI, menopausal status, parity, HRT. The number of cases:non-cases was 687: NK, the Mean age was 50, and the mammographic feature was Cumulus. The key findings showed that PD was associated with an increased risk of BC when comparing cases to sister controls (interquartile OR = 2.19) and to unrelated controls.&#10;&#10;The study conducted by Yaghjyan et al. in 2013 had a study design of a Nested case-control with a study population of Nurses’ Health Study, USA. The matching variable was Age at time of blood collection, menopausal status, HRT, follow-up time and the variables adjusted for in analysis was for Age (at diagnosis, menopause, at first birth), BMI, parity, HRT, menopausal status, smoking, alcohol, family history. The number of cases:non-cases was 1,045: 567 between the age 30–55 years, with the mammographic feature being Cumulus. The key finding was The magnitude of the association between PD and BC remains similar for up to 10 years after the first mammogram.&#10;&#10;The study conducted by Pollán et al. in 2013 had a study design of Case-control and a study population of Navarre Breast Cancer Screening Program, Spain, 1990-2004. The matching variables included Screening round, year of birth, place of residence and the variables adjusted for in analysis was for Age (current, at first birth, at menopause), menopausal status, family history, previous biopsies. The number of cases: non-cases was 1,172: 1,831, for ages between 45–65 years and the mammographic feature was a Boyd semi-quantitative scale. Key findings suggested that OR for PD &gt;75% compared to PD &lt;10% was 3.47 for ductal carcinoma in situ, and 2.95 for invasive tumours.&#10;&#10;The study conducted by Cecchini et al. in 2012 had a study design of a Cohort and a study population of a National Surgical Adjuvant Breast and Bowel Project, USA, 1999-2004. The matching variables was N?A and the and the variables adjusted for in analysis was for Age, BMI, smoking, diabetes, treatment group. The number of cases:non-cases was 13,409: 6,338 for the age (years) NK, and mammographic feature was BI-RADS. The key findings for High BI-RADS density was associated with increased BC risk.&#10;&#10;The study conducted by Razzaghi et al. in 2012 had a study design of a Case-control with a study population of Carolina Breast Cancer Study, USA, 1993-2001. The matching variables was Age, BMI, HRT, parity and the variables adjusted for in analysis was for Age (current, at menarche), race, BMI, menopausal status, family history, HRT. The number of cases:non-cases was 1,019: 1,292 for ages between 20–74, and mammographic features of BI-RADS. The key finding was that HD is associated with increased BC risk, and the effect measure modification by race was not significant.&#10;&#10;The study conducted by Lokate et al. in 2011 had a study design of a Cohort and the study population of the Dutch contribution to the European Prospective Investigation into Cancer and Nutrition (EPIC), 2001-2006. The matching variable was N/A and the variables adjusted for in analysis was for Age (at menopause, at first birth), parity, HRT, oral contraceptive, family history, BMI. The Number of cases: non-cases was 358: 859, between the age 49–70 years, and mammographic features of Cumulus. The key findings showed that HD tissue and fat tissue were independently associated with higher BC risk (OR 2.8 and 2.4 respectively).&#10;&#10;The study conducted by Pettersson et al. in 2011 had a study design of a Nested case-control, with a study population of Nurses’ Health Study (1976-1990) and Nurses’ Health Study II (1989-1999), USA. The matching variables were N/A, and the variables adjusted for in analysis was for Age (at menarche, at first birth, at menopause), BMI, family history, parity, HRT. The number of cases: non-cases was 1,424: 2,660, with a Mean age of 47 years, anf mammographic features of Cumulus. The key findings indicated that HD tissue was associated with a greater risk of BC (OR = 2.01 for premenopausal and OR = 2.19 for postmenopausal women) whereas non-dense area was associated with decreased risk of BC.&#10;&#10;The study conducted by Shepherd et al. in 2011 had a study design of a Case-control and a study population of Screening programme at the California Pacific Medical Center, USA, 2004-2006. The matching variables were Age, race and the variables adjusted for in analysis was for Age at first birth, family history, BMI, previous biopsies. The number of cases: non-cases was 275: 825, for ages 18+ (years), with a  mammographic feature of CAM. The key findings was that Fibroglandular volume and PD were associated with BC risk (highest vs. lowest quintile: OR 2.5 and 2.9 respectively).&#10;&#10;The study conducted by Stone et al. in 2010 had a study design of Case-control and a study population of Cambridge and Norwich Breast Screening Programs, UK, 1995-2003. The matching variable was Age, and the variables adjusted for in analysis was for N/A. The number of cases: non-cases was 634: 1,880, with the age between 50–75 years, and mammographic findings of CAM. The key finding indicated that the Dense area was a better predictor on BC risk than PD.&#10;&#10;The study conducted by Chiu, in 2010 had a study design of a Cohort, and a study population of a Koppaberg Randomised Control Trial, Sweden. The study population was N/A, and the variables adjusted for in analysis was for Age, BMI, tumour size, grade, nodal status. The number of cases: non-cases was 15,658: 1,045, for ages between 45–59 years, and mammographic feature of Tabár. The key findings was that Dense tissue was associated with BC incidence (RR = 1.58) and BC mortality (RR = 1.91).&#10;&#10;The study conducted by Martin, in 2010 had a study design of Nested case-control for a study population of a National Breast-Screening Study (1984-1990), British Columbia Screening Mammography Program (1988-1999), Ontario Breast-Screening Program (1992-1998). The matching variables was for the Year and age at entry to screening programme, study site, and the variables adjusted for in analysis was for Age (current, at first birth, at menopause, at menarche), family history. The number of cases: non-cases was 1,164: 1,158, the Mean age was 56 years, and the mammographic feature was CAM. The ley findings indicated that Density was associated with increased BC risk. (OR 1.37 for having one affected relative, 2.45 for having ≥2 affected relatives).&#10;&#10;The study conducted by Stone, in 2009 had a study design was of a Cross-sectional with a study population of an International Breast Cancer Intervention Study I trial, 1992-2001. The  matching variable was N/A, and the variables adjusted for in analysis was for  Age, BMI, menopausal status, study site. The number of cases: non-cases was 799:11:00, the age between 35–70 years, and the mammographic feature was Cumulus. The key findings indicated that PD was negatively associated with age, BMI, menopausal status, predicted BC risk and study site; however, dense area was negatively associated with only age and BMI.&#10;&#10;The study conducted by Olsen, in 2009 had a study design of a Cohort and a study population of a Mammography Screening Program, Denmark, 1991-2001. The matchign variables were N/A, and the variables adjusted for in analysis was for Age. The number of cases: non-cases was 989: 133,651, the ages between  50–69 years, and the mammographic feature was BI-RADS. The key findings were that The OR of an interval cancer for women with dense breasts was 1.62, and age-adjusted RR was 2.45 for BC incidence.&#10;&#10;The study conducted by Kavanagh, in 2008 had a study design of a Case-control and a study population of a Mammography Screening Program, Australia, 1994-1996. The matching variable was N/A, and the variables adjusted for in analysis was for Age, HRT, family history. The number of cases:non-cases was 1,706: 5637, the age between 50–69 years, and the mammographic feature CAM. The key findings indicated that The risk of large screen-detected cancers was almost 3-fold for the second quintile, and about fourfold for the third and fourth quintiles compared with low quintiles of density.&#10;&#10;The study conducted by Tamimi in 2007 had a study design of a Nested case-control, a study population of a Nurses’ Health Study, USA, 1989-1990. The matching variables included Age, fasting status at time of blood collection, and the variables adjusted for in analysis was for Age (at first birth, at menopause, at menarche), BMI, parity, HRT. The number of cases: non-cases was 253: 520, the age between 30–55 years, and the mammographic features Cumulus. The key findings included The relative risk of BC associated with density (RR for highest quartile compared with lowest quartile = 3.8.&#10;&#10;The study conducted by Boyd, in 2007 had a study design of a Nested case-control  and the study population of a National Breast-Screening Study (1984-1990), British Columbia Screening Mammography Program (1988-1999), Ontario Breast-Screening Program (1992-1998). The matching variables was Age (current, at entry to programme), study site, and the variables adjusted for in analysis was for  Age (current, at menarche, at menopause), BMI, parity, menopausal status, HRT, family history. The number of cases: non-cases was 1,112: 97, for ages between 40–80 years, and the mammographic feature CAM. The key findings indicated that Women with density ≥75% had an increased risk of BC (OR 4.7) than women with density &lt;10%. The increased risk persisted for ≥8 years after study entry and was greater in younger than in older women&#10;&#10;The study conducted by Vachon, in 2007 had a study design of a Case-control and a study population of a Mammography Screening Program, Mayo Clinic, USA, 1997-2001. The matching variable was Age, final screening exam date, menopausal status, time between baseline and final mammogram, number of prior mammograms, and the variables adjusted for in analysis was for Age at first birth, BMI, menopausal status, family history, parity, HRT. The number of cases: non-cases was 372: 713, for ages 50+ years, and the mammographic feature Cumulus. The key findings indicated that Density represented a general marker of BC risk that is not specific to breast side or location of the eventual cancer&#10;"/>
      </w:tblPr>
      <w:tblGrid>
        <w:gridCol w:w="988"/>
        <w:gridCol w:w="1134"/>
        <w:gridCol w:w="2126"/>
        <w:gridCol w:w="1984"/>
        <w:gridCol w:w="2127"/>
        <w:gridCol w:w="850"/>
        <w:gridCol w:w="774"/>
        <w:gridCol w:w="1069"/>
        <w:gridCol w:w="2835"/>
      </w:tblGrid>
      <w:tr w:rsidR="00345CCE" w:rsidRPr="00345CCE" w14:paraId="15B4AEE3" w14:textId="77777777" w:rsidTr="00FF61D8">
        <w:trPr>
          <w:cnfStyle w:val="100000000000" w:firstRow="1" w:lastRow="0" w:firstColumn="0" w:lastColumn="0" w:oddVBand="0" w:evenVBand="0" w:oddHBand="0" w:evenHBand="0" w:firstRowFirstColumn="0" w:firstRowLastColumn="0" w:lastRowFirstColumn="0" w:lastRowLastColumn="0"/>
          <w:trHeight w:val="444"/>
        </w:trPr>
        <w:tc>
          <w:tcPr>
            <w:tcW w:w="988" w:type="dxa"/>
            <w:hideMark/>
          </w:tcPr>
          <w:p w14:paraId="622FD3E5" w14:textId="77777777"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w:t>
            </w:r>
          </w:p>
        </w:tc>
        <w:tc>
          <w:tcPr>
            <w:tcW w:w="1134" w:type="dxa"/>
            <w:hideMark/>
          </w:tcPr>
          <w:p w14:paraId="5FE0DB52" w14:textId="1DF669A9"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 xml:space="preserve">Study design </w:t>
            </w:r>
          </w:p>
        </w:tc>
        <w:tc>
          <w:tcPr>
            <w:tcW w:w="2126" w:type="dxa"/>
          </w:tcPr>
          <w:p w14:paraId="341B6492" w14:textId="62605F7A"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 population</w:t>
            </w:r>
          </w:p>
        </w:tc>
        <w:tc>
          <w:tcPr>
            <w:tcW w:w="1984" w:type="dxa"/>
          </w:tcPr>
          <w:p w14:paraId="4083C866" w14:textId="6BC9C98B"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Matching variables</w:t>
            </w:r>
          </w:p>
        </w:tc>
        <w:tc>
          <w:tcPr>
            <w:tcW w:w="2127" w:type="dxa"/>
          </w:tcPr>
          <w:p w14:paraId="09F8DAC7" w14:textId="5070C7B6"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Variables adjusted for in analysis</w:t>
            </w:r>
          </w:p>
        </w:tc>
        <w:tc>
          <w:tcPr>
            <w:tcW w:w="850" w:type="dxa"/>
            <w:hideMark/>
          </w:tcPr>
          <w:p w14:paraId="504ABE8A" w14:textId="07CACBCB"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No. cases: non-cases</w:t>
            </w:r>
          </w:p>
        </w:tc>
        <w:tc>
          <w:tcPr>
            <w:tcW w:w="774" w:type="dxa"/>
            <w:hideMark/>
          </w:tcPr>
          <w:p w14:paraId="5E7CA799" w14:textId="77777777"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Age (years)</w:t>
            </w:r>
          </w:p>
        </w:tc>
        <w:tc>
          <w:tcPr>
            <w:tcW w:w="1069" w:type="dxa"/>
            <w:hideMark/>
          </w:tcPr>
          <w:p w14:paraId="6F366EE6" w14:textId="77777777"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Mammographic feature</w:t>
            </w:r>
          </w:p>
        </w:tc>
        <w:tc>
          <w:tcPr>
            <w:tcW w:w="2835" w:type="dxa"/>
            <w:hideMark/>
          </w:tcPr>
          <w:p w14:paraId="164950FD" w14:textId="77777777" w:rsidR="00BD6E39" w:rsidRPr="00345CCE" w:rsidRDefault="00BD6E39" w:rsidP="00EB35FA">
            <w:pP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Key finding</w:t>
            </w:r>
          </w:p>
        </w:tc>
      </w:tr>
      <w:tr w:rsidR="00BD6E39" w:rsidRPr="000E3779" w14:paraId="4CFD75FD" w14:textId="77777777" w:rsidTr="00FF61D8">
        <w:trPr>
          <w:trHeight w:val="730"/>
        </w:trPr>
        <w:tc>
          <w:tcPr>
            <w:tcW w:w="988" w:type="dxa"/>
            <w:hideMark/>
          </w:tcPr>
          <w:p w14:paraId="4FA5FE0D" w14:textId="5D9F36D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Tice</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2013</w:t>
            </w:r>
            <w:r w:rsidR="00DB122D">
              <w:rPr>
                <w:rFonts w:ascii="Calibri" w:eastAsia="Times New Roman" w:hAnsi="Calibri" w:cs="Calibri"/>
                <w:sz w:val="18"/>
                <w:szCs w:val="18"/>
                <w:lang w:eastAsia="en-NZ"/>
              </w:rPr>
              <w:t>)</w:t>
            </w:r>
          </w:p>
        </w:tc>
        <w:tc>
          <w:tcPr>
            <w:tcW w:w="1134" w:type="dxa"/>
            <w:hideMark/>
          </w:tcPr>
          <w:p w14:paraId="2E100C6B" w14:textId="444FA24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126" w:type="dxa"/>
          </w:tcPr>
          <w:p w14:paraId="5E083089" w14:textId="61177371"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Breast Cancer Surveillance Consortium (BCSC), USA</w:t>
            </w:r>
            <w:r w:rsidR="00381A03">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1994-2009</w:t>
            </w:r>
          </w:p>
        </w:tc>
        <w:tc>
          <w:tcPr>
            <w:tcW w:w="1984" w:type="dxa"/>
          </w:tcPr>
          <w:p w14:paraId="4C6B1B2A" w14:textId="3527B929"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7F2B15A7" w14:textId="488D420F"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race, HRT, BMI</w:t>
            </w:r>
          </w:p>
        </w:tc>
        <w:tc>
          <w:tcPr>
            <w:tcW w:w="850" w:type="dxa"/>
            <w:hideMark/>
          </w:tcPr>
          <w:p w14:paraId="38B93A97" w14:textId="2AEDC85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1,359: 41,459</w:t>
            </w:r>
          </w:p>
        </w:tc>
        <w:tc>
          <w:tcPr>
            <w:tcW w:w="774" w:type="dxa"/>
            <w:hideMark/>
          </w:tcPr>
          <w:p w14:paraId="350984E7"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30+</w:t>
            </w:r>
          </w:p>
        </w:tc>
        <w:tc>
          <w:tcPr>
            <w:tcW w:w="1069" w:type="dxa"/>
            <w:hideMark/>
          </w:tcPr>
          <w:p w14:paraId="493C67C9" w14:textId="2C2C8311" w:rsidR="00BD6E39" w:rsidRPr="00EF54FD" w:rsidRDefault="00275D65"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p>
        </w:tc>
        <w:tc>
          <w:tcPr>
            <w:tcW w:w="2835" w:type="dxa"/>
            <w:hideMark/>
          </w:tcPr>
          <w:p w14:paraId="2D666A01" w14:textId="420BF4A9"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Combination of atypical hyperplasia, and HD was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high risk of BC (HR 5.34, 95%CI 3.52–8.09,</w:t>
            </w:r>
            <w:r>
              <w:rPr>
                <w:rFonts w:ascii="Calibri" w:eastAsia="Times New Roman" w:hAnsi="Calibri" w:cs="Calibri"/>
                <w:sz w:val="18"/>
                <w:szCs w:val="18"/>
                <w:lang w:eastAsia="en-NZ"/>
              </w:rPr>
              <w:t xml:space="preserve"> </w:t>
            </w:r>
            <w:r w:rsidRPr="00EF54FD">
              <w:rPr>
                <w:rFonts w:ascii="Calibri" w:eastAsia="Times New Roman" w:hAnsi="Calibri" w:cs="Calibri"/>
                <w:i/>
                <w:iCs/>
                <w:sz w:val="18"/>
                <w:szCs w:val="18"/>
                <w:lang w:eastAsia="en-NZ"/>
              </w:rPr>
              <w:t>p</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&lt;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0.001)</w:t>
            </w:r>
          </w:p>
        </w:tc>
      </w:tr>
      <w:tr w:rsidR="00BD6E39" w:rsidRPr="000E3779" w14:paraId="08EEE436" w14:textId="77777777" w:rsidTr="00FF61D8">
        <w:trPr>
          <w:trHeight w:val="970"/>
        </w:trPr>
        <w:tc>
          <w:tcPr>
            <w:tcW w:w="988" w:type="dxa"/>
            <w:hideMark/>
          </w:tcPr>
          <w:p w14:paraId="32A44BA5" w14:textId="420BB23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Linton</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 xml:space="preserve">2013 </w:t>
            </w:r>
            <w:r w:rsidR="00DB122D">
              <w:rPr>
                <w:rFonts w:ascii="Calibri" w:eastAsia="Times New Roman" w:hAnsi="Calibri" w:cs="Calibri"/>
                <w:sz w:val="18"/>
                <w:szCs w:val="18"/>
                <w:lang w:eastAsia="en-NZ"/>
              </w:rPr>
              <w:t>)</w:t>
            </w:r>
          </w:p>
        </w:tc>
        <w:tc>
          <w:tcPr>
            <w:tcW w:w="1134" w:type="dxa"/>
            <w:hideMark/>
          </w:tcPr>
          <w:p w14:paraId="63F6BF86" w14:textId="37443C08"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w:t>
            </w:r>
            <w:r>
              <w:rPr>
                <w:rFonts w:ascii="Calibri" w:eastAsia="Times New Roman" w:hAnsi="Calibri" w:cs="Calibri"/>
                <w:sz w:val="18"/>
                <w:szCs w:val="18"/>
                <w:lang w:eastAsia="en-NZ"/>
              </w:rPr>
              <w:t>ase-control</w:t>
            </w:r>
          </w:p>
        </w:tc>
        <w:tc>
          <w:tcPr>
            <w:tcW w:w="2126" w:type="dxa"/>
          </w:tcPr>
          <w:p w14:paraId="1E2E5551" w14:textId="042A6E36"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Sisters from Breast Cancer Family Registry, USA; Weekend to End Breast Cancer, Canada; Canadian twin study</w:t>
            </w:r>
          </w:p>
        </w:tc>
        <w:tc>
          <w:tcPr>
            <w:tcW w:w="1984" w:type="dxa"/>
          </w:tcPr>
          <w:p w14:paraId="00259949" w14:textId="2C412F12"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menopause</w:t>
            </w:r>
          </w:p>
        </w:tc>
        <w:tc>
          <w:tcPr>
            <w:tcW w:w="2127" w:type="dxa"/>
          </w:tcPr>
          <w:p w14:paraId="70A3F768" w14:textId="0CA3B402"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BMI, menopausal status, parity, HRT</w:t>
            </w:r>
          </w:p>
        </w:tc>
        <w:tc>
          <w:tcPr>
            <w:tcW w:w="850" w:type="dxa"/>
            <w:hideMark/>
          </w:tcPr>
          <w:p w14:paraId="0C1E5591" w14:textId="32EAB163"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687: NK</w:t>
            </w:r>
          </w:p>
        </w:tc>
        <w:tc>
          <w:tcPr>
            <w:tcW w:w="774" w:type="dxa"/>
            <w:hideMark/>
          </w:tcPr>
          <w:p w14:paraId="02C56602"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50</w:t>
            </w:r>
          </w:p>
        </w:tc>
        <w:tc>
          <w:tcPr>
            <w:tcW w:w="1069" w:type="dxa"/>
            <w:hideMark/>
          </w:tcPr>
          <w:p w14:paraId="69E71565"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612CA626" w14:textId="1E7EF186"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PD was</w:t>
            </w:r>
            <w:r w:rsidR="00CA6B4A">
              <w:rPr>
                <w:rFonts w:ascii="Calibri" w:eastAsia="Times New Roman" w:hAnsi="Calibri" w:cs="Calibri"/>
                <w:sz w:val="18"/>
                <w:szCs w:val="18"/>
                <w:lang w:eastAsia="en-NZ"/>
              </w:rPr>
              <w:t xml:space="preserve"> associated with</w:t>
            </w:r>
            <w:r w:rsidRPr="00EF54FD">
              <w:rPr>
                <w:rFonts w:ascii="Calibri" w:eastAsia="Times New Roman" w:hAnsi="Calibri" w:cs="Calibri"/>
                <w:sz w:val="18"/>
                <w:szCs w:val="18"/>
                <w:lang w:eastAsia="en-NZ"/>
              </w:rPr>
              <w:t xml:space="preserve"> an increased risk of BC when comparing cases to sister controls (</w:t>
            </w:r>
            <w:r w:rsidR="00CA6B4A">
              <w:rPr>
                <w:rFonts w:ascii="Calibri" w:eastAsia="Times New Roman" w:hAnsi="Calibri" w:cs="Calibri"/>
                <w:sz w:val="18"/>
                <w:szCs w:val="18"/>
                <w:lang w:eastAsia="en-NZ"/>
              </w:rPr>
              <w:t xml:space="preserve">interquartile </w:t>
            </w:r>
            <w:r w:rsidRPr="00EF54FD">
              <w:rPr>
                <w:rFonts w:ascii="Calibri" w:eastAsia="Times New Roman" w:hAnsi="Calibri" w:cs="Calibri"/>
                <w:sz w:val="18"/>
                <w:szCs w:val="18"/>
                <w:lang w:eastAsia="en-NZ"/>
              </w:rPr>
              <w:t>OR</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2.19) and to unrelated controls</w:t>
            </w:r>
          </w:p>
        </w:tc>
      </w:tr>
      <w:tr w:rsidR="00BD6E39" w:rsidRPr="000E3779" w14:paraId="61D43119" w14:textId="77777777" w:rsidTr="00FF61D8">
        <w:trPr>
          <w:trHeight w:val="970"/>
        </w:trPr>
        <w:tc>
          <w:tcPr>
            <w:tcW w:w="988" w:type="dxa"/>
            <w:hideMark/>
          </w:tcPr>
          <w:p w14:paraId="4FB5AE61" w14:textId="0B13023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Yaghjyan</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2013</w:t>
            </w:r>
            <w:r w:rsidR="00DB122D">
              <w:rPr>
                <w:rFonts w:ascii="Calibri" w:eastAsia="Times New Roman" w:hAnsi="Calibri" w:cs="Calibri"/>
                <w:sz w:val="18"/>
                <w:szCs w:val="18"/>
                <w:lang w:eastAsia="en-NZ"/>
              </w:rPr>
              <w:t>)</w:t>
            </w:r>
          </w:p>
        </w:tc>
        <w:tc>
          <w:tcPr>
            <w:tcW w:w="1134" w:type="dxa"/>
            <w:hideMark/>
          </w:tcPr>
          <w:p w14:paraId="07EF9303" w14:textId="6547DD3D"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N</w:t>
            </w:r>
            <w:r w:rsidR="00381A03">
              <w:rPr>
                <w:rFonts w:ascii="Calibri" w:eastAsia="Times New Roman" w:hAnsi="Calibri" w:cs="Calibri"/>
                <w:sz w:val="18"/>
                <w:szCs w:val="18"/>
                <w:lang w:eastAsia="en-NZ"/>
              </w:rPr>
              <w:t>ested case-control</w:t>
            </w:r>
            <w:r w:rsidRPr="00EF54FD">
              <w:rPr>
                <w:rFonts w:ascii="Calibri" w:eastAsia="Times New Roman" w:hAnsi="Calibri" w:cs="Calibri"/>
                <w:sz w:val="18"/>
                <w:szCs w:val="18"/>
                <w:lang w:eastAsia="en-NZ"/>
              </w:rPr>
              <w:t xml:space="preserve"> </w:t>
            </w:r>
          </w:p>
        </w:tc>
        <w:tc>
          <w:tcPr>
            <w:tcW w:w="2126" w:type="dxa"/>
          </w:tcPr>
          <w:p w14:paraId="758DE56A" w14:textId="0D108081" w:rsidR="00BD6E39" w:rsidRPr="00EF54FD" w:rsidRDefault="00381A03"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N</w:t>
            </w:r>
            <w:r w:rsidR="008A187D">
              <w:rPr>
                <w:rFonts w:ascii="Calibri" w:eastAsia="Times New Roman" w:hAnsi="Calibri" w:cs="Calibri"/>
                <w:sz w:val="18"/>
                <w:szCs w:val="18"/>
                <w:lang w:eastAsia="en-NZ"/>
              </w:rPr>
              <w:t>urses’ Health Study</w:t>
            </w:r>
            <w:r w:rsidRPr="00EF54FD">
              <w:rPr>
                <w:rFonts w:ascii="Calibri" w:eastAsia="Times New Roman" w:hAnsi="Calibri" w:cs="Calibri"/>
                <w:sz w:val="18"/>
                <w:szCs w:val="18"/>
                <w:lang w:eastAsia="en-NZ"/>
              </w:rPr>
              <w:t>, USA</w:t>
            </w:r>
          </w:p>
        </w:tc>
        <w:tc>
          <w:tcPr>
            <w:tcW w:w="1984" w:type="dxa"/>
          </w:tcPr>
          <w:p w14:paraId="7A0290FD" w14:textId="6A29741E" w:rsidR="00BD6E39" w:rsidRPr="00A837C7" w:rsidRDefault="00BD6E39" w:rsidP="00EB35FA">
            <w:pPr>
              <w:rPr>
                <w:rFonts w:ascii="Calibri" w:eastAsia="Times New Roman" w:hAnsi="Calibri" w:cs="Calibri"/>
                <w:sz w:val="18"/>
                <w:szCs w:val="18"/>
                <w:lang w:val="mi-NZ" w:eastAsia="en-NZ"/>
              </w:rPr>
            </w:pPr>
            <w:r>
              <w:rPr>
                <w:rFonts w:ascii="Calibri" w:eastAsia="Times New Roman" w:hAnsi="Calibri" w:cs="Calibri"/>
                <w:sz w:val="18"/>
                <w:szCs w:val="18"/>
                <w:lang w:eastAsia="en-NZ"/>
              </w:rPr>
              <w:t>Age at time of blood collection, menopausal status, HRT, follow-up time</w:t>
            </w:r>
          </w:p>
        </w:tc>
        <w:tc>
          <w:tcPr>
            <w:tcW w:w="2127" w:type="dxa"/>
          </w:tcPr>
          <w:p w14:paraId="781E58A3" w14:textId="363B3B1D"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diagnosis, menopause, at first birth), BMI, parity, HRT, menopausal status, smoking, alcohol, family history</w:t>
            </w:r>
          </w:p>
        </w:tc>
        <w:tc>
          <w:tcPr>
            <w:tcW w:w="850" w:type="dxa"/>
            <w:hideMark/>
          </w:tcPr>
          <w:p w14:paraId="0CE7906B" w14:textId="5D5745D1"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1,045: 567</w:t>
            </w:r>
          </w:p>
        </w:tc>
        <w:tc>
          <w:tcPr>
            <w:tcW w:w="774" w:type="dxa"/>
            <w:hideMark/>
          </w:tcPr>
          <w:p w14:paraId="2A9C006F"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30–55</w:t>
            </w:r>
          </w:p>
        </w:tc>
        <w:tc>
          <w:tcPr>
            <w:tcW w:w="1069" w:type="dxa"/>
            <w:hideMark/>
          </w:tcPr>
          <w:p w14:paraId="3DC97891"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75232F22" w14:textId="5859A6EF"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The magnitude of the association between PD and BC remains similar for up to 10</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years after the first mammogram</w:t>
            </w:r>
          </w:p>
        </w:tc>
      </w:tr>
      <w:tr w:rsidR="00BD6E39" w:rsidRPr="000E3779" w14:paraId="7DF8089C" w14:textId="77777777" w:rsidTr="00FF61D8">
        <w:trPr>
          <w:trHeight w:val="730"/>
        </w:trPr>
        <w:tc>
          <w:tcPr>
            <w:tcW w:w="988" w:type="dxa"/>
            <w:hideMark/>
          </w:tcPr>
          <w:p w14:paraId="246C6EC4" w14:textId="4603EA4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Pollán</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2013</w:t>
            </w:r>
            <w:r w:rsidR="00DB122D">
              <w:rPr>
                <w:rFonts w:ascii="Calibri" w:eastAsia="Times New Roman" w:hAnsi="Calibri" w:cs="Calibri"/>
                <w:sz w:val="18"/>
                <w:szCs w:val="18"/>
                <w:lang w:eastAsia="en-NZ"/>
              </w:rPr>
              <w:t>)</w:t>
            </w:r>
          </w:p>
        </w:tc>
        <w:tc>
          <w:tcPr>
            <w:tcW w:w="1134" w:type="dxa"/>
            <w:hideMark/>
          </w:tcPr>
          <w:p w14:paraId="6EE21125" w14:textId="356C6B49" w:rsidR="00BD6E39" w:rsidRPr="00EF54FD" w:rsidRDefault="00381A03"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r w:rsidR="00BD6E39" w:rsidRPr="00EF54FD">
              <w:rPr>
                <w:rFonts w:ascii="Calibri" w:eastAsia="Times New Roman" w:hAnsi="Calibri" w:cs="Calibri"/>
                <w:sz w:val="18"/>
                <w:szCs w:val="18"/>
                <w:lang w:eastAsia="en-NZ"/>
              </w:rPr>
              <w:t xml:space="preserve"> </w:t>
            </w:r>
          </w:p>
        </w:tc>
        <w:tc>
          <w:tcPr>
            <w:tcW w:w="2126" w:type="dxa"/>
          </w:tcPr>
          <w:p w14:paraId="25EB930A" w14:textId="3C4849BD" w:rsidR="00BD6E39" w:rsidRPr="00EF54FD" w:rsidRDefault="00381A03"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Navarre Breast Cancer Screening Program, Spain, 1990-2004</w:t>
            </w:r>
          </w:p>
        </w:tc>
        <w:tc>
          <w:tcPr>
            <w:tcW w:w="1984" w:type="dxa"/>
          </w:tcPr>
          <w:p w14:paraId="2CE40D98" w14:textId="1FC93A51"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Screening round, year of birth, place of residence</w:t>
            </w:r>
          </w:p>
        </w:tc>
        <w:tc>
          <w:tcPr>
            <w:tcW w:w="2127" w:type="dxa"/>
          </w:tcPr>
          <w:p w14:paraId="60FCD63D" w14:textId="2DB11265" w:rsidR="00BD6E39" w:rsidRPr="00EF54FD" w:rsidRDefault="00BD6E39" w:rsidP="004A6BAF">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first birth, at menopause), menopausal status, family history, previous biopsies</w:t>
            </w:r>
          </w:p>
        </w:tc>
        <w:tc>
          <w:tcPr>
            <w:tcW w:w="850" w:type="dxa"/>
            <w:hideMark/>
          </w:tcPr>
          <w:p w14:paraId="71B89E44" w14:textId="3F3B4CC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1,172: 1,831</w:t>
            </w:r>
          </w:p>
        </w:tc>
        <w:tc>
          <w:tcPr>
            <w:tcW w:w="774" w:type="dxa"/>
            <w:hideMark/>
          </w:tcPr>
          <w:p w14:paraId="529C9136"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45–65</w:t>
            </w:r>
          </w:p>
        </w:tc>
        <w:tc>
          <w:tcPr>
            <w:tcW w:w="1069" w:type="dxa"/>
            <w:hideMark/>
          </w:tcPr>
          <w:p w14:paraId="5B7B9DDB"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Boyd semi-quantitative scale</w:t>
            </w:r>
          </w:p>
        </w:tc>
        <w:tc>
          <w:tcPr>
            <w:tcW w:w="2835" w:type="dxa"/>
            <w:hideMark/>
          </w:tcPr>
          <w:p w14:paraId="3063C136" w14:textId="2FE5CBE6"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OR for </w:t>
            </w:r>
            <w:r w:rsidR="00CA6B4A">
              <w:rPr>
                <w:rFonts w:ascii="Calibri" w:eastAsia="Times New Roman" w:hAnsi="Calibri" w:cs="Calibri"/>
                <w:sz w:val="18"/>
                <w:szCs w:val="18"/>
                <w:lang w:eastAsia="en-NZ"/>
              </w:rPr>
              <w:t>PD</w:t>
            </w:r>
            <w:r w:rsidRPr="00EF54FD">
              <w:rPr>
                <w:rFonts w:ascii="Calibri" w:eastAsia="Times New Roman" w:hAnsi="Calibri" w:cs="Calibri"/>
                <w:sz w:val="18"/>
                <w:szCs w:val="18"/>
                <w:lang w:eastAsia="en-NZ"/>
              </w:rPr>
              <w:t xml:space="preserve"> &gt;75% compared to </w:t>
            </w:r>
            <w:r w:rsidR="00CA6B4A">
              <w:rPr>
                <w:rFonts w:ascii="Calibri" w:eastAsia="Times New Roman" w:hAnsi="Calibri" w:cs="Calibri"/>
                <w:sz w:val="18"/>
                <w:szCs w:val="18"/>
                <w:lang w:eastAsia="en-NZ"/>
              </w:rPr>
              <w:t>PD</w:t>
            </w:r>
            <w:r w:rsidRPr="00EF54FD">
              <w:rPr>
                <w:rFonts w:ascii="Calibri" w:eastAsia="Times New Roman" w:hAnsi="Calibri" w:cs="Calibri"/>
                <w:sz w:val="18"/>
                <w:szCs w:val="18"/>
                <w:lang w:eastAsia="en-NZ"/>
              </w:rPr>
              <w:t xml:space="preserve"> &lt;10% was 3.47 for </w:t>
            </w:r>
            <w:r w:rsidR="00CA6B4A">
              <w:rPr>
                <w:rFonts w:ascii="Calibri" w:eastAsia="Times New Roman" w:hAnsi="Calibri" w:cs="Calibri"/>
                <w:sz w:val="18"/>
                <w:szCs w:val="18"/>
                <w:lang w:eastAsia="en-NZ"/>
              </w:rPr>
              <w:t>ductal carcinoma in situ</w:t>
            </w:r>
            <w:r w:rsidRPr="00EF54FD">
              <w:rPr>
                <w:rFonts w:ascii="Calibri" w:eastAsia="Times New Roman" w:hAnsi="Calibri" w:cs="Calibri"/>
                <w:sz w:val="18"/>
                <w:szCs w:val="18"/>
                <w:lang w:eastAsia="en-NZ"/>
              </w:rPr>
              <w:t>, and 2.95 for invasive tumours</w:t>
            </w:r>
          </w:p>
        </w:tc>
      </w:tr>
      <w:tr w:rsidR="00BD6E39" w:rsidRPr="000E3779" w14:paraId="42BF31E4" w14:textId="77777777" w:rsidTr="00FF61D8">
        <w:trPr>
          <w:trHeight w:val="490"/>
        </w:trPr>
        <w:tc>
          <w:tcPr>
            <w:tcW w:w="988" w:type="dxa"/>
            <w:hideMark/>
          </w:tcPr>
          <w:p w14:paraId="2F6F3A44" w14:textId="33D464FD"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Cecchini</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2012</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591B0444" w14:textId="6342300B"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126" w:type="dxa"/>
          </w:tcPr>
          <w:p w14:paraId="6E9E5869" w14:textId="36BAA7FD" w:rsidR="00BD6E39" w:rsidRPr="00EF54FD" w:rsidRDefault="00381A03"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National Surgical Adjuvant Breast and Bowel Project, USA, 1999-2004</w:t>
            </w:r>
          </w:p>
        </w:tc>
        <w:tc>
          <w:tcPr>
            <w:tcW w:w="1984" w:type="dxa"/>
          </w:tcPr>
          <w:p w14:paraId="0FB06D15" w14:textId="5974BDB3" w:rsidR="00BD6E39" w:rsidRPr="00EF54FD" w:rsidRDefault="00BD6E39" w:rsidP="00EB35FA">
            <w:pPr>
              <w:rPr>
                <w:rFonts w:ascii="Calibri" w:eastAsia="Times New Roman" w:hAnsi="Calibri" w:cs="Calibri"/>
                <w:sz w:val="18"/>
                <w:szCs w:val="18"/>
                <w:lang w:eastAsia="en-NZ"/>
              </w:rPr>
            </w:pPr>
          </w:p>
        </w:tc>
        <w:tc>
          <w:tcPr>
            <w:tcW w:w="2127" w:type="dxa"/>
          </w:tcPr>
          <w:p w14:paraId="343C8FC3" w14:textId="74AB2010"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BMI, smoking, diabetes, treatment group</w:t>
            </w:r>
          </w:p>
        </w:tc>
        <w:tc>
          <w:tcPr>
            <w:tcW w:w="850" w:type="dxa"/>
            <w:hideMark/>
          </w:tcPr>
          <w:p w14:paraId="7C7F7C11" w14:textId="5EB3D699"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13,409: 6,338</w:t>
            </w:r>
          </w:p>
        </w:tc>
        <w:tc>
          <w:tcPr>
            <w:tcW w:w="774" w:type="dxa"/>
            <w:hideMark/>
          </w:tcPr>
          <w:p w14:paraId="41C79070"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NK</w:t>
            </w:r>
          </w:p>
        </w:tc>
        <w:tc>
          <w:tcPr>
            <w:tcW w:w="1069" w:type="dxa"/>
            <w:hideMark/>
          </w:tcPr>
          <w:p w14:paraId="1FFCE0B2" w14:textId="7EEC9138" w:rsidR="00BD6E39" w:rsidRPr="00EF54FD" w:rsidRDefault="00275D65"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p>
        </w:tc>
        <w:tc>
          <w:tcPr>
            <w:tcW w:w="2835" w:type="dxa"/>
            <w:hideMark/>
          </w:tcPr>
          <w:p w14:paraId="4344D57F" w14:textId="1D72CF0F"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High </w:t>
            </w:r>
            <w:r w:rsidR="00275D65">
              <w:rPr>
                <w:rFonts w:ascii="Calibri" w:eastAsia="Times New Roman" w:hAnsi="Calibri" w:cs="Calibri"/>
                <w:sz w:val="18"/>
                <w:szCs w:val="18"/>
                <w:lang w:eastAsia="en-NZ"/>
              </w:rPr>
              <w:t>BIRADS</w:t>
            </w:r>
            <w:r w:rsidRPr="00EF54FD">
              <w:rPr>
                <w:rFonts w:ascii="Calibri" w:eastAsia="Times New Roman" w:hAnsi="Calibri" w:cs="Calibri"/>
                <w:sz w:val="18"/>
                <w:szCs w:val="18"/>
                <w:lang w:eastAsia="en-NZ"/>
              </w:rPr>
              <w:t xml:space="preserve"> density was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increased BC risk</w:t>
            </w:r>
          </w:p>
        </w:tc>
      </w:tr>
      <w:tr w:rsidR="00BD6E39" w:rsidRPr="000E3779" w14:paraId="065B8F31" w14:textId="77777777" w:rsidTr="00FF61D8">
        <w:trPr>
          <w:trHeight w:val="587"/>
        </w:trPr>
        <w:tc>
          <w:tcPr>
            <w:tcW w:w="988" w:type="dxa"/>
            <w:hideMark/>
          </w:tcPr>
          <w:p w14:paraId="3BE9DFFB" w14:textId="233A36EA"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Razzaghi</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2012</w:t>
            </w:r>
            <w:r w:rsidR="00DB122D">
              <w:rPr>
                <w:rFonts w:ascii="Calibri" w:eastAsia="Times New Roman" w:hAnsi="Calibri" w:cs="Calibri"/>
                <w:sz w:val="18"/>
                <w:szCs w:val="18"/>
                <w:lang w:eastAsia="en-NZ"/>
              </w:rPr>
              <w:t>)</w:t>
            </w:r>
          </w:p>
        </w:tc>
        <w:tc>
          <w:tcPr>
            <w:tcW w:w="1134" w:type="dxa"/>
            <w:hideMark/>
          </w:tcPr>
          <w:p w14:paraId="16426618" w14:textId="23FF88FB" w:rsidR="00BD6E39" w:rsidRPr="00EF54FD" w:rsidRDefault="00381A03"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r w:rsidR="00BD6E39" w:rsidRPr="00EF54FD">
              <w:rPr>
                <w:rFonts w:ascii="Calibri" w:eastAsia="Times New Roman" w:hAnsi="Calibri" w:cs="Calibri"/>
                <w:sz w:val="18"/>
                <w:szCs w:val="18"/>
                <w:lang w:eastAsia="en-NZ"/>
              </w:rPr>
              <w:t xml:space="preserve"> </w:t>
            </w:r>
          </w:p>
        </w:tc>
        <w:tc>
          <w:tcPr>
            <w:tcW w:w="2126" w:type="dxa"/>
          </w:tcPr>
          <w:p w14:paraId="2186EE77" w14:textId="1BD6A6CB" w:rsidR="00BD6E39" w:rsidRPr="00EF54FD" w:rsidRDefault="00381A03"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Carolina Breast Cancer Study, USA, 1993-2001</w:t>
            </w:r>
          </w:p>
        </w:tc>
        <w:tc>
          <w:tcPr>
            <w:tcW w:w="1984" w:type="dxa"/>
          </w:tcPr>
          <w:p w14:paraId="30859648" w14:textId="3ACE4960"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BMI, HRT, parity</w:t>
            </w:r>
          </w:p>
        </w:tc>
        <w:tc>
          <w:tcPr>
            <w:tcW w:w="2127" w:type="dxa"/>
          </w:tcPr>
          <w:p w14:paraId="21631F96" w14:textId="04FC100B"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 xml:space="preserve">Age (current, at menarche), race, BMI, </w:t>
            </w:r>
            <w:r>
              <w:rPr>
                <w:rFonts w:ascii="Calibri" w:eastAsia="Times New Roman" w:hAnsi="Calibri" w:cs="Calibri"/>
                <w:sz w:val="18"/>
                <w:szCs w:val="18"/>
                <w:lang w:eastAsia="en-NZ"/>
              </w:rPr>
              <w:lastRenderedPageBreak/>
              <w:t>menopausal status, family history, HRT</w:t>
            </w:r>
          </w:p>
        </w:tc>
        <w:tc>
          <w:tcPr>
            <w:tcW w:w="850" w:type="dxa"/>
            <w:hideMark/>
          </w:tcPr>
          <w:p w14:paraId="0C536C41" w14:textId="12640010"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lastRenderedPageBreak/>
              <w:t>1,019: 1,292</w:t>
            </w:r>
          </w:p>
        </w:tc>
        <w:tc>
          <w:tcPr>
            <w:tcW w:w="774" w:type="dxa"/>
            <w:hideMark/>
          </w:tcPr>
          <w:p w14:paraId="776CC2AA"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20–74</w:t>
            </w:r>
          </w:p>
        </w:tc>
        <w:tc>
          <w:tcPr>
            <w:tcW w:w="1069" w:type="dxa"/>
            <w:hideMark/>
          </w:tcPr>
          <w:p w14:paraId="2274F7C9" w14:textId="7C2853C1" w:rsidR="00BD6E39" w:rsidRPr="00EF54FD" w:rsidRDefault="00275D65"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p>
        </w:tc>
        <w:tc>
          <w:tcPr>
            <w:tcW w:w="2835" w:type="dxa"/>
            <w:hideMark/>
          </w:tcPr>
          <w:p w14:paraId="7C528F97" w14:textId="33449A07" w:rsidR="00BD6E39" w:rsidRPr="00EF54FD" w:rsidRDefault="00CA6B4A"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HD</w:t>
            </w:r>
            <w:r w:rsidR="00BD6E39" w:rsidRPr="00EF54FD">
              <w:rPr>
                <w:rFonts w:ascii="Calibri" w:eastAsia="Times New Roman" w:hAnsi="Calibri" w:cs="Calibri"/>
                <w:sz w:val="18"/>
                <w:szCs w:val="18"/>
                <w:lang w:eastAsia="en-NZ"/>
              </w:rPr>
              <w:t xml:space="preserve"> is </w:t>
            </w:r>
            <w:r>
              <w:rPr>
                <w:rFonts w:ascii="Calibri" w:eastAsia="Times New Roman" w:hAnsi="Calibri" w:cs="Calibri"/>
                <w:sz w:val="18"/>
                <w:szCs w:val="18"/>
                <w:lang w:eastAsia="en-NZ"/>
              </w:rPr>
              <w:t>associated with</w:t>
            </w:r>
            <w:r w:rsidR="00BD6E39" w:rsidRPr="00EF54FD">
              <w:rPr>
                <w:rFonts w:ascii="Calibri" w:eastAsia="Times New Roman" w:hAnsi="Calibri" w:cs="Calibri"/>
                <w:sz w:val="18"/>
                <w:szCs w:val="18"/>
                <w:lang w:eastAsia="en-NZ"/>
              </w:rPr>
              <w:t xml:space="preserve"> increased BC risk, and the effect measure </w:t>
            </w:r>
            <w:r w:rsidR="00BD6E39" w:rsidRPr="00EF54FD">
              <w:rPr>
                <w:rFonts w:ascii="Calibri" w:eastAsia="Times New Roman" w:hAnsi="Calibri" w:cs="Calibri"/>
                <w:sz w:val="18"/>
                <w:szCs w:val="18"/>
                <w:lang w:eastAsia="en-NZ"/>
              </w:rPr>
              <w:lastRenderedPageBreak/>
              <w:t xml:space="preserve">modification by </w:t>
            </w:r>
            <w:r>
              <w:rPr>
                <w:rFonts w:ascii="Calibri" w:eastAsia="Times New Roman" w:hAnsi="Calibri" w:cs="Calibri"/>
                <w:sz w:val="18"/>
                <w:szCs w:val="18"/>
                <w:lang w:eastAsia="en-NZ"/>
              </w:rPr>
              <w:t xml:space="preserve">race </w:t>
            </w:r>
            <w:r w:rsidR="00BD6E39" w:rsidRPr="00EF54FD">
              <w:rPr>
                <w:rFonts w:ascii="Calibri" w:eastAsia="Times New Roman" w:hAnsi="Calibri" w:cs="Calibri"/>
                <w:sz w:val="18"/>
                <w:szCs w:val="18"/>
                <w:lang w:eastAsia="en-NZ"/>
              </w:rPr>
              <w:t>was not significant</w:t>
            </w:r>
          </w:p>
        </w:tc>
      </w:tr>
      <w:tr w:rsidR="00BD6E39" w:rsidRPr="000E3779" w14:paraId="7AF72DDC" w14:textId="77777777" w:rsidTr="00FF61D8">
        <w:trPr>
          <w:trHeight w:val="970"/>
        </w:trPr>
        <w:tc>
          <w:tcPr>
            <w:tcW w:w="988" w:type="dxa"/>
            <w:hideMark/>
          </w:tcPr>
          <w:p w14:paraId="0190FDAE" w14:textId="2E2861E6"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lastRenderedPageBreak/>
              <w:t>Lokate</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2011</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3260BC80" w14:textId="1ECE8F6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126" w:type="dxa"/>
          </w:tcPr>
          <w:p w14:paraId="0041557D" w14:textId="5C22038E" w:rsidR="00BD6E39" w:rsidRPr="00EF54FD" w:rsidRDefault="00161125"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Dutch contribution to</w:t>
            </w:r>
            <w:r w:rsidR="008A187D">
              <w:rPr>
                <w:rFonts w:ascii="Calibri" w:eastAsia="Times New Roman" w:hAnsi="Calibri" w:cs="Calibri"/>
                <w:sz w:val="18"/>
                <w:szCs w:val="18"/>
                <w:lang w:eastAsia="en-NZ"/>
              </w:rPr>
              <w:t xml:space="preserve"> the</w:t>
            </w:r>
            <w:r>
              <w:rPr>
                <w:rFonts w:ascii="Calibri" w:eastAsia="Times New Roman" w:hAnsi="Calibri" w:cs="Calibri"/>
                <w:sz w:val="18"/>
                <w:szCs w:val="18"/>
                <w:lang w:eastAsia="en-NZ"/>
              </w:rPr>
              <w:t xml:space="preserve"> </w:t>
            </w:r>
            <w:r w:rsidR="009E60B8">
              <w:rPr>
                <w:rFonts w:ascii="Calibri" w:eastAsia="Times New Roman" w:hAnsi="Calibri" w:cs="Calibri"/>
                <w:sz w:val="18"/>
                <w:szCs w:val="18"/>
                <w:lang w:eastAsia="en-NZ"/>
              </w:rPr>
              <w:t xml:space="preserve">European </w:t>
            </w:r>
            <w:r>
              <w:rPr>
                <w:rFonts w:ascii="Calibri" w:eastAsia="Times New Roman" w:hAnsi="Calibri" w:cs="Calibri"/>
                <w:sz w:val="18"/>
                <w:szCs w:val="18"/>
                <w:lang w:eastAsia="en-NZ"/>
              </w:rPr>
              <w:t>Prospective Investigation into Cancer and Nutrition (EPIC), 2001-2006</w:t>
            </w:r>
          </w:p>
        </w:tc>
        <w:tc>
          <w:tcPr>
            <w:tcW w:w="1984" w:type="dxa"/>
          </w:tcPr>
          <w:p w14:paraId="15E718F8" w14:textId="3C4D9205"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359FC8CB" w14:textId="747A9E28"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menopause, at first birth), parity, HRT, oral contraceptive, family history, BMI</w:t>
            </w:r>
          </w:p>
        </w:tc>
        <w:tc>
          <w:tcPr>
            <w:tcW w:w="850" w:type="dxa"/>
            <w:hideMark/>
          </w:tcPr>
          <w:p w14:paraId="442C4E7F" w14:textId="72BF72B0"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358: 859</w:t>
            </w:r>
          </w:p>
        </w:tc>
        <w:tc>
          <w:tcPr>
            <w:tcW w:w="774" w:type="dxa"/>
            <w:hideMark/>
          </w:tcPr>
          <w:p w14:paraId="72CC34DD"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49–70</w:t>
            </w:r>
          </w:p>
        </w:tc>
        <w:tc>
          <w:tcPr>
            <w:tcW w:w="1069" w:type="dxa"/>
            <w:hideMark/>
          </w:tcPr>
          <w:p w14:paraId="1F14F8D3"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029A77EB" w14:textId="643175E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HD tissue and fat tissue were independently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higher BC risk (OR 2.8 and 2.4 respectively)</w:t>
            </w:r>
          </w:p>
        </w:tc>
      </w:tr>
      <w:tr w:rsidR="00BD6E39" w:rsidRPr="000E3779" w14:paraId="1B377980" w14:textId="77777777" w:rsidTr="00FF61D8">
        <w:trPr>
          <w:trHeight w:val="1210"/>
        </w:trPr>
        <w:tc>
          <w:tcPr>
            <w:tcW w:w="988" w:type="dxa"/>
            <w:hideMark/>
          </w:tcPr>
          <w:p w14:paraId="77A759AA" w14:textId="76346349"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Petter</w:t>
            </w:r>
            <w:r>
              <w:rPr>
                <w:rFonts w:ascii="Calibri" w:eastAsia="Times New Roman" w:hAnsi="Calibri" w:cs="Calibri"/>
                <w:sz w:val="18"/>
                <w:szCs w:val="18"/>
                <w:lang w:eastAsia="en-NZ"/>
              </w:rPr>
              <w:t>s</w:t>
            </w:r>
            <w:r w:rsidRPr="00EF54FD">
              <w:rPr>
                <w:rFonts w:ascii="Calibri" w:eastAsia="Times New Roman" w:hAnsi="Calibri" w:cs="Calibri"/>
                <w:sz w:val="18"/>
                <w:szCs w:val="18"/>
                <w:lang w:eastAsia="en-NZ"/>
              </w:rPr>
              <w:t>son</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2011</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6A27D28E" w14:textId="0F9EFF17"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Nested case-control</w:t>
            </w:r>
            <w:r w:rsidR="00BD6E39" w:rsidRPr="00EF54FD">
              <w:rPr>
                <w:rFonts w:ascii="Calibri" w:eastAsia="Times New Roman" w:hAnsi="Calibri" w:cs="Calibri"/>
                <w:sz w:val="18"/>
                <w:szCs w:val="18"/>
                <w:lang w:eastAsia="en-NZ"/>
              </w:rPr>
              <w:t xml:space="preserve"> </w:t>
            </w:r>
          </w:p>
        </w:tc>
        <w:tc>
          <w:tcPr>
            <w:tcW w:w="2126" w:type="dxa"/>
          </w:tcPr>
          <w:p w14:paraId="7C25502D" w14:textId="355E2166"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Nurses’ Health Study (1976-1990) and Nurses’ Health Study II (1989-1999), USA</w:t>
            </w:r>
          </w:p>
        </w:tc>
        <w:tc>
          <w:tcPr>
            <w:tcW w:w="1984" w:type="dxa"/>
          </w:tcPr>
          <w:p w14:paraId="1C097EC3" w14:textId="4B54477D"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2C7244FB" w14:textId="47A96698"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menarche, at first birth, at menopause), BMI, family history, parity, HRT</w:t>
            </w:r>
          </w:p>
        </w:tc>
        <w:tc>
          <w:tcPr>
            <w:tcW w:w="850" w:type="dxa"/>
            <w:hideMark/>
          </w:tcPr>
          <w:p w14:paraId="14C57EE9" w14:textId="4DE6DB2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1,424: 2,660</w:t>
            </w:r>
          </w:p>
        </w:tc>
        <w:tc>
          <w:tcPr>
            <w:tcW w:w="774" w:type="dxa"/>
            <w:hideMark/>
          </w:tcPr>
          <w:p w14:paraId="77A264A4"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47</w:t>
            </w:r>
          </w:p>
        </w:tc>
        <w:tc>
          <w:tcPr>
            <w:tcW w:w="1069" w:type="dxa"/>
            <w:hideMark/>
          </w:tcPr>
          <w:p w14:paraId="2BFBEA08"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7A4DF185" w14:textId="6CB326B8"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HD tissue was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a greater risk of BC (OR</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 for premenopausal and OR</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 xml:space="preserve">2.19 for postmenopausal women) whereas non-dense area was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decreased risk of BC</w:t>
            </w:r>
          </w:p>
        </w:tc>
      </w:tr>
      <w:tr w:rsidR="00BD6E39" w:rsidRPr="000E3779" w14:paraId="59741D64" w14:textId="77777777" w:rsidTr="00FF61D8">
        <w:trPr>
          <w:trHeight w:val="730"/>
        </w:trPr>
        <w:tc>
          <w:tcPr>
            <w:tcW w:w="988" w:type="dxa"/>
            <w:hideMark/>
          </w:tcPr>
          <w:p w14:paraId="3A3CD27B" w14:textId="47C25CC2"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Shepherd</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2011</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4A638E40" w14:textId="5D79984E"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r w:rsidR="00BD6E39" w:rsidRPr="00EF54FD">
              <w:rPr>
                <w:rFonts w:ascii="Calibri" w:eastAsia="Times New Roman" w:hAnsi="Calibri" w:cs="Calibri"/>
                <w:sz w:val="18"/>
                <w:szCs w:val="18"/>
                <w:lang w:eastAsia="en-NZ"/>
              </w:rPr>
              <w:t xml:space="preserve"> </w:t>
            </w:r>
          </w:p>
        </w:tc>
        <w:tc>
          <w:tcPr>
            <w:tcW w:w="2126" w:type="dxa"/>
          </w:tcPr>
          <w:p w14:paraId="12BE817D" w14:textId="66AD3469"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Screening programme at the California Pacific Medical Center, USA, 2004-2006</w:t>
            </w:r>
          </w:p>
        </w:tc>
        <w:tc>
          <w:tcPr>
            <w:tcW w:w="1984" w:type="dxa"/>
          </w:tcPr>
          <w:p w14:paraId="3D33F84D" w14:textId="3BF7C697"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race</w:t>
            </w:r>
          </w:p>
        </w:tc>
        <w:tc>
          <w:tcPr>
            <w:tcW w:w="2127" w:type="dxa"/>
          </w:tcPr>
          <w:p w14:paraId="7499FDA5" w14:textId="3050F9DA"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first birth, family history, BMI, previous biopsies</w:t>
            </w:r>
          </w:p>
        </w:tc>
        <w:tc>
          <w:tcPr>
            <w:tcW w:w="850" w:type="dxa"/>
            <w:hideMark/>
          </w:tcPr>
          <w:p w14:paraId="685517B9" w14:textId="36CD148C"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275: 825</w:t>
            </w:r>
          </w:p>
        </w:tc>
        <w:tc>
          <w:tcPr>
            <w:tcW w:w="774" w:type="dxa"/>
            <w:hideMark/>
          </w:tcPr>
          <w:p w14:paraId="237BF252"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18+</w:t>
            </w:r>
          </w:p>
        </w:tc>
        <w:tc>
          <w:tcPr>
            <w:tcW w:w="1069" w:type="dxa"/>
            <w:hideMark/>
          </w:tcPr>
          <w:p w14:paraId="650BECA8"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2835" w:type="dxa"/>
            <w:hideMark/>
          </w:tcPr>
          <w:p w14:paraId="1582E411" w14:textId="3CBFD470"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Fibroglandular volume and PD were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BC risk (highest vs. lowest quintile: OR 2.5 and 2.9 respectively)</w:t>
            </w:r>
          </w:p>
        </w:tc>
      </w:tr>
      <w:tr w:rsidR="00BD6E39" w:rsidRPr="000E3779" w14:paraId="21428D00" w14:textId="77777777" w:rsidTr="00FF61D8">
        <w:trPr>
          <w:trHeight w:val="490"/>
        </w:trPr>
        <w:tc>
          <w:tcPr>
            <w:tcW w:w="988" w:type="dxa"/>
            <w:hideMark/>
          </w:tcPr>
          <w:p w14:paraId="56986E87" w14:textId="18B2AB52"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Stone</w:t>
            </w:r>
            <w:r>
              <w:rPr>
                <w:rFonts w:ascii="Calibri" w:eastAsia="Times New Roman" w:hAnsi="Calibri" w:cs="Calibri"/>
                <w:sz w:val="18"/>
                <w:szCs w:val="18"/>
                <w:lang w:eastAsia="en-NZ"/>
              </w:rPr>
              <w:t xml:space="preserve"> et al.</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30D50BC8" w14:textId="39D657A6"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p>
        </w:tc>
        <w:tc>
          <w:tcPr>
            <w:tcW w:w="2126" w:type="dxa"/>
          </w:tcPr>
          <w:p w14:paraId="3F8109D0" w14:textId="272AA7D9"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 xml:space="preserve">Cambridge and Norwich </w:t>
            </w:r>
            <w:r w:rsidR="00437DE6">
              <w:rPr>
                <w:rFonts w:ascii="Calibri" w:eastAsia="Times New Roman" w:hAnsi="Calibri" w:cs="Calibri"/>
                <w:sz w:val="18"/>
                <w:szCs w:val="18"/>
                <w:lang w:eastAsia="en-NZ"/>
              </w:rPr>
              <w:t>B</w:t>
            </w:r>
            <w:r>
              <w:rPr>
                <w:rFonts w:ascii="Calibri" w:eastAsia="Times New Roman" w:hAnsi="Calibri" w:cs="Calibri"/>
                <w:sz w:val="18"/>
                <w:szCs w:val="18"/>
                <w:lang w:eastAsia="en-NZ"/>
              </w:rPr>
              <w:t xml:space="preserve">reast </w:t>
            </w:r>
            <w:r w:rsidR="00437DE6">
              <w:rPr>
                <w:rFonts w:ascii="Calibri" w:eastAsia="Times New Roman" w:hAnsi="Calibri" w:cs="Calibri"/>
                <w:sz w:val="18"/>
                <w:szCs w:val="18"/>
                <w:lang w:eastAsia="en-NZ"/>
              </w:rPr>
              <w:t>S</w:t>
            </w:r>
            <w:r>
              <w:rPr>
                <w:rFonts w:ascii="Calibri" w:eastAsia="Times New Roman" w:hAnsi="Calibri" w:cs="Calibri"/>
                <w:sz w:val="18"/>
                <w:szCs w:val="18"/>
                <w:lang w:eastAsia="en-NZ"/>
              </w:rPr>
              <w:t xml:space="preserve">creening </w:t>
            </w:r>
            <w:r w:rsidR="00437DE6">
              <w:rPr>
                <w:rFonts w:ascii="Calibri" w:eastAsia="Times New Roman" w:hAnsi="Calibri" w:cs="Calibri"/>
                <w:sz w:val="18"/>
                <w:szCs w:val="18"/>
                <w:lang w:eastAsia="en-NZ"/>
              </w:rPr>
              <w:t>P</w:t>
            </w:r>
            <w:r>
              <w:rPr>
                <w:rFonts w:ascii="Calibri" w:eastAsia="Times New Roman" w:hAnsi="Calibri" w:cs="Calibri"/>
                <w:sz w:val="18"/>
                <w:szCs w:val="18"/>
                <w:lang w:eastAsia="en-NZ"/>
              </w:rPr>
              <w:t>rograms, UK, 1995-2003</w:t>
            </w:r>
          </w:p>
        </w:tc>
        <w:tc>
          <w:tcPr>
            <w:tcW w:w="1984" w:type="dxa"/>
          </w:tcPr>
          <w:p w14:paraId="0440FC04" w14:textId="4F4F7459"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w:t>
            </w:r>
          </w:p>
        </w:tc>
        <w:tc>
          <w:tcPr>
            <w:tcW w:w="2127" w:type="dxa"/>
          </w:tcPr>
          <w:p w14:paraId="124FC5F7" w14:textId="7E51D5CC"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850" w:type="dxa"/>
            <w:hideMark/>
          </w:tcPr>
          <w:p w14:paraId="7831D038" w14:textId="52A4AB63"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634: 1,880</w:t>
            </w:r>
          </w:p>
        </w:tc>
        <w:tc>
          <w:tcPr>
            <w:tcW w:w="774" w:type="dxa"/>
            <w:hideMark/>
          </w:tcPr>
          <w:p w14:paraId="2A0DE902"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50–75</w:t>
            </w:r>
          </w:p>
        </w:tc>
        <w:tc>
          <w:tcPr>
            <w:tcW w:w="1069" w:type="dxa"/>
            <w:hideMark/>
          </w:tcPr>
          <w:p w14:paraId="72B0C485"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2835" w:type="dxa"/>
            <w:hideMark/>
          </w:tcPr>
          <w:p w14:paraId="02701782"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Dense area was a better predictor on BC risk than PD</w:t>
            </w:r>
          </w:p>
        </w:tc>
      </w:tr>
      <w:tr w:rsidR="00BD6E39" w:rsidRPr="000E3779" w14:paraId="60C4CDD8" w14:textId="77777777" w:rsidTr="00FF61D8">
        <w:trPr>
          <w:trHeight w:val="490"/>
        </w:trPr>
        <w:tc>
          <w:tcPr>
            <w:tcW w:w="988" w:type="dxa"/>
            <w:hideMark/>
          </w:tcPr>
          <w:p w14:paraId="11280A61" w14:textId="397B4810"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Chiu</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DB122D">
              <w:rPr>
                <w:rFonts w:ascii="Calibri" w:eastAsia="Times New Roman" w:hAnsi="Calibri" w:cs="Calibri"/>
                <w:sz w:val="18"/>
                <w:szCs w:val="18"/>
                <w:lang w:eastAsia="en-NZ"/>
              </w:rPr>
              <w:t>)</w:t>
            </w:r>
          </w:p>
        </w:tc>
        <w:tc>
          <w:tcPr>
            <w:tcW w:w="1134" w:type="dxa"/>
            <w:hideMark/>
          </w:tcPr>
          <w:p w14:paraId="4822D965" w14:textId="5A13E4F0"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126" w:type="dxa"/>
          </w:tcPr>
          <w:p w14:paraId="59D002F6" w14:textId="0D9E4DC9" w:rsidR="00BD6E39" w:rsidRPr="00EF54FD" w:rsidRDefault="008A187D"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Koppaberg Randomised Control Trial, Sweden</w:t>
            </w:r>
          </w:p>
        </w:tc>
        <w:tc>
          <w:tcPr>
            <w:tcW w:w="1984" w:type="dxa"/>
          </w:tcPr>
          <w:p w14:paraId="3DE8EDED" w14:textId="5CDA4812"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1F693385" w14:textId="43BB0480"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BMI, tumour size, grade, nodal status</w:t>
            </w:r>
          </w:p>
        </w:tc>
        <w:tc>
          <w:tcPr>
            <w:tcW w:w="850" w:type="dxa"/>
            <w:hideMark/>
          </w:tcPr>
          <w:p w14:paraId="7BFACD55" w14:textId="196A55C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15,658: 1,045</w:t>
            </w:r>
          </w:p>
        </w:tc>
        <w:tc>
          <w:tcPr>
            <w:tcW w:w="774" w:type="dxa"/>
            <w:hideMark/>
          </w:tcPr>
          <w:p w14:paraId="5FA42752"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45–59</w:t>
            </w:r>
          </w:p>
        </w:tc>
        <w:tc>
          <w:tcPr>
            <w:tcW w:w="1069" w:type="dxa"/>
            <w:hideMark/>
          </w:tcPr>
          <w:p w14:paraId="37854EEE"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Tabár</w:t>
            </w:r>
          </w:p>
        </w:tc>
        <w:tc>
          <w:tcPr>
            <w:tcW w:w="2835" w:type="dxa"/>
            <w:hideMark/>
          </w:tcPr>
          <w:p w14:paraId="1031C7A5" w14:textId="69B4645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Dense tissue was </w:t>
            </w:r>
            <w:r w:rsidR="00CA6B4A">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BC incidence (RR</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1.58) and BC mortality (RR</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1.91)</w:t>
            </w:r>
          </w:p>
        </w:tc>
      </w:tr>
      <w:tr w:rsidR="00BD6E39" w:rsidRPr="000E3779" w14:paraId="3CF26A81" w14:textId="77777777" w:rsidTr="00FF61D8">
        <w:trPr>
          <w:trHeight w:val="970"/>
        </w:trPr>
        <w:tc>
          <w:tcPr>
            <w:tcW w:w="988" w:type="dxa"/>
            <w:hideMark/>
          </w:tcPr>
          <w:p w14:paraId="7919CD8D" w14:textId="69636852"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Martin</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DB122D">
              <w:rPr>
                <w:rFonts w:ascii="Calibri" w:eastAsia="Times New Roman" w:hAnsi="Calibri" w:cs="Calibri"/>
                <w:sz w:val="18"/>
                <w:szCs w:val="18"/>
                <w:lang w:eastAsia="en-NZ"/>
              </w:rPr>
              <w:t>)</w:t>
            </w:r>
          </w:p>
        </w:tc>
        <w:tc>
          <w:tcPr>
            <w:tcW w:w="1134" w:type="dxa"/>
            <w:hideMark/>
          </w:tcPr>
          <w:p w14:paraId="6DEFA49D" w14:textId="258B3919" w:rsidR="00BD6E39" w:rsidRPr="00EF54FD" w:rsidRDefault="00437DE6"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Nested case-control</w:t>
            </w:r>
            <w:r w:rsidR="00BD6E39" w:rsidRPr="00EF54FD">
              <w:rPr>
                <w:rFonts w:ascii="Calibri" w:eastAsia="Times New Roman" w:hAnsi="Calibri" w:cs="Calibri"/>
                <w:sz w:val="18"/>
                <w:szCs w:val="18"/>
                <w:lang w:eastAsia="en-NZ"/>
              </w:rPr>
              <w:t xml:space="preserve"> </w:t>
            </w:r>
          </w:p>
        </w:tc>
        <w:tc>
          <w:tcPr>
            <w:tcW w:w="2126" w:type="dxa"/>
          </w:tcPr>
          <w:p w14:paraId="706A77D0" w14:textId="691A4813" w:rsidR="00BD6E39" w:rsidRPr="00EF54FD" w:rsidRDefault="00437DE6"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National Breast-Screening Study (1984-1990), British Columbia Screening Mammography Program (1988-1999), Ontario Breast-Screening Program (1992-1998)</w:t>
            </w:r>
          </w:p>
        </w:tc>
        <w:tc>
          <w:tcPr>
            <w:tcW w:w="1984" w:type="dxa"/>
          </w:tcPr>
          <w:p w14:paraId="0E7471FC" w14:textId="07A3F3C1"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 xml:space="preserve">Year and age at entry to screening programme, study site </w:t>
            </w:r>
          </w:p>
        </w:tc>
        <w:tc>
          <w:tcPr>
            <w:tcW w:w="2127" w:type="dxa"/>
          </w:tcPr>
          <w:p w14:paraId="324DC156" w14:textId="205F2B8B"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first birth, at menopause, at menarche), family history</w:t>
            </w:r>
          </w:p>
        </w:tc>
        <w:tc>
          <w:tcPr>
            <w:tcW w:w="850" w:type="dxa"/>
            <w:hideMark/>
          </w:tcPr>
          <w:p w14:paraId="1D8B07C2" w14:textId="21EA3DB3"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1,164: 1,158</w:t>
            </w:r>
          </w:p>
        </w:tc>
        <w:tc>
          <w:tcPr>
            <w:tcW w:w="774" w:type="dxa"/>
            <w:hideMark/>
          </w:tcPr>
          <w:p w14:paraId="79B56687"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56</w:t>
            </w:r>
          </w:p>
        </w:tc>
        <w:tc>
          <w:tcPr>
            <w:tcW w:w="1069" w:type="dxa"/>
            <w:hideMark/>
          </w:tcPr>
          <w:p w14:paraId="3F2B4D11"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2835" w:type="dxa"/>
            <w:hideMark/>
          </w:tcPr>
          <w:p w14:paraId="7B38611C" w14:textId="35FAF789" w:rsidR="00BD6E39" w:rsidRPr="00EF54FD" w:rsidRDefault="00CA6B4A"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Density</w:t>
            </w:r>
            <w:r w:rsidR="00BD6E39" w:rsidRPr="00EF54FD">
              <w:rPr>
                <w:rFonts w:ascii="Calibri" w:eastAsia="Times New Roman" w:hAnsi="Calibri" w:cs="Calibri"/>
                <w:sz w:val="18"/>
                <w:szCs w:val="18"/>
                <w:lang w:eastAsia="en-NZ"/>
              </w:rPr>
              <w:t xml:space="preserve"> was </w:t>
            </w:r>
            <w:r>
              <w:rPr>
                <w:rFonts w:ascii="Calibri" w:eastAsia="Times New Roman" w:hAnsi="Calibri" w:cs="Calibri"/>
                <w:sz w:val="18"/>
                <w:szCs w:val="18"/>
                <w:lang w:eastAsia="en-NZ"/>
              </w:rPr>
              <w:t>associated with</w:t>
            </w:r>
            <w:r w:rsidR="00BD6E39" w:rsidRPr="00EF54FD">
              <w:rPr>
                <w:rFonts w:ascii="Calibri" w:eastAsia="Times New Roman" w:hAnsi="Calibri" w:cs="Calibri"/>
                <w:sz w:val="18"/>
                <w:szCs w:val="18"/>
                <w:lang w:eastAsia="en-NZ"/>
              </w:rPr>
              <w:t xml:space="preserve"> increased BC risk. (OR 1.37 for having one affected relative, 2.45 for having ≥2 affected relatives)</w:t>
            </w:r>
          </w:p>
        </w:tc>
      </w:tr>
      <w:tr w:rsidR="00BD6E39" w:rsidRPr="000E3779" w14:paraId="21608897" w14:textId="77777777" w:rsidTr="00FF61D8">
        <w:trPr>
          <w:trHeight w:val="730"/>
        </w:trPr>
        <w:tc>
          <w:tcPr>
            <w:tcW w:w="988" w:type="dxa"/>
            <w:hideMark/>
          </w:tcPr>
          <w:p w14:paraId="3AECB01A" w14:textId="7E99DA5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lastRenderedPageBreak/>
              <w:t>Stone</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2009</w:t>
            </w:r>
            <w:r w:rsidR="00DB122D">
              <w:rPr>
                <w:rFonts w:ascii="Calibri" w:eastAsia="Times New Roman" w:hAnsi="Calibri" w:cs="Calibri"/>
                <w:sz w:val="18"/>
                <w:szCs w:val="18"/>
                <w:lang w:eastAsia="en-NZ"/>
              </w:rPr>
              <w:t>)</w:t>
            </w:r>
          </w:p>
        </w:tc>
        <w:tc>
          <w:tcPr>
            <w:tcW w:w="1134" w:type="dxa"/>
            <w:hideMark/>
          </w:tcPr>
          <w:p w14:paraId="252CBC19" w14:textId="37CE7D70" w:rsidR="00BD6E39" w:rsidRPr="00EF54FD" w:rsidRDefault="00E64AB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Cross-sectional</w:t>
            </w:r>
          </w:p>
        </w:tc>
        <w:tc>
          <w:tcPr>
            <w:tcW w:w="2126" w:type="dxa"/>
          </w:tcPr>
          <w:p w14:paraId="2C66BD45" w14:textId="0D1D9F1B" w:rsidR="00BD6E39" w:rsidRPr="00EF54FD" w:rsidRDefault="00E64AB9" w:rsidP="00E64AB9">
            <w:pPr>
              <w:rPr>
                <w:rFonts w:ascii="Calibri" w:eastAsia="Times New Roman" w:hAnsi="Calibri" w:cs="Calibri"/>
                <w:sz w:val="18"/>
                <w:szCs w:val="18"/>
                <w:lang w:eastAsia="en-NZ"/>
              </w:rPr>
            </w:pPr>
            <w:r>
              <w:rPr>
                <w:rFonts w:ascii="Calibri" w:eastAsia="Times New Roman" w:hAnsi="Calibri" w:cs="Calibri"/>
                <w:sz w:val="18"/>
                <w:szCs w:val="18"/>
                <w:lang w:eastAsia="en-NZ"/>
              </w:rPr>
              <w:t>International Breast Cancer Intervention Study I trial, 1992-2001</w:t>
            </w:r>
          </w:p>
        </w:tc>
        <w:tc>
          <w:tcPr>
            <w:tcW w:w="1984" w:type="dxa"/>
          </w:tcPr>
          <w:p w14:paraId="1B341CDA" w14:textId="6CF662D6" w:rsidR="00BD6E39" w:rsidRPr="00EF54FD" w:rsidRDefault="00BD6E39" w:rsidP="000A251D">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2B1B0823" w14:textId="541A14A1" w:rsidR="00BD6E39" w:rsidRPr="00EF54FD" w:rsidRDefault="00BD6E39" w:rsidP="000F62F8">
            <w:pPr>
              <w:rPr>
                <w:rFonts w:ascii="Calibri" w:eastAsia="Times New Roman" w:hAnsi="Calibri" w:cs="Calibri"/>
                <w:sz w:val="18"/>
                <w:szCs w:val="18"/>
                <w:lang w:eastAsia="en-NZ"/>
              </w:rPr>
            </w:pPr>
            <w:r>
              <w:rPr>
                <w:rFonts w:ascii="Calibri" w:eastAsia="Times New Roman" w:hAnsi="Calibri" w:cs="Calibri"/>
                <w:sz w:val="18"/>
                <w:szCs w:val="18"/>
                <w:lang w:eastAsia="en-NZ"/>
              </w:rPr>
              <w:t>Age, BMI, menopausal status, study site</w:t>
            </w:r>
          </w:p>
        </w:tc>
        <w:tc>
          <w:tcPr>
            <w:tcW w:w="850" w:type="dxa"/>
            <w:hideMark/>
          </w:tcPr>
          <w:p w14:paraId="4038DF14" w14:textId="6BFEDAC1" w:rsidR="00BD6E39" w:rsidRPr="00EF54FD" w:rsidRDefault="00BD6E39" w:rsidP="00EB35FA">
            <w:pPr>
              <w:jc w:val="right"/>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799:11:00</w:t>
            </w:r>
          </w:p>
        </w:tc>
        <w:tc>
          <w:tcPr>
            <w:tcW w:w="774" w:type="dxa"/>
            <w:hideMark/>
          </w:tcPr>
          <w:p w14:paraId="60D2CD7E"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35–70</w:t>
            </w:r>
          </w:p>
        </w:tc>
        <w:tc>
          <w:tcPr>
            <w:tcW w:w="1069" w:type="dxa"/>
            <w:hideMark/>
          </w:tcPr>
          <w:p w14:paraId="122242B4"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4765A465" w14:textId="5F160902"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PD was negatively</w:t>
            </w:r>
            <w:r w:rsidR="00CA6B4A">
              <w:rPr>
                <w:rFonts w:ascii="Calibri" w:eastAsia="Times New Roman" w:hAnsi="Calibri" w:cs="Calibri"/>
                <w:sz w:val="18"/>
                <w:szCs w:val="18"/>
                <w:lang w:eastAsia="en-NZ"/>
              </w:rPr>
              <w:t xml:space="preserve"> associated with age, </w:t>
            </w:r>
            <w:r w:rsidRPr="00EF54FD">
              <w:rPr>
                <w:rFonts w:ascii="Calibri" w:eastAsia="Times New Roman" w:hAnsi="Calibri" w:cs="Calibri"/>
                <w:sz w:val="18"/>
                <w:szCs w:val="18"/>
                <w:lang w:eastAsia="en-NZ"/>
              </w:rPr>
              <w:t>BMI,</w:t>
            </w:r>
            <w:r w:rsidR="00CA6B4A">
              <w:rPr>
                <w:rFonts w:ascii="Calibri" w:eastAsia="Times New Roman" w:hAnsi="Calibri" w:cs="Calibri"/>
                <w:sz w:val="18"/>
                <w:szCs w:val="18"/>
                <w:lang w:eastAsia="en-NZ"/>
              </w:rPr>
              <w:t xml:space="preserve"> menopausal status</w:t>
            </w:r>
            <w:r w:rsidRPr="00EF54FD">
              <w:rPr>
                <w:rFonts w:ascii="Calibri" w:eastAsia="Times New Roman" w:hAnsi="Calibri" w:cs="Calibri"/>
                <w:sz w:val="18"/>
                <w:szCs w:val="18"/>
                <w:lang w:eastAsia="en-NZ"/>
              </w:rPr>
              <w:t>, predicted BC risk and</w:t>
            </w:r>
            <w:r w:rsidR="00115669">
              <w:rPr>
                <w:rFonts w:ascii="Calibri" w:eastAsia="Times New Roman" w:hAnsi="Calibri" w:cs="Calibri"/>
                <w:sz w:val="18"/>
                <w:szCs w:val="18"/>
                <w:lang w:eastAsia="en-NZ"/>
              </w:rPr>
              <w:t xml:space="preserve"> study site</w:t>
            </w:r>
            <w:r w:rsidRPr="00EF54FD">
              <w:rPr>
                <w:rFonts w:ascii="Calibri" w:eastAsia="Times New Roman" w:hAnsi="Calibri" w:cs="Calibri"/>
                <w:sz w:val="18"/>
                <w:szCs w:val="18"/>
                <w:lang w:eastAsia="en-NZ"/>
              </w:rPr>
              <w:t xml:space="preserve">; however, dense area was negatively </w:t>
            </w:r>
            <w:r w:rsidR="00115669">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only </w:t>
            </w:r>
            <w:r w:rsidR="00115669">
              <w:rPr>
                <w:rFonts w:ascii="Calibri" w:eastAsia="Times New Roman" w:hAnsi="Calibri" w:cs="Calibri"/>
                <w:sz w:val="18"/>
                <w:szCs w:val="18"/>
                <w:lang w:eastAsia="en-NZ"/>
              </w:rPr>
              <w:t>age</w:t>
            </w:r>
            <w:r w:rsidRPr="00EF54FD">
              <w:rPr>
                <w:rFonts w:ascii="Calibri" w:eastAsia="Times New Roman" w:hAnsi="Calibri" w:cs="Calibri"/>
                <w:sz w:val="18"/>
                <w:szCs w:val="18"/>
                <w:lang w:eastAsia="en-NZ"/>
              </w:rPr>
              <w:t xml:space="preserve"> and BMI</w:t>
            </w:r>
          </w:p>
        </w:tc>
      </w:tr>
      <w:tr w:rsidR="00BD6E39" w:rsidRPr="000E3779" w14:paraId="5AF866C9" w14:textId="77777777" w:rsidTr="00FF61D8">
        <w:trPr>
          <w:trHeight w:val="730"/>
        </w:trPr>
        <w:tc>
          <w:tcPr>
            <w:tcW w:w="988" w:type="dxa"/>
            <w:hideMark/>
          </w:tcPr>
          <w:p w14:paraId="0F64D0CA" w14:textId="7A9E30CE"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Olsen</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2009</w:t>
            </w:r>
            <w:r w:rsidR="00DB122D">
              <w:rPr>
                <w:rFonts w:ascii="Calibri" w:eastAsia="Times New Roman" w:hAnsi="Calibri" w:cs="Calibri"/>
                <w:sz w:val="18"/>
                <w:szCs w:val="18"/>
                <w:lang w:eastAsia="en-NZ"/>
              </w:rPr>
              <w:t>)</w:t>
            </w:r>
          </w:p>
        </w:tc>
        <w:tc>
          <w:tcPr>
            <w:tcW w:w="1134" w:type="dxa"/>
            <w:hideMark/>
          </w:tcPr>
          <w:p w14:paraId="29AA973F" w14:textId="07C7BEF9"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126" w:type="dxa"/>
          </w:tcPr>
          <w:p w14:paraId="1885BDC8" w14:textId="61AD5469" w:rsidR="00BD6E39" w:rsidRPr="00EF54FD" w:rsidRDefault="00E64AB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Mammography Screening Program, Denmark, 1991-2001</w:t>
            </w:r>
          </w:p>
        </w:tc>
        <w:tc>
          <w:tcPr>
            <w:tcW w:w="1984" w:type="dxa"/>
          </w:tcPr>
          <w:p w14:paraId="7233D73C" w14:textId="44C9CD5D"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658897B4" w14:textId="6BC2897E"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w:t>
            </w:r>
          </w:p>
        </w:tc>
        <w:tc>
          <w:tcPr>
            <w:tcW w:w="850" w:type="dxa"/>
            <w:hideMark/>
          </w:tcPr>
          <w:p w14:paraId="107918C4" w14:textId="4714017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989: 133,651</w:t>
            </w:r>
          </w:p>
        </w:tc>
        <w:tc>
          <w:tcPr>
            <w:tcW w:w="774" w:type="dxa"/>
            <w:hideMark/>
          </w:tcPr>
          <w:p w14:paraId="10B7D89E"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50–69</w:t>
            </w:r>
          </w:p>
        </w:tc>
        <w:tc>
          <w:tcPr>
            <w:tcW w:w="1069" w:type="dxa"/>
            <w:hideMark/>
          </w:tcPr>
          <w:p w14:paraId="77FDEED3" w14:textId="616E2F09" w:rsidR="00BD6E39" w:rsidRPr="00EF54FD" w:rsidRDefault="00275D65"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p>
        </w:tc>
        <w:tc>
          <w:tcPr>
            <w:tcW w:w="2835" w:type="dxa"/>
            <w:hideMark/>
          </w:tcPr>
          <w:p w14:paraId="63C01527" w14:textId="5492815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The OR of an interval cancer for women with dense breasts was 1.62, and </w:t>
            </w:r>
            <w:r w:rsidR="00115669">
              <w:rPr>
                <w:rFonts w:ascii="Calibri" w:eastAsia="Times New Roman" w:hAnsi="Calibri" w:cs="Calibri"/>
                <w:sz w:val="18"/>
                <w:szCs w:val="18"/>
                <w:lang w:eastAsia="en-NZ"/>
              </w:rPr>
              <w:t xml:space="preserve">age-adjusted </w:t>
            </w:r>
            <w:r w:rsidRPr="00EF54FD">
              <w:rPr>
                <w:rFonts w:ascii="Calibri" w:eastAsia="Times New Roman" w:hAnsi="Calibri" w:cs="Calibri"/>
                <w:sz w:val="18"/>
                <w:szCs w:val="18"/>
                <w:lang w:eastAsia="en-NZ"/>
              </w:rPr>
              <w:t>RR was 2.45 for BC incidence</w:t>
            </w:r>
          </w:p>
        </w:tc>
      </w:tr>
      <w:tr w:rsidR="00BD6E39" w:rsidRPr="000E3779" w14:paraId="2D16EE45" w14:textId="77777777" w:rsidTr="00FF61D8">
        <w:trPr>
          <w:trHeight w:val="1210"/>
        </w:trPr>
        <w:tc>
          <w:tcPr>
            <w:tcW w:w="988" w:type="dxa"/>
            <w:hideMark/>
          </w:tcPr>
          <w:p w14:paraId="068C2343" w14:textId="652EE865"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Kavanagh</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2008</w:t>
            </w:r>
            <w:r w:rsidR="00DB122D">
              <w:rPr>
                <w:rFonts w:ascii="Calibri" w:eastAsia="Times New Roman" w:hAnsi="Calibri" w:cs="Calibri"/>
                <w:sz w:val="18"/>
                <w:szCs w:val="18"/>
                <w:lang w:eastAsia="en-NZ"/>
              </w:rPr>
              <w:t>)</w:t>
            </w:r>
          </w:p>
        </w:tc>
        <w:tc>
          <w:tcPr>
            <w:tcW w:w="1134" w:type="dxa"/>
            <w:hideMark/>
          </w:tcPr>
          <w:p w14:paraId="49316694" w14:textId="01AE3C31" w:rsidR="00BD6E39" w:rsidRPr="00EF54FD" w:rsidRDefault="00CA119C"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r w:rsidR="00BD6E39" w:rsidRPr="00EF54FD">
              <w:rPr>
                <w:rFonts w:ascii="Calibri" w:eastAsia="Times New Roman" w:hAnsi="Calibri" w:cs="Calibri"/>
                <w:sz w:val="18"/>
                <w:szCs w:val="18"/>
                <w:lang w:eastAsia="en-NZ"/>
              </w:rPr>
              <w:t xml:space="preserve"> </w:t>
            </w:r>
          </w:p>
        </w:tc>
        <w:tc>
          <w:tcPr>
            <w:tcW w:w="2126" w:type="dxa"/>
          </w:tcPr>
          <w:p w14:paraId="50D57D50" w14:textId="0976A33D" w:rsidR="00BD6E39" w:rsidRPr="00EF54FD" w:rsidRDefault="00CA119C"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Mammography Screening Program, Australia, 1994-1996</w:t>
            </w:r>
          </w:p>
        </w:tc>
        <w:tc>
          <w:tcPr>
            <w:tcW w:w="1984" w:type="dxa"/>
          </w:tcPr>
          <w:p w14:paraId="0F15E7C9" w14:textId="3EA5CB99"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w:t>
            </w:r>
          </w:p>
        </w:tc>
        <w:tc>
          <w:tcPr>
            <w:tcW w:w="2127" w:type="dxa"/>
          </w:tcPr>
          <w:p w14:paraId="1E9DF0CF" w14:textId="26D4B67E"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HRT, family history</w:t>
            </w:r>
          </w:p>
        </w:tc>
        <w:tc>
          <w:tcPr>
            <w:tcW w:w="850" w:type="dxa"/>
            <w:hideMark/>
          </w:tcPr>
          <w:p w14:paraId="0739202C" w14:textId="4430C90E"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1,706: 5637</w:t>
            </w:r>
          </w:p>
        </w:tc>
        <w:tc>
          <w:tcPr>
            <w:tcW w:w="774" w:type="dxa"/>
            <w:hideMark/>
          </w:tcPr>
          <w:p w14:paraId="3593FABF"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50–69</w:t>
            </w:r>
          </w:p>
        </w:tc>
        <w:tc>
          <w:tcPr>
            <w:tcW w:w="1069" w:type="dxa"/>
            <w:hideMark/>
          </w:tcPr>
          <w:p w14:paraId="09074529"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2835" w:type="dxa"/>
            <w:hideMark/>
          </w:tcPr>
          <w:p w14:paraId="76F4EC37" w14:textId="669C76F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The risk of large screen-detected cancers was almost 3-fold for the second quintile, and about fourfold for the third and fourth quintiles compared with low quintiles of </w:t>
            </w:r>
            <w:r w:rsidR="00115669">
              <w:rPr>
                <w:rFonts w:ascii="Calibri" w:eastAsia="Times New Roman" w:hAnsi="Calibri" w:cs="Calibri"/>
                <w:sz w:val="18"/>
                <w:szCs w:val="18"/>
                <w:lang w:eastAsia="en-NZ"/>
              </w:rPr>
              <w:t>density</w:t>
            </w:r>
          </w:p>
        </w:tc>
      </w:tr>
      <w:tr w:rsidR="00BD6E39" w:rsidRPr="000E3779" w14:paraId="23CACDA4" w14:textId="77777777" w:rsidTr="00FF61D8">
        <w:trPr>
          <w:trHeight w:val="730"/>
        </w:trPr>
        <w:tc>
          <w:tcPr>
            <w:tcW w:w="988" w:type="dxa"/>
            <w:hideMark/>
          </w:tcPr>
          <w:p w14:paraId="63BFA34F" w14:textId="7AFC3C44"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Tamimi</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2007</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49E8EA29" w14:textId="0465E1FF" w:rsidR="00BD6E39" w:rsidRPr="00EF54FD" w:rsidRDefault="00CA119C"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Nested case-control</w:t>
            </w:r>
          </w:p>
        </w:tc>
        <w:tc>
          <w:tcPr>
            <w:tcW w:w="2126" w:type="dxa"/>
          </w:tcPr>
          <w:p w14:paraId="7E56AAC1" w14:textId="5E699D14" w:rsidR="00BD6E39" w:rsidRPr="00EF54FD" w:rsidRDefault="00CA119C"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Nurses’ Health Study, USA, 1989-1990</w:t>
            </w:r>
          </w:p>
        </w:tc>
        <w:tc>
          <w:tcPr>
            <w:tcW w:w="1984" w:type="dxa"/>
          </w:tcPr>
          <w:p w14:paraId="31C2A0DF" w14:textId="59B88E9F"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fasting status at time of blood collection</w:t>
            </w:r>
          </w:p>
        </w:tc>
        <w:tc>
          <w:tcPr>
            <w:tcW w:w="2127" w:type="dxa"/>
          </w:tcPr>
          <w:p w14:paraId="2E97E358" w14:textId="4860B720"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first birth, at menopause, at menarche), BMI, parity, HRT</w:t>
            </w:r>
          </w:p>
        </w:tc>
        <w:tc>
          <w:tcPr>
            <w:tcW w:w="850" w:type="dxa"/>
            <w:hideMark/>
          </w:tcPr>
          <w:p w14:paraId="076C0648" w14:textId="2C2BFD0F"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253: 520</w:t>
            </w:r>
          </w:p>
        </w:tc>
        <w:tc>
          <w:tcPr>
            <w:tcW w:w="774" w:type="dxa"/>
            <w:hideMark/>
          </w:tcPr>
          <w:p w14:paraId="5639B466"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30–55</w:t>
            </w:r>
          </w:p>
        </w:tc>
        <w:tc>
          <w:tcPr>
            <w:tcW w:w="1069" w:type="dxa"/>
            <w:hideMark/>
          </w:tcPr>
          <w:p w14:paraId="7ECA8864"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3ADF4E47" w14:textId="0C677E02"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The relative risk of BC </w:t>
            </w:r>
            <w:r w:rsidR="00115669">
              <w:rPr>
                <w:rFonts w:ascii="Calibri" w:eastAsia="Times New Roman" w:hAnsi="Calibri" w:cs="Calibri"/>
                <w:sz w:val="18"/>
                <w:szCs w:val="18"/>
                <w:lang w:eastAsia="en-NZ"/>
              </w:rPr>
              <w:t>associated with density</w:t>
            </w:r>
            <w:r w:rsidRPr="00EF54FD">
              <w:rPr>
                <w:rFonts w:ascii="Calibri" w:eastAsia="Times New Roman" w:hAnsi="Calibri" w:cs="Calibri"/>
                <w:sz w:val="18"/>
                <w:szCs w:val="18"/>
                <w:lang w:eastAsia="en-NZ"/>
              </w:rPr>
              <w:t xml:space="preserve"> (RR for highest quartile compared with lowest quartile</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3.8</w:t>
            </w:r>
          </w:p>
        </w:tc>
      </w:tr>
      <w:tr w:rsidR="00BD6E39" w:rsidRPr="000E3779" w14:paraId="1D42E7BD" w14:textId="77777777" w:rsidTr="00FF61D8">
        <w:trPr>
          <w:trHeight w:val="1450"/>
        </w:trPr>
        <w:tc>
          <w:tcPr>
            <w:tcW w:w="988" w:type="dxa"/>
            <w:hideMark/>
          </w:tcPr>
          <w:p w14:paraId="363FC9DF" w14:textId="0816375B"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Boyd</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2007</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483039D1" w14:textId="2EA5C05C" w:rsidR="00BD6E39" w:rsidRPr="00EF54FD" w:rsidRDefault="00CA6B4A"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Nested case-control</w:t>
            </w:r>
            <w:r w:rsidR="00BD6E39" w:rsidRPr="00EF54FD">
              <w:rPr>
                <w:rFonts w:ascii="Calibri" w:eastAsia="Times New Roman" w:hAnsi="Calibri" w:cs="Calibri"/>
                <w:sz w:val="18"/>
                <w:szCs w:val="18"/>
                <w:lang w:eastAsia="en-NZ"/>
              </w:rPr>
              <w:t xml:space="preserve"> </w:t>
            </w:r>
          </w:p>
        </w:tc>
        <w:tc>
          <w:tcPr>
            <w:tcW w:w="2126" w:type="dxa"/>
          </w:tcPr>
          <w:p w14:paraId="355971A4" w14:textId="122B427E" w:rsidR="00BD6E39" w:rsidRPr="00EF54FD" w:rsidRDefault="00CA6B4A"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National Breast-Screening Study (1984-1990), British Columbia Screening Mammography Program (1988-1999), Ontario Breast-Screening Program (1992-1998)</w:t>
            </w:r>
          </w:p>
        </w:tc>
        <w:tc>
          <w:tcPr>
            <w:tcW w:w="1984" w:type="dxa"/>
          </w:tcPr>
          <w:p w14:paraId="776EDA1E" w14:textId="5F895B48"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entry to programme), study site</w:t>
            </w:r>
          </w:p>
        </w:tc>
        <w:tc>
          <w:tcPr>
            <w:tcW w:w="2127" w:type="dxa"/>
          </w:tcPr>
          <w:p w14:paraId="647C2621" w14:textId="78C7B97D"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menarche, at menopause), BMI, parity, menopausal status, HRT, family history</w:t>
            </w:r>
          </w:p>
        </w:tc>
        <w:tc>
          <w:tcPr>
            <w:tcW w:w="850" w:type="dxa"/>
            <w:hideMark/>
          </w:tcPr>
          <w:p w14:paraId="7D26DD8A" w14:textId="13F977F8"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1,112: 97</w:t>
            </w:r>
          </w:p>
        </w:tc>
        <w:tc>
          <w:tcPr>
            <w:tcW w:w="774" w:type="dxa"/>
            <w:hideMark/>
          </w:tcPr>
          <w:p w14:paraId="570DF66F"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40–80</w:t>
            </w:r>
          </w:p>
        </w:tc>
        <w:tc>
          <w:tcPr>
            <w:tcW w:w="1069" w:type="dxa"/>
            <w:hideMark/>
          </w:tcPr>
          <w:p w14:paraId="4DB3F18A"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2835" w:type="dxa"/>
            <w:hideMark/>
          </w:tcPr>
          <w:p w14:paraId="0B462695" w14:textId="53C33D10"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Women with density ≥75% had an increased risk of BC (OR 4.7) than women with density &lt;10%. The increased risk persisted for ≥8</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years after study entry and was greater in younger than in older women</w:t>
            </w:r>
          </w:p>
        </w:tc>
      </w:tr>
      <w:tr w:rsidR="00BD6E39" w:rsidRPr="000E3779" w14:paraId="75A7FF82" w14:textId="77777777" w:rsidTr="00FF61D8">
        <w:trPr>
          <w:trHeight w:val="970"/>
        </w:trPr>
        <w:tc>
          <w:tcPr>
            <w:tcW w:w="988" w:type="dxa"/>
            <w:hideMark/>
          </w:tcPr>
          <w:p w14:paraId="2AC10DAF" w14:textId="6B0953CB"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Vachon</w:t>
            </w:r>
            <w:r w:rsidR="00DB122D">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2007</w:t>
            </w:r>
            <w:r w:rsidR="00DB122D">
              <w:rPr>
                <w:rFonts w:ascii="Calibri" w:eastAsia="Times New Roman" w:hAnsi="Calibri" w:cs="Calibri"/>
                <w:sz w:val="18"/>
                <w:szCs w:val="18"/>
                <w:lang w:eastAsia="en-NZ"/>
              </w:rPr>
              <w:t>)</w:t>
            </w:r>
            <w:r w:rsidRPr="00EF54FD">
              <w:rPr>
                <w:rFonts w:ascii="Calibri" w:eastAsia="Times New Roman" w:hAnsi="Calibri" w:cs="Calibri"/>
                <w:sz w:val="18"/>
                <w:szCs w:val="18"/>
                <w:lang w:eastAsia="en-NZ"/>
              </w:rPr>
              <w:t xml:space="preserve"> </w:t>
            </w:r>
          </w:p>
        </w:tc>
        <w:tc>
          <w:tcPr>
            <w:tcW w:w="1134" w:type="dxa"/>
            <w:hideMark/>
          </w:tcPr>
          <w:p w14:paraId="4B36CC1D" w14:textId="6C55B95E" w:rsidR="00BD6E39" w:rsidRPr="00EF54FD" w:rsidRDefault="00CA6B4A"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r w:rsidR="00BD6E39" w:rsidRPr="00EF54FD">
              <w:rPr>
                <w:rFonts w:ascii="Calibri" w:eastAsia="Times New Roman" w:hAnsi="Calibri" w:cs="Calibri"/>
                <w:sz w:val="18"/>
                <w:szCs w:val="18"/>
                <w:lang w:eastAsia="en-NZ"/>
              </w:rPr>
              <w:t xml:space="preserve"> </w:t>
            </w:r>
          </w:p>
        </w:tc>
        <w:tc>
          <w:tcPr>
            <w:tcW w:w="2126" w:type="dxa"/>
          </w:tcPr>
          <w:p w14:paraId="3DE6AAEF" w14:textId="12188493" w:rsidR="00BD6E39" w:rsidRPr="00EF54FD" w:rsidRDefault="00CA6B4A"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Mammography Screening Program, Mayo Clinic, USA, 1997-2001</w:t>
            </w:r>
          </w:p>
        </w:tc>
        <w:tc>
          <w:tcPr>
            <w:tcW w:w="1984" w:type="dxa"/>
          </w:tcPr>
          <w:p w14:paraId="4DB99353" w14:textId="68A61DC0"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final screening exam date, menopausal status, time between baseline and final mammogram, number of prior mammograms</w:t>
            </w:r>
          </w:p>
        </w:tc>
        <w:tc>
          <w:tcPr>
            <w:tcW w:w="2127" w:type="dxa"/>
          </w:tcPr>
          <w:p w14:paraId="001E7FB9" w14:textId="2694DF8D" w:rsidR="00BD6E39" w:rsidRPr="00EF54FD" w:rsidRDefault="00BD6E3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Age at first birth, BMI, menopausal status, family history, parity, HRT</w:t>
            </w:r>
          </w:p>
        </w:tc>
        <w:tc>
          <w:tcPr>
            <w:tcW w:w="850" w:type="dxa"/>
            <w:hideMark/>
          </w:tcPr>
          <w:p w14:paraId="104150B3" w14:textId="09CFB34E"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372: 713</w:t>
            </w:r>
          </w:p>
        </w:tc>
        <w:tc>
          <w:tcPr>
            <w:tcW w:w="774" w:type="dxa"/>
            <w:hideMark/>
          </w:tcPr>
          <w:p w14:paraId="34C1A68A"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50+</w:t>
            </w:r>
          </w:p>
        </w:tc>
        <w:tc>
          <w:tcPr>
            <w:tcW w:w="1069" w:type="dxa"/>
            <w:hideMark/>
          </w:tcPr>
          <w:p w14:paraId="041EC8DD" w14:textId="77777777" w:rsidR="00BD6E39" w:rsidRPr="00EF54FD" w:rsidRDefault="00BD6E39" w:rsidP="00EB35FA">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2835" w:type="dxa"/>
            <w:hideMark/>
          </w:tcPr>
          <w:p w14:paraId="2C0C79C3" w14:textId="60C7B458" w:rsidR="00BD6E39" w:rsidRPr="00EF54FD" w:rsidRDefault="00115669" w:rsidP="00EB35FA">
            <w:pPr>
              <w:rPr>
                <w:rFonts w:ascii="Calibri" w:eastAsia="Times New Roman" w:hAnsi="Calibri" w:cs="Calibri"/>
                <w:sz w:val="18"/>
                <w:szCs w:val="18"/>
                <w:lang w:eastAsia="en-NZ"/>
              </w:rPr>
            </w:pPr>
            <w:r>
              <w:rPr>
                <w:rFonts w:ascii="Calibri" w:eastAsia="Times New Roman" w:hAnsi="Calibri" w:cs="Calibri"/>
                <w:sz w:val="18"/>
                <w:szCs w:val="18"/>
                <w:lang w:eastAsia="en-NZ"/>
              </w:rPr>
              <w:t>Density</w:t>
            </w:r>
            <w:r w:rsidR="00BD6E39" w:rsidRPr="00EF54FD">
              <w:rPr>
                <w:rFonts w:ascii="Calibri" w:eastAsia="Times New Roman" w:hAnsi="Calibri" w:cs="Calibri"/>
                <w:sz w:val="18"/>
                <w:szCs w:val="18"/>
                <w:lang w:eastAsia="en-NZ"/>
              </w:rPr>
              <w:t xml:space="preserve"> represented a general marker of BC risk that is not specific to breast side or location of the eventual cancer</w:t>
            </w:r>
          </w:p>
        </w:tc>
      </w:tr>
    </w:tbl>
    <w:p w14:paraId="49021DFB" w14:textId="4ECF8592" w:rsidR="00EB35FA" w:rsidRDefault="00CA6B4A" w:rsidP="00EB35FA">
      <w:pPr>
        <w:pStyle w:val="BodyText"/>
        <w:spacing w:line="240" w:lineRule="auto"/>
        <w:rPr>
          <w:rFonts w:asciiTheme="majorHAnsi" w:hAnsiTheme="majorHAnsi" w:cstheme="majorHAnsi"/>
          <w:color w:val="333333"/>
          <w:spacing w:val="2"/>
          <w:sz w:val="16"/>
          <w:szCs w:val="26"/>
          <w:shd w:val="clear" w:color="auto" w:fill="FCFCFC"/>
        </w:rPr>
      </w:pPr>
      <w:r w:rsidRPr="003122C0">
        <w:rPr>
          <w:rStyle w:val="Emphasis"/>
          <w:rFonts w:asciiTheme="majorHAnsi" w:hAnsiTheme="majorHAnsi" w:cstheme="majorHAnsi"/>
          <w:sz w:val="18"/>
          <w:szCs w:val="20"/>
        </w:rPr>
        <w:t>Abbreviations</w:t>
      </w:r>
      <w:r w:rsidRPr="003122C0">
        <w:rPr>
          <w:rFonts w:asciiTheme="majorHAnsi" w:hAnsiTheme="majorHAnsi" w:cstheme="majorHAnsi"/>
          <w:sz w:val="18"/>
          <w:szCs w:val="20"/>
        </w:rPr>
        <w:t>:</w:t>
      </w:r>
      <w:r w:rsidR="00115669">
        <w:rPr>
          <w:rFonts w:asciiTheme="majorHAnsi" w:hAnsiTheme="majorHAnsi" w:cstheme="majorHAnsi"/>
          <w:sz w:val="18"/>
          <w:szCs w:val="20"/>
        </w:rPr>
        <w:t xml:space="preserve"> BC = breast cancer; HD = high density; </w:t>
      </w:r>
      <w:r w:rsidR="00C6485B">
        <w:rPr>
          <w:rFonts w:asciiTheme="majorHAnsi" w:hAnsiTheme="majorHAnsi" w:cstheme="majorHAnsi"/>
          <w:sz w:val="18"/>
          <w:szCs w:val="20"/>
        </w:rPr>
        <w:t>HRT = hormonal replacement therapy</w:t>
      </w:r>
      <w:r w:rsidR="00C6485B">
        <w:rPr>
          <w:rFonts w:asciiTheme="majorHAnsi" w:hAnsiTheme="majorHAnsi" w:cstheme="majorHAnsi"/>
          <w:color w:val="333333"/>
          <w:spacing w:val="2"/>
          <w:sz w:val="16"/>
          <w:szCs w:val="26"/>
          <w:shd w:val="clear" w:color="auto" w:fill="FCFCFC"/>
        </w:rPr>
        <w:t xml:space="preserve">; </w:t>
      </w:r>
      <w:r w:rsidR="00115669">
        <w:rPr>
          <w:rFonts w:asciiTheme="majorHAnsi" w:hAnsiTheme="majorHAnsi" w:cstheme="majorHAnsi"/>
          <w:sz w:val="18"/>
          <w:szCs w:val="20"/>
        </w:rPr>
        <w:t>PD = percent density;</w:t>
      </w:r>
      <w:r w:rsidRPr="003122C0">
        <w:rPr>
          <w:rFonts w:asciiTheme="majorHAnsi" w:hAnsiTheme="majorHAnsi" w:cstheme="majorHAnsi"/>
          <w:sz w:val="18"/>
          <w:szCs w:val="20"/>
        </w:rPr>
        <w:t xml:space="preserve"> </w:t>
      </w:r>
    </w:p>
    <w:p w14:paraId="44BD0AD5" w14:textId="77777777" w:rsidR="0000565D" w:rsidRDefault="0000565D" w:rsidP="00EB35FA">
      <w:pPr>
        <w:pStyle w:val="BodyText"/>
        <w:spacing w:line="240" w:lineRule="auto"/>
        <w:rPr>
          <w:rFonts w:asciiTheme="majorHAnsi" w:hAnsiTheme="majorHAnsi" w:cstheme="majorHAnsi"/>
          <w:sz w:val="12"/>
        </w:rPr>
        <w:sectPr w:rsidR="0000565D" w:rsidSect="0000565D">
          <w:pgSz w:w="16839" w:h="11907" w:orient="landscape" w:code="9"/>
          <w:pgMar w:top="1418" w:right="1418" w:bottom="1418" w:left="1418" w:header="964" w:footer="964" w:gutter="0"/>
          <w:cols w:space="708"/>
          <w:docGrid w:linePitch="360"/>
        </w:sectPr>
      </w:pPr>
    </w:p>
    <w:p w14:paraId="09256A80" w14:textId="75363E76" w:rsidR="00714100" w:rsidRDefault="00714100" w:rsidP="007D4A21">
      <w:pPr>
        <w:pStyle w:val="NumberedHeading3"/>
      </w:pPr>
      <w:bookmarkStart w:id="63" w:name="_Toc518922204"/>
      <w:r>
        <w:lastRenderedPageBreak/>
        <w:t xml:space="preserve">Breast density as an independent risk factor </w:t>
      </w:r>
      <w:r w:rsidR="00C26979">
        <w:t>for breast cancer</w:t>
      </w:r>
      <w:bookmarkEnd w:id="63"/>
    </w:p>
    <w:p w14:paraId="7144F47B" w14:textId="3C8E72B1" w:rsidR="00EB35FA" w:rsidRDefault="00EB35FA" w:rsidP="00EB35FA">
      <w:pPr>
        <w:pStyle w:val="BodyText"/>
      </w:pPr>
      <w:r w:rsidRPr="009925C4">
        <w:t xml:space="preserve">High breast density has been shown to be an independent risk factor for breast cancer, but the degree of risk remains controversial due to limited research plus the historic lack of standardised breast density classification criteria. Huo et al. </w:t>
      </w:r>
      <w:r w:rsidR="00347F88">
        <w:t>(201</w:t>
      </w:r>
      <w:r w:rsidR="00937448">
        <w:t>4</w:t>
      </w:r>
      <w:r w:rsidR="00347F88">
        <w:t xml:space="preserve">) </w:t>
      </w:r>
      <w:r w:rsidRPr="009925C4">
        <w:t>and Colin et al.</w:t>
      </w:r>
      <w:r w:rsidR="00347F88">
        <w:t>’s</w:t>
      </w:r>
      <w:r w:rsidR="00E16AC0">
        <w:t xml:space="preserve"> (2013)</w:t>
      </w:r>
      <w:r w:rsidRPr="009925C4">
        <w:t xml:space="preserve"> studies show that compared to women with predominately fatty breast tissue, women with extremely dense breasts have up to 4 to 6 times increased risk for breast cancer.</w:t>
      </w:r>
      <w:r w:rsidR="00BB2B6B" w:rsidRPr="009925C4">
        <w:t xml:space="preserve"> </w:t>
      </w:r>
      <w:r w:rsidRPr="009925C4">
        <w:t>However, as stated earlier, only approximately 10% of women have predominately fatty or extremely dense breasts. Most women have scattered fibroglandular tissue or heterogeneously dense breasts, each accounting for approximately 40% of the population</w:t>
      </w:r>
      <w:r w:rsidR="00347F88">
        <w:t>. R</w:t>
      </w:r>
      <w:r w:rsidRPr="009925C4">
        <w:t>elative risk among the general population</w:t>
      </w:r>
      <w:r w:rsidR="00347F88">
        <w:t xml:space="preserve"> is therefore likely to be lower than the estimates derived using women with fatty breasts as the comparator</w:t>
      </w:r>
      <w:r w:rsidRPr="009925C4">
        <w:t>. Comparing women with heterogeneously or extremely dense breast tissue with women with average breast density, the relative risk decreases to approximately 1.2 and 2.1, r</w:t>
      </w:r>
      <w:r w:rsidR="00615F71" w:rsidRPr="009925C4">
        <w:t>espectively (Hooley et al., 2017</w:t>
      </w:r>
      <w:r w:rsidRPr="009925C4">
        <w:t>). Taking methodological limitations into account, compared with other known risk factors, having extremely dense breast tissue appears to place a woman at intermediate risk of breast cancer.</w:t>
      </w:r>
      <w:r w:rsidR="007D4A21" w:rsidRPr="009925C4">
        <w:t xml:space="preserve"> </w:t>
      </w:r>
    </w:p>
    <w:p w14:paraId="57A3D135" w14:textId="2120E257" w:rsidR="00A90558" w:rsidRDefault="00684ED6" w:rsidP="00EB35FA">
      <w:pPr>
        <w:pStyle w:val="BodyText"/>
      </w:pPr>
      <w:r>
        <w:t xml:space="preserve">This need to differentiate </w:t>
      </w:r>
      <w:r w:rsidR="006338F4">
        <w:t xml:space="preserve">risk at the extremes of density was highlighted by a recent study conducted on </w:t>
      </w:r>
      <w:r w:rsidR="00626DB7">
        <w:t xml:space="preserve">a small sample of </w:t>
      </w:r>
      <w:r w:rsidR="006338F4">
        <w:t>Australian women</w:t>
      </w:r>
      <w:r w:rsidR="00626DB7">
        <w:t>, 354 with breast cancer and 944 age-matched controls</w:t>
      </w:r>
      <w:r w:rsidR="006338F4">
        <w:t xml:space="preserve"> (Nguyen et al., 2017). </w:t>
      </w:r>
      <w:r w:rsidR="00626DB7">
        <w:t>In this study, breast density was measured with Cumulus using three different thresholds for dense area detection: the standard Cumulus threshold, and then two increasingly higher thresholds (i.e., i</w:t>
      </w:r>
      <w:r w:rsidR="00AA75F4">
        <w:t xml:space="preserve">dentifying areas that were </w:t>
      </w:r>
      <w:proofErr w:type="gramStart"/>
      <w:r w:rsidR="00AA75F4">
        <w:t xml:space="preserve">more </w:t>
      </w:r>
      <w:r w:rsidR="00626DB7">
        <w:t>dense</w:t>
      </w:r>
      <w:proofErr w:type="gramEnd"/>
      <w:r w:rsidR="00626DB7">
        <w:t xml:space="preserve"> than standard thresholds). The researchers found that risk of breast cancer was more strongly associated with dense area identified using the two higher thresholds (OR = 1.74 and 1.73, per one SD increase in density) than with dense area identified using the standard threshold (OR = 1.62; </w:t>
      </w:r>
      <w:r w:rsidR="00626DB7">
        <w:rPr>
          <w:i/>
        </w:rPr>
        <w:t xml:space="preserve">p </w:t>
      </w:r>
      <w:r w:rsidR="00626DB7">
        <w:t>&lt;.001). Furthermore, after controlling for dense area identified using the higher thresholds, dense area identified using the standard threshold was no longer significantly predictive of cancer risk (</w:t>
      </w:r>
      <w:r w:rsidR="00626DB7">
        <w:rPr>
          <w:i/>
        </w:rPr>
        <w:t xml:space="preserve">p </w:t>
      </w:r>
      <w:r w:rsidR="00626DB7">
        <w:t>&gt; .06). These results suggest that the association between absolute dense breast area and breast cancer risk relates to denser areas of tissue than are currently considered “dense” by standard measurement thresholds</w:t>
      </w:r>
      <w:r w:rsidR="001C10CD">
        <w:t xml:space="preserve">; the strength of this association was close to 30% stronger for areas of higher mammographic density compared to conventional measures of density. </w:t>
      </w:r>
    </w:p>
    <w:p w14:paraId="616A7517" w14:textId="13199633" w:rsidR="00684ED6" w:rsidRPr="00626DB7" w:rsidRDefault="001C10CD" w:rsidP="00EB35FA">
      <w:pPr>
        <w:pStyle w:val="BodyText"/>
      </w:pPr>
      <w:r>
        <w:t>It is important to note that this relationship was not found for percent breast density, and that the study is relatively small and retrospective in design.</w:t>
      </w:r>
      <w:r w:rsidR="00A90558">
        <w:t xml:space="preserve"> That said, these results do replicate the similar findings from a previous case-control study conducted by Nguyen and colleagues (2015) using a small sample of Korean women (although in this study results were also significant for percent density).</w:t>
      </w:r>
      <w:r>
        <w:t xml:space="preserve"> </w:t>
      </w:r>
      <w:r w:rsidR="00A90558">
        <w:t xml:space="preserve">Nonetheless, </w:t>
      </w:r>
      <w:r>
        <w:t xml:space="preserve">this finding </w:t>
      </w:r>
      <w:r w:rsidR="00A90558">
        <w:t>needs to be</w:t>
      </w:r>
      <w:r>
        <w:t xml:space="preserve"> replicated in large prospective studies to ensure an accurate understanding of how breast density increases the risk of women across the density spectrum.</w:t>
      </w:r>
    </w:p>
    <w:p w14:paraId="0101A91D" w14:textId="68CC0E55" w:rsidR="00221561" w:rsidRDefault="00714100" w:rsidP="00EB35FA">
      <w:pPr>
        <w:pStyle w:val="BodyText"/>
      </w:pPr>
      <w:r w:rsidRPr="009925C4">
        <w:rPr>
          <w:color w:val="000000"/>
          <w:shd w:val="clear" w:color="auto" w:fill="FFFFFF"/>
        </w:rPr>
        <w:t>It is</w:t>
      </w:r>
      <w:r w:rsidR="007D4A21" w:rsidRPr="009925C4">
        <w:rPr>
          <w:color w:val="000000"/>
          <w:shd w:val="clear" w:color="auto" w:fill="FFFFFF"/>
        </w:rPr>
        <w:t xml:space="preserve"> also</w:t>
      </w:r>
      <w:r w:rsidRPr="009925C4">
        <w:rPr>
          <w:color w:val="000000"/>
          <w:shd w:val="clear" w:color="auto" w:fill="FFFFFF"/>
        </w:rPr>
        <w:t xml:space="preserve"> not yet known to what extent the risk of breast cancer associated with risk factors such as </w:t>
      </w:r>
      <w:r w:rsidR="0012635E">
        <w:rPr>
          <w:color w:val="000000"/>
          <w:shd w:val="clear" w:color="auto" w:fill="FFFFFF"/>
        </w:rPr>
        <w:t>w</w:t>
      </w:r>
      <w:r w:rsidRPr="009925C4">
        <w:rPr>
          <w:color w:val="000000"/>
          <w:shd w:val="clear" w:color="auto" w:fill="FFFFFF"/>
        </w:rPr>
        <w:t xml:space="preserve">eight, parity, and menopause </w:t>
      </w:r>
      <w:r w:rsidR="00C26979" w:rsidRPr="009925C4">
        <w:rPr>
          <w:color w:val="000000"/>
          <w:shd w:val="clear" w:color="auto" w:fill="FFFFFF"/>
        </w:rPr>
        <w:t xml:space="preserve">are </w:t>
      </w:r>
      <w:r w:rsidRPr="009925C4">
        <w:rPr>
          <w:color w:val="000000"/>
          <w:shd w:val="clear" w:color="auto" w:fill="FFFFFF"/>
        </w:rPr>
        <w:t xml:space="preserve">mediated through their associations </w:t>
      </w:r>
      <w:r w:rsidR="007D4A21" w:rsidRPr="009925C4">
        <w:rPr>
          <w:color w:val="000000"/>
          <w:shd w:val="clear" w:color="auto" w:fill="FFFFFF"/>
        </w:rPr>
        <w:t xml:space="preserve">with breast density. </w:t>
      </w:r>
      <w:r w:rsidR="00AE6DD0">
        <w:t>One nested case-control study was identified that assess</w:t>
      </w:r>
      <w:r w:rsidR="00221561">
        <w:t>ed</w:t>
      </w:r>
      <w:r w:rsidR="00AE6DD0">
        <w:t xml:space="preserve"> whether breast density mediates the relationship between other known risk factors and breast cancer risk (Rice et al., 2016). The study used 1290 cases and 3422 controls sourced from the Nurses’ Health Studies cohort in the United States, with breast density measured using Cumulus. Results </w:t>
      </w:r>
      <w:r w:rsidR="00520A18">
        <w:t>showed</w:t>
      </w:r>
      <w:r w:rsidR="00AE6DD0">
        <w:t xml:space="preserve"> that</w:t>
      </w:r>
      <w:r w:rsidR="00520A18">
        <w:t xml:space="preserve"> for premenopausal women, percent</w:t>
      </w:r>
      <w:r w:rsidR="00AE6DD0">
        <w:t xml:space="preserve"> breast density </w:t>
      </w:r>
      <w:r w:rsidR="00520A18">
        <w:t xml:space="preserve">significantly mediated the relationship between breast cancer risk and a number of risk factors, including: BMI at age 18 (82% mediated); adolescent body type (73% mediated); birth index (sum of total years from each birth to woman’s age at mammogram; 38% mediated); and history of confirmed benign breast disease (17% mediated). Percent breast density was also a significant mediator for several risk factors for postmenopausal women, </w:t>
      </w:r>
      <w:r w:rsidR="00520A18">
        <w:lastRenderedPageBreak/>
        <w:t xml:space="preserve">including: history of confirmed benign breast disease (33% mediated); child and adolescent body type (26% mediated); </w:t>
      </w:r>
      <w:r w:rsidR="00221561">
        <w:t xml:space="preserve">hormone therapy use (22% mediated); </w:t>
      </w:r>
      <w:r w:rsidR="00520A18">
        <w:t>and age at first birth (13% mediated).</w:t>
      </w:r>
      <w:r w:rsidR="00221561">
        <w:t xml:space="preserve"> There were also several notable risk factors that were not significantly mediated by percent breast density for either group, including current BMI, family history of breast cancer, and age at menopause. </w:t>
      </w:r>
    </w:p>
    <w:p w14:paraId="082F16A2" w14:textId="14FAB4BE" w:rsidR="00AE6DD0" w:rsidRPr="009925C4" w:rsidRDefault="00221561" w:rsidP="00EB35FA">
      <w:pPr>
        <w:pStyle w:val="BodyText"/>
      </w:pPr>
      <w:r>
        <w:t xml:space="preserve">Rice et al. (2016) concluded that breast density may be an important mediating factor in several biological pathways for breast cancer development. </w:t>
      </w:r>
      <w:r w:rsidRPr="009925C4">
        <w:rPr>
          <w:color w:val="000000"/>
          <w:shd w:val="clear" w:color="auto" w:fill="FFFFFF"/>
        </w:rPr>
        <w:t>For example, in Huo et al’s review, a</w:t>
      </w:r>
      <w:r w:rsidRPr="009925C4">
        <w:t>ll studies adjusted for BMI except Kavanagh et al. (2008), Olsen et al. (2009), and Stone et al. (2010). The adjustment for age and BMI is necessary because breast density decreases with age and having more dense breasts is more strongly associated with lower BMI. Breast cancer risk, however, increases with age and, for women of population screening age, with increasing BMI post-menopause (Nguyen et al., 2013). Therefore, the case–control studies have adjusted for this ‘negative confounding’. Huo et al. (201</w:t>
      </w:r>
      <w:r w:rsidR="00937448">
        <w:t>4</w:t>
      </w:r>
      <w:r w:rsidRPr="009925C4">
        <w:t>) suggested taking care with the conclusions drawn from the studies that adjust for BMI because although high BMI is associated with increased non-dense area in the breast (which is a fat storage site), it also has been found to negatively correlate with absolute dense area in many, but not all studies. The reason for this possible inverse relationship is unclear. It is hypothesised that androgens derived from increased adiposity may play a role in reducing fibroglandular components or high BMI stimulates the differentiation of stromal preadipocytes into fat rather than collagen.</w:t>
      </w:r>
      <w:r>
        <w:t xml:space="preserve"> </w:t>
      </w:r>
    </w:p>
    <w:p w14:paraId="18066D82" w14:textId="6381C81D" w:rsidR="0078379C" w:rsidRDefault="007D4A21" w:rsidP="00E368C3">
      <w:pPr>
        <w:pStyle w:val="BodyText"/>
      </w:pPr>
      <w:r w:rsidRPr="009925C4">
        <w:t xml:space="preserve">When studies adjust for confounders as shown above, women with more dense breasts </w:t>
      </w:r>
      <w:r w:rsidR="006F449C" w:rsidRPr="009925C4">
        <w:t xml:space="preserve">remain at </w:t>
      </w:r>
      <w:r w:rsidR="002700F6" w:rsidRPr="009925C4">
        <w:t>higher risk of breast cancer than those with less dense breasts, suggesting breast density is an independent risk factor</w:t>
      </w:r>
      <w:r w:rsidR="006F449C" w:rsidRPr="009925C4">
        <w:t xml:space="preserve"> (</w:t>
      </w:r>
      <w:r w:rsidR="00186A77">
        <w:t xml:space="preserve">Habel et al., 2016; </w:t>
      </w:r>
      <w:r w:rsidR="006F449C" w:rsidRPr="009925C4">
        <w:t>Huo et al</w:t>
      </w:r>
      <w:r w:rsidR="00186A77">
        <w:t>.</w:t>
      </w:r>
      <w:r w:rsidR="006F449C" w:rsidRPr="009925C4">
        <w:t>, 201</w:t>
      </w:r>
      <w:r w:rsidR="00937448">
        <w:t>4</w:t>
      </w:r>
      <w:r w:rsidR="00186A77">
        <w:t xml:space="preserve">; </w:t>
      </w:r>
      <w:r w:rsidR="00960F15">
        <w:t xml:space="preserve">Masala et al., 2017; </w:t>
      </w:r>
      <w:r w:rsidR="00186A77">
        <w:t>Yaghjyan et al., 2015</w:t>
      </w:r>
      <w:r w:rsidR="003C3B25">
        <w:t>a</w:t>
      </w:r>
      <w:r w:rsidR="006F449C" w:rsidRPr="009925C4">
        <w:t>)</w:t>
      </w:r>
      <w:r w:rsidR="002700F6" w:rsidRPr="009925C4">
        <w:t>. There are no studies that have investigated breast cancer risk where breast density is the only factor</w:t>
      </w:r>
      <w:r w:rsidR="00183B38">
        <w:t>. F</w:t>
      </w:r>
      <w:r w:rsidR="00F7103D" w:rsidRPr="009925C4">
        <w:t>or exampl</w:t>
      </w:r>
      <w:r w:rsidR="00183B38">
        <w:t xml:space="preserve">e, Ho et al. (2014) </w:t>
      </w:r>
      <w:r w:rsidR="00F7103D" w:rsidRPr="009925C4">
        <w:t xml:space="preserve">noted that the participants in the ACRIN6666 study (explained in more detail </w:t>
      </w:r>
      <w:r w:rsidR="00BC0BE0" w:rsidRPr="009925C4">
        <w:t>in section 3.4.2</w:t>
      </w:r>
      <w:r w:rsidR="00F7103D" w:rsidRPr="009925C4">
        <w:t>) comprised women with an elevated risk of breast cancer, independent of their breast tissue. Therefore, it is difficult to conclude</w:t>
      </w:r>
      <w:r w:rsidR="00BC0BE0" w:rsidRPr="009925C4">
        <w:t xml:space="preserve"> what the risk and screening options </w:t>
      </w:r>
      <w:r w:rsidR="00F7103D" w:rsidRPr="009925C4">
        <w:t xml:space="preserve">for women with dense breasts and </w:t>
      </w:r>
      <w:r w:rsidR="00D85465">
        <w:t>no</w:t>
      </w:r>
      <w:r w:rsidR="00F7103D" w:rsidRPr="009925C4">
        <w:t xml:space="preserve"> other </w:t>
      </w:r>
      <w:r w:rsidR="00D85465">
        <w:t xml:space="preserve">moderate or strong </w:t>
      </w:r>
      <w:r w:rsidR="00F7103D" w:rsidRPr="009925C4">
        <w:t>risk factors would be. Recruiting women with breast density as their only risk factor</w:t>
      </w:r>
      <w:r w:rsidR="002700F6" w:rsidRPr="009925C4">
        <w:t xml:space="preserve"> is likely to be very difficult to achieve given the interlinking </w:t>
      </w:r>
      <w:r w:rsidR="006F449C" w:rsidRPr="009925C4">
        <w:t xml:space="preserve">and associations </w:t>
      </w:r>
      <w:r w:rsidR="00BC0BE0" w:rsidRPr="009925C4">
        <w:t>between</w:t>
      </w:r>
      <w:r w:rsidR="006F449C" w:rsidRPr="009925C4">
        <w:t xml:space="preserve"> breast cancer risk factors such as age, BMI and breast density. </w:t>
      </w:r>
      <w:r w:rsidR="00221561">
        <w:t>More evidence from large prospective studies is required to fully understand how and to what extent breast density mediates the relationship between known risk factors and breast cancer risk.</w:t>
      </w:r>
    </w:p>
    <w:p w14:paraId="0EE55FCF" w14:textId="0F7DB88C" w:rsidR="00E368C3" w:rsidRPr="009925C4" w:rsidRDefault="006F449C" w:rsidP="00E368C3">
      <w:pPr>
        <w:pStyle w:val="BodyText"/>
      </w:pPr>
      <w:r w:rsidRPr="009925C4">
        <w:t xml:space="preserve">A more recent study by </w:t>
      </w:r>
      <w:r w:rsidR="00E368C3" w:rsidRPr="009925C4">
        <w:t xml:space="preserve">Kerlikowske et al. </w:t>
      </w:r>
      <w:r w:rsidR="00C26979" w:rsidRPr="009925C4">
        <w:t>(</w:t>
      </w:r>
      <w:r w:rsidR="00E368C3" w:rsidRPr="009925C4">
        <w:t>2015</w:t>
      </w:r>
      <w:r w:rsidR="00C26979" w:rsidRPr="009925C4">
        <w:t>)</w:t>
      </w:r>
      <w:r w:rsidR="00E368C3" w:rsidRPr="009925C4">
        <w:t xml:space="preserve"> aimed to determine</w:t>
      </w:r>
      <w:r w:rsidRPr="009925C4">
        <w:t xml:space="preserve"> which combinations of breast cancer risk and </w:t>
      </w:r>
      <w:r w:rsidR="00275D65">
        <w:t>BIRADS</w:t>
      </w:r>
      <w:r w:rsidRPr="009925C4">
        <w:t xml:space="preserve"> breast density categories are associated with high</w:t>
      </w:r>
      <w:r w:rsidR="00420494">
        <w:t>er</w:t>
      </w:r>
      <w:r w:rsidRPr="009925C4">
        <w:t xml:space="preserve"> interval cancer rates.</w:t>
      </w:r>
      <w:r w:rsidR="00E368C3" w:rsidRPr="009925C4">
        <w:t xml:space="preserve"> They analysed 365,426 women aged 40 to 74 years who had 831</w:t>
      </w:r>
      <w:r w:rsidR="00C26979" w:rsidRPr="009925C4">
        <w:t>,</w:t>
      </w:r>
      <w:r w:rsidR="00E368C3" w:rsidRPr="009925C4">
        <w:t>455 digital screening mammography examinations from the Br</w:t>
      </w:r>
      <w:r w:rsidRPr="009925C4">
        <w:t>east Cancer</w:t>
      </w:r>
      <w:r w:rsidR="00E368C3" w:rsidRPr="009925C4">
        <w:t xml:space="preserve"> Surveillance Consortium (BCSC) study, recording </w:t>
      </w:r>
      <w:r w:rsidR="00275D65">
        <w:t>BIRADS</w:t>
      </w:r>
      <w:r w:rsidR="00E368C3" w:rsidRPr="009925C4">
        <w:t xml:space="preserve"> breast density, BCSC 5-year breast cancer risk, and interval cancer rate (invasive cancer ≤12 months after a normal mammography result) per 1000 mammography examinations. They found that h</w:t>
      </w:r>
      <w:r w:rsidRPr="009925C4">
        <w:t>igh interval cancer rates</w:t>
      </w:r>
      <w:r w:rsidR="00E368C3" w:rsidRPr="009925C4">
        <w:t xml:space="preserve"> (</w:t>
      </w:r>
      <w:r w:rsidR="003C19BF" w:rsidRPr="009925C4">
        <w:t>≥</w:t>
      </w:r>
      <w:r w:rsidR="00E368C3" w:rsidRPr="009925C4">
        <w:t>1 case per 1000 examinations) were observed for women with:</w:t>
      </w:r>
    </w:p>
    <w:p w14:paraId="7C6403CC" w14:textId="46F14A76" w:rsidR="00E368C3" w:rsidRPr="009925C4" w:rsidRDefault="008524B4" w:rsidP="00522F1A">
      <w:pPr>
        <w:pStyle w:val="BodyText"/>
        <w:numPr>
          <w:ilvl w:val="0"/>
          <w:numId w:val="22"/>
        </w:numPr>
      </w:pPr>
      <w:r>
        <w:t>A f</w:t>
      </w:r>
      <w:r w:rsidR="008539D9" w:rsidRPr="009925C4">
        <w:t>ive</w:t>
      </w:r>
      <w:r w:rsidR="006F449C" w:rsidRPr="009925C4">
        <w:t xml:space="preserve">-year </w:t>
      </w:r>
      <w:r>
        <w:t xml:space="preserve">breast cancer </w:t>
      </w:r>
      <w:r w:rsidR="006F449C" w:rsidRPr="009925C4">
        <w:t>risk of 1.67% or greater</w:t>
      </w:r>
      <w:r>
        <w:t>,</w:t>
      </w:r>
      <w:r w:rsidR="00E368C3" w:rsidRPr="009925C4">
        <w:t xml:space="preserve"> and extremely dense breasts </w:t>
      </w:r>
    </w:p>
    <w:p w14:paraId="2AFFAA34" w14:textId="5C8E1229" w:rsidR="00E368C3" w:rsidRPr="009925C4" w:rsidRDefault="008524B4" w:rsidP="00522F1A">
      <w:pPr>
        <w:pStyle w:val="BodyText"/>
        <w:numPr>
          <w:ilvl w:val="0"/>
          <w:numId w:val="22"/>
        </w:numPr>
      </w:pPr>
      <w:r>
        <w:t>A f</w:t>
      </w:r>
      <w:r w:rsidR="008539D9" w:rsidRPr="009925C4">
        <w:t>ive</w:t>
      </w:r>
      <w:r w:rsidR="006F449C" w:rsidRPr="009925C4">
        <w:t>-year</w:t>
      </w:r>
      <w:r>
        <w:t xml:space="preserve"> breast cancer</w:t>
      </w:r>
      <w:r w:rsidR="006F449C" w:rsidRPr="009925C4">
        <w:t xml:space="preserve"> risk of 2.50% or greater</w:t>
      </w:r>
      <w:r>
        <w:t>,</w:t>
      </w:r>
      <w:r w:rsidR="006F449C" w:rsidRPr="009925C4">
        <w:t xml:space="preserve"> and heterogeneously dense breasts (24% of</w:t>
      </w:r>
      <w:r w:rsidR="00D66A1B" w:rsidRPr="009925C4">
        <w:t xml:space="preserve"> all women with dense breasts)</w:t>
      </w:r>
    </w:p>
    <w:p w14:paraId="1ED713CF" w14:textId="6158E865" w:rsidR="006F449C" w:rsidRPr="009925C4" w:rsidRDefault="008539D9" w:rsidP="003C19BF">
      <w:pPr>
        <w:pStyle w:val="BodyText"/>
      </w:pPr>
      <w:r w:rsidRPr="009925C4">
        <w:t>Five-year</w:t>
      </w:r>
      <w:r w:rsidR="006F449C" w:rsidRPr="009925C4">
        <w:t xml:space="preserve"> risk was low to average (0% to 1.66%) for 51.0% of women with heterogeneously dense breasts and</w:t>
      </w:r>
      <w:r w:rsidR="00E368C3" w:rsidRPr="009925C4">
        <w:t xml:space="preserve"> </w:t>
      </w:r>
      <w:r w:rsidR="006F449C" w:rsidRPr="009925C4">
        <w:t>52.5% wit</w:t>
      </w:r>
      <w:r w:rsidR="003C19BF" w:rsidRPr="009925C4">
        <w:t>h extremely dense breasts.</w:t>
      </w:r>
      <w:r w:rsidR="0078379C">
        <w:t xml:space="preserve"> These women had an interval cancer rate of less than 1 case per 1,000 mammography examinations.</w:t>
      </w:r>
    </w:p>
    <w:p w14:paraId="44BCB252" w14:textId="27712541" w:rsidR="006F449C" w:rsidRPr="00D66A1B" w:rsidRDefault="003C19BF" w:rsidP="00D66A1B">
      <w:pPr>
        <w:pStyle w:val="BodyText"/>
      </w:pPr>
      <w:r w:rsidRPr="009925C4">
        <w:lastRenderedPageBreak/>
        <w:t>They concluded that b</w:t>
      </w:r>
      <w:r w:rsidR="006F449C" w:rsidRPr="009925C4">
        <w:t>reast density should not be the sole criterion for deciding whether supplemental imaging is justified because not all women with dense breasts have high interval cancer rates.</w:t>
      </w:r>
      <w:r w:rsidRPr="009925C4">
        <w:t xml:space="preserve"> </w:t>
      </w:r>
      <w:r w:rsidRPr="0012635E">
        <w:t xml:space="preserve">Age and breast cancer risk influence </w:t>
      </w:r>
      <w:r w:rsidRPr="009925C4">
        <w:t>cancer incidence</w:t>
      </w:r>
      <w:r w:rsidR="0012635E">
        <w:t xml:space="preserve"> </w:t>
      </w:r>
      <w:r w:rsidRPr="009925C4">
        <w:t>and tumour stage at diagnosis</w:t>
      </w:r>
      <w:r w:rsidR="0012635E">
        <w:t xml:space="preserve"> (and therefore screening performance)</w:t>
      </w:r>
      <w:r w:rsidRPr="009925C4">
        <w:t xml:space="preserve">. These factors should be considered along with breast density to optimise identification of women with high interval cancer rates or high rates of false-positive results who may benefit from supplemental </w:t>
      </w:r>
      <w:r w:rsidR="00403BDB">
        <w:t xml:space="preserve">testing </w:t>
      </w:r>
      <w:r w:rsidRPr="009925C4">
        <w:t>or alternative screening strategies.</w:t>
      </w:r>
    </w:p>
    <w:p w14:paraId="7D640BC4" w14:textId="77777777" w:rsidR="00EB35FA" w:rsidRPr="00E7294A" w:rsidRDefault="00EB35FA" w:rsidP="00EB35FA">
      <w:pPr>
        <w:pStyle w:val="NumberedHeading3"/>
      </w:pPr>
      <w:bookmarkStart w:id="64" w:name="_Toc507914430"/>
      <w:bookmarkStart w:id="65" w:name="_Toc507976155"/>
      <w:bookmarkStart w:id="66" w:name="_Toc518922205"/>
      <w:r>
        <w:t>Age, b</w:t>
      </w:r>
      <w:r w:rsidRPr="00E7294A">
        <w:t xml:space="preserve">reast </w:t>
      </w:r>
      <w:r>
        <w:t>d</w:t>
      </w:r>
      <w:r w:rsidRPr="00E7294A">
        <w:t>ensity</w:t>
      </w:r>
      <w:r>
        <w:t xml:space="preserve"> and </w:t>
      </w:r>
      <w:r w:rsidRPr="00E7294A">
        <w:t xml:space="preserve">breast cancer </w:t>
      </w:r>
      <w:r>
        <w:t>risk</w:t>
      </w:r>
      <w:bookmarkEnd w:id="64"/>
      <w:bookmarkEnd w:id="65"/>
      <w:bookmarkEnd w:id="66"/>
    </w:p>
    <w:p w14:paraId="02244C6D" w14:textId="35456DA7" w:rsidR="00EB35FA" w:rsidRPr="00CB607B" w:rsidRDefault="00EB35FA" w:rsidP="00EB35FA">
      <w:pPr>
        <w:pStyle w:val="BodyText"/>
      </w:pPr>
      <w:r w:rsidRPr="00CB607B">
        <w:t xml:space="preserve">Understanding the strength of association of breast density variation by age is important for utilising breast density in risk models. </w:t>
      </w:r>
      <w:r w:rsidR="0054753B" w:rsidRPr="00CB607B">
        <w:t>No reviews were found that solely focus on breast density</w:t>
      </w:r>
      <w:r w:rsidR="0054753B">
        <w:t>, cancer risk</w:t>
      </w:r>
      <w:r w:rsidR="0054753B" w:rsidRPr="00CB607B">
        <w:t xml:space="preserve"> and age. </w:t>
      </w:r>
      <w:r w:rsidR="00B02676">
        <w:t>We identified o</w:t>
      </w:r>
      <w:r w:rsidRPr="00CB607B">
        <w:t>ne meta-analysis (Bertrand et al., 2013) that linked breast density</w:t>
      </w:r>
      <w:r w:rsidR="008D389D">
        <w:t>,</w:t>
      </w:r>
      <w:r w:rsidRPr="00CB607B">
        <w:t xml:space="preserve"> tumour status and age. </w:t>
      </w:r>
    </w:p>
    <w:p w14:paraId="28C7B19F" w14:textId="0472D4AD" w:rsidR="005963CD" w:rsidRDefault="00EB35FA" w:rsidP="005963CD">
      <w:pPr>
        <w:pStyle w:val="BodyText"/>
      </w:pPr>
      <w:r w:rsidRPr="00CB607B">
        <w:t>Bertrand et al.</w:t>
      </w:r>
      <w:r>
        <w:t xml:space="preserve"> (</w:t>
      </w:r>
      <w:r w:rsidRPr="00CB607B">
        <w:t>2013</w:t>
      </w:r>
      <w:r>
        <w:t>)</w:t>
      </w:r>
      <w:r w:rsidR="001E64BD">
        <w:t xml:space="preserve"> used a sample of 3,414 women with breast cancer and 7,199 without breast cancer who underwent screening mammography; the data was </w:t>
      </w:r>
      <w:r w:rsidRPr="00CB607B">
        <w:t>pooled (</w:t>
      </w:r>
      <w:r>
        <w:t>T</w:t>
      </w:r>
      <w:r w:rsidR="006F33EB">
        <w:t xml:space="preserve">able </w:t>
      </w:r>
      <w:r w:rsidR="006465B1">
        <w:t>8</w:t>
      </w:r>
      <w:r w:rsidRPr="00CB607B">
        <w:t xml:space="preserve"> </w:t>
      </w:r>
      <w:r w:rsidR="002232F9">
        <w:t>overleaf</w:t>
      </w:r>
      <w:r w:rsidRPr="00CB607B">
        <w:t>)</w:t>
      </w:r>
      <w:r w:rsidR="001E64BD">
        <w:t xml:space="preserve">. </w:t>
      </w:r>
      <w:r w:rsidR="00C55A58">
        <w:t>Percen</w:t>
      </w:r>
      <w:r w:rsidRPr="00CB607B">
        <w:t xml:space="preserve">t density was </w:t>
      </w:r>
      <w:r w:rsidR="001E64BD">
        <w:t>measured using a computer-assisted threshold method.</w:t>
      </w:r>
      <w:r w:rsidRPr="00CB607B">
        <w:t xml:space="preserve"> Polytomous logistic regression </w:t>
      </w:r>
      <w:r w:rsidR="001E64BD">
        <w:t xml:space="preserve">found that percent density </w:t>
      </w:r>
      <w:r>
        <w:t>was</w:t>
      </w:r>
      <w:r w:rsidR="001E64BD">
        <w:t xml:space="preserve"> significantly</w:t>
      </w:r>
      <w:r>
        <w:t xml:space="preserve"> associated with risk of </w:t>
      </w:r>
      <w:r w:rsidR="001E64BD">
        <w:t>breast cancer</w:t>
      </w:r>
      <w:r>
        <w:t xml:space="preserve"> across all ages, with risk</w:t>
      </w:r>
      <w:r w:rsidR="001E64BD">
        <w:t xml:space="preserve"> doubling</w:t>
      </w:r>
      <w:r>
        <w:t xml:space="preserve"> for high (&gt;51%) versus average density (11-25%). </w:t>
      </w:r>
      <w:r w:rsidR="0054753B">
        <w:t>This association between breast density and risk was stronger for younger women. C</w:t>
      </w:r>
      <w:r>
        <w:t xml:space="preserve">ompared to women </w:t>
      </w:r>
      <w:r w:rsidR="0054753B">
        <w:t xml:space="preserve">with more dense breasts </w:t>
      </w:r>
      <w:r>
        <w:t>age</w:t>
      </w:r>
      <w:r w:rsidR="00B02676">
        <w:t>d</w:t>
      </w:r>
      <w:r>
        <w:t xml:space="preserve"> 55–64 </w:t>
      </w:r>
      <w:r w:rsidR="0054753B">
        <w:t>or</w:t>
      </w:r>
      <w:r>
        <w:t xml:space="preserve"> 65</w:t>
      </w:r>
      <w:r w:rsidR="00920772">
        <w:t xml:space="preserve"> years</w:t>
      </w:r>
      <w:r w:rsidR="00BB2B6B">
        <w:t xml:space="preserve"> </w:t>
      </w:r>
      <w:r w:rsidR="0054753B">
        <w:t xml:space="preserve">or older, those aged below 55 </w:t>
      </w:r>
      <w:r w:rsidR="00920772">
        <w:t xml:space="preserve">years </w:t>
      </w:r>
      <w:r w:rsidR="0054753B">
        <w:t>had an increased risk of duc</w:t>
      </w:r>
      <w:r w:rsidR="00920772">
        <w:t>t</w:t>
      </w:r>
      <w:r w:rsidR="0054753B">
        <w:t xml:space="preserve">al carcinoma </w:t>
      </w:r>
      <w:r w:rsidR="0054753B" w:rsidRPr="001E64BD">
        <w:t>in situ</w:t>
      </w:r>
      <w:r>
        <w:t xml:space="preserve"> (</w:t>
      </w:r>
      <w:r w:rsidR="0054753B">
        <w:rPr>
          <w:rStyle w:val="Emphasis"/>
        </w:rPr>
        <w:t>p</w:t>
      </w:r>
      <w:r>
        <w:t>=.02)</w:t>
      </w:r>
      <w:r w:rsidR="0054753B">
        <w:t xml:space="preserve"> and </w:t>
      </w:r>
      <w:r>
        <w:t>a stronger association of breast density with ER-negative breast cancer than ER-positive tumours (</w:t>
      </w:r>
      <w:r w:rsidR="0054753B">
        <w:rPr>
          <w:rStyle w:val="Emphasis"/>
        </w:rPr>
        <w:t>p</w:t>
      </w:r>
      <w:r>
        <w:t xml:space="preserve">=.04). The relationship between density and tumour type is also discussed in section </w:t>
      </w:r>
      <w:r w:rsidR="006F33EB">
        <w:t>3.2.5</w:t>
      </w:r>
      <w:r>
        <w:t xml:space="preserve">. Breast density </w:t>
      </w:r>
      <w:r w:rsidR="005963CD">
        <w:t>was also</w:t>
      </w:r>
      <w:r>
        <w:t xml:space="preserve"> positively associated with both HER2-negative and HER2-positive tumours </w:t>
      </w:r>
      <w:r w:rsidR="005963CD">
        <w:t>across all age groups</w:t>
      </w:r>
      <w:r>
        <w:t>.</w:t>
      </w:r>
      <w:r w:rsidR="005963CD">
        <w:t xml:space="preserve"> </w:t>
      </w:r>
      <w:r w:rsidR="0054753B">
        <w:t>Overall, Bertrand et al.</w:t>
      </w:r>
      <w:r w:rsidR="00BD22B1">
        <w:t xml:space="preserve"> found that</w:t>
      </w:r>
      <w:r w:rsidR="0054753B">
        <w:t xml:space="preserve"> </w:t>
      </w:r>
      <w:r w:rsidR="00BD22B1">
        <w:t>b</w:t>
      </w:r>
      <w:r>
        <w:t>reast density is strongly associated with all breast cancer subtypes across all ages</w:t>
      </w:r>
      <w:r w:rsidR="005963CD">
        <w:t>,</w:t>
      </w:r>
      <w:r w:rsidR="00BD22B1">
        <w:t xml:space="preserve"> </w:t>
      </w:r>
      <w:r>
        <w:t xml:space="preserve">and </w:t>
      </w:r>
      <w:r w:rsidR="005963CD">
        <w:t xml:space="preserve">with </w:t>
      </w:r>
      <w:r>
        <w:t xml:space="preserve">ER-negative </w:t>
      </w:r>
      <w:r w:rsidR="005963CD">
        <w:t>tumour</w:t>
      </w:r>
      <w:r>
        <w:t xml:space="preserve">s </w:t>
      </w:r>
      <w:r w:rsidR="005963CD">
        <w:t>for</w:t>
      </w:r>
      <w:r>
        <w:t xml:space="preserve"> women aged younger than 55</w:t>
      </w:r>
      <w:r w:rsidR="00BB2B6B">
        <w:t xml:space="preserve"> </w:t>
      </w:r>
      <w:r>
        <w:t>years</w:t>
      </w:r>
      <w:r w:rsidR="005963CD">
        <w:t>. They concluded that</w:t>
      </w:r>
      <w:r>
        <w:t xml:space="preserve"> high breast density may play an important role in tumour aggressiveness, especially in younger women</w:t>
      </w:r>
      <w:r w:rsidR="0003024B">
        <w:t xml:space="preserve">. </w:t>
      </w:r>
    </w:p>
    <w:p w14:paraId="5F96C665" w14:textId="77777777" w:rsidR="005963CD" w:rsidRDefault="00AE6DD0" w:rsidP="005963CD">
      <w:pPr>
        <w:pStyle w:val="BodyText"/>
        <w:sectPr w:rsidR="005963CD" w:rsidSect="00E219CB">
          <w:pgSz w:w="11907" w:h="16839" w:code="9"/>
          <w:pgMar w:top="1418" w:right="1418" w:bottom="1418" w:left="1418" w:header="964" w:footer="964" w:gutter="0"/>
          <w:cols w:space="708"/>
          <w:docGrid w:linePitch="360"/>
        </w:sectPr>
      </w:pPr>
      <w:r>
        <w:t>One additional nested case-control study was identified that evaluated whether a range of demographic characteristics (including age at menopause and age at first child birth) moderated the association between mammographic breast density and breast cancer risk (Yaghjyan et al., 2015</w:t>
      </w:r>
      <w:r w:rsidR="003C3B25">
        <w:t>a</w:t>
      </w:r>
      <w:r>
        <w:t>). This study used a sample of 1,044 postmenopausal cases and 1,794 matched controls sourced from the Nurses’ Health Study cohort in the United States. They found that increased percent density was related to an increase in the odds of developing cancer for women across all ages at menopause (less than 50, 50 to less than 55, and 55 or over), with women with greater than 50% breast density having 2.76-4.33 times the odds of cancer compared to women with less than 10% density. Furthermore, no significant differences were identified in the odds ratios between these three groups, indicating that age at menopause did not significantly moderate the relationship between breast density and cancer risk. Other possible confounding factors also did not significantly moderate the relationship between density and cancer risk, including BMI, age at menarche, parity, family history of breast cancer, and history of benign breast disease</w:t>
      </w:r>
      <w:r w:rsidR="00920772">
        <w:t>. T</w:t>
      </w:r>
      <w:r>
        <w:t>his provides some support to the idea of breast density as an independent risk factor</w:t>
      </w:r>
      <w:r w:rsidR="00920772">
        <w:t xml:space="preserve"> for breast cancer</w:t>
      </w:r>
      <w:r>
        <w:t xml:space="preserve">, as discussed section 3.2.3. Notably, the association with cancer risk did differ depending on the use of postmenopausal hormone use, with percent density being more strongly related to breast cancer risk for current postmenopausal hormone users (OR = 5.34, 95%CI 3.36-8.49) compared to women with past (OR = 2.69, 95%CI 1.32-5.49) or no hormone history (OR 2.57, 95%CI 1.18-5.60; </w:t>
      </w:r>
      <w:r>
        <w:rPr>
          <w:i/>
        </w:rPr>
        <w:t>p</w:t>
      </w:r>
      <w:r>
        <w:t>-interaction = .03). These results are consistent with Bertrand et al.’s (2013) finding that breast density is associated with breast cancer risk across all ages.</w:t>
      </w:r>
      <w:r w:rsidR="005963CD">
        <w:t xml:space="preserve"> </w:t>
      </w:r>
    </w:p>
    <w:p w14:paraId="063ED58C" w14:textId="24DE5234" w:rsidR="00EB35FA" w:rsidRPr="00CB607B" w:rsidRDefault="006F33EB" w:rsidP="00EB35FA">
      <w:pPr>
        <w:pStyle w:val="Caption"/>
      </w:pPr>
      <w:r>
        <w:lastRenderedPageBreak/>
        <w:t xml:space="preserve">Table </w:t>
      </w:r>
      <w:r w:rsidR="006465B1">
        <w:t>8</w:t>
      </w:r>
      <w:r w:rsidR="00EB35FA" w:rsidRPr="00CB607B">
        <w:t xml:space="preserve"> Studies included in Bert</w:t>
      </w:r>
      <w:r w:rsidR="00EB35FA">
        <w:t>r</w:t>
      </w:r>
      <w:r w:rsidR="00EB35FA" w:rsidRPr="00CB607B">
        <w:t>and et al.</w:t>
      </w:r>
      <w:r w:rsidR="00EB35FA">
        <w:t>’s (</w:t>
      </w:r>
      <w:r w:rsidR="00EB35FA" w:rsidRPr="00CB607B">
        <w:t>2013</w:t>
      </w:r>
      <w:r w:rsidR="00EB35FA">
        <w:t>)</w:t>
      </w:r>
      <w:r w:rsidR="00EB35FA" w:rsidRPr="00CB607B">
        <w:t xml:space="preserve"> meta-analysis</w:t>
      </w:r>
    </w:p>
    <w:tbl>
      <w:tblPr>
        <w:tblStyle w:val="ACGreen-BasicTable"/>
        <w:tblW w:w="4944" w:type="pct"/>
        <w:tblInd w:w="0" w:type="dxa"/>
        <w:tblLook w:val="04A0" w:firstRow="1" w:lastRow="0" w:firstColumn="1" w:lastColumn="0" w:noHBand="0" w:noVBand="1"/>
        <w:tblDescription w:val="The table summarises a number of studies, incluidng the reference, study design, number of cases/contraols, enrolment (years), mammogram film view, median interval (years) between mammogram and diagnosis (index date), source of cases, source of pathology, and source of covariate data. Each study is summarised below.&#10;&#10;The Study name Mayo Mammography Health Study is abbreviated to (MMHS) with the Reference as Heine et al., 2012 + Olsen et al., 2012. The Study design was a Nested case–control with a Number of cases/controls being 404/1,207 between the Enrolment year(s) 2003 to 2006. The Mammogram film view was CC average with Median interval (years) between mammogram and diagnosis (index date) as 3.6. The Source of cases was a Linkage to clinic and state cancer registries, while the Source of pathology was a Clinic and three state cancer registries; medical records. The Source of covariate data was a Questionnaire and medical record review (BMI).&#10;&#10;The Study name Mayo Clinic Breast Cancer Study was abbreviated to (MCBCS) with a Reference Kelemen et al., 2008 + Wang et al, 2008. The Study design was a Case–control, with the Number of cases/controls being 261/179 between the Enrolment year(s) 2001 to 2008. The Mammogram film view was CC contralateral with the Median interval (years) between mammogram and diagnosis (index date) 1.3. The Source of cases was a Clinic and the Source of pathology was a Clinic cancer registry; medical records. The Source of covariate data Questionnaire and medical record review (BMI).&#10;&#10;The Study name Nurses’ Health Study was abbreviated to (NHS)with the Reference being Tamimi et al., 2005 + Colditz and Hankinson, 2005. The Study design was a Nested case–control with the Number of cases/controls being 1,108/2,163 between Enrolment year(s) 1989 to 1990. The Mammogram film view was a CC average, with the Median interval (years) between mammogram and diagnosis (index date) being 5.2. The Source of cases was Self-reported and the Source of pathology was done by Pathology reports and tumour tissue microarray. The Source of covariate data was a Questionnaire.&#10;&#10;The Study name Nurses’ Health Study II was abbreviated to (NHSII) with the Reference Tworoger et al., 2006. The Study design was a Nested case–control with the Number of cases/controls being 365/99 between the Enrolment year(s) 1996 to 1999. The Mammogram film view was a CC average and the Median interval (years) between mammogram and diagnosis (index date) was 4.2. The Sources of cases was a Self-report while the Source of pathology was Pathology reports and tumour tissue microarray. The Source of covariate data was a Questionnaire.&#10;&#10;The Study name was Mayo Clinic Mammography Study abbreviated to (MCMAM) with a Reference of Vachon et al., 2007. The Study design was a Case–control with the Number of cases/controls being 372/679 between the Enrolment year(s) 1997 to 2001. The Mammogram film view was a CC average with the Median interval (years) between mammogram and diagnosis (index date) 7.1. The Source of cases was from a Clinic and the Source of pathology was from Clinic cancer registries; medical records. The Source of covariate data was from a Medical record review.&#10;&#10;The Study name Bay Area Breast Cancer SPORE and San Francisco Mammography Registry was abbreviated to (SFMR) with the Reference as Kerlikowske et al., 2000 + Kerlikowske et al., 2005 + Ziv et al., 2004. The Study design was a Nested case–control study with the Number of cases/controls 904/1,979 between the Enrolment year(s) 1996 to 2007. The Mammogram film view was a CC contralateral with the Median interval (years) between mammogram and diagnosis (index date) as 3.1. The Source of cases was a Linkage to state-wide SEER program and the Source of pathology was SEER. Source of covariate data was a Questionnaire.&#10;"/>
      </w:tblPr>
      <w:tblGrid>
        <w:gridCol w:w="1698"/>
        <w:gridCol w:w="1359"/>
        <w:gridCol w:w="886"/>
        <w:gridCol w:w="1198"/>
        <w:gridCol w:w="1240"/>
        <w:gridCol w:w="1552"/>
        <w:gridCol w:w="1550"/>
        <w:gridCol w:w="1079"/>
        <w:gridCol w:w="1702"/>
        <w:gridCol w:w="1572"/>
      </w:tblGrid>
      <w:tr w:rsidR="00345CCE" w:rsidRPr="00345CCE" w14:paraId="3B80D4A9" w14:textId="77777777" w:rsidTr="005963CD">
        <w:trPr>
          <w:cnfStyle w:val="100000000000" w:firstRow="1" w:lastRow="0" w:firstColumn="0" w:lastColumn="0" w:oddVBand="0" w:evenVBand="0" w:oddHBand="0" w:evenHBand="0" w:firstRowFirstColumn="0" w:firstRowLastColumn="0" w:lastRowFirstColumn="0" w:lastRowLastColumn="0"/>
          <w:trHeight w:val="1079"/>
        </w:trPr>
        <w:tc>
          <w:tcPr>
            <w:tcW w:w="614" w:type="pct"/>
            <w:vAlign w:val="center"/>
            <w:hideMark/>
          </w:tcPr>
          <w:p w14:paraId="33930C7D"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 name (abbreviation)</w:t>
            </w:r>
          </w:p>
        </w:tc>
        <w:tc>
          <w:tcPr>
            <w:tcW w:w="491" w:type="pct"/>
            <w:vAlign w:val="center"/>
            <w:hideMark/>
          </w:tcPr>
          <w:p w14:paraId="2B52ECD4"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Reference</w:t>
            </w:r>
          </w:p>
        </w:tc>
        <w:tc>
          <w:tcPr>
            <w:tcW w:w="320" w:type="pct"/>
            <w:vAlign w:val="center"/>
            <w:hideMark/>
          </w:tcPr>
          <w:p w14:paraId="27545D8E"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 design</w:t>
            </w:r>
          </w:p>
        </w:tc>
        <w:tc>
          <w:tcPr>
            <w:tcW w:w="433" w:type="pct"/>
            <w:vAlign w:val="center"/>
            <w:hideMark/>
          </w:tcPr>
          <w:p w14:paraId="6A95D093"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Number of cases/controls</w:t>
            </w:r>
          </w:p>
        </w:tc>
        <w:tc>
          <w:tcPr>
            <w:tcW w:w="448" w:type="pct"/>
            <w:vAlign w:val="center"/>
            <w:hideMark/>
          </w:tcPr>
          <w:p w14:paraId="106F75E4"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Enrolment year(s)</w:t>
            </w:r>
          </w:p>
        </w:tc>
        <w:tc>
          <w:tcPr>
            <w:tcW w:w="561" w:type="pct"/>
            <w:vAlign w:val="center"/>
            <w:hideMark/>
          </w:tcPr>
          <w:p w14:paraId="1F0A612E"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Mammogram film view</w:t>
            </w:r>
          </w:p>
        </w:tc>
        <w:tc>
          <w:tcPr>
            <w:tcW w:w="560" w:type="pct"/>
            <w:vAlign w:val="center"/>
            <w:hideMark/>
          </w:tcPr>
          <w:p w14:paraId="6C3EE1C6"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Median interval (years) between mammogram and diagnosis (index date)</w:t>
            </w:r>
          </w:p>
        </w:tc>
        <w:tc>
          <w:tcPr>
            <w:tcW w:w="390" w:type="pct"/>
            <w:vAlign w:val="center"/>
            <w:hideMark/>
          </w:tcPr>
          <w:p w14:paraId="43684E62"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Source of cases</w:t>
            </w:r>
          </w:p>
        </w:tc>
        <w:tc>
          <w:tcPr>
            <w:tcW w:w="615" w:type="pct"/>
            <w:vAlign w:val="center"/>
            <w:hideMark/>
          </w:tcPr>
          <w:p w14:paraId="1393DD58"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Source of pathology</w:t>
            </w:r>
          </w:p>
        </w:tc>
        <w:tc>
          <w:tcPr>
            <w:tcW w:w="568" w:type="pct"/>
            <w:vAlign w:val="center"/>
            <w:hideMark/>
          </w:tcPr>
          <w:p w14:paraId="2A9F4758" w14:textId="77777777" w:rsidR="00EB35FA" w:rsidRPr="00345CCE" w:rsidRDefault="00EB35FA" w:rsidP="00EB35FA">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Source of covariate data</w:t>
            </w:r>
          </w:p>
        </w:tc>
      </w:tr>
      <w:tr w:rsidR="005963CD" w:rsidRPr="00CB607B" w14:paraId="42114986" w14:textId="77777777" w:rsidTr="005963CD">
        <w:trPr>
          <w:trHeight w:val="945"/>
        </w:trPr>
        <w:tc>
          <w:tcPr>
            <w:tcW w:w="614" w:type="pct"/>
            <w:vAlign w:val="center"/>
            <w:hideMark/>
          </w:tcPr>
          <w:p w14:paraId="586B1B21"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Mayo Mammography Health Study (MMHS)</w:t>
            </w:r>
          </w:p>
        </w:tc>
        <w:tc>
          <w:tcPr>
            <w:tcW w:w="491" w:type="pct"/>
            <w:vAlign w:val="center"/>
            <w:hideMark/>
          </w:tcPr>
          <w:p w14:paraId="1FFCA29F" w14:textId="299A69E5"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Heine</w:t>
            </w:r>
            <w:r w:rsidR="00BB2B6B">
              <w:rPr>
                <w:rFonts w:ascii="Calibri" w:eastAsia="Times New Roman" w:hAnsi="Calibri" w:cs="Calibri"/>
                <w:color w:val="333333"/>
                <w:sz w:val="18"/>
                <w:szCs w:val="18"/>
                <w:lang w:eastAsia="en-NZ"/>
              </w:rPr>
              <w:t xml:space="preserve"> </w:t>
            </w:r>
            <w:r w:rsidRPr="00CB607B">
              <w:rPr>
                <w:rFonts w:ascii="Calibri" w:eastAsia="Times New Roman" w:hAnsi="Calibri" w:cs="Calibri"/>
                <w:color w:val="333333"/>
                <w:sz w:val="18"/>
                <w:szCs w:val="18"/>
                <w:lang w:eastAsia="en-NZ"/>
              </w:rPr>
              <w:t>et al., 2012 + Olsen et al., 2012</w:t>
            </w:r>
          </w:p>
        </w:tc>
        <w:tc>
          <w:tcPr>
            <w:tcW w:w="320" w:type="pct"/>
            <w:vAlign w:val="center"/>
            <w:hideMark/>
          </w:tcPr>
          <w:p w14:paraId="39F77B3D" w14:textId="77777777" w:rsidR="00EB35FA" w:rsidRPr="00CB607B" w:rsidRDefault="00EB35FA" w:rsidP="00EB35FA">
            <w:pPr>
              <w:jc w:val="center"/>
              <w:rPr>
                <w:rFonts w:ascii="Calibri" w:eastAsia="Times New Roman" w:hAnsi="Calibri" w:cs="Calibri"/>
                <w:color w:val="333333"/>
                <w:sz w:val="18"/>
                <w:szCs w:val="18"/>
                <w:lang w:eastAsia="en-NZ"/>
              </w:rPr>
            </w:pPr>
            <w:r>
              <w:rPr>
                <w:rFonts w:ascii="Calibri" w:eastAsia="Times New Roman" w:hAnsi="Calibri" w:cs="Calibri"/>
                <w:color w:val="333333"/>
                <w:sz w:val="18"/>
                <w:szCs w:val="18"/>
                <w:lang w:eastAsia="en-NZ"/>
              </w:rPr>
              <w:t xml:space="preserve">Nested case–control </w:t>
            </w:r>
          </w:p>
        </w:tc>
        <w:tc>
          <w:tcPr>
            <w:tcW w:w="433" w:type="pct"/>
            <w:vAlign w:val="center"/>
            <w:hideMark/>
          </w:tcPr>
          <w:p w14:paraId="663FA5F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404/1,207</w:t>
            </w:r>
          </w:p>
        </w:tc>
        <w:tc>
          <w:tcPr>
            <w:tcW w:w="448" w:type="pct"/>
            <w:vAlign w:val="center"/>
            <w:hideMark/>
          </w:tcPr>
          <w:p w14:paraId="32CE76D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2003 to 2006</w:t>
            </w:r>
          </w:p>
        </w:tc>
        <w:tc>
          <w:tcPr>
            <w:tcW w:w="561" w:type="pct"/>
            <w:vAlign w:val="center"/>
            <w:hideMark/>
          </w:tcPr>
          <w:p w14:paraId="35B18027"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CC average</w:t>
            </w:r>
          </w:p>
        </w:tc>
        <w:tc>
          <w:tcPr>
            <w:tcW w:w="560" w:type="pct"/>
            <w:vAlign w:val="center"/>
            <w:hideMark/>
          </w:tcPr>
          <w:p w14:paraId="758E298A"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3.6</w:t>
            </w:r>
          </w:p>
        </w:tc>
        <w:tc>
          <w:tcPr>
            <w:tcW w:w="390" w:type="pct"/>
            <w:vAlign w:val="center"/>
            <w:hideMark/>
          </w:tcPr>
          <w:p w14:paraId="69DC7703"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Linkage to clinic and state cancer registries</w:t>
            </w:r>
          </w:p>
        </w:tc>
        <w:tc>
          <w:tcPr>
            <w:tcW w:w="615" w:type="pct"/>
            <w:vAlign w:val="center"/>
            <w:hideMark/>
          </w:tcPr>
          <w:p w14:paraId="49CE8CE0"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Clinic and three state cancer registries;</w:t>
            </w:r>
            <w:r>
              <w:rPr>
                <w:rFonts w:ascii="Calibri" w:eastAsia="Times New Roman" w:hAnsi="Calibri" w:cs="Calibri"/>
                <w:color w:val="333333"/>
                <w:sz w:val="18"/>
                <w:szCs w:val="18"/>
                <w:lang w:eastAsia="en-NZ"/>
              </w:rPr>
              <w:t xml:space="preserve"> </w:t>
            </w:r>
            <w:r w:rsidRPr="00CB607B">
              <w:rPr>
                <w:rFonts w:ascii="Calibri" w:eastAsia="Times New Roman" w:hAnsi="Calibri" w:cs="Calibri"/>
                <w:color w:val="333333"/>
                <w:sz w:val="18"/>
                <w:szCs w:val="18"/>
                <w:lang w:eastAsia="en-NZ"/>
              </w:rPr>
              <w:t>medical records</w:t>
            </w:r>
          </w:p>
        </w:tc>
        <w:tc>
          <w:tcPr>
            <w:tcW w:w="568" w:type="pct"/>
            <w:vAlign w:val="center"/>
            <w:hideMark/>
          </w:tcPr>
          <w:p w14:paraId="13FF3E9A"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Questionnaire and medical record review (BMI)</w:t>
            </w:r>
          </w:p>
        </w:tc>
      </w:tr>
      <w:tr w:rsidR="005963CD" w:rsidRPr="00CB607B" w14:paraId="3FF9C376" w14:textId="77777777" w:rsidTr="005963CD">
        <w:trPr>
          <w:trHeight w:val="607"/>
        </w:trPr>
        <w:tc>
          <w:tcPr>
            <w:tcW w:w="614" w:type="pct"/>
            <w:vAlign w:val="center"/>
            <w:hideMark/>
          </w:tcPr>
          <w:p w14:paraId="2C3E80A2"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Mayo Clinic Breast Cancer Study (MCBCS)</w:t>
            </w:r>
          </w:p>
        </w:tc>
        <w:tc>
          <w:tcPr>
            <w:tcW w:w="491" w:type="pct"/>
            <w:vAlign w:val="center"/>
            <w:hideMark/>
          </w:tcPr>
          <w:p w14:paraId="74D9905A"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Kelemen et al., 2008 + Wang et al, 2008</w:t>
            </w:r>
          </w:p>
        </w:tc>
        <w:tc>
          <w:tcPr>
            <w:tcW w:w="320" w:type="pct"/>
            <w:vAlign w:val="center"/>
            <w:hideMark/>
          </w:tcPr>
          <w:p w14:paraId="5983D42A" w14:textId="77777777" w:rsidR="00EB35FA" w:rsidRPr="00CB607B" w:rsidRDefault="00EB35FA" w:rsidP="00EB35FA">
            <w:pPr>
              <w:jc w:val="center"/>
              <w:rPr>
                <w:rFonts w:ascii="Calibri" w:eastAsia="Times New Roman" w:hAnsi="Calibri" w:cs="Calibri"/>
                <w:color w:val="333333"/>
                <w:sz w:val="18"/>
                <w:szCs w:val="18"/>
                <w:lang w:eastAsia="en-NZ"/>
              </w:rPr>
            </w:pPr>
            <w:r>
              <w:rPr>
                <w:rFonts w:ascii="Calibri" w:eastAsia="Times New Roman" w:hAnsi="Calibri" w:cs="Calibri"/>
                <w:color w:val="333333"/>
                <w:sz w:val="18"/>
                <w:szCs w:val="18"/>
                <w:lang w:eastAsia="en-NZ"/>
              </w:rPr>
              <w:t xml:space="preserve">Case–control </w:t>
            </w:r>
          </w:p>
        </w:tc>
        <w:tc>
          <w:tcPr>
            <w:tcW w:w="433" w:type="pct"/>
            <w:vAlign w:val="center"/>
            <w:hideMark/>
          </w:tcPr>
          <w:p w14:paraId="316F38AF"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261/179</w:t>
            </w:r>
          </w:p>
        </w:tc>
        <w:tc>
          <w:tcPr>
            <w:tcW w:w="448" w:type="pct"/>
            <w:vAlign w:val="center"/>
            <w:hideMark/>
          </w:tcPr>
          <w:p w14:paraId="12DE5ADB"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2001 to 2008</w:t>
            </w:r>
          </w:p>
        </w:tc>
        <w:tc>
          <w:tcPr>
            <w:tcW w:w="561" w:type="pct"/>
            <w:vAlign w:val="center"/>
            <w:hideMark/>
          </w:tcPr>
          <w:p w14:paraId="77504FC2"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CC contralateral</w:t>
            </w:r>
          </w:p>
        </w:tc>
        <w:tc>
          <w:tcPr>
            <w:tcW w:w="560" w:type="pct"/>
            <w:vAlign w:val="center"/>
            <w:hideMark/>
          </w:tcPr>
          <w:p w14:paraId="5F10BB43"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1.3</w:t>
            </w:r>
          </w:p>
        </w:tc>
        <w:tc>
          <w:tcPr>
            <w:tcW w:w="390" w:type="pct"/>
            <w:vAlign w:val="center"/>
            <w:hideMark/>
          </w:tcPr>
          <w:p w14:paraId="1FECE7DD"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Clinic</w:t>
            </w:r>
          </w:p>
        </w:tc>
        <w:tc>
          <w:tcPr>
            <w:tcW w:w="615" w:type="pct"/>
            <w:vAlign w:val="center"/>
            <w:hideMark/>
          </w:tcPr>
          <w:p w14:paraId="5E87B9B0"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Clinic cancer registry; medical records</w:t>
            </w:r>
          </w:p>
        </w:tc>
        <w:tc>
          <w:tcPr>
            <w:tcW w:w="568" w:type="pct"/>
            <w:vAlign w:val="center"/>
            <w:hideMark/>
          </w:tcPr>
          <w:p w14:paraId="17EB7BD1"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Questionnaire and medical record review (BMI)</w:t>
            </w:r>
          </w:p>
        </w:tc>
      </w:tr>
      <w:tr w:rsidR="005963CD" w:rsidRPr="00CB607B" w14:paraId="0F0519E2" w14:textId="77777777" w:rsidTr="005963CD">
        <w:trPr>
          <w:trHeight w:val="1047"/>
        </w:trPr>
        <w:tc>
          <w:tcPr>
            <w:tcW w:w="614" w:type="pct"/>
            <w:vAlign w:val="center"/>
            <w:hideMark/>
          </w:tcPr>
          <w:p w14:paraId="6BCC6B18"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Nurses’ Health Study (NHS)</w:t>
            </w:r>
          </w:p>
        </w:tc>
        <w:tc>
          <w:tcPr>
            <w:tcW w:w="491" w:type="pct"/>
            <w:vAlign w:val="center"/>
            <w:hideMark/>
          </w:tcPr>
          <w:p w14:paraId="1C3560C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Tamimi et al., 2005 + Colditz and Hankinson, 2005</w:t>
            </w:r>
          </w:p>
        </w:tc>
        <w:tc>
          <w:tcPr>
            <w:tcW w:w="320" w:type="pct"/>
            <w:vAlign w:val="center"/>
            <w:hideMark/>
          </w:tcPr>
          <w:p w14:paraId="46CE3285" w14:textId="77777777" w:rsidR="00EB35FA" w:rsidRPr="00CB607B" w:rsidRDefault="00EB35FA" w:rsidP="00EB35FA">
            <w:pPr>
              <w:jc w:val="center"/>
              <w:rPr>
                <w:rFonts w:ascii="Calibri" w:eastAsia="Times New Roman" w:hAnsi="Calibri" w:cs="Calibri"/>
                <w:color w:val="333333"/>
                <w:sz w:val="18"/>
                <w:szCs w:val="18"/>
                <w:lang w:eastAsia="en-NZ"/>
              </w:rPr>
            </w:pPr>
            <w:r>
              <w:rPr>
                <w:rFonts w:ascii="Calibri" w:eastAsia="Times New Roman" w:hAnsi="Calibri" w:cs="Calibri"/>
                <w:color w:val="333333"/>
                <w:sz w:val="18"/>
                <w:szCs w:val="18"/>
                <w:lang w:eastAsia="en-NZ"/>
              </w:rPr>
              <w:t xml:space="preserve">Nested case–control </w:t>
            </w:r>
          </w:p>
        </w:tc>
        <w:tc>
          <w:tcPr>
            <w:tcW w:w="433" w:type="pct"/>
            <w:vAlign w:val="center"/>
            <w:hideMark/>
          </w:tcPr>
          <w:p w14:paraId="6F74E0B2"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1,108/2,163</w:t>
            </w:r>
          </w:p>
        </w:tc>
        <w:tc>
          <w:tcPr>
            <w:tcW w:w="448" w:type="pct"/>
            <w:vAlign w:val="center"/>
            <w:hideMark/>
          </w:tcPr>
          <w:p w14:paraId="71DCF85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1989 to 1990</w:t>
            </w:r>
          </w:p>
        </w:tc>
        <w:tc>
          <w:tcPr>
            <w:tcW w:w="561" w:type="pct"/>
            <w:vAlign w:val="center"/>
            <w:hideMark/>
          </w:tcPr>
          <w:p w14:paraId="452FD5D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CC average</w:t>
            </w:r>
          </w:p>
        </w:tc>
        <w:tc>
          <w:tcPr>
            <w:tcW w:w="560" w:type="pct"/>
            <w:vAlign w:val="center"/>
            <w:hideMark/>
          </w:tcPr>
          <w:p w14:paraId="572B171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5.2</w:t>
            </w:r>
          </w:p>
        </w:tc>
        <w:tc>
          <w:tcPr>
            <w:tcW w:w="390" w:type="pct"/>
            <w:vAlign w:val="center"/>
            <w:hideMark/>
          </w:tcPr>
          <w:p w14:paraId="2B215E2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Self-report</w:t>
            </w:r>
          </w:p>
        </w:tc>
        <w:tc>
          <w:tcPr>
            <w:tcW w:w="615" w:type="pct"/>
            <w:vAlign w:val="center"/>
            <w:hideMark/>
          </w:tcPr>
          <w:p w14:paraId="3A2558EE"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Pathology reports and tumo</w:t>
            </w:r>
            <w:r>
              <w:rPr>
                <w:rFonts w:ascii="Calibri" w:eastAsia="Times New Roman" w:hAnsi="Calibri" w:cs="Calibri"/>
                <w:color w:val="333333"/>
                <w:sz w:val="18"/>
                <w:szCs w:val="18"/>
                <w:lang w:eastAsia="en-NZ"/>
              </w:rPr>
              <w:t>u</w:t>
            </w:r>
            <w:r w:rsidRPr="00CB607B">
              <w:rPr>
                <w:rFonts w:ascii="Calibri" w:eastAsia="Times New Roman" w:hAnsi="Calibri" w:cs="Calibri"/>
                <w:color w:val="333333"/>
                <w:sz w:val="18"/>
                <w:szCs w:val="18"/>
                <w:lang w:eastAsia="en-NZ"/>
              </w:rPr>
              <w:t>r tissue microarray</w:t>
            </w:r>
          </w:p>
        </w:tc>
        <w:tc>
          <w:tcPr>
            <w:tcW w:w="568" w:type="pct"/>
            <w:vAlign w:val="center"/>
            <w:hideMark/>
          </w:tcPr>
          <w:p w14:paraId="45D171BC"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Questionnaire</w:t>
            </w:r>
          </w:p>
        </w:tc>
      </w:tr>
      <w:tr w:rsidR="005963CD" w:rsidRPr="00CB607B" w14:paraId="16CBCE6D" w14:textId="77777777" w:rsidTr="005963CD">
        <w:trPr>
          <w:trHeight w:val="555"/>
        </w:trPr>
        <w:tc>
          <w:tcPr>
            <w:tcW w:w="614" w:type="pct"/>
            <w:vAlign w:val="center"/>
            <w:hideMark/>
          </w:tcPr>
          <w:p w14:paraId="51BEABBF"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Nurses’ Health Study II (NHSII)</w:t>
            </w:r>
          </w:p>
        </w:tc>
        <w:tc>
          <w:tcPr>
            <w:tcW w:w="491" w:type="pct"/>
            <w:vAlign w:val="center"/>
            <w:hideMark/>
          </w:tcPr>
          <w:p w14:paraId="1ACFA48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Tworoger et al., 2006</w:t>
            </w:r>
          </w:p>
        </w:tc>
        <w:tc>
          <w:tcPr>
            <w:tcW w:w="320" w:type="pct"/>
            <w:vAlign w:val="center"/>
            <w:hideMark/>
          </w:tcPr>
          <w:p w14:paraId="2AE72589" w14:textId="77777777" w:rsidR="00EB35FA" w:rsidRPr="00CB607B" w:rsidRDefault="00EB35FA" w:rsidP="00EB35FA">
            <w:pPr>
              <w:jc w:val="center"/>
              <w:rPr>
                <w:rFonts w:ascii="Calibri" w:eastAsia="Times New Roman" w:hAnsi="Calibri" w:cs="Calibri"/>
                <w:color w:val="333333"/>
                <w:sz w:val="18"/>
                <w:szCs w:val="18"/>
                <w:lang w:eastAsia="en-NZ"/>
              </w:rPr>
            </w:pPr>
            <w:r>
              <w:rPr>
                <w:rFonts w:ascii="Calibri" w:eastAsia="Times New Roman" w:hAnsi="Calibri" w:cs="Calibri"/>
                <w:color w:val="333333"/>
                <w:sz w:val="18"/>
                <w:szCs w:val="18"/>
                <w:lang w:eastAsia="en-NZ"/>
              </w:rPr>
              <w:t xml:space="preserve">Nested case–control </w:t>
            </w:r>
          </w:p>
        </w:tc>
        <w:tc>
          <w:tcPr>
            <w:tcW w:w="433" w:type="pct"/>
            <w:vAlign w:val="center"/>
            <w:hideMark/>
          </w:tcPr>
          <w:p w14:paraId="0097BA7C"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365/992</w:t>
            </w:r>
          </w:p>
        </w:tc>
        <w:tc>
          <w:tcPr>
            <w:tcW w:w="448" w:type="pct"/>
            <w:vAlign w:val="center"/>
            <w:hideMark/>
          </w:tcPr>
          <w:p w14:paraId="57D9E5FC"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1996 to 1999</w:t>
            </w:r>
          </w:p>
        </w:tc>
        <w:tc>
          <w:tcPr>
            <w:tcW w:w="561" w:type="pct"/>
            <w:vAlign w:val="center"/>
            <w:hideMark/>
          </w:tcPr>
          <w:p w14:paraId="5D58E490"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CC average</w:t>
            </w:r>
          </w:p>
        </w:tc>
        <w:tc>
          <w:tcPr>
            <w:tcW w:w="560" w:type="pct"/>
            <w:vAlign w:val="center"/>
            <w:hideMark/>
          </w:tcPr>
          <w:p w14:paraId="364562D2"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4.2</w:t>
            </w:r>
          </w:p>
        </w:tc>
        <w:tc>
          <w:tcPr>
            <w:tcW w:w="390" w:type="pct"/>
            <w:vAlign w:val="center"/>
            <w:hideMark/>
          </w:tcPr>
          <w:p w14:paraId="1EECEB7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Self-report</w:t>
            </w:r>
          </w:p>
        </w:tc>
        <w:tc>
          <w:tcPr>
            <w:tcW w:w="615" w:type="pct"/>
            <w:vAlign w:val="center"/>
            <w:hideMark/>
          </w:tcPr>
          <w:p w14:paraId="0211A0D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Pathology reports and tumo</w:t>
            </w:r>
            <w:r>
              <w:rPr>
                <w:rFonts w:ascii="Calibri" w:eastAsia="Times New Roman" w:hAnsi="Calibri" w:cs="Calibri"/>
                <w:color w:val="333333"/>
                <w:sz w:val="18"/>
                <w:szCs w:val="18"/>
                <w:lang w:eastAsia="en-NZ"/>
              </w:rPr>
              <w:t>u</w:t>
            </w:r>
            <w:r w:rsidRPr="00CB607B">
              <w:rPr>
                <w:rFonts w:ascii="Calibri" w:eastAsia="Times New Roman" w:hAnsi="Calibri" w:cs="Calibri"/>
                <w:color w:val="333333"/>
                <w:sz w:val="18"/>
                <w:szCs w:val="18"/>
                <w:lang w:eastAsia="en-NZ"/>
              </w:rPr>
              <w:t>r tissue microarray</w:t>
            </w:r>
          </w:p>
        </w:tc>
        <w:tc>
          <w:tcPr>
            <w:tcW w:w="568" w:type="pct"/>
            <w:vAlign w:val="center"/>
            <w:hideMark/>
          </w:tcPr>
          <w:p w14:paraId="795396C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Questionnaire</w:t>
            </w:r>
          </w:p>
        </w:tc>
      </w:tr>
      <w:tr w:rsidR="005963CD" w:rsidRPr="00CB607B" w14:paraId="62E11498" w14:textId="77777777" w:rsidTr="005963CD">
        <w:trPr>
          <w:trHeight w:val="970"/>
        </w:trPr>
        <w:tc>
          <w:tcPr>
            <w:tcW w:w="614" w:type="pct"/>
            <w:vAlign w:val="center"/>
            <w:hideMark/>
          </w:tcPr>
          <w:p w14:paraId="23BAE153"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Mayo Clinic Mammography Study (MCMAM)</w:t>
            </w:r>
          </w:p>
        </w:tc>
        <w:tc>
          <w:tcPr>
            <w:tcW w:w="491" w:type="pct"/>
            <w:vAlign w:val="center"/>
            <w:hideMark/>
          </w:tcPr>
          <w:p w14:paraId="5362E9B2" w14:textId="7BE9B95C"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Vachon</w:t>
            </w:r>
            <w:r w:rsidR="00BB2B6B">
              <w:rPr>
                <w:rFonts w:ascii="Calibri" w:eastAsia="Times New Roman" w:hAnsi="Calibri" w:cs="Calibri"/>
                <w:color w:val="333333"/>
                <w:sz w:val="18"/>
                <w:szCs w:val="18"/>
                <w:lang w:eastAsia="en-NZ"/>
              </w:rPr>
              <w:t xml:space="preserve"> </w:t>
            </w:r>
            <w:r w:rsidRPr="00CB607B">
              <w:rPr>
                <w:rFonts w:ascii="Calibri" w:eastAsia="Times New Roman" w:hAnsi="Calibri" w:cs="Calibri"/>
                <w:color w:val="333333"/>
                <w:sz w:val="18"/>
                <w:szCs w:val="18"/>
                <w:lang w:eastAsia="en-NZ"/>
              </w:rPr>
              <w:t>et al., 2007</w:t>
            </w:r>
          </w:p>
        </w:tc>
        <w:tc>
          <w:tcPr>
            <w:tcW w:w="320" w:type="pct"/>
            <w:vAlign w:val="center"/>
            <w:hideMark/>
          </w:tcPr>
          <w:p w14:paraId="14AC228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Case–cont</w:t>
            </w:r>
            <w:r>
              <w:rPr>
                <w:rFonts w:ascii="Calibri" w:eastAsia="Times New Roman" w:hAnsi="Calibri" w:cs="Calibri"/>
                <w:color w:val="333333"/>
                <w:sz w:val="18"/>
                <w:szCs w:val="18"/>
                <w:lang w:eastAsia="en-NZ"/>
              </w:rPr>
              <w:t xml:space="preserve">rol </w:t>
            </w:r>
          </w:p>
        </w:tc>
        <w:tc>
          <w:tcPr>
            <w:tcW w:w="433" w:type="pct"/>
            <w:vAlign w:val="center"/>
            <w:hideMark/>
          </w:tcPr>
          <w:p w14:paraId="2AB4D50E"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372/679</w:t>
            </w:r>
          </w:p>
        </w:tc>
        <w:tc>
          <w:tcPr>
            <w:tcW w:w="448" w:type="pct"/>
            <w:vAlign w:val="center"/>
            <w:hideMark/>
          </w:tcPr>
          <w:p w14:paraId="765E4F47"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1997 to 2001</w:t>
            </w:r>
          </w:p>
        </w:tc>
        <w:tc>
          <w:tcPr>
            <w:tcW w:w="561" w:type="pct"/>
            <w:vAlign w:val="center"/>
            <w:hideMark/>
          </w:tcPr>
          <w:p w14:paraId="1B1444CA"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CC average</w:t>
            </w:r>
          </w:p>
        </w:tc>
        <w:tc>
          <w:tcPr>
            <w:tcW w:w="560" w:type="pct"/>
            <w:vAlign w:val="center"/>
            <w:hideMark/>
          </w:tcPr>
          <w:p w14:paraId="739FC5BB"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7.1</w:t>
            </w:r>
          </w:p>
        </w:tc>
        <w:tc>
          <w:tcPr>
            <w:tcW w:w="390" w:type="pct"/>
            <w:vAlign w:val="center"/>
            <w:hideMark/>
          </w:tcPr>
          <w:p w14:paraId="53719AA8"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Clinic</w:t>
            </w:r>
          </w:p>
        </w:tc>
        <w:tc>
          <w:tcPr>
            <w:tcW w:w="615" w:type="pct"/>
            <w:vAlign w:val="center"/>
            <w:hideMark/>
          </w:tcPr>
          <w:p w14:paraId="4847057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Clinic cancer registries; medical records</w:t>
            </w:r>
          </w:p>
        </w:tc>
        <w:tc>
          <w:tcPr>
            <w:tcW w:w="568" w:type="pct"/>
            <w:vAlign w:val="center"/>
            <w:hideMark/>
          </w:tcPr>
          <w:p w14:paraId="67A93EF4"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Medical record review</w:t>
            </w:r>
          </w:p>
        </w:tc>
      </w:tr>
      <w:tr w:rsidR="005963CD" w:rsidRPr="00CB607B" w14:paraId="60ED33C5" w14:textId="77777777" w:rsidTr="005963CD">
        <w:trPr>
          <w:trHeight w:val="588"/>
        </w:trPr>
        <w:tc>
          <w:tcPr>
            <w:tcW w:w="614" w:type="pct"/>
            <w:vAlign w:val="center"/>
            <w:hideMark/>
          </w:tcPr>
          <w:p w14:paraId="6FDFF205"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Bay Area Breast Cancer SPORE and San Francisco Mammography Registry (SFMR)</w:t>
            </w:r>
          </w:p>
        </w:tc>
        <w:tc>
          <w:tcPr>
            <w:tcW w:w="491" w:type="pct"/>
            <w:vAlign w:val="center"/>
            <w:hideMark/>
          </w:tcPr>
          <w:p w14:paraId="7D548BBF" w14:textId="759D35D3"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 xml:space="preserve">Kerlikowske et al., 2000 + </w:t>
            </w:r>
            <w:r w:rsidR="00CE738F" w:rsidRPr="00CB607B">
              <w:rPr>
                <w:rFonts w:ascii="Calibri" w:eastAsia="Times New Roman" w:hAnsi="Calibri" w:cs="Calibri"/>
                <w:color w:val="333333"/>
                <w:sz w:val="18"/>
                <w:szCs w:val="18"/>
                <w:lang w:eastAsia="en-NZ"/>
              </w:rPr>
              <w:t>Kerlikowske et al.</w:t>
            </w:r>
            <w:r w:rsidRPr="00CB607B">
              <w:rPr>
                <w:rFonts w:ascii="Calibri" w:eastAsia="Times New Roman" w:hAnsi="Calibri" w:cs="Calibri"/>
                <w:color w:val="333333"/>
                <w:sz w:val="18"/>
                <w:szCs w:val="18"/>
                <w:lang w:eastAsia="en-NZ"/>
              </w:rPr>
              <w:t>, 2005 + Ziv et al., 2004</w:t>
            </w:r>
          </w:p>
        </w:tc>
        <w:tc>
          <w:tcPr>
            <w:tcW w:w="320" w:type="pct"/>
            <w:vAlign w:val="center"/>
            <w:hideMark/>
          </w:tcPr>
          <w:p w14:paraId="2F8207D0"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Nested case–control study</w:t>
            </w:r>
          </w:p>
        </w:tc>
        <w:tc>
          <w:tcPr>
            <w:tcW w:w="433" w:type="pct"/>
            <w:vAlign w:val="center"/>
            <w:hideMark/>
          </w:tcPr>
          <w:p w14:paraId="2A727FEB"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904/1,979</w:t>
            </w:r>
          </w:p>
        </w:tc>
        <w:tc>
          <w:tcPr>
            <w:tcW w:w="448" w:type="pct"/>
            <w:vAlign w:val="center"/>
            <w:hideMark/>
          </w:tcPr>
          <w:p w14:paraId="05A22D8C"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1996 to 2007</w:t>
            </w:r>
          </w:p>
        </w:tc>
        <w:tc>
          <w:tcPr>
            <w:tcW w:w="561" w:type="pct"/>
            <w:vAlign w:val="center"/>
            <w:hideMark/>
          </w:tcPr>
          <w:p w14:paraId="39B9F8CD"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CC contralateral</w:t>
            </w:r>
          </w:p>
        </w:tc>
        <w:tc>
          <w:tcPr>
            <w:tcW w:w="560" w:type="pct"/>
            <w:vAlign w:val="center"/>
            <w:hideMark/>
          </w:tcPr>
          <w:p w14:paraId="2E8A9901"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3.1</w:t>
            </w:r>
          </w:p>
        </w:tc>
        <w:tc>
          <w:tcPr>
            <w:tcW w:w="390" w:type="pct"/>
            <w:vAlign w:val="center"/>
            <w:hideMark/>
          </w:tcPr>
          <w:p w14:paraId="161C8E9D"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Linkage to state-wide SEER program</w:t>
            </w:r>
          </w:p>
        </w:tc>
        <w:tc>
          <w:tcPr>
            <w:tcW w:w="615" w:type="pct"/>
            <w:vAlign w:val="center"/>
            <w:hideMark/>
          </w:tcPr>
          <w:p w14:paraId="6097C8F1"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SEER</w:t>
            </w:r>
          </w:p>
        </w:tc>
        <w:tc>
          <w:tcPr>
            <w:tcW w:w="568" w:type="pct"/>
            <w:vAlign w:val="center"/>
            <w:hideMark/>
          </w:tcPr>
          <w:p w14:paraId="3A04B053" w14:textId="77777777" w:rsidR="00EB35FA" w:rsidRPr="00CB607B" w:rsidRDefault="00EB35FA" w:rsidP="00EB35FA">
            <w:pPr>
              <w:jc w:val="center"/>
              <w:rPr>
                <w:rFonts w:ascii="Calibri" w:eastAsia="Times New Roman" w:hAnsi="Calibri" w:cs="Calibri"/>
                <w:color w:val="333333"/>
                <w:sz w:val="18"/>
                <w:szCs w:val="18"/>
                <w:lang w:eastAsia="en-NZ"/>
              </w:rPr>
            </w:pPr>
            <w:r w:rsidRPr="00CB607B">
              <w:rPr>
                <w:rFonts w:ascii="Calibri" w:eastAsia="Times New Roman" w:hAnsi="Calibri" w:cs="Calibri"/>
                <w:color w:val="333333"/>
                <w:sz w:val="18"/>
                <w:szCs w:val="18"/>
                <w:lang w:eastAsia="en-NZ"/>
              </w:rPr>
              <w:t>Questionnaire</w:t>
            </w:r>
          </w:p>
        </w:tc>
      </w:tr>
    </w:tbl>
    <w:p w14:paraId="0913A4F3" w14:textId="494FAF60" w:rsidR="00EB35FA" w:rsidRDefault="00EB35FA" w:rsidP="00EB35FA">
      <w:pPr>
        <w:pStyle w:val="para"/>
        <w:spacing w:before="0" w:beforeAutospacing="0" w:after="360" w:afterAutospacing="0"/>
      </w:pPr>
    </w:p>
    <w:p w14:paraId="06E801AF" w14:textId="7FD4281C" w:rsidR="005963CD" w:rsidRDefault="005963CD" w:rsidP="00EB35FA">
      <w:pPr>
        <w:pStyle w:val="para"/>
        <w:spacing w:before="0" w:beforeAutospacing="0" w:after="360" w:afterAutospacing="0"/>
        <w:sectPr w:rsidR="005963CD" w:rsidSect="005963CD">
          <w:pgSz w:w="16839" w:h="11907" w:orient="landscape" w:code="9"/>
          <w:pgMar w:top="1418" w:right="1418" w:bottom="1418" w:left="1418" w:header="964" w:footer="964" w:gutter="0"/>
          <w:cols w:space="708"/>
          <w:docGrid w:linePitch="360"/>
        </w:sectPr>
      </w:pPr>
    </w:p>
    <w:p w14:paraId="40FE5395" w14:textId="3AF225F9" w:rsidR="00940F83" w:rsidRPr="00940F83" w:rsidRDefault="00940F83" w:rsidP="00940F83">
      <w:pPr>
        <w:pStyle w:val="BodyText-GREEN"/>
        <w:rPr>
          <w:b/>
        </w:rPr>
      </w:pPr>
      <w:bookmarkStart w:id="67" w:name="_Toc507914431"/>
      <w:bookmarkStart w:id="68" w:name="_Toc507976156"/>
      <w:r w:rsidRPr="00345CCE">
        <w:rPr>
          <w:b/>
          <w:color w:val="auto"/>
        </w:rPr>
        <w:lastRenderedPageBreak/>
        <w:t>Younger age (&lt;50 years) and breast cancer risk</w:t>
      </w:r>
    </w:p>
    <w:p w14:paraId="77D9430F" w14:textId="0024FDEA" w:rsidR="00940F83" w:rsidRDefault="00940F83" w:rsidP="00940F83">
      <w:pPr>
        <w:pStyle w:val="BodyText"/>
      </w:pPr>
      <w:r>
        <w:t xml:space="preserve">A subpopulation of interest </w:t>
      </w:r>
      <w:r w:rsidRPr="008C1846">
        <w:t>for</w:t>
      </w:r>
      <w:r>
        <w:t xml:space="preserve"> this review was women aged 40-50 years with no symptoms of breast cancer and screened by mammography. Some jurisdictions recommend regular breast screening from a younger age (30-40 years) for women deemed to be at high risk of breast cancer (</w:t>
      </w:r>
      <w:r w:rsidR="00CC24AA">
        <w:t>eg,</w:t>
      </w:r>
      <w:r>
        <w:t xml:space="preserve"> family history). </w:t>
      </w:r>
    </w:p>
    <w:p w14:paraId="64EE7EAC" w14:textId="6EC6D123" w:rsidR="00940F83" w:rsidRDefault="00940F83" w:rsidP="00940F83">
      <w:pPr>
        <w:pStyle w:val="BodyText"/>
      </w:pPr>
      <w:r>
        <w:t xml:space="preserve">There is no </w:t>
      </w:r>
      <w:r w:rsidR="006962F0">
        <w:t>strong</w:t>
      </w:r>
      <w:r>
        <w:t xml:space="preserve"> evidence relating to age, breast density and screening (Wellings et al</w:t>
      </w:r>
      <w:r w:rsidR="00920772">
        <w:t>.</w:t>
      </w:r>
      <w:r>
        <w:t>, 2016). Our search identified one narrative review investigating this population of women. Kerlikowske (2011) reviewed and</w:t>
      </w:r>
      <w:r w:rsidRPr="003A7AA5">
        <w:t xml:space="preserve"> describe</w:t>
      </w:r>
      <w:r>
        <w:t>d</w:t>
      </w:r>
      <w:r w:rsidRPr="003A7AA5">
        <w:t xml:space="preserve"> the benefits and harms of performing screening mammography, accuracy of digital mammography, and new evidence on the effectiveness of risk-based screening</w:t>
      </w:r>
      <w:r>
        <w:t xml:space="preserve"> in women of this age group. This review was mainly focused around two studies: </w:t>
      </w:r>
      <w:r w:rsidRPr="006D5621">
        <w:t xml:space="preserve">Yankaskas </w:t>
      </w:r>
      <w:r>
        <w:t>et al. (</w:t>
      </w:r>
      <w:r w:rsidRPr="006D5621">
        <w:t>2010</w:t>
      </w:r>
      <w:r>
        <w:t>) and Hubbard et al. (2011).</w:t>
      </w:r>
    </w:p>
    <w:p w14:paraId="2C7E7FCD" w14:textId="14D469CC" w:rsidR="00940F83" w:rsidRDefault="00940F83" w:rsidP="00940F83">
      <w:pPr>
        <w:pStyle w:val="BodyText"/>
      </w:pPr>
      <w:r w:rsidRPr="002446D6">
        <w:t>Yankaskas et al.</w:t>
      </w:r>
      <w:r>
        <w:t xml:space="preserve"> (</w:t>
      </w:r>
      <w:r w:rsidRPr="002446D6">
        <w:t>2010</w:t>
      </w:r>
      <w:r>
        <w:t xml:space="preserve">) </w:t>
      </w:r>
      <w:r w:rsidRPr="002446D6">
        <w:t>pooled data from six mammography registries across the United States from the Breast Cancer Surveillance Consortium</w:t>
      </w:r>
      <w:r>
        <w:t>. The final sample included</w:t>
      </w:r>
      <w:r w:rsidRPr="002446D6">
        <w:t xml:space="preserve"> 117</w:t>
      </w:r>
      <w:r>
        <w:t>,</w:t>
      </w:r>
      <w:r w:rsidRPr="002446D6">
        <w:t>738 women who were aged 18-39 years when they had their first screening or diagnostic mammogram during 1995-2005</w:t>
      </w:r>
      <w:r>
        <w:t>. The women were</w:t>
      </w:r>
      <w:r w:rsidRPr="002446D6">
        <w:t xml:space="preserve"> followed</w:t>
      </w:r>
      <w:r>
        <w:t xml:space="preserve"> </w:t>
      </w:r>
      <w:r w:rsidRPr="002446D6">
        <w:t xml:space="preserve">for </w:t>
      </w:r>
      <w:r>
        <w:t xml:space="preserve">one </w:t>
      </w:r>
      <w:r w:rsidRPr="002446D6">
        <w:t xml:space="preserve">year to determine accuracy of mammography assessment. </w:t>
      </w:r>
      <w:r>
        <w:t>Performance was measured using</w:t>
      </w:r>
      <w:r w:rsidRPr="002446D6">
        <w:t xml:space="preserve"> recall rate</w:t>
      </w:r>
      <w:r>
        <w:t>,</w:t>
      </w:r>
      <w:r w:rsidRPr="002446D6">
        <w:t xml:space="preserve"> sensitivity, specificity, positive predictive value</w:t>
      </w:r>
      <w:r>
        <w:t xml:space="preserve"> (PPV)</w:t>
      </w:r>
      <w:r w:rsidRPr="002446D6">
        <w:t>, and</w:t>
      </w:r>
      <w:r>
        <w:t xml:space="preserve"> cancer detection rate</w:t>
      </w:r>
      <w:r w:rsidRPr="002446D6">
        <w:t xml:space="preserve"> </w:t>
      </w:r>
      <w:r>
        <w:t xml:space="preserve">(CDR) </w:t>
      </w:r>
      <w:r w:rsidRPr="002446D6">
        <w:t>for all</w:t>
      </w:r>
      <w:r>
        <w:t xml:space="preserve"> screening</w:t>
      </w:r>
      <w:r w:rsidRPr="002446D6">
        <w:t xml:space="preserve"> mammograms.</w:t>
      </w:r>
      <w:r>
        <w:t xml:space="preserve"> N</w:t>
      </w:r>
      <w:r w:rsidRPr="00570F79">
        <w:t xml:space="preserve">o cancers were detected </w:t>
      </w:r>
      <w:r>
        <w:t xml:space="preserve">using screening </w:t>
      </w:r>
      <w:r w:rsidRPr="00570F79">
        <w:t>mammograms for women aged 18-24 years</w:t>
      </w:r>
      <w:r>
        <w:t xml:space="preserve"> (Table </w:t>
      </w:r>
      <w:r w:rsidR="006465B1">
        <w:t>9</w:t>
      </w:r>
      <w:r>
        <w:t xml:space="preserve">, below). </w:t>
      </w:r>
    </w:p>
    <w:p w14:paraId="0BF9A3DB" w14:textId="3DC5B4D6" w:rsidR="00940F83" w:rsidRDefault="00940F83" w:rsidP="00940F83">
      <w:pPr>
        <w:pStyle w:val="Caption"/>
      </w:pPr>
      <w:r>
        <w:t xml:space="preserve">Table </w:t>
      </w:r>
      <w:r w:rsidR="006465B1">
        <w:t>9</w:t>
      </w:r>
      <w:r>
        <w:t xml:space="preserve">. Performance of screening mammogram in younger women </w:t>
      </w:r>
      <w:r w:rsidR="006962F0">
        <w:t>(Yankaskas et al., 2010)</w:t>
      </w:r>
    </w:p>
    <w:tbl>
      <w:tblPr>
        <w:tblStyle w:val="ACGreen-BasicTable"/>
        <w:tblW w:w="0" w:type="auto"/>
        <w:tblCellMar>
          <w:top w:w="0" w:type="dxa"/>
          <w:bottom w:w="0" w:type="dxa"/>
        </w:tblCellMar>
        <w:tblLook w:val="04A0" w:firstRow="1" w:lastRow="0" w:firstColumn="1" w:lastColumn="0" w:noHBand="0" w:noVBand="1"/>
        <w:tblDescription w:val="The age between 18-24 years was n = 637 screenings. The sensitivity (95%CI) was 7.6% (14.8 - 20.6), specificity (95%CI) was 0.0 (no cancers, reference) PPV (95%CI) was 0, recall rate (95%CI) was 17.6% (14.8 - 20.6), and CDR (95%CI) was 0.&#10;&#10;The age between 35-39 years was n = 73, 335 screenings. Sensitivity (95%CI) was 76.1% (69.2 - 82.6), specificity (95%CI) was 87.5%&#10;(87.2 - 87.7), PPV (95%CI) was 1.3% (1.1 -1.5), recall rate (95%CI) was 12.7% (12.4 - 12.9), and the CDR (95%CI) was 1.6 cancers per 1000 mammograms (1.3 to 1.9).&#10;&#10;For all women, the sensitivity (95%CI) was 76.5% (70.1 - 82.5), specificity was 87.1 (86.9 to 87.4), (95%CI) (95%CI) was 1.3 (1.1 to 1.5),  recall rate (95%CI) was 13.0% (12.8 - 13.2), and CDR (95%CI) was 1.7 cancers per 1000 mammograms (1.4 to 1.9).&#10;"/>
      </w:tblPr>
      <w:tblGrid>
        <w:gridCol w:w="1412"/>
        <w:gridCol w:w="1545"/>
        <w:gridCol w:w="1536"/>
        <w:gridCol w:w="1413"/>
        <w:gridCol w:w="1509"/>
        <w:gridCol w:w="1589"/>
      </w:tblGrid>
      <w:tr w:rsidR="00345CCE" w:rsidRPr="00345CCE" w14:paraId="7AA2BFAE" w14:textId="77777777" w:rsidTr="00F215E5">
        <w:trPr>
          <w:cnfStyle w:val="100000000000" w:firstRow="1" w:lastRow="0" w:firstColumn="0" w:lastColumn="0" w:oddVBand="0" w:evenVBand="0" w:oddHBand="0" w:evenHBand="0" w:firstRowFirstColumn="0" w:firstRowLastColumn="0" w:lastRowFirstColumn="0" w:lastRowLastColumn="0"/>
        </w:trPr>
        <w:tc>
          <w:tcPr>
            <w:tcW w:w="1427" w:type="dxa"/>
          </w:tcPr>
          <w:p w14:paraId="030FCDDF" w14:textId="17A669A8" w:rsidR="00940F83" w:rsidRPr="00345CCE" w:rsidRDefault="006962F0" w:rsidP="006962F0">
            <w:pPr>
              <w:pStyle w:val="NormalWeb"/>
              <w:spacing w:before="0" w:beforeAutospacing="0" w:after="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Age</w:t>
            </w:r>
          </w:p>
        </w:tc>
        <w:tc>
          <w:tcPr>
            <w:tcW w:w="1566" w:type="dxa"/>
          </w:tcPr>
          <w:p w14:paraId="1059982A"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Sensitivity (95%CI)</w:t>
            </w:r>
          </w:p>
        </w:tc>
        <w:tc>
          <w:tcPr>
            <w:tcW w:w="1557" w:type="dxa"/>
          </w:tcPr>
          <w:p w14:paraId="582F46EB"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Specificity</w:t>
            </w:r>
          </w:p>
          <w:p w14:paraId="28C0970A"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(95%CI)</w:t>
            </w:r>
          </w:p>
        </w:tc>
        <w:tc>
          <w:tcPr>
            <w:tcW w:w="1436" w:type="dxa"/>
          </w:tcPr>
          <w:p w14:paraId="7F6F2329"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PPV</w:t>
            </w:r>
          </w:p>
          <w:p w14:paraId="65A4D580"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(95%CI)</w:t>
            </w:r>
          </w:p>
        </w:tc>
        <w:tc>
          <w:tcPr>
            <w:tcW w:w="1535" w:type="dxa"/>
          </w:tcPr>
          <w:p w14:paraId="7F9F8835"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Recall rate</w:t>
            </w:r>
          </w:p>
          <w:p w14:paraId="26394AFF"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(95%CI)</w:t>
            </w:r>
          </w:p>
        </w:tc>
        <w:tc>
          <w:tcPr>
            <w:tcW w:w="1602" w:type="dxa"/>
          </w:tcPr>
          <w:p w14:paraId="7EFEE848"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CDR</w:t>
            </w:r>
          </w:p>
          <w:p w14:paraId="14221595" w14:textId="77777777" w:rsidR="00940F83" w:rsidRPr="00345CCE" w:rsidRDefault="00940F83" w:rsidP="006962F0">
            <w:pPr>
              <w:pStyle w:val="NormalWeb"/>
              <w:spacing w:before="0" w:beforeAutospacing="0" w:after="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(95%CI)</w:t>
            </w:r>
          </w:p>
        </w:tc>
      </w:tr>
      <w:tr w:rsidR="00940F83" w:rsidRPr="003D60DC" w14:paraId="2224D624" w14:textId="77777777" w:rsidTr="00F215E5">
        <w:tc>
          <w:tcPr>
            <w:tcW w:w="1427" w:type="dxa"/>
          </w:tcPr>
          <w:p w14:paraId="50A06C26"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18-24 years</w:t>
            </w:r>
          </w:p>
          <w:p w14:paraId="3561C40C" w14:textId="55A68088" w:rsidR="00940F83" w:rsidRPr="0097476D" w:rsidRDefault="006962F0"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i/>
                <w:sz w:val="18"/>
                <w:szCs w:val="22"/>
                <w:lang w:eastAsia="en-US"/>
              </w:rPr>
              <w:t xml:space="preserve">n </w:t>
            </w:r>
            <w:r w:rsidR="00940F83" w:rsidRPr="0097476D">
              <w:rPr>
                <w:rFonts w:asciiTheme="majorHAnsi" w:eastAsiaTheme="minorHAnsi" w:hAnsiTheme="majorHAnsi" w:cstheme="majorHAnsi"/>
                <w:sz w:val="18"/>
                <w:szCs w:val="22"/>
                <w:lang w:eastAsia="en-US"/>
              </w:rPr>
              <w:t>=</w:t>
            </w:r>
            <w:r>
              <w:rPr>
                <w:rFonts w:asciiTheme="majorHAnsi" w:eastAsiaTheme="minorHAnsi" w:hAnsiTheme="majorHAnsi" w:cstheme="majorHAnsi"/>
                <w:sz w:val="18"/>
                <w:szCs w:val="22"/>
                <w:lang w:eastAsia="en-US"/>
              </w:rPr>
              <w:t xml:space="preserve"> </w:t>
            </w:r>
            <w:r w:rsidR="00940F83" w:rsidRPr="0097476D">
              <w:rPr>
                <w:rFonts w:asciiTheme="majorHAnsi" w:eastAsiaTheme="minorHAnsi" w:hAnsiTheme="majorHAnsi" w:cstheme="majorHAnsi"/>
                <w:sz w:val="18"/>
                <w:szCs w:val="22"/>
                <w:lang w:eastAsia="en-US"/>
              </w:rPr>
              <w:t>637 screenings</w:t>
            </w:r>
          </w:p>
        </w:tc>
        <w:tc>
          <w:tcPr>
            <w:tcW w:w="1566" w:type="dxa"/>
          </w:tcPr>
          <w:p w14:paraId="02AADCD3"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7.6</w:t>
            </w:r>
            <w:r>
              <w:rPr>
                <w:rFonts w:asciiTheme="majorHAnsi" w:eastAsiaTheme="minorHAnsi" w:hAnsiTheme="majorHAnsi" w:cstheme="majorHAnsi"/>
                <w:sz w:val="18"/>
                <w:szCs w:val="22"/>
                <w:lang w:eastAsia="en-US"/>
              </w:rPr>
              <w:t>%</w:t>
            </w:r>
            <w:r w:rsidRPr="0097476D">
              <w:rPr>
                <w:rFonts w:asciiTheme="majorHAnsi" w:eastAsiaTheme="minorHAnsi" w:hAnsiTheme="majorHAnsi" w:cstheme="majorHAnsi"/>
                <w:sz w:val="18"/>
                <w:szCs w:val="22"/>
                <w:lang w:eastAsia="en-US"/>
              </w:rPr>
              <w:t xml:space="preserve"> (14.8 </w:t>
            </w:r>
            <w:r>
              <w:rPr>
                <w:rFonts w:asciiTheme="majorHAnsi" w:eastAsiaTheme="minorHAnsi" w:hAnsiTheme="majorHAnsi" w:cstheme="majorHAnsi"/>
                <w:sz w:val="18"/>
                <w:szCs w:val="22"/>
                <w:lang w:eastAsia="en-US"/>
              </w:rPr>
              <w:t>-</w:t>
            </w:r>
            <w:r w:rsidRPr="0097476D">
              <w:rPr>
                <w:rFonts w:asciiTheme="majorHAnsi" w:eastAsiaTheme="minorHAnsi" w:hAnsiTheme="majorHAnsi" w:cstheme="majorHAnsi"/>
                <w:sz w:val="18"/>
                <w:szCs w:val="22"/>
                <w:lang w:eastAsia="en-US"/>
              </w:rPr>
              <w:t xml:space="preserve"> 20.6)</w:t>
            </w:r>
          </w:p>
        </w:tc>
        <w:tc>
          <w:tcPr>
            <w:tcW w:w="1557" w:type="dxa"/>
          </w:tcPr>
          <w:p w14:paraId="6FE643AC"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0.0 (no cancers, reference)</w:t>
            </w:r>
          </w:p>
        </w:tc>
        <w:tc>
          <w:tcPr>
            <w:tcW w:w="1436" w:type="dxa"/>
          </w:tcPr>
          <w:p w14:paraId="6FBF0017"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0</w:t>
            </w:r>
          </w:p>
        </w:tc>
        <w:tc>
          <w:tcPr>
            <w:tcW w:w="1535" w:type="dxa"/>
          </w:tcPr>
          <w:p w14:paraId="0D7364C6"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 xml:space="preserve">17.6% </w:t>
            </w:r>
            <w:r>
              <w:rPr>
                <w:rFonts w:asciiTheme="majorHAnsi" w:eastAsiaTheme="minorHAnsi" w:hAnsiTheme="majorHAnsi" w:cstheme="majorHAnsi"/>
                <w:sz w:val="18"/>
                <w:szCs w:val="22"/>
                <w:lang w:eastAsia="en-US"/>
              </w:rPr>
              <w:t>(</w:t>
            </w:r>
            <w:r w:rsidRPr="0097476D">
              <w:rPr>
                <w:rFonts w:asciiTheme="majorHAnsi" w:eastAsiaTheme="minorHAnsi" w:hAnsiTheme="majorHAnsi" w:cstheme="majorHAnsi"/>
                <w:sz w:val="18"/>
                <w:szCs w:val="22"/>
                <w:lang w:eastAsia="en-US"/>
              </w:rPr>
              <w:t>14.8 - 20.6)</w:t>
            </w:r>
          </w:p>
        </w:tc>
        <w:tc>
          <w:tcPr>
            <w:tcW w:w="1602" w:type="dxa"/>
          </w:tcPr>
          <w:p w14:paraId="1EEDC17F"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0</w:t>
            </w:r>
          </w:p>
        </w:tc>
      </w:tr>
      <w:tr w:rsidR="00940F83" w:rsidRPr="003D60DC" w14:paraId="21F6B108" w14:textId="77777777" w:rsidTr="00F215E5">
        <w:tc>
          <w:tcPr>
            <w:tcW w:w="1427" w:type="dxa"/>
          </w:tcPr>
          <w:p w14:paraId="7A37F4F9" w14:textId="663000B6"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35-39 years</w:t>
            </w:r>
          </w:p>
          <w:p w14:paraId="4FBDE2C0" w14:textId="6FF916B9" w:rsidR="00940F83" w:rsidRPr="0097476D" w:rsidRDefault="006962F0"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i/>
                <w:sz w:val="18"/>
                <w:szCs w:val="22"/>
                <w:lang w:eastAsia="en-US"/>
              </w:rPr>
              <w:t xml:space="preserve">n </w:t>
            </w:r>
            <w:r w:rsidR="00940F83" w:rsidRPr="0097476D">
              <w:rPr>
                <w:rFonts w:asciiTheme="majorHAnsi" w:eastAsiaTheme="minorHAnsi" w:hAnsiTheme="majorHAnsi" w:cstheme="majorHAnsi"/>
                <w:sz w:val="18"/>
                <w:szCs w:val="22"/>
                <w:lang w:eastAsia="en-US"/>
              </w:rPr>
              <w:t>= 73, 335 screenings</w:t>
            </w:r>
          </w:p>
        </w:tc>
        <w:tc>
          <w:tcPr>
            <w:tcW w:w="1566" w:type="dxa"/>
          </w:tcPr>
          <w:p w14:paraId="42B0C7FA"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76.1% (69.2 - 82.6)</w:t>
            </w:r>
          </w:p>
        </w:tc>
        <w:tc>
          <w:tcPr>
            <w:tcW w:w="1557" w:type="dxa"/>
          </w:tcPr>
          <w:p w14:paraId="12F48EB3" w14:textId="5A98262D"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87.5%</w:t>
            </w:r>
          </w:p>
          <w:p w14:paraId="4B132A70"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(87.2 - 87.7)</w:t>
            </w:r>
          </w:p>
        </w:tc>
        <w:tc>
          <w:tcPr>
            <w:tcW w:w="1436" w:type="dxa"/>
          </w:tcPr>
          <w:p w14:paraId="394FFA7B" w14:textId="19FD60F2"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1.3%</w:t>
            </w:r>
          </w:p>
          <w:p w14:paraId="4C491AD2"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(1.1 -1.5),</w:t>
            </w:r>
          </w:p>
        </w:tc>
        <w:tc>
          <w:tcPr>
            <w:tcW w:w="1535" w:type="dxa"/>
          </w:tcPr>
          <w:p w14:paraId="2B96D7D6"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12.7% (12.4 - 12.9)</w:t>
            </w:r>
          </w:p>
        </w:tc>
        <w:tc>
          <w:tcPr>
            <w:tcW w:w="1602" w:type="dxa"/>
          </w:tcPr>
          <w:p w14:paraId="54E2F5A5"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1.6 cancers per 1000 mammograms (1.3 to 1.9)</w:t>
            </w:r>
          </w:p>
        </w:tc>
      </w:tr>
      <w:tr w:rsidR="00940F83" w:rsidRPr="003D60DC" w14:paraId="49348E45" w14:textId="77777777" w:rsidTr="00F215E5">
        <w:tc>
          <w:tcPr>
            <w:tcW w:w="1427" w:type="dxa"/>
          </w:tcPr>
          <w:p w14:paraId="0FF23D93" w14:textId="287CDA2A"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All women</w:t>
            </w:r>
          </w:p>
          <w:p w14:paraId="5B30F6AF"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p>
        </w:tc>
        <w:tc>
          <w:tcPr>
            <w:tcW w:w="1566" w:type="dxa"/>
          </w:tcPr>
          <w:p w14:paraId="00747FF4"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76.5</w:t>
            </w:r>
            <w:r>
              <w:rPr>
                <w:rFonts w:asciiTheme="majorHAnsi" w:eastAsiaTheme="minorHAnsi" w:hAnsiTheme="majorHAnsi" w:cstheme="majorHAnsi"/>
                <w:sz w:val="18"/>
                <w:szCs w:val="22"/>
                <w:lang w:eastAsia="en-US"/>
              </w:rPr>
              <w:t>%</w:t>
            </w:r>
            <w:r w:rsidRPr="0097476D">
              <w:rPr>
                <w:rFonts w:asciiTheme="majorHAnsi" w:eastAsiaTheme="minorHAnsi" w:hAnsiTheme="majorHAnsi" w:cstheme="majorHAnsi"/>
                <w:sz w:val="18"/>
                <w:szCs w:val="22"/>
                <w:lang w:eastAsia="en-US"/>
              </w:rPr>
              <w:t xml:space="preserve"> (70.1 </w:t>
            </w:r>
            <w:r>
              <w:rPr>
                <w:rFonts w:asciiTheme="majorHAnsi" w:eastAsiaTheme="minorHAnsi" w:hAnsiTheme="majorHAnsi" w:cstheme="majorHAnsi"/>
                <w:sz w:val="18"/>
                <w:szCs w:val="22"/>
                <w:lang w:eastAsia="en-US"/>
              </w:rPr>
              <w:t>-</w:t>
            </w:r>
            <w:r w:rsidRPr="0097476D">
              <w:rPr>
                <w:rFonts w:asciiTheme="majorHAnsi" w:eastAsiaTheme="minorHAnsi" w:hAnsiTheme="majorHAnsi" w:cstheme="majorHAnsi"/>
                <w:sz w:val="18"/>
                <w:szCs w:val="22"/>
                <w:lang w:eastAsia="en-US"/>
              </w:rPr>
              <w:t xml:space="preserve"> 82.5)</w:t>
            </w:r>
          </w:p>
        </w:tc>
        <w:tc>
          <w:tcPr>
            <w:tcW w:w="1557" w:type="dxa"/>
          </w:tcPr>
          <w:p w14:paraId="105D6818"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87.1 (86.9 to 87.4)</w:t>
            </w:r>
          </w:p>
        </w:tc>
        <w:tc>
          <w:tcPr>
            <w:tcW w:w="1436" w:type="dxa"/>
          </w:tcPr>
          <w:p w14:paraId="6A6F19E3" w14:textId="77777777" w:rsidR="00940F83" w:rsidRPr="0097476D" w:rsidRDefault="00940F83" w:rsidP="006962F0">
            <w:pPr>
              <w:jc w:val="center"/>
              <w:rPr>
                <w:rFonts w:cstheme="majorHAnsi"/>
                <w:sz w:val="18"/>
              </w:rPr>
            </w:pPr>
            <w:r w:rsidRPr="0097476D">
              <w:rPr>
                <w:rFonts w:cstheme="majorHAnsi"/>
                <w:sz w:val="18"/>
              </w:rPr>
              <w:t>1.3 (1.1 to 1.5)</w:t>
            </w:r>
          </w:p>
        </w:tc>
        <w:tc>
          <w:tcPr>
            <w:tcW w:w="1535" w:type="dxa"/>
          </w:tcPr>
          <w:p w14:paraId="43411582" w14:textId="7777777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 xml:space="preserve">13.0% (12.8 </w:t>
            </w:r>
            <w:r>
              <w:rPr>
                <w:rFonts w:asciiTheme="majorHAnsi" w:eastAsiaTheme="minorHAnsi" w:hAnsiTheme="majorHAnsi" w:cstheme="majorHAnsi"/>
                <w:sz w:val="18"/>
                <w:szCs w:val="22"/>
                <w:lang w:eastAsia="en-US"/>
              </w:rPr>
              <w:t>-</w:t>
            </w:r>
            <w:r w:rsidRPr="0097476D">
              <w:rPr>
                <w:rFonts w:asciiTheme="majorHAnsi" w:eastAsiaTheme="minorHAnsi" w:hAnsiTheme="majorHAnsi" w:cstheme="majorHAnsi"/>
                <w:sz w:val="18"/>
                <w:szCs w:val="22"/>
                <w:lang w:eastAsia="en-US"/>
              </w:rPr>
              <w:t xml:space="preserve"> 13.2)</w:t>
            </w:r>
          </w:p>
        </w:tc>
        <w:tc>
          <w:tcPr>
            <w:tcW w:w="1602" w:type="dxa"/>
          </w:tcPr>
          <w:p w14:paraId="32E2FDEF" w14:textId="58CA4437" w:rsidR="00940F83" w:rsidRPr="0097476D" w:rsidRDefault="00940F83" w:rsidP="006962F0">
            <w:pPr>
              <w:pStyle w:val="NormalWeb"/>
              <w:spacing w:before="0" w:beforeAutospacing="0" w:after="0" w:afterAutospacing="0"/>
              <w:jc w:val="center"/>
              <w:rPr>
                <w:rFonts w:asciiTheme="majorHAnsi" w:eastAsiaTheme="minorHAnsi" w:hAnsiTheme="majorHAnsi" w:cstheme="majorHAnsi"/>
                <w:sz w:val="18"/>
                <w:szCs w:val="22"/>
                <w:lang w:eastAsia="en-US"/>
              </w:rPr>
            </w:pPr>
            <w:r w:rsidRPr="0097476D">
              <w:rPr>
                <w:rFonts w:asciiTheme="majorHAnsi" w:eastAsiaTheme="minorHAnsi" w:hAnsiTheme="majorHAnsi" w:cstheme="majorHAnsi"/>
                <w:sz w:val="18"/>
                <w:szCs w:val="22"/>
                <w:lang w:eastAsia="en-US"/>
              </w:rPr>
              <w:t xml:space="preserve">1.7 </w:t>
            </w:r>
            <w:r>
              <w:rPr>
                <w:rFonts w:asciiTheme="majorHAnsi" w:eastAsiaTheme="minorHAnsi" w:hAnsiTheme="majorHAnsi" w:cstheme="majorHAnsi"/>
                <w:sz w:val="18"/>
                <w:szCs w:val="22"/>
                <w:lang w:eastAsia="en-US"/>
              </w:rPr>
              <w:t xml:space="preserve">cancers </w:t>
            </w:r>
            <w:r w:rsidRPr="0097476D">
              <w:rPr>
                <w:rFonts w:asciiTheme="majorHAnsi" w:eastAsiaTheme="minorHAnsi" w:hAnsiTheme="majorHAnsi" w:cstheme="majorHAnsi"/>
                <w:sz w:val="18"/>
                <w:szCs w:val="22"/>
                <w:lang w:eastAsia="en-US"/>
              </w:rPr>
              <w:t>per 1000 mammograms (1.4 to 1.9)</w:t>
            </w:r>
          </w:p>
        </w:tc>
      </w:tr>
    </w:tbl>
    <w:p w14:paraId="0042BBBF" w14:textId="4AE215DD" w:rsidR="00940F83" w:rsidRPr="00570F79" w:rsidRDefault="00940F83" w:rsidP="00940F83">
      <w:pPr>
        <w:pStyle w:val="BodyText"/>
      </w:pPr>
      <w:r>
        <w:t>Although t</w:t>
      </w:r>
      <w:r w:rsidRPr="00570F79">
        <w:t xml:space="preserve">his study focused on women younger than </w:t>
      </w:r>
      <w:r w:rsidR="00920772">
        <w:t>t</w:t>
      </w:r>
      <w:r w:rsidR="006962F0">
        <w:t>h</w:t>
      </w:r>
      <w:r w:rsidR="00920772">
        <w:t>ose who might participate in the BSA program</w:t>
      </w:r>
      <w:r>
        <w:t xml:space="preserve">, it is </w:t>
      </w:r>
      <w:r w:rsidRPr="00570F79">
        <w:t xml:space="preserve">included here for comparison to </w:t>
      </w:r>
      <w:r>
        <w:t>women aged</w:t>
      </w:r>
      <w:r w:rsidRPr="00570F79">
        <w:t xml:space="preserve"> 40-49 years. Women aged 18-39</w:t>
      </w:r>
      <w:r>
        <w:t xml:space="preserve"> years</w:t>
      </w:r>
      <w:r w:rsidRPr="00570F79">
        <w:t xml:space="preserve"> had low breast cancer rates but after mammography experience</w:t>
      </w:r>
      <w:r>
        <w:t>d</w:t>
      </w:r>
      <w:r w:rsidRPr="00570F79">
        <w:t xml:space="preserve"> high recall rates, high rates of additional imaging, and low </w:t>
      </w:r>
      <w:r>
        <w:t>CDR</w:t>
      </w:r>
      <w:r w:rsidRPr="00570F79">
        <w:t xml:space="preserve">. </w:t>
      </w:r>
      <w:r>
        <w:t>Screening mammography also performed poorly</w:t>
      </w:r>
      <w:r w:rsidRPr="00570F79">
        <w:t xml:space="preserve"> for the large group of women aged 35-39 years. In a theoretical population of 10</w:t>
      </w:r>
      <w:r>
        <w:t>,</w:t>
      </w:r>
      <w:r w:rsidRPr="00570F79">
        <w:t>000 women aged 35-39 years, 1</w:t>
      </w:r>
      <w:r>
        <w:t>,</w:t>
      </w:r>
      <w:r w:rsidRPr="00570F79">
        <w:t>266 women who are screened will receive further workup, with 16 cancers detected and 1</w:t>
      </w:r>
      <w:r>
        <w:t>,</w:t>
      </w:r>
      <w:r w:rsidRPr="00570F79">
        <w:t>250 women receiving a false-positive result.</w:t>
      </w:r>
      <w:r>
        <w:t xml:space="preserve"> While no information was provided regarding breast density, population demographics tell us that a high percentage of these women would likely be categorised as having dense breasts. Even taking this into consideration, the risk of breast cancer remains low and the harms of screening are likely to outweigh the small benefits screening provides for younger women. </w:t>
      </w:r>
    </w:p>
    <w:p w14:paraId="1B29373A" w14:textId="642C873E" w:rsidR="00940F83" w:rsidRPr="00687C76" w:rsidRDefault="00940F83" w:rsidP="00940F83">
      <w:pPr>
        <w:pStyle w:val="BodyText"/>
      </w:pPr>
      <w:r w:rsidRPr="00687C76">
        <w:t>In Hubbard</w:t>
      </w:r>
      <w:r>
        <w:t xml:space="preserve"> et al.’s</w:t>
      </w:r>
      <w:r w:rsidRPr="00687C76">
        <w:t xml:space="preserve"> study, the</w:t>
      </w:r>
      <w:r>
        <w:t xml:space="preserve"> authors</w:t>
      </w:r>
      <w:r w:rsidRPr="00687C76">
        <w:t xml:space="preserve"> constructed a separate cohort for analyses of cancer stage</w:t>
      </w:r>
      <w:r>
        <w:t>.</w:t>
      </w:r>
      <w:r w:rsidRPr="00687C76">
        <w:t xml:space="preserve"> </w:t>
      </w:r>
      <w:r>
        <w:t>The full sample</w:t>
      </w:r>
      <w:r w:rsidRPr="00687C76">
        <w:t xml:space="preserve"> included women age</w:t>
      </w:r>
      <w:r>
        <w:t>d</w:t>
      </w:r>
      <w:r w:rsidRPr="00687C76">
        <w:t xml:space="preserve"> 40–59 </w:t>
      </w:r>
      <w:r>
        <w:t>years diagnosed with</w:t>
      </w:r>
      <w:r w:rsidRPr="00687C76">
        <w:t xml:space="preserve"> an incident invasive breast cancer between 1996 and 2006, at or following a screening mammogram and who had at least one additional prior mammogram. Based on 169,456 women, they found a wom</w:t>
      </w:r>
      <w:r>
        <w:t>a</w:t>
      </w:r>
      <w:r w:rsidRPr="00687C76">
        <w:t>n’s adjusted cumulative probability of experiencing a false positive recall after 10 years of screening increased across risk profiles (</w:t>
      </w:r>
      <w:r>
        <w:t>i.e.,</w:t>
      </w:r>
      <w:r w:rsidRPr="00687C76">
        <w:t xml:space="preserve"> </w:t>
      </w:r>
      <w:r w:rsidR="00275D65">
        <w:t>BIRADS</w:t>
      </w:r>
      <w:r w:rsidRPr="00687C76">
        <w:t xml:space="preserve"> 1 </w:t>
      </w:r>
      <w:r>
        <w:t xml:space="preserve">compared to </w:t>
      </w:r>
      <w:r w:rsidR="00275D65">
        <w:t>BIRADS</w:t>
      </w:r>
      <w:r w:rsidRPr="00687C76">
        <w:t xml:space="preserve"> 4), radiologists’ recall rates, and annual </w:t>
      </w:r>
      <w:r w:rsidRPr="00687C76">
        <w:lastRenderedPageBreak/>
        <w:t>compared to biennial screening</w:t>
      </w:r>
      <w:r>
        <w:t>. H</w:t>
      </w:r>
      <w:r w:rsidRPr="00687C76">
        <w:t>owever</w:t>
      </w:r>
      <w:r>
        <w:t>,</w:t>
      </w:r>
      <w:r w:rsidRPr="00687C76">
        <w:t xml:space="preserve"> there was little difference in these recall rates between low risk women who began screening at 40 </w:t>
      </w:r>
      <w:r>
        <w:t xml:space="preserve">years </w:t>
      </w:r>
      <w:r w:rsidRPr="00687C76">
        <w:t>(29.4%) and women who began at 50</w:t>
      </w:r>
      <w:r>
        <w:t xml:space="preserve"> years</w:t>
      </w:r>
      <w:r w:rsidRPr="00687C76">
        <w:t xml:space="preserve"> (32.4%).</w:t>
      </w:r>
      <w:r>
        <w:t xml:space="preserve"> </w:t>
      </w:r>
      <w:r w:rsidRPr="00687C76">
        <w:t>After 10 years of annual screening, more than half of women will receive at least one false-positive recall, and 7–9% will receive a false-positive biopsy recommendation. The probability of this is lower if screening</w:t>
      </w:r>
      <w:r>
        <w:t xml:space="preserve"> commences</w:t>
      </w:r>
      <w:r w:rsidRPr="00687C76">
        <w:t xml:space="preserve"> at age 40 (compared to 50) and </w:t>
      </w:r>
      <w:r w:rsidR="00920772">
        <w:t>is</w:t>
      </w:r>
      <w:r w:rsidR="00920772" w:rsidRPr="00687C76">
        <w:t xml:space="preserve"> </w:t>
      </w:r>
      <w:r w:rsidRPr="00687C76">
        <w:t>biennial (compared to annual) but this may be associated with a small absolute increase in the probability of being diagnosed with late stage cancer</w:t>
      </w:r>
      <w:r>
        <w:t>.</w:t>
      </w:r>
    </w:p>
    <w:p w14:paraId="4DD622A6" w14:textId="77777777" w:rsidR="006962F0" w:rsidRDefault="00940F83" w:rsidP="00940F83">
      <w:pPr>
        <w:pStyle w:val="BodyText"/>
      </w:pPr>
      <w:r>
        <w:t xml:space="preserve">Kerlikowske (2011) </w:t>
      </w:r>
      <w:r w:rsidR="00AB35D3">
        <w:t xml:space="preserve">also </w:t>
      </w:r>
      <w:r>
        <w:t xml:space="preserve">cited the </w:t>
      </w:r>
      <w:r w:rsidRPr="003C1F9A">
        <w:t>Digital Mammography Imaging Screening Trial (DMIST) study</w:t>
      </w:r>
      <w:r>
        <w:t xml:space="preserve"> which</w:t>
      </w:r>
      <w:r w:rsidRPr="003C1F9A">
        <w:t xml:space="preserve"> included more than 42</w:t>
      </w:r>
      <w:r>
        <w:t>,</w:t>
      </w:r>
      <w:r w:rsidRPr="003C1F9A">
        <w:t xml:space="preserve">760 women and performed film-screen and digital </w:t>
      </w:r>
      <w:r w:rsidRPr="008C1846">
        <w:t>mammography</w:t>
      </w:r>
      <w:r w:rsidRPr="003C1F9A">
        <w:t xml:space="preserve"> in asymptomatic </w:t>
      </w:r>
      <w:r>
        <w:t xml:space="preserve">American </w:t>
      </w:r>
      <w:r w:rsidRPr="003C1F9A">
        <w:t>women at the same screening encounter</w:t>
      </w:r>
      <w:r>
        <w:t xml:space="preserve"> (Pisano et al., 2005). </w:t>
      </w:r>
      <w:r w:rsidRPr="003C1F9A">
        <w:t xml:space="preserve">DMIST found that overall accuracy of film-screen and digital mammography for breast cancer detection was similar, but that digital mammography was more accurate in premenopausal or perimenopausal women younger than 50 years with mammographically dense breasts because of the higher sensitivity rather than specificity of digital mammography in this subgroup (57 versus 27%, </w:t>
      </w:r>
      <w:r w:rsidRPr="0097476D">
        <w:rPr>
          <w:i/>
        </w:rPr>
        <w:t>p</w:t>
      </w:r>
      <w:r>
        <w:t>=.</w:t>
      </w:r>
      <w:r w:rsidRPr="003C1F9A">
        <w:t>0013). The Breast Cancer Surveillance Consortium recently published</w:t>
      </w:r>
      <w:r>
        <w:t xml:space="preserve"> </w:t>
      </w:r>
      <w:r w:rsidRPr="003C1F9A">
        <w:t>a</w:t>
      </w:r>
      <w:r>
        <w:t xml:space="preserve"> </w:t>
      </w:r>
      <w:r w:rsidRPr="003C1F9A">
        <w:t>study</w:t>
      </w:r>
      <w:r>
        <w:t xml:space="preserve"> </w:t>
      </w:r>
      <w:r w:rsidRPr="003C1F9A">
        <w:t xml:space="preserve">based on </w:t>
      </w:r>
      <w:r>
        <w:t>m</w:t>
      </w:r>
      <w:r w:rsidRPr="003C1F9A">
        <w:t>ammography</w:t>
      </w:r>
      <w:r>
        <w:t xml:space="preserve"> </w:t>
      </w:r>
      <w:r w:rsidRPr="003C1F9A">
        <w:t>performed in community practice and found similar results to DMIST; women aged 40–49 years, premenopausal or perimenopausal women, and those with dense breasts had a higher sensitivity of mammography. However, the study also reported a lower specificity for digital than film-screening mammography for women aged 40–49 years</w:t>
      </w:r>
      <w:r>
        <w:t xml:space="preserve"> (Kerlikowske, 2011).</w:t>
      </w:r>
    </w:p>
    <w:p w14:paraId="68CD8658" w14:textId="7F6D96EC" w:rsidR="00B03751" w:rsidRDefault="00A9721B" w:rsidP="00940F83">
      <w:pPr>
        <w:pStyle w:val="BodyText"/>
      </w:pPr>
      <w:r>
        <w:t>A nested case-control study was</w:t>
      </w:r>
      <w:r w:rsidR="00687A52">
        <w:t xml:space="preserve"> also</w:t>
      </w:r>
      <w:r>
        <w:t xml:space="preserve"> identified that compared the strength of the association between breast density and breast cancer risk across a number of age groups, including women aged 40-49 (Park et al., 2018). They used a sample of 1,561 cases and 6,002 matched controls </w:t>
      </w:r>
      <w:r w:rsidR="00920772">
        <w:t>who</w:t>
      </w:r>
      <w:r>
        <w:t xml:space="preserve"> were randomly selected from the National Cancer Screening Program in Korea.</w:t>
      </w:r>
      <w:r w:rsidR="001B7C83">
        <w:t xml:space="preserve"> </w:t>
      </w:r>
      <w:r>
        <w:t xml:space="preserve">Breast density was visually assessed using </w:t>
      </w:r>
      <w:r w:rsidR="00275D65">
        <w:t>BIRADS</w:t>
      </w:r>
      <w:r>
        <w:t xml:space="preserve">. </w:t>
      </w:r>
      <w:r w:rsidR="001B7C83">
        <w:t>Table 1</w:t>
      </w:r>
      <w:r w:rsidR="006465B1">
        <w:t>0</w:t>
      </w:r>
      <w:r w:rsidR="001B7C83">
        <w:t xml:space="preserve"> </w:t>
      </w:r>
      <w:r w:rsidR="00920772">
        <w:t>(</w:t>
      </w:r>
      <w:r w:rsidR="00B4061A">
        <w:t>overleaf</w:t>
      </w:r>
      <w:r w:rsidR="00920772">
        <w:t>)</w:t>
      </w:r>
      <w:r w:rsidR="001B7C83">
        <w:t xml:space="preserve"> shows the ORs found by breast density and age group. There was a significant trend of increasing risk with increasing breast density across all age groups (</w:t>
      </w:r>
      <w:r w:rsidR="001B7C83">
        <w:rPr>
          <w:i/>
        </w:rPr>
        <w:t>p</w:t>
      </w:r>
      <w:r w:rsidR="001B7C83">
        <w:t>&lt;.001). Results also showed that the increase in risk with increasing breast density was more pronounced for women aged 40-49</w:t>
      </w:r>
      <w:r w:rsidR="00920772">
        <w:t xml:space="preserve"> years</w:t>
      </w:r>
      <w:r w:rsidR="001B7C83">
        <w:t xml:space="preserve"> compared with women in older age groups; the odds of women aged 40-49 </w:t>
      </w:r>
      <w:r w:rsidR="00920772">
        <w:t xml:space="preserve">years </w:t>
      </w:r>
      <w:r w:rsidR="001B7C83">
        <w:t xml:space="preserve">developing breast cancer was 4.4, 7.0, or 9.4 times higher for women categorised as </w:t>
      </w:r>
      <w:r w:rsidR="00275D65">
        <w:t>BIRADS</w:t>
      </w:r>
      <w:r w:rsidR="001B7C83">
        <w:t xml:space="preserve"> 2, 3 or 4 (respectively), compared to women with mostly fatty breasts. For women aged 60-69, the odds were only 2.0, 2.7 or 5.1 times higher for these same density groups.</w:t>
      </w:r>
      <w:r w:rsidR="005566DF">
        <w:t xml:space="preserve"> This study suggests that </w:t>
      </w:r>
      <w:r w:rsidR="006962F0">
        <w:t xml:space="preserve">while </w:t>
      </w:r>
      <w:r w:rsidR="005566DF">
        <w:t>breast density</w:t>
      </w:r>
      <w:r w:rsidR="006962F0">
        <w:t xml:space="preserve"> is a predictor of breast cancer risk across all ages, it</w:t>
      </w:r>
      <w:r w:rsidR="005566DF">
        <w:t xml:space="preserve"> may be a stronger predictor for women aged 40-49 </w:t>
      </w:r>
      <w:r w:rsidR="00920772">
        <w:t xml:space="preserve">years </w:t>
      </w:r>
      <w:r w:rsidR="005566DF">
        <w:t>compared to older women. Although the study used a large sample of women in total, the number of women within each subgroup used in the study was relatively small (</w:t>
      </w:r>
      <w:r w:rsidR="00CC24AA">
        <w:t>eg,</w:t>
      </w:r>
      <w:r w:rsidR="005566DF">
        <w:t xml:space="preserve"> less than 100 women aged 40-49 </w:t>
      </w:r>
      <w:r w:rsidR="00920772">
        <w:t xml:space="preserve">years </w:t>
      </w:r>
      <w:r w:rsidR="005566DF">
        <w:t xml:space="preserve">with fatty breasts, and no women aged 70+ years with extremely dense breasts). Therefore, these findings need to be replicated in other large prospective cohorts before conclusions can be drawn about the </w:t>
      </w:r>
      <w:r w:rsidR="00920772">
        <w:t>e</w:t>
      </w:r>
      <w:r w:rsidR="005566DF">
        <w:t>ffect of breast density on breast can</w:t>
      </w:r>
      <w:r w:rsidR="00B03751">
        <w:t>cer risk amongst younger women.</w:t>
      </w:r>
    </w:p>
    <w:p w14:paraId="0E7D9FC2" w14:textId="77777777" w:rsidR="00B03751" w:rsidRDefault="00B03751">
      <w:r>
        <w:br w:type="page"/>
      </w:r>
    </w:p>
    <w:p w14:paraId="021EB1A6" w14:textId="4EB94DCE" w:rsidR="001B7C83" w:rsidRDefault="001B7C83" w:rsidP="001B7C83">
      <w:pPr>
        <w:pStyle w:val="Caption"/>
      </w:pPr>
      <w:r>
        <w:lastRenderedPageBreak/>
        <w:t>Table 1</w:t>
      </w:r>
      <w:r w:rsidR="006465B1">
        <w:t>0</w:t>
      </w:r>
      <w:r>
        <w:t>. Breast density as a risk factor of breast cancer, by age group (Park et al., 2018)</w:t>
      </w:r>
    </w:p>
    <w:tbl>
      <w:tblPr>
        <w:tblStyle w:val="ACGreen-BasicTable"/>
        <w:tblW w:w="0" w:type="auto"/>
        <w:tblCellMar>
          <w:top w:w="0" w:type="dxa"/>
          <w:bottom w:w="0" w:type="dxa"/>
        </w:tblCellMar>
        <w:tblLook w:val="04A0" w:firstRow="1" w:lastRow="0" w:firstColumn="1" w:lastColumn="0" w:noHBand="0" w:noVBand="1"/>
        <w:tblDescription w:val="Density of BI-RADS 1:&#10;40-49 years OR (95%CI): 1.0 (reference)&#10;50-59 years OR (95%CI): 1.0 (reference) &#10;60-69 years OR (95%CI): 1.0 (reference) &#10;70+ years OR (95%CI): 1.0 (reference) &#10;All samples OR (95%CI): 1.0 (reference)&#10;&#10;Density BI-RADS 2 &#10;40-49 years OR (95%CI): 4.4 (1.5-13.2) &#10;50-59 years OR (95%CI): 2.8 (1.7-4.6) &#10;60-69 years OR (95%CI): 2.0 (1.3-2.9) &#10;70+ years OR (95%CI): 2.2 (1.1-4.2) &#10;All sample OR (95%CI): 2.4 (1.8-3.1)&#10;&#10;Density BI-RADS 3 &#10;40-49 years OR (95%CI): 7.0 (2.4-20.3) &#10;50-59 years OR (95%CI): 4.8 (2.9-7.7) &#10;60-69 years OR (95%CI): 2.7 (1.7-4.4) &#10;70+ years OR (95%CI): 2.5 (1.1-6.0) &#10;All sample OR (95%CI): 3.8 (2.9-4.9)&#10;&#10;Density BI-RADS 4 &#10; 40-49 years OR (95%CI): 9.4 (3.2-27.4) &#10;50-59 years OR (95%CI): 6.0 (3.5-10.1) &#10;60-69 years OR (95%CI): 5.1 (2.1-12.2) &#10;70+ years OR (95%CI): - &#10;All sample OR (95%CI): 5.0 (3.7-6.7)&#10;"/>
      </w:tblPr>
      <w:tblGrid>
        <w:gridCol w:w="1422"/>
        <w:gridCol w:w="1542"/>
        <w:gridCol w:w="1533"/>
        <w:gridCol w:w="1415"/>
        <w:gridCol w:w="1512"/>
        <w:gridCol w:w="1580"/>
      </w:tblGrid>
      <w:tr w:rsidR="00345CCE" w:rsidRPr="00345CCE" w14:paraId="0CBD2301" w14:textId="77777777" w:rsidTr="00687A52">
        <w:trPr>
          <w:cnfStyle w:val="100000000000" w:firstRow="1" w:lastRow="0" w:firstColumn="0" w:lastColumn="0" w:oddVBand="0" w:evenVBand="0" w:oddHBand="0" w:evenHBand="0" w:firstRowFirstColumn="0" w:firstRowLastColumn="0" w:lastRowFirstColumn="0" w:lastRowLastColumn="0"/>
        </w:trPr>
        <w:tc>
          <w:tcPr>
            <w:tcW w:w="1422" w:type="dxa"/>
            <w:vAlign w:val="center"/>
          </w:tcPr>
          <w:p w14:paraId="19B43A61" w14:textId="29818FF3" w:rsidR="00A9721B" w:rsidRPr="00345CCE" w:rsidRDefault="00A9721B" w:rsidP="00687A52">
            <w:pPr>
              <w:pStyle w:val="NormalWeb"/>
              <w:spacing w:before="120" w:beforeAutospacing="0" w:after="12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color w:val="auto"/>
                <w:sz w:val="18"/>
                <w:szCs w:val="22"/>
                <w:lang w:eastAsia="en-US"/>
              </w:rPr>
              <w:t>Density</w:t>
            </w:r>
          </w:p>
        </w:tc>
        <w:tc>
          <w:tcPr>
            <w:tcW w:w="1542" w:type="dxa"/>
          </w:tcPr>
          <w:p w14:paraId="2DA64438" w14:textId="77777777" w:rsidR="00687A52" w:rsidRPr="00345CCE" w:rsidRDefault="00A9721B" w:rsidP="00687A52">
            <w:pPr>
              <w:pStyle w:val="NormalWeb"/>
              <w:spacing w:before="120" w:beforeAutospacing="0" w:after="12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40</w:t>
            </w:r>
            <w:r w:rsidR="00687A52" w:rsidRPr="00345CCE">
              <w:rPr>
                <w:rFonts w:asciiTheme="majorHAnsi" w:eastAsiaTheme="minorHAnsi" w:hAnsiTheme="majorHAnsi" w:cstheme="majorHAnsi"/>
                <w:color w:val="auto"/>
                <w:sz w:val="18"/>
                <w:szCs w:val="22"/>
                <w:lang w:eastAsia="en-US"/>
              </w:rPr>
              <w:t>-</w:t>
            </w:r>
            <w:r w:rsidRPr="00345CCE">
              <w:rPr>
                <w:rFonts w:asciiTheme="majorHAnsi" w:eastAsiaTheme="minorHAnsi" w:hAnsiTheme="majorHAnsi" w:cstheme="majorHAnsi"/>
                <w:color w:val="auto"/>
                <w:sz w:val="18"/>
                <w:szCs w:val="22"/>
                <w:lang w:eastAsia="en-US"/>
              </w:rPr>
              <w:t>49 years</w:t>
            </w:r>
          </w:p>
          <w:p w14:paraId="32305F93" w14:textId="6734757B" w:rsidR="00687A52" w:rsidRPr="00345CCE" w:rsidRDefault="00687A52" w:rsidP="00687A52">
            <w:pPr>
              <w:pStyle w:val="NormalWeb"/>
              <w:spacing w:before="120" w:beforeAutospacing="0" w:after="120" w:afterAutospacing="0"/>
              <w:jc w:val="center"/>
              <w:rPr>
                <w:rFonts w:asciiTheme="majorHAnsi" w:eastAsiaTheme="minorHAnsi" w:hAnsiTheme="majorHAnsi" w:cstheme="majorHAnsi"/>
                <w:b w:val="0"/>
                <w:i/>
                <w:color w:val="auto"/>
                <w:sz w:val="18"/>
                <w:szCs w:val="22"/>
                <w:lang w:eastAsia="en-US"/>
              </w:rPr>
            </w:pPr>
            <w:r w:rsidRPr="00345CCE">
              <w:rPr>
                <w:rFonts w:asciiTheme="majorHAnsi" w:eastAsiaTheme="minorHAnsi" w:hAnsiTheme="majorHAnsi" w:cstheme="majorHAnsi"/>
                <w:b w:val="0"/>
                <w:i/>
                <w:color w:val="auto"/>
                <w:sz w:val="18"/>
                <w:szCs w:val="22"/>
                <w:lang w:eastAsia="en-US"/>
              </w:rPr>
              <w:t>OR (95%CI)</w:t>
            </w:r>
          </w:p>
        </w:tc>
        <w:tc>
          <w:tcPr>
            <w:tcW w:w="1533" w:type="dxa"/>
          </w:tcPr>
          <w:p w14:paraId="77DF1352" w14:textId="77777777" w:rsidR="00A9721B" w:rsidRPr="00345CCE" w:rsidRDefault="00687A52" w:rsidP="00687A52">
            <w:pPr>
              <w:pStyle w:val="NormalWeb"/>
              <w:spacing w:before="120" w:beforeAutospacing="0" w:after="12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50-59 years</w:t>
            </w:r>
          </w:p>
          <w:p w14:paraId="214B86F5" w14:textId="43F5199D" w:rsidR="00687A52" w:rsidRPr="00345CCE" w:rsidRDefault="00687A52" w:rsidP="00687A52">
            <w:pPr>
              <w:pStyle w:val="NormalWeb"/>
              <w:spacing w:before="120" w:beforeAutospacing="0" w:after="12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b w:val="0"/>
                <w:i/>
                <w:color w:val="auto"/>
                <w:sz w:val="18"/>
                <w:szCs w:val="22"/>
                <w:lang w:eastAsia="en-US"/>
              </w:rPr>
              <w:t>OR (95%CI)</w:t>
            </w:r>
          </w:p>
        </w:tc>
        <w:tc>
          <w:tcPr>
            <w:tcW w:w="1415" w:type="dxa"/>
          </w:tcPr>
          <w:p w14:paraId="54375C49" w14:textId="77777777" w:rsidR="00A9721B" w:rsidRPr="00345CCE" w:rsidRDefault="00687A52" w:rsidP="00687A52">
            <w:pPr>
              <w:pStyle w:val="NormalWeb"/>
              <w:spacing w:before="120" w:beforeAutospacing="0" w:after="12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60-69 years</w:t>
            </w:r>
          </w:p>
          <w:p w14:paraId="372D7D20" w14:textId="6ADC4B30" w:rsidR="00687A52" w:rsidRPr="00345CCE" w:rsidRDefault="00687A52" w:rsidP="00687A52">
            <w:pPr>
              <w:pStyle w:val="NormalWeb"/>
              <w:spacing w:before="120" w:beforeAutospacing="0" w:after="12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b w:val="0"/>
                <w:i/>
                <w:color w:val="auto"/>
                <w:sz w:val="18"/>
                <w:szCs w:val="22"/>
                <w:lang w:eastAsia="en-US"/>
              </w:rPr>
              <w:t>OR (95%CI)</w:t>
            </w:r>
          </w:p>
        </w:tc>
        <w:tc>
          <w:tcPr>
            <w:tcW w:w="1512" w:type="dxa"/>
          </w:tcPr>
          <w:p w14:paraId="6BF824B6" w14:textId="77777777" w:rsidR="00A9721B" w:rsidRPr="00345CCE" w:rsidRDefault="00687A52" w:rsidP="00687A52">
            <w:pPr>
              <w:pStyle w:val="NormalWeb"/>
              <w:spacing w:before="120" w:beforeAutospacing="0" w:after="12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70+ years</w:t>
            </w:r>
          </w:p>
          <w:p w14:paraId="38CF4ADF" w14:textId="29A543C5" w:rsidR="00687A52" w:rsidRPr="00345CCE" w:rsidRDefault="00687A52" w:rsidP="00687A52">
            <w:pPr>
              <w:pStyle w:val="NormalWeb"/>
              <w:spacing w:before="120" w:beforeAutospacing="0" w:after="12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b w:val="0"/>
                <w:i/>
                <w:color w:val="auto"/>
                <w:sz w:val="18"/>
                <w:szCs w:val="22"/>
                <w:lang w:eastAsia="en-US"/>
              </w:rPr>
              <w:t>OR (95%CI)</w:t>
            </w:r>
          </w:p>
        </w:tc>
        <w:tc>
          <w:tcPr>
            <w:tcW w:w="1580" w:type="dxa"/>
          </w:tcPr>
          <w:p w14:paraId="70C03FE8" w14:textId="77777777" w:rsidR="00A9721B" w:rsidRPr="00345CCE" w:rsidRDefault="00687A52" w:rsidP="00687A52">
            <w:pPr>
              <w:pStyle w:val="NormalWeb"/>
              <w:spacing w:before="120" w:beforeAutospacing="0" w:after="120" w:afterAutospacing="0"/>
              <w:jc w:val="center"/>
              <w:rPr>
                <w:rFonts w:asciiTheme="majorHAnsi" w:eastAsiaTheme="minorHAnsi" w:hAnsiTheme="majorHAnsi" w:cstheme="majorHAnsi"/>
                <w:b w:val="0"/>
                <w:color w:val="auto"/>
                <w:sz w:val="18"/>
                <w:szCs w:val="22"/>
                <w:lang w:eastAsia="en-US"/>
              </w:rPr>
            </w:pPr>
            <w:r w:rsidRPr="00345CCE">
              <w:rPr>
                <w:rFonts w:asciiTheme="majorHAnsi" w:eastAsiaTheme="minorHAnsi" w:hAnsiTheme="majorHAnsi" w:cstheme="majorHAnsi"/>
                <w:color w:val="auto"/>
                <w:sz w:val="18"/>
                <w:szCs w:val="22"/>
                <w:lang w:eastAsia="en-US"/>
              </w:rPr>
              <w:t>All sample</w:t>
            </w:r>
          </w:p>
          <w:p w14:paraId="311BA607" w14:textId="1A6095F4" w:rsidR="00687A52" w:rsidRPr="00345CCE" w:rsidRDefault="00687A52" w:rsidP="00687A52">
            <w:pPr>
              <w:pStyle w:val="NormalWeb"/>
              <w:spacing w:before="120" w:beforeAutospacing="0" w:after="120" w:afterAutospacing="0"/>
              <w:jc w:val="center"/>
              <w:rPr>
                <w:rFonts w:asciiTheme="majorHAnsi" w:eastAsiaTheme="minorHAnsi" w:hAnsiTheme="majorHAnsi" w:cstheme="majorHAnsi"/>
                <w:color w:val="auto"/>
                <w:sz w:val="18"/>
                <w:szCs w:val="22"/>
                <w:lang w:eastAsia="en-US"/>
              </w:rPr>
            </w:pPr>
            <w:r w:rsidRPr="00345CCE">
              <w:rPr>
                <w:rFonts w:asciiTheme="majorHAnsi" w:eastAsiaTheme="minorHAnsi" w:hAnsiTheme="majorHAnsi" w:cstheme="majorHAnsi"/>
                <w:b w:val="0"/>
                <w:i/>
                <w:color w:val="auto"/>
                <w:sz w:val="18"/>
                <w:szCs w:val="22"/>
                <w:lang w:eastAsia="en-US"/>
              </w:rPr>
              <w:t>OR (95%CI)</w:t>
            </w:r>
          </w:p>
        </w:tc>
      </w:tr>
      <w:tr w:rsidR="00687A52" w:rsidRPr="003D60DC" w14:paraId="152004D6" w14:textId="77777777" w:rsidTr="00687A52">
        <w:tc>
          <w:tcPr>
            <w:tcW w:w="1422" w:type="dxa"/>
          </w:tcPr>
          <w:p w14:paraId="155D1130" w14:textId="05261CDF" w:rsidR="00A9721B" w:rsidRPr="0097476D" w:rsidRDefault="00275D65"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BIRADS</w:t>
            </w:r>
            <w:r w:rsidR="00687A52">
              <w:rPr>
                <w:rFonts w:asciiTheme="majorHAnsi" w:eastAsiaTheme="minorHAnsi" w:hAnsiTheme="majorHAnsi" w:cstheme="majorHAnsi"/>
                <w:sz w:val="18"/>
                <w:szCs w:val="22"/>
                <w:lang w:eastAsia="en-US"/>
              </w:rPr>
              <w:t xml:space="preserve"> 1</w:t>
            </w:r>
          </w:p>
        </w:tc>
        <w:tc>
          <w:tcPr>
            <w:tcW w:w="1542" w:type="dxa"/>
          </w:tcPr>
          <w:p w14:paraId="2E692279" w14:textId="6ECADC0D" w:rsidR="00A9721B"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1.0 (reference)</w:t>
            </w:r>
          </w:p>
        </w:tc>
        <w:tc>
          <w:tcPr>
            <w:tcW w:w="1533" w:type="dxa"/>
          </w:tcPr>
          <w:p w14:paraId="125C531A" w14:textId="57F109CF" w:rsidR="00A9721B"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1.0 (reference)</w:t>
            </w:r>
          </w:p>
        </w:tc>
        <w:tc>
          <w:tcPr>
            <w:tcW w:w="1415" w:type="dxa"/>
          </w:tcPr>
          <w:p w14:paraId="7AECC96F" w14:textId="551236FE" w:rsidR="00A9721B"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1.0 (reference)</w:t>
            </w:r>
          </w:p>
        </w:tc>
        <w:tc>
          <w:tcPr>
            <w:tcW w:w="1512" w:type="dxa"/>
          </w:tcPr>
          <w:p w14:paraId="68F8A1FB" w14:textId="36D4A496" w:rsidR="00A9721B"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1.0 (reference)</w:t>
            </w:r>
          </w:p>
        </w:tc>
        <w:tc>
          <w:tcPr>
            <w:tcW w:w="1580" w:type="dxa"/>
          </w:tcPr>
          <w:p w14:paraId="256B015D" w14:textId="16BAE111" w:rsidR="00A9721B"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1.0 (reference)</w:t>
            </w:r>
          </w:p>
        </w:tc>
      </w:tr>
      <w:tr w:rsidR="00687A52" w:rsidRPr="003D60DC" w14:paraId="4B0734B1" w14:textId="77777777" w:rsidTr="00687A52">
        <w:tc>
          <w:tcPr>
            <w:tcW w:w="1422" w:type="dxa"/>
          </w:tcPr>
          <w:p w14:paraId="53EA73CF" w14:textId="64BB9147" w:rsidR="00687A52" w:rsidRPr="0097476D" w:rsidRDefault="00275D65"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BIRADS</w:t>
            </w:r>
            <w:r w:rsidR="00687A52">
              <w:rPr>
                <w:rFonts w:asciiTheme="majorHAnsi" w:eastAsiaTheme="minorHAnsi" w:hAnsiTheme="majorHAnsi" w:cstheme="majorHAnsi"/>
                <w:sz w:val="18"/>
                <w:szCs w:val="22"/>
                <w:lang w:eastAsia="en-US"/>
              </w:rPr>
              <w:t xml:space="preserve"> 2</w:t>
            </w:r>
          </w:p>
        </w:tc>
        <w:tc>
          <w:tcPr>
            <w:tcW w:w="1542" w:type="dxa"/>
          </w:tcPr>
          <w:p w14:paraId="6469B147" w14:textId="22B48363"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4.4 (1.5-13.2)</w:t>
            </w:r>
          </w:p>
        </w:tc>
        <w:tc>
          <w:tcPr>
            <w:tcW w:w="1533" w:type="dxa"/>
          </w:tcPr>
          <w:p w14:paraId="5D155853" w14:textId="0C678FA8"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2.8 (1.7-4.6)</w:t>
            </w:r>
          </w:p>
        </w:tc>
        <w:tc>
          <w:tcPr>
            <w:tcW w:w="1415" w:type="dxa"/>
          </w:tcPr>
          <w:p w14:paraId="34E11436" w14:textId="488CD143"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2.0 (1.3-2.9)</w:t>
            </w:r>
          </w:p>
        </w:tc>
        <w:tc>
          <w:tcPr>
            <w:tcW w:w="1512" w:type="dxa"/>
          </w:tcPr>
          <w:p w14:paraId="39D1383B" w14:textId="3FB172DD"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2.2 (1.1-4.2)</w:t>
            </w:r>
          </w:p>
        </w:tc>
        <w:tc>
          <w:tcPr>
            <w:tcW w:w="1580" w:type="dxa"/>
          </w:tcPr>
          <w:p w14:paraId="2A66F664" w14:textId="668737F8"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2.4 (1.8-3.1)</w:t>
            </w:r>
          </w:p>
        </w:tc>
      </w:tr>
      <w:tr w:rsidR="00687A52" w:rsidRPr="003D60DC" w14:paraId="3414240E" w14:textId="77777777" w:rsidTr="00687A52">
        <w:tc>
          <w:tcPr>
            <w:tcW w:w="1422" w:type="dxa"/>
          </w:tcPr>
          <w:p w14:paraId="570226DE" w14:textId="343C0498" w:rsidR="00687A52" w:rsidRPr="0097476D" w:rsidRDefault="00275D65"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BIRADS</w:t>
            </w:r>
            <w:r w:rsidR="00687A52">
              <w:rPr>
                <w:rFonts w:asciiTheme="majorHAnsi" w:eastAsiaTheme="minorHAnsi" w:hAnsiTheme="majorHAnsi" w:cstheme="majorHAnsi"/>
                <w:sz w:val="18"/>
                <w:szCs w:val="22"/>
                <w:lang w:eastAsia="en-US"/>
              </w:rPr>
              <w:t xml:space="preserve"> 3</w:t>
            </w:r>
          </w:p>
        </w:tc>
        <w:tc>
          <w:tcPr>
            <w:tcW w:w="1542" w:type="dxa"/>
          </w:tcPr>
          <w:p w14:paraId="089A09DD" w14:textId="2423E7D7"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7.0 (2.4-20.3)</w:t>
            </w:r>
          </w:p>
        </w:tc>
        <w:tc>
          <w:tcPr>
            <w:tcW w:w="1533" w:type="dxa"/>
          </w:tcPr>
          <w:p w14:paraId="18791664" w14:textId="255EF76C"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4.8 (2.9-7.7)</w:t>
            </w:r>
          </w:p>
        </w:tc>
        <w:tc>
          <w:tcPr>
            <w:tcW w:w="1415" w:type="dxa"/>
          </w:tcPr>
          <w:p w14:paraId="785CA928" w14:textId="3936E5BD" w:rsidR="00687A52" w:rsidRPr="0097476D" w:rsidRDefault="00687A52" w:rsidP="00687A52">
            <w:pPr>
              <w:spacing w:before="120" w:after="120"/>
              <w:jc w:val="center"/>
              <w:rPr>
                <w:rFonts w:cstheme="majorHAnsi"/>
                <w:sz w:val="18"/>
              </w:rPr>
            </w:pPr>
            <w:r>
              <w:rPr>
                <w:rFonts w:cstheme="majorHAnsi"/>
                <w:sz w:val="18"/>
              </w:rPr>
              <w:t>2.7 (1.7-4.4)</w:t>
            </w:r>
          </w:p>
        </w:tc>
        <w:tc>
          <w:tcPr>
            <w:tcW w:w="1512" w:type="dxa"/>
          </w:tcPr>
          <w:p w14:paraId="15D25187" w14:textId="06407929"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2.5 (1.1-6.0)</w:t>
            </w:r>
          </w:p>
        </w:tc>
        <w:tc>
          <w:tcPr>
            <w:tcW w:w="1580" w:type="dxa"/>
          </w:tcPr>
          <w:p w14:paraId="408E7465" w14:textId="2CF07BE3"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3.8 (2.9-4.9)</w:t>
            </w:r>
          </w:p>
        </w:tc>
      </w:tr>
      <w:tr w:rsidR="00687A52" w:rsidRPr="003D60DC" w14:paraId="63C078FB" w14:textId="77777777" w:rsidTr="00687A52">
        <w:tc>
          <w:tcPr>
            <w:tcW w:w="1422" w:type="dxa"/>
          </w:tcPr>
          <w:p w14:paraId="43644523" w14:textId="10164552" w:rsidR="00687A52" w:rsidRDefault="00275D65"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BIRADS</w:t>
            </w:r>
            <w:r w:rsidR="00687A52">
              <w:rPr>
                <w:rFonts w:asciiTheme="majorHAnsi" w:eastAsiaTheme="minorHAnsi" w:hAnsiTheme="majorHAnsi" w:cstheme="majorHAnsi"/>
                <w:sz w:val="18"/>
                <w:szCs w:val="22"/>
                <w:lang w:eastAsia="en-US"/>
              </w:rPr>
              <w:t xml:space="preserve"> 4</w:t>
            </w:r>
          </w:p>
        </w:tc>
        <w:tc>
          <w:tcPr>
            <w:tcW w:w="1542" w:type="dxa"/>
          </w:tcPr>
          <w:p w14:paraId="78BD23DB" w14:textId="363B8271"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9.4 (3.2-27.4)</w:t>
            </w:r>
          </w:p>
        </w:tc>
        <w:tc>
          <w:tcPr>
            <w:tcW w:w="1533" w:type="dxa"/>
          </w:tcPr>
          <w:p w14:paraId="0B158817" w14:textId="4B861406"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6.0 (3.5-10.1)</w:t>
            </w:r>
          </w:p>
        </w:tc>
        <w:tc>
          <w:tcPr>
            <w:tcW w:w="1415" w:type="dxa"/>
          </w:tcPr>
          <w:p w14:paraId="541293D3" w14:textId="0C4AC0CD" w:rsidR="00687A52" w:rsidRPr="0097476D" w:rsidRDefault="00687A52" w:rsidP="00687A52">
            <w:pPr>
              <w:spacing w:before="120" w:after="120"/>
              <w:jc w:val="center"/>
              <w:rPr>
                <w:rFonts w:cstheme="majorHAnsi"/>
                <w:sz w:val="18"/>
              </w:rPr>
            </w:pPr>
            <w:r>
              <w:rPr>
                <w:rFonts w:cstheme="majorHAnsi"/>
                <w:sz w:val="18"/>
              </w:rPr>
              <w:t>5.1 (2.1-12.2)</w:t>
            </w:r>
          </w:p>
        </w:tc>
        <w:tc>
          <w:tcPr>
            <w:tcW w:w="1512" w:type="dxa"/>
          </w:tcPr>
          <w:p w14:paraId="67BDEBB4" w14:textId="7274CDBE"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w:t>
            </w:r>
          </w:p>
        </w:tc>
        <w:tc>
          <w:tcPr>
            <w:tcW w:w="1580" w:type="dxa"/>
          </w:tcPr>
          <w:p w14:paraId="7C08415D" w14:textId="578EE995" w:rsidR="00687A52" w:rsidRPr="0097476D" w:rsidRDefault="00687A52" w:rsidP="00687A52">
            <w:pPr>
              <w:pStyle w:val="NormalWeb"/>
              <w:spacing w:before="120" w:beforeAutospacing="0" w:after="120" w:afterAutospacing="0"/>
              <w:jc w:val="center"/>
              <w:rPr>
                <w:rFonts w:asciiTheme="majorHAnsi" w:eastAsiaTheme="minorHAnsi" w:hAnsiTheme="majorHAnsi" w:cstheme="majorHAnsi"/>
                <w:sz w:val="18"/>
                <w:szCs w:val="22"/>
                <w:lang w:eastAsia="en-US"/>
              </w:rPr>
            </w:pPr>
            <w:r>
              <w:rPr>
                <w:rFonts w:asciiTheme="majorHAnsi" w:eastAsiaTheme="minorHAnsi" w:hAnsiTheme="majorHAnsi" w:cstheme="majorHAnsi"/>
                <w:sz w:val="18"/>
                <w:szCs w:val="22"/>
                <w:lang w:eastAsia="en-US"/>
              </w:rPr>
              <w:t>5.0 (3.7-6.7)</w:t>
            </w:r>
          </w:p>
        </w:tc>
      </w:tr>
    </w:tbl>
    <w:p w14:paraId="4761ECC8" w14:textId="5A35B0FD" w:rsidR="00AB35D3" w:rsidRDefault="00AB35D3" w:rsidP="00940F83">
      <w:pPr>
        <w:pStyle w:val="BodyText"/>
      </w:pPr>
      <w:r>
        <w:t xml:space="preserve">One </w:t>
      </w:r>
      <w:r w:rsidR="00A9721B">
        <w:t xml:space="preserve">further </w:t>
      </w:r>
      <w:r>
        <w:t>nested case-control study assessed the strength of the association between breast density and breast cancer risk in women aged 40-49</w:t>
      </w:r>
      <w:r w:rsidR="00920772">
        <w:t xml:space="preserve"> years</w:t>
      </w:r>
      <w:r>
        <w:t xml:space="preserve">, although the sample </w:t>
      </w:r>
      <w:r w:rsidR="00F76260">
        <w:t>comprised women of intermediate familial risk of breast cancer</w:t>
      </w:r>
      <w:r w:rsidR="00AE6DD0">
        <w:t xml:space="preserve"> (Assi et al., 2015)</w:t>
      </w:r>
      <w:r w:rsidR="00F76260">
        <w:t xml:space="preserve">. The sample was sourced from 6,710 women participating in the FH01 cohort study in the United Kingdom, with a total of 103 cases of breast cancer and 195 age-matched controls. Mammographic density was assessed using Cumulus on images from the last mammogram prior to diagnosis for cases, and for controls, the mammogram closest to that of the cases’. Women had a mean age of 44.3 </w:t>
      </w:r>
      <w:r w:rsidR="00920772">
        <w:t xml:space="preserve">years </w:t>
      </w:r>
      <w:r w:rsidR="00F76260">
        <w:t xml:space="preserve">at the time of their selected mammography. </w:t>
      </w:r>
      <w:r w:rsidR="00DD402D">
        <w:t>After controlling for absolute non</w:t>
      </w:r>
      <w:r w:rsidR="00920772">
        <w:t>-</w:t>
      </w:r>
      <w:r w:rsidR="00DD402D">
        <w:t>dense area (a proxy for BMI), the study found tha</w:t>
      </w:r>
      <w:r w:rsidR="00F07D34">
        <w:t>t</w:t>
      </w:r>
      <w:r w:rsidR="00DD402D">
        <w:t xml:space="preserve"> absolute dense area </w:t>
      </w:r>
      <w:r w:rsidR="00F07D34">
        <w:t xml:space="preserve">was significantly predictive of breast cancer (OR = 1.07 per 10cm2, 95%CI 1.00-1.15, </w:t>
      </w:r>
      <w:r w:rsidR="00F07D34">
        <w:rPr>
          <w:i/>
        </w:rPr>
        <w:t>p</w:t>
      </w:r>
      <w:r w:rsidR="00F07D34">
        <w:t xml:space="preserve">=.04), but </w:t>
      </w:r>
      <w:r w:rsidR="00893AA8">
        <w:t>percent density</w:t>
      </w:r>
      <w:r w:rsidR="00DD402D">
        <w:t xml:space="preserve"> </w:t>
      </w:r>
      <w:r w:rsidR="00F07D34">
        <w:t>was not</w:t>
      </w:r>
      <w:r w:rsidR="00DD402D">
        <w:t>.</w:t>
      </w:r>
      <w:r w:rsidR="00F07D34">
        <w:t xml:space="preserve"> C</w:t>
      </w:r>
      <w:r w:rsidR="00DD402D">
        <w:t xml:space="preserve">ategorising </w:t>
      </w:r>
      <w:r w:rsidR="00893AA8">
        <w:t>percent density</w:t>
      </w:r>
      <w:r w:rsidR="00DD402D">
        <w:t xml:space="preserve"> based on cut-off points did lead to significant differences in breast cancer risk based on breast density; women with breast density 10% or greater had 3.08 to 4.43 times the odds of developing cancer compared to women with less than 10% density (</w:t>
      </w:r>
      <w:r w:rsidR="00DD402D">
        <w:rPr>
          <w:i/>
        </w:rPr>
        <w:t>p</w:t>
      </w:r>
      <w:r w:rsidR="00F07D34">
        <w:t>=.05). Overall, the study found a relatively weak association between breast density and breast cancer risk for women aged 40-49</w:t>
      </w:r>
      <w:r w:rsidR="00920772">
        <w:t xml:space="preserve"> years</w:t>
      </w:r>
      <w:r w:rsidR="00F07D34">
        <w:t>.</w:t>
      </w:r>
      <w:r w:rsidR="001B7C83">
        <w:t xml:space="preserve"> This </w:t>
      </w:r>
      <w:r w:rsidR="005566DF">
        <w:t>is inconsistent with the findings from Park et al. (2018), but</w:t>
      </w:r>
      <w:r w:rsidR="00F07D34">
        <w:t xml:space="preserve"> </w:t>
      </w:r>
      <w:r w:rsidR="005566DF">
        <w:t>i</w:t>
      </w:r>
      <w:r w:rsidR="00F07D34">
        <w:t>t is important to note the limitations associated with this study</w:t>
      </w:r>
      <w:r w:rsidR="005566DF">
        <w:t xml:space="preserve">. These </w:t>
      </w:r>
      <w:r w:rsidR="00F07D34">
        <w:t>includ</w:t>
      </w:r>
      <w:r w:rsidR="005566DF">
        <w:t>e</w:t>
      </w:r>
      <w:r w:rsidR="00F07D34">
        <w:t xml:space="preserve"> the use of a relatively small sample with intermediate familial risk, which could have created an under-estimate of the true strength of the association between density and cancer risk.</w:t>
      </w:r>
    </w:p>
    <w:p w14:paraId="04E42F7C" w14:textId="3C076D7C" w:rsidR="00940F83" w:rsidRDefault="00940F83" w:rsidP="00940F83">
      <w:pPr>
        <w:pStyle w:val="BodyText"/>
      </w:pPr>
      <w:r w:rsidRPr="008C1846">
        <w:t>Research</w:t>
      </w:r>
      <w:r w:rsidRPr="0044553E">
        <w:t xml:space="preserve"> on the use of primary and supplementa</w:t>
      </w:r>
      <w:r>
        <w:t>l</w:t>
      </w:r>
      <w:r w:rsidRPr="0044553E">
        <w:t xml:space="preserve"> breast </w:t>
      </w:r>
      <w:r w:rsidR="00403BDB">
        <w:t xml:space="preserve">imaging </w:t>
      </w:r>
      <w:r w:rsidRPr="0044553E">
        <w:t>in young women is scarce, with gaps in understanding of who has screening, how accurate this is, and how the outcomes in women younger than 40 years compare with those of women aged 40 years or older</w:t>
      </w:r>
      <w:r>
        <w:t xml:space="preserve"> (</w:t>
      </w:r>
      <w:r w:rsidRPr="0044553E">
        <w:t>for who</w:t>
      </w:r>
      <w:r>
        <w:t xml:space="preserve">m </w:t>
      </w:r>
      <w:r w:rsidRPr="0044553E">
        <w:t>regular screening is recommended</w:t>
      </w:r>
      <w:r>
        <w:t>)</w:t>
      </w:r>
      <w:r w:rsidRPr="0044553E">
        <w:t>.</w:t>
      </w:r>
      <w:r>
        <w:t xml:space="preserve"> </w:t>
      </w:r>
      <w:r w:rsidRPr="0044553E">
        <w:t>Further prospective and large</w:t>
      </w:r>
      <w:r>
        <w:t>-scale</w:t>
      </w:r>
      <w:r w:rsidRPr="0044553E">
        <w:t xml:space="preserve"> studies are needed in this area</w:t>
      </w:r>
      <w:r>
        <w:t>,</w:t>
      </w:r>
      <w:r w:rsidRPr="0044553E">
        <w:t xml:space="preserve"> especially for women at high risk </w:t>
      </w:r>
      <w:r>
        <w:t xml:space="preserve">of developing cancer, </w:t>
      </w:r>
      <w:r w:rsidRPr="0044553E">
        <w:t>such as those with extremely dense breasts.</w:t>
      </w:r>
    </w:p>
    <w:p w14:paraId="0D954662" w14:textId="1CA2ECE9" w:rsidR="00EB35FA" w:rsidRPr="00B413E7" w:rsidRDefault="00EB35FA" w:rsidP="00EB35FA">
      <w:pPr>
        <w:pStyle w:val="NumberedHeading3"/>
      </w:pPr>
      <w:bookmarkStart w:id="69" w:name="_Toc518922206"/>
      <w:r w:rsidRPr="00B413E7">
        <w:t>E</w:t>
      </w:r>
      <w:r>
        <w:t>thn</w:t>
      </w:r>
      <w:r w:rsidRPr="00B413E7">
        <w:t>icity</w:t>
      </w:r>
      <w:r>
        <w:t>, b</w:t>
      </w:r>
      <w:r w:rsidRPr="00B413E7">
        <w:t xml:space="preserve">reast density and breast cancer </w:t>
      </w:r>
      <w:r>
        <w:t>risk</w:t>
      </w:r>
      <w:bookmarkEnd w:id="67"/>
      <w:bookmarkEnd w:id="68"/>
      <w:bookmarkEnd w:id="69"/>
    </w:p>
    <w:p w14:paraId="32B9CCBC" w14:textId="5B3C8460" w:rsidR="00EB35FA" w:rsidRDefault="00EB35FA" w:rsidP="00EB35FA">
      <w:pPr>
        <w:pStyle w:val="BodyText"/>
      </w:pPr>
      <w:r>
        <w:t>Although some studies in the United States (</w:t>
      </w:r>
      <w:r w:rsidR="00920772">
        <w:t xml:space="preserve">such as </w:t>
      </w:r>
      <w:r>
        <w:t xml:space="preserve">Mousa et al., 2014) have not found any detectable differences between different racial groups (particularly Latin American and African American compared to European), few studies have </w:t>
      </w:r>
      <w:r w:rsidR="00B02676">
        <w:t xml:space="preserve">clearly </w:t>
      </w:r>
      <w:r>
        <w:t xml:space="preserve">investigated the risk relationship between breast density and breast cancer for different racial groups. </w:t>
      </w:r>
    </w:p>
    <w:p w14:paraId="1CF00571" w14:textId="6D207668" w:rsidR="00EB35FA" w:rsidRDefault="00BD22B1" w:rsidP="00EB35FA">
      <w:pPr>
        <w:pStyle w:val="BodyText"/>
        <w:rPr>
          <w:color w:val="000000"/>
          <w:shd w:val="clear" w:color="auto" w:fill="FFFFFF"/>
        </w:rPr>
      </w:pPr>
      <w:r>
        <w:t>Although not a specific investigation of the relationship between ethnicity, breast density and risk, Bae</w:t>
      </w:r>
      <w:r w:rsidR="00EB35FA">
        <w:t xml:space="preserve"> </w:t>
      </w:r>
      <w:r w:rsidR="006D65FE">
        <w:t>and Kim</w:t>
      </w:r>
      <w:r>
        <w:t xml:space="preserve"> (2016)</w:t>
      </w:r>
      <w:r w:rsidR="00EB35FA">
        <w:t xml:space="preserve"> provided the first systematic review to evaluate breast density and breast cancer risk in Asian women (but they did not use other ethnic groups as comparators). Following standard systematic review search methods, six articles (one cohort and five case-controlled studies) were included in the meta-analysis (</w:t>
      </w:r>
      <w:r w:rsidR="00EB35FA">
        <w:rPr>
          <w:rStyle w:val="element-citation"/>
          <w:color w:val="000000"/>
        </w:rPr>
        <w:t>Kim</w:t>
      </w:r>
      <w:r w:rsidR="00B66129">
        <w:rPr>
          <w:rStyle w:val="element-citation"/>
          <w:color w:val="000000"/>
        </w:rPr>
        <w:t xml:space="preserve"> et al.</w:t>
      </w:r>
      <w:r w:rsidR="00EB35FA">
        <w:rPr>
          <w:rStyle w:val="element-citation"/>
          <w:color w:val="000000"/>
        </w:rPr>
        <w:t>, 2015; Lee</w:t>
      </w:r>
      <w:r w:rsidR="00B66129">
        <w:rPr>
          <w:rStyle w:val="element-citation"/>
          <w:color w:val="000000"/>
        </w:rPr>
        <w:t xml:space="preserve"> et al.</w:t>
      </w:r>
      <w:r w:rsidR="00EB35FA">
        <w:rPr>
          <w:rStyle w:val="element-citation"/>
          <w:color w:val="000000"/>
        </w:rPr>
        <w:t>, 2015; Park</w:t>
      </w:r>
      <w:r w:rsidR="00615F71">
        <w:rPr>
          <w:rStyle w:val="element-citation"/>
          <w:color w:val="000000"/>
        </w:rPr>
        <w:t xml:space="preserve"> </w:t>
      </w:r>
      <w:r w:rsidR="00B66129">
        <w:rPr>
          <w:rStyle w:val="element-citation"/>
          <w:color w:val="000000"/>
        </w:rPr>
        <w:t>et al.</w:t>
      </w:r>
      <w:r w:rsidR="00EB35FA">
        <w:rPr>
          <w:rStyle w:val="element-citation"/>
          <w:color w:val="000000"/>
        </w:rPr>
        <w:t>, 2014; Kotsuma</w:t>
      </w:r>
      <w:r w:rsidR="00B66129">
        <w:rPr>
          <w:rStyle w:val="element-citation"/>
          <w:color w:val="000000"/>
        </w:rPr>
        <w:t xml:space="preserve"> et al.</w:t>
      </w:r>
      <w:r w:rsidR="00EB35FA">
        <w:rPr>
          <w:rStyle w:val="element-citation"/>
          <w:color w:val="000000"/>
        </w:rPr>
        <w:t>, 2008; Nagata</w:t>
      </w:r>
      <w:r w:rsidR="00B66129">
        <w:rPr>
          <w:rStyle w:val="element-citation"/>
          <w:color w:val="000000"/>
        </w:rPr>
        <w:t xml:space="preserve"> et al.</w:t>
      </w:r>
      <w:r w:rsidR="00EB35FA">
        <w:rPr>
          <w:rStyle w:val="element-citation"/>
          <w:color w:val="000000"/>
        </w:rPr>
        <w:t>, 2005; Nagao</w:t>
      </w:r>
      <w:r w:rsidR="00615F71">
        <w:rPr>
          <w:rStyle w:val="element-citation"/>
          <w:color w:val="000000"/>
        </w:rPr>
        <w:t xml:space="preserve"> </w:t>
      </w:r>
      <w:r w:rsidR="00B66129">
        <w:rPr>
          <w:rStyle w:val="element-citation"/>
          <w:color w:val="000000"/>
        </w:rPr>
        <w:t>et al.</w:t>
      </w:r>
      <w:r w:rsidR="00EB35FA">
        <w:rPr>
          <w:rStyle w:val="element-citation"/>
          <w:color w:val="000000"/>
        </w:rPr>
        <w:t xml:space="preserve">, 2003). Details of the studies are presented </w:t>
      </w:r>
      <w:r w:rsidR="00EB35FA">
        <w:rPr>
          <w:rStyle w:val="element-citation"/>
          <w:color w:val="000000"/>
        </w:rPr>
        <w:lastRenderedPageBreak/>
        <w:t xml:space="preserve">in </w:t>
      </w:r>
      <w:r w:rsidR="00B02676">
        <w:rPr>
          <w:rStyle w:val="element-citation"/>
          <w:color w:val="000000"/>
        </w:rPr>
        <w:t>T</w:t>
      </w:r>
      <w:r w:rsidR="006F33EB" w:rsidRPr="006F33EB">
        <w:rPr>
          <w:rStyle w:val="element-citation"/>
          <w:color w:val="000000"/>
        </w:rPr>
        <w:t xml:space="preserve">able </w:t>
      </w:r>
      <w:r w:rsidR="006465B1">
        <w:rPr>
          <w:rStyle w:val="element-citation"/>
          <w:color w:val="000000"/>
        </w:rPr>
        <w:t>11</w:t>
      </w:r>
      <w:r w:rsidR="002232F9">
        <w:rPr>
          <w:rStyle w:val="element-citation"/>
          <w:color w:val="000000"/>
        </w:rPr>
        <w:t xml:space="preserve"> (</w:t>
      </w:r>
      <w:r w:rsidR="0054511E">
        <w:rPr>
          <w:rStyle w:val="element-citation"/>
          <w:color w:val="000000"/>
        </w:rPr>
        <w:t>overleaf</w:t>
      </w:r>
      <w:r w:rsidR="002232F9">
        <w:rPr>
          <w:rStyle w:val="element-citation"/>
          <w:color w:val="000000"/>
        </w:rPr>
        <w:t>)</w:t>
      </w:r>
      <w:r w:rsidR="00EB35FA" w:rsidRPr="006F33EB">
        <w:rPr>
          <w:rStyle w:val="element-citation"/>
          <w:color w:val="000000"/>
        </w:rPr>
        <w:t>.</w:t>
      </w:r>
      <w:r w:rsidR="00EB35FA">
        <w:rPr>
          <w:rStyle w:val="element-citation"/>
          <w:color w:val="000000"/>
        </w:rPr>
        <w:t xml:space="preserve"> </w:t>
      </w:r>
      <w:r w:rsidR="00EB35FA" w:rsidRPr="002C5047">
        <w:t>Summary effect sizes (sESs) and 95%</w:t>
      </w:r>
      <w:r w:rsidR="00EB35FA">
        <w:t>CI</w:t>
      </w:r>
      <w:r w:rsidR="00EB35FA" w:rsidRPr="002C5047">
        <w:t xml:space="preserve"> were calculated by conducting a meta-analysis applying a random effect model. </w:t>
      </w:r>
      <w:r w:rsidR="00EB35FA">
        <w:rPr>
          <w:color w:val="000000"/>
          <w:shd w:val="clear" w:color="auto" w:fill="FFFFFF"/>
        </w:rPr>
        <w:t>Heterogeneity was assessed by I-</w:t>
      </w:r>
      <w:r w:rsidR="00EB35FA" w:rsidRPr="00FF0B5D">
        <w:t>squared</w:t>
      </w:r>
      <w:r w:rsidR="00EB35FA">
        <w:rPr>
          <w:color w:val="000000"/>
          <w:shd w:val="clear" w:color="auto" w:fill="FFFFFF"/>
        </w:rPr>
        <w:t xml:space="preserve"> values (%).</w:t>
      </w:r>
    </w:p>
    <w:p w14:paraId="27EBEE71" w14:textId="77777777" w:rsidR="000F3A5F" w:rsidRDefault="000F3A5F" w:rsidP="000F3A5F">
      <w:pPr>
        <w:pStyle w:val="BodyText"/>
        <w:rPr>
          <w:color w:val="000000"/>
          <w:shd w:val="clear" w:color="auto" w:fill="FFFFFF"/>
        </w:rPr>
      </w:pPr>
      <w:r>
        <w:rPr>
          <w:color w:val="000000"/>
          <w:shd w:val="clear" w:color="auto" w:fill="FFFFFF"/>
        </w:rPr>
        <w:t>The results of Bae and Kim’s study show that the percent density index was significantly associated with elevated breast cancer risk for pre-menopausal (</w:t>
      </w:r>
      <w:proofErr w:type="gramStart"/>
      <w:r>
        <w:rPr>
          <w:color w:val="000000"/>
          <w:shd w:val="clear" w:color="auto" w:fill="FFFFFF"/>
        </w:rPr>
        <w:t>sES</w:t>
      </w:r>
      <w:proofErr w:type="gramEnd"/>
      <w:r>
        <w:rPr>
          <w:color w:val="000000"/>
          <w:shd w:val="clear" w:color="auto" w:fill="FFFFFF"/>
        </w:rPr>
        <w:t>, 3.23; 95%CI 2.23 to 4.66; I</w:t>
      </w:r>
      <w:r>
        <w:rPr>
          <w:color w:val="000000"/>
          <w:sz w:val="20"/>
          <w:szCs w:val="20"/>
          <w:shd w:val="clear" w:color="auto" w:fill="FFFFFF"/>
          <w:vertAlign w:val="superscript"/>
        </w:rPr>
        <w:t>2</w:t>
      </w:r>
      <w:r>
        <w:rPr>
          <w:color w:val="000000"/>
          <w:shd w:val="clear" w:color="auto" w:fill="FFFFFF"/>
        </w:rPr>
        <w:t>=0.0%) and post-menopausal (sES, 1.62; 95%CI 1.13 to 2.32; I</w:t>
      </w:r>
      <w:r>
        <w:rPr>
          <w:color w:val="000000"/>
          <w:sz w:val="20"/>
          <w:szCs w:val="20"/>
          <w:shd w:val="clear" w:color="auto" w:fill="FFFFFF"/>
          <w:vertAlign w:val="superscript"/>
        </w:rPr>
        <w:t>2</w:t>
      </w:r>
      <w:r>
        <w:rPr>
          <w:color w:val="000000"/>
          <w:shd w:val="clear" w:color="auto" w:fill="FFFFFF"/>
        </w:rPr>
        <w:t xml:space="preserve">=0.0%) women. Total breast area index did not show a statistically significant association with increased breast cancer risk for either group. This confirms the findings presented below (section 3.2.7) that percent density is more predictive of breast cancer </w:t>
      </w:r>
      <w:r w:rsidRPr="00B66129">
        <w:rPr>
          <w:color w:val="000000"/>
          <w:shd w:val="clear" w:color="auto" w:fill="FFFFFF"/>
        </w:rPr>
        <w:t>risk</w:t>
      </w:r>
      <w:r>
        <w:rPr>
          <w:color w:val="000000"/>
          <w:shd w:val="clear" w:color="auto" w:fill="FFFFFF"/>
        </w:rPr>
        <w:t xml:space="preserve"> than total breast area</w:t>
      </w:r>
      <w:r w:rsidRPr="00B66129">
        <w:rPr>
          <w:color w:val="000000"/>
          <w:shd w:val="clear" w:color="auto" w:fill="FFFFFF"/>
        </w:rPr>
        <w:t>.</w:t>
      </w:r>
      <w:r>
        <w:rPr>
          <w:color w:val="000000"/>
          <w:shd w:val="clear" w:color="auto" w:fill="FFFFFF"/>
        </w:rPr>
        <w:t xml:space="preserve"> </w:t>
      </w:r>
    </w:p>
    <w:p w14:paraId="21272E68" w14:textId="383140D7" w:rsidR="000F3A5F" w:rsidRDefault="000F3A5F" w:rsidP="000F3A5F">
      <w:pPr>
        <w:pStyle w:val="BodyText"/>
        <w:rPr>
          <w:color w:val="000000"/>
          <w:shd w:val="clear" w:color="auto" w:fill="FFFFFF"/>
        </w:rPr>
      </w:pPr>
      <w:r>
        <w:rPr>
          <w:color w:val="000000"/>
          <w:shd w:val="clear" w:color="auto" w:fill="FFFFFF"/>
        </w:rPr>
        <w:t xml:space="preserve">The risk calculated for pre-menopausal and post-menopausal women with a higher percent density was estimated to be 2.21 times that of baseline (95%CI 1.52 to 3.21). This is lower than the risk elevation of four to six times that has been found in studies of European women with </w:t>
      </w:r>
      <w:r w:rsidR="00275D65">
        <w:rPr>
          <w:color w:val="000000"/>
          <w:shd w:val="clear" w:color="auto" w:fill="FFFFFF"/>
        </w:rPr>
        <w:t>BIRADS</w:t>
      </w:r>
      <w:r>
        <w:rPr>
          <w:color w:val="000000"/>
          <w:shd w:val="clear" w:color="auto" w:fill="FFFFFF"/>
        </w:rPr>
        <w:t xml:space="preserve"> 2 to 4 compared to BIRADS 1. Bae and Kim suggested four factors that may account for this discrepancy: </w:t>
      </w:r>
    </w:p>
    <w:p w14:paraId="772C1EF3" w14:textId="77777777" w:rsidR="000F3A5F" w:rsidRPr="00B02676" w:rsidRDefault="000F3A5F" w:rsidP="000F3A5F">
      <w:pPr>
        <w:pStyle w:val="List-AlphanumericLvl1"/>
        <w:numPr>
          <w:ilvl w:val="0"/>
          <w:numId w:val="20"/>
        </w:numPr>
        <w:jc w:val="both"/>
        <w:rPr>
          <w:shd w:val="clear" w:color="auto" w:fill="FFFFFF"/>
        </w:rPr>
      </w:pPr>
      <w:r w:rsidRPr="00B02676">
        <w:rPr>
          <w:shd w:val="clear" w:color="auto" w:fill="FFFFFF"/>
        </w:rPr>
        <w:t>Breast density itself is not a risk factor for breast cancer but is a phenomenon determined by other risk factors (which is a finding different from McCormack and dos Santos Silva)</w:t>
      </w:r>
      <w:r>
        <w:rPr>
          <w:shd w:val="clear" w:color="auto" w:fill="FFFFFF"/>
        </w:rPr>
        <w:t>;</w:t>
      </w:r>
      <w:r w:rsidRPr="00B02676">
        <w:rPr>
          <w:shd w:val="clear" w:color="auto" w:fill="FFFFFF"/>
        </w:rPr>
        <w:t xml:space="preserve"> breast density can be affected by obesity, family history, genotype as well as parity. </w:t>
      </w:r>
    </w:p>
    <w:p w14:paraId="72AC41F1" w14:textId="77777777" w:rsidR="000F3A5F" w:rsidRDefault="000F3A5F" w:rsidP="000F3A5F">
      <w:pPr>
        <w:pStyle w:val="List-AlphanumericLvl1"/>
        <w:numPr>
          <w:ilvl w:val="0"/>
          <w:numId w:val="6"/>
        </w:numPr>
        <w:jc w:val="both"/>
        <w:rPr>
          <w:shd w:val="clear" w:color="auto" w:fill="FFFFFF"/>
        </w:rPr>
      </w:pPr>
      <w:r>
        <w:rPr>
          <w:shd w:val="clear" w:color="auto" w:fill="FFFFFF"/>
        </w:rPr>
        <w:t xml:space="preserve">Cancer occurrence is underestimated in </w:t>
      </w:r>
      <w:r w:rsidRPr="00B06C91">
        <w:rPr>
          <w:shd w:val="clear" w:color="auto" w:fill="FFFFFF"/>
        </w:rPr>
        <w:t>Asian women</w:t>
      </w:r>
      <w:r>
        <w:rPr>
          <w:shd w:val="clear" w:color="auto" w:fill="FFFFFF"/>
        </w:rPr>
        <w:t xml:space="preserve"> due to the lower sensitivity of mammography with denser breasts and resultant decreased PPV in breast cancer diagnosis.</w:t>
      </w:r>
    </w:p>
    <w:p w14:paraId="556AA985" w14:textId="77777777" w:rsidR="000F3A5F" w:rsidRDefault="000F3A5F" w:rsidP="000F3A5F">
      <w:pPr>
        <w:pStyle w:val="List-AlphanumericLvl1"/>
        <w:numPr>
          <w:ilvl w:val="0"/>
          <w:numId w:val="6"/>
        </w:numPr>
        <w:jc w:val="both"/>
        <w:rPr>
          <w:shd w:val="clear" w:color="auto" w:fill="FFFFFF"/>
        </w:rPr>
      </w:pPr>
      <w:r>
        <w:rPr>
          <w:shd w:val="clear" w:color="auto" w:fill="FFFFFF"/>
        </w:rPr>
        <w:t>The estimation of risk elevation differed across different methods of classifying and measuring breast density, highlighting the influence of measurement indices on findings and suggesting that different measurement indices may be appropriate depending on race.</w:t>
      </w:r>
      <w:r w:rsidRPr="00B06C91">
        <w:rPr>
          <w:shd w:val="clear" w:color="auto" w:fill="FFFFFF"/>
        </w:rPr>
        <w:t xml:space="preserve"> </w:t>
      </w:r>
    </w:p>
    <w:p w14:paraId="77F62D9A" w14:textId="53F304A0" w:rsidR="000F3A5F" w:rsidRDefault="000F3A5F" w:rsidP="000F3A5F">
      <w:pPr>
        <w:pStyle w:val="List-AlphanumericLvl1"/>
        <w:numPr>
          <w:ilvl w:val="0"/>
          <w:numId w:val="6"/>
        </w:numPr>
        <w:jc w:val="both"/>
        <w:rPr>
          <w:shd w:val="clear" w:color="auto" w:fill="FFFFFF"/>
        </w:rPr>
      </w:pPr>
      <w:r>
        <w:rPr>
          <w:shd w:val="clear" w:color="auto" w:fill="FFFFFF"/>
        </w:rPr>
        <w:t>T</w:t>
      </w:r>
      <w:r w:rsidRPr="00B06C91">
        <w:rPr>
          <w:shd w:val="clear" w:color="auto" w:fill="FFFFFF"/>
        </w:rPr>
        <w:t>h</w:t>
      </w:r>
      <w:r>
        <w:rPr>
          <w:shd w:val="clear" w:color="auto" w:fill="FFFFFF"/>
        </w:rPr>
        <w:t>e</w:t>
      </w:r>
      <w:r w:rsidRPr="00B06C91">
        <w:rPr>
          <w:shd w:val="clear" w:color="auto" w:fill="FFFFFF"/>
        </w:rPr>
        <w:t xml:space="preserve"> </w:t>
      </w:r>
      <w:r>
        <w:rPr>
          <w:shd w:val="clear" w:color="auto" w:fill="FFFFFF"/>
        </w:rPr>
        <w:t>paper</w:t>
      </w:r>
      <w:r w:rsidRPr="00B06C91">
        <w:rPr>
          <w:shd w:val="clear" w:color="auto" w:fill="FFFFFF"/>
        </w:rPr>
        <w:t xml:space="preserve"> </w:t>
      </w:r>
      <w:r>
        <w:rPr>
          <w:shd w:val="clear" w:color="auto" w:fill="FFFFFF"/>
        </w:rPr>
        <w:t>included a relatively small number of studies (six)</w:t>
      </w:r>
      <w:r w:rsidRPr="00B06C91">
        <w:rPr>
          <w:shd w:val="clear" w:color="auto" w:fill="FFFFFF"/>
        </w:rPr>
        <w:t xml:space="preserve">, meaning that the conclusions </w:t>
      </w:r>
      <w:r>
        <w:rPr>
          <w:shd w:val="clear" w:color="auto" w:fill="FFFFFF"/>
        </w:rPr>
        <w:t>should be treated with caution</w:t>
      </w:r>
      <w:r w:rsidRPr="00B06C91">
        <w:rPr>
          <w:shd w:val="clear" w:color="auto" w:fill="FFFFFF"/>
        </w:rPr>
        <w:t>.</w:t>
      </w:r>
    </w:p>
    <w:p w14:paraId="57F5E073" w14:textId="31A4AAEE" w:rsidR="00B03751" w:rsidRDefault="000F3A5F" w:rsidP="00B03751">
      <w:pPr>
        <w:pStyle w:val="List-AlphanumericLvl1"/>
        <w:numPr>
          <w:ilvl w:val="0"/>
          <w:numId w:val="0"/>
        </w:numPr>
        <w:rPr>
          <w:shd w:val="clear" w:color="auto" w:fill="FFFFFF"/>
        </w:rPr>
      </w:pPr>
      <w:r w:rsidRPr="000F3A5F">
        <w:rPr>
          <w:shd w:val="clear" w:color="auto" w:fill="FFFFFF"/>
        </w:rPr>
        <w:t xml:space="preserve">One additional case-control study found a lower level of risk for Asian women with denser breasts (Trieu et al., 2017). This study evaluated the predictive strength of risk factors, including having dense breasts (defined as </w:t>
      </w:r>
      <w:r w:rsidR="00275D65">
        <w:rPr>
          <w:shd w:val="clear" w:color="auto" w:fill="FFFFFF"/>
        </w:rPr>
        <w:t>BIRADS</w:t>
      </w:r>
      <w:r w:rsidRPr="000F3A5F">
        <w:rPr>
          <w:shd w:val="clear" w:color="auto" w:fill="FFFFFF"/>
        </w:rPr>
        <w:t xml:space="preserve"> 4), using a sample of 269 cases and 519 age-matched controls sourced from hospitals in Vietnam. The odds of women with dense breasts developing cancer were 1.7 (95%CI 1.3-2.4) times higher than women with non-dense breasts (</w:t>
      </w:r>
      <w:r w:rsidR="00275D65">
        <w:rPr>
          <w:shd w:val="clear" w:color="auto" w:fill="FFFFFF"/>
        </w:rPr>
        <w:t>BIRADS</w:t>
      </w:r>
      <w:r w:rsidRPr="000F3A5F">
        <w:rPr>
          <w:shd w:val="clear" w:color="auto" w:fill="FFFFFF"/>
        </w:rPr>
        <w:t xml:space="preserve"> 1-3). This association was stronger for postmenopausal women (OR = 2.0, 95%CI 1.2-3.6) than for premenopausal women (OR = 1.6, 95%CI 1.1-2.3). Consistent with the findings from Bae and Kim (2016), these odds ratios are lower than those found in studies involving European women. That said, the choice of a less-extreme comparison group could be influencing the size of the association found in this study. As discussed in section 3.2.3, studies that compare women with denser breasts to women with average density (rather than mostly fatty breasts) typically find weaker associations between breast density and breast cancer risk. In support of this possibility, the nested case-control study conducted by Park et al. (2018) using a sample of Korean women (and discussed in the preceding section) found ORs closer to those found in studies of European women. Notably, Park et al. used women with mostly fatty breasts as their comparison group.</w:t>
      </w:r>
      <w:r w:rsidR="00B03751">
        <w:rPr>
          <w:shd w:val="clear" w:color="auto" w:fill="FFFFFF"/>
        </w:rPr>
        <w:t xml:space="preserve"> </w:t>
      </w:r>
    </w:p>
    <w:p w14:paraId="79408D19" w14:textId="77777777" w:rsidR="00B03751" w:rsidRDefault="00B03751">
      <w:pPr>
        <w:rPr>
          <w:shd w:val="clear" w:color="auto" w:fill="FFFFFF"/>
        </w:rPr>
      </w:pPr>
      <w:r>
        <w:rPr>
          <w:shd w:val="clear" w:color="auto" w:fill="FFFFFF"/>
        </w:rPr>
        <w:br w:type="page"/>
      </w:r>
    </w:p>
    <w:p w14:paraId="3F0D7BEB" w14:textId="5F46E88E" w:rsidR="00EB35FA" w:rsidRDefault="00EB35FA" w:rsidP="00EB35FA">
      <w:pPr>
        <w:pStyle w:val="Caption"/>
      </w:pPr>
      <w:r>
        <w:lastRenderedPageBreak/>
        <w:t xml:space="preserve">Table </w:t>
      </w:r>
      <w:r w:rsidR="006465B1">
        <w:t>11</w:t>
      </w:r>
      <w:r w:rsidRPr="006F33EB">
        <w:t>:</w:t>
      </w:r>
      <w:r>
        <w:t xml:space="preserve"> </w:t>
      </w:r>
      <w:r w:rsidR="00B66129">
        <w:t xml:space="preserve">Studies included in Bae </w:t>
      </w:r>
      <w:r w:rsidR="006D65FE">
        <w:t>and Kim</w:t>
      </w:r>
      <w:r w:rsidR="0078029C">
        <w:t xml:space="preserve"> (</w:t>
      </w:r>
      <w:r w:rsidR="00B66129">
        <w:t>2016</w:t>
      </w:r>
      <w:r w:rsidR="0078029C">
        <w:t>)</w:t>
      </w:r>
      <w:r w:rsidR="00B66129">
        <w:t xml:space="preserve"> review</w:t>
      </w:r>
    </w:p>
    <w:tbl>
      <w:tblPr>
        <w:tblW w:w="8789" w:type="dxa"/>
        <w:tblInd w:w="-10" w:type="dxa"/>
        <w:tblLook w:val="04A0" w:firstRow="1" w:lastRow="0" w:firstColumn="1" w:lastColumn="0" w:noHBand="0" w:noVBand="1"/>
        <w:tblDescription w:val="The table provides details of several studies, including information on menopausal status, the ratio of cases to controls, the breast density index, and on Intervals, OR and 95%CI."/>
      </w:tblPr>
      <w:tblGrid>
        <w:gridCol w:w="936"/>
        <w:gridCol w:w="957"/>
        <w:gridCol w:w="1078"/>
        <w:gridCol w:w="1145"/>
        <w:gridCol w:w="927"/>
        <w:gridCol w:w="912"/>
        <w:gridCol w:w="938"/>
        <w:gridCol w:w="857"/>
        <w:gridCol w:w="1039"/>
      </w:tblGrid>
      <w:tr w:rsidR="00345CCE" w:rsidRPr="00345CCE" w14:paraId="1CD8D8A2" w14:textId="77777777" w:rsidTr="000F3A5F">
        <w:trPr>
          <w:trHeight w:val="340"/>
          <w:tblHeader/>
        </w:trPr>
        <w:tc>
          <w:tcPr>
            <w:tcW w:w="936" w:type="dxa"/>
            <w:tcBorders>
              <w:top w:val="single" w:sz="8" w:space="0" w:color="77B800"/>
              <w:left w:val="single" w:sz="8" w:space="0" w:color="77B800"/>
              <w:bottom w:val="single" w:sz="8" w:space="0" w:color="77B800"/>
              <w:right w:val="single" w:sz="8" w:space="0" w:color="77B800"/>
            </w:tcBorders>
            <w:shd w:val="clear" w:color="000000" w:fill="77B800"/>
            <w:vAlign w:val="center"/>
            <w:hideMark/>
          </w:tcPr>
          <w:p w14:paraId="21A823C1" w14:textId="77777777" w:rsidR="00E26AE0" w:rsidRPr="00345CCE" w:rsidRDefault="00E26AE0" w:rsidP="00E26AE0">
            <w:pPr>
              <w:spacing w:after="0" w:line="240" w:lineRule="auto"/>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Study</w:t>
            </w:r>
          </w:p>
        </w:tc>
        <w:tc>
          <w:tcPr>
            <w:tcW w:w="957" w:type="dxa"/>
            <w:tcBorders>
              <w:top w:val="single" w:sz="8" w:space="0" w:color="77B800"/>
              <w:left w:val="nil"/>
              <w:bottom w:val="single" w:sz="8" w:space="0" w:color="77B800"/>
              <w:right w:val="single" w:sz="8" w:space="0" w:color="77B800"/>
            </w:tcBorders>
            <w:shd w:val="clear" w:color="000000" w:fill="77B800"/>
            <w:vAlign w:val="center"/>
            <w:hideMark/>
          </w:tcPr>
          <w:p w14:paraId="4A706C65"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Region</w:t>
            </w:r>
          </w:p>
        </w:tc>
        <w:tc>
          <w:tcPr>
            <w:tcW w:w="1078" w:type="dxa"/>
            <w:tcBorders>
              <w:top w:val="single" w:sz="8" w:space="0" w:color="77B800"/>
              <w:left w:val="nil"/>
              <w:bottom w:val="single" w:sz="8" w:space="0" w:color="77B800"/>
              <w:right w:val="single" w:sz="8" w:space="0" w:color="77B800"/>
            </w:tcBorders>
            <w:shd w:val="clear" w:color="000000" w:fill="77B800"/>
            <w:vAlign w:val="center"/>
            <w:hideMark/>
          </w:tcPr>
          <w:p w14:paraId="55FB2AE4"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Source of subjects</w:t>
            </w:r>
          </w:p>
        </w:tc>
        <w:tc>
          <w:tcPr>
            <w:tcW w:w="1145" w:type="dxa"/>
            <w:tcBorders>
              <w:top w:val="single" w:sz="8" w:space="0" w:color="77B800"/>
              <w:left w:val="nil"/>
              <w:bottom w:val="single" w:sz="8" w:space="0" w:color="77B800"/>
              <w:right w:val="single" w:sz="8" w:space="0" w:color="77B800"/>
            </w:tcBorders>
            <w:shd w:val="clear" w:color="000000" w:fill="77B800"/>
            <w:vAlign w:val="center"/>
            <w:hideMark/>
          </w:tcPr>
          <w:p w14:paraId="1FA9629E"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Menopausal status</w:t>
            </w:r>
          </w:p>
        </w:tc>
        <w:tc>
          <w:tcPr>
            <w:tcW w:w="927" w:type="dxa"/>
            <w:tcBorders>
              <w:top w:val="single" w:sz="8" w:space="0" w:color="77B800"/>
              <w:left w:val="nil"/>
              <w:bottom w:val="single" w:sz="8" w:space="0" w:color="77B800"/>
              <w:right w:val="single" w:sz="8" w:space="0" w:color="77B800"/>
            </w:tcBorders>
            <w:shd w:val="clear" w:color="000000" w:fill="77B800"/>
            <w:vAlign w:val="center"/>
            <w:hideMark/>
          </w:tcPr>
          <w:p w14:paraId="40390F8E"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Ratio of cases to controls</w:t>
            </w:r>
          </w:p>
        </w:tc>
        <w:tc>
          <w:tcPr>
            <w:tcW w:w="912" w:type="dxa"/>
            <w:tcBorders>
              <w:top w:val="single" w:sz="8" w:space="0" w:color="77B800"/>
              <w:left w:val="nil"/>
              <w:bottom w:val="single" w:sz="8" w:space="0" w:color="77B800"/>
              <w:right w:val="single" w:sz="8" w:space="0" w:color="77B800"/>
            </w:tcBorders>
            <w:shd w:val="clear" w:color="000000" w:fill="77B800"/>
            <w:vAlign w:val="center"/>
            <w:hideMark/>
          </w:tcPr>
          <w:p w14:paraId="6816915A"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Breast density index</w:t>
            </w:r>
          </w:p>
        </w:tc>
        <w:tc>
          <w:tcPr>
            <w:tcW w:w="938" w:type="dxa"/>
            <w:tcBorders>
              <w:top w:val="single" w:sz="8" w:space="0" w:color="77B800"/>
              <w:left w:val="nil"/>
              <w:bottom w:val="single" w:sz="8" w:space="0" w:color="77B800"/>
              <w:right w:val="single" w:sz="8" w:space="0" w:color="77B800"/>
            </w:tcBorders>
            <w:shd w:val="clear" w:color="000000" w:fill="77B800"/>
            <w:vAlign w:val="center"/>
            <w:hideMark/>
          </w:tcPr>
          <w:p w14:paraId="44D31092"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Intervals</w:t>
            </w:r>
          </w:p>
        </w:tc>
        <w:tc>
          <w:tcPr>
            <w:tcW w:w="857" w:type="dxa"/>
            <w:tcBorders>
              <w:top w:val="single" w:sz="8" w:space="0" w:color="77B800"/>
              <w:left w:val="nil"/>
              <w:bottom w:val="single" w:sz="8" w:space="0" w:color="77B800"/>
              <w:right w:val="single" w:sz="8" w:space="0" w:color="77B800"/>
            </w:tcBorders>
            <w:shd w:val="clear" w:color="000000" w:fill="77B800"/>
            <w:vAlign w:val="center"/>
            <w:hideMark/>
          </w:tcPr>
          <w:p w14:paraId="702F99F0"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OR</w:t>
            </w:r>
          </w:p>
        </w:tc>
        <w:tc>
          <w:tcPr>
            <w:tcW w:w="1039" w:type="dxa"/>
            <w:tcBorders>
              <w:top w:val="single" w:sz="8" w:space="0" w:color="77B800"/>
              <w:left w:val="nil"/>
              <w:bottom w:val="single" w:sz="8" w:space="0" w:color="77B800"/>
              <w:right w:val="single" w:sz="8" w:space="0" w:color="77B800"/>
            </w:tcBorders>
            <w:shd w:val="clear" w:color="000000" w:fill="77B800"/>
            <w:vAlign w:val="center"/>
            <w:hideMark/>
          </w:tcPr>
          <w:p w14:paraId="6D31716A" w14:textId="77777777" w:rsidR="00E26AE0" w:rsidRPr="00345CCE" w:rsidRDefault="00E26AE0" w:rsidP="00E26AE0">
            <w:pPr>
              <w:spacing w:after="0" w:line="240" w:lineRule="auto"/>
              <w:jc w:val="center"/>
              <w:rPr>
                <w:rFonts w:ascii="Calibri" w:eastAsia="Times New Roman" w:hAnsi="Calibri" w:cs="Calibri"/>
                <w:b/>
                <w:bCs/>
                <w:sz w:val="18"/>
                <w:szCs w:val="18"/>
                <w:lang w:eastAsia="en-NZ"/>
              </w:rPr>
            </w:pPr>
            <w:r w:rsidRPr="00345CCE">
              <w:rPr>
                <w:rFonts w:ascii="Calibri" w:eastAsia="Times New Roman" w:hAnsi="Calibri" w:cs="Calibri"/>
                <w:b/>
                <w:bCs/>
                <w:sz w:val="18"/>
                <w:szCs w:val="18"/>
                <w:lang w:eastAsia="en-NZ"/>
              </w:rPr>
              <w:t>95%CI</w:t>
            </w:r>
          </w:p>
        </w:tc>
      </w:tr>
      <w:tr w:rsidR="00E26AE0" w:rsidRPr="00E26AE0" w14:paraId="0BE4B58D" w14:textId="77777777" w:rsidTr="000F3A5F">
        <w:trPr>
          <w:trHeight w:val="340"/>
        </w:trPr>
        <w:tc>
          <w:tcPr>
            <w:tcW w:w="936"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5FB92B2" w14:textId="7D49D1F5"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Nagao et al.</w:t>
            </w:r>
            <w:r w:rsidR="006058CD">
              <w:rPr>
                <w:rFonts w:ascii="Calibri" w:eastAsia="Times New Roman" w:hAnsi="Calibri" w:cs="Calibri"/>
                <w:color w:val="000000"/>
                <w:sz w:val="18"/>
                <w:szCs w:val="18"/>
                <w:lang w:eastAsia="en-NZ"/>
              </w:rPr>
              <w:t xml:space="preserve"> (</w:t>
            </w:r>
            <w:r w:rsidRPr="00E26AE0">
              <w:rPr>
                <w:rFonts w:ascii="Calibri" w:eastAsia="Times New Roman" w:hAnsi="Calibri" w:cs="Calibri"/>
                <w:color w:val="000000"/>
                <w:sz w:val="18"/>
                <w:szCs w:val="18"/>
                <w:lang w:eastAsia="en-NZ"/>
              </w:rPr>
              <w:t>2003</w:t>
            </w:r>
            <w:r w:rsidR="006058CD">
              <w:rPr>
                <w:rFonts w:ascii="Calibri" w:eastAsia="Times New Roman" w:hAnsi="Calibri" w:cs="Calibri"/>
                <w:color w:val="000000"/>
                <w:sz w:val="18"/>
                <w:szCs w:val="18"/>
                <w:lang w:eastAsia="en-NZ"/>
              </w:rPr>
              <w:t>)</w:t>
            </w:r>
          </w:p>
        </w:tc>
        <w:tc>
          <w:tcPr>
            <w:tcW w:w="95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F379A5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Japan</w:t>
            </w:r>
          </w:p>
        </w:tc>
        <w:tc>
          <w:tcPr>
            <w:tcW w:w="1078"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7328059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Gihoku General Hospital</w:t>
            </w: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616B6ED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N/A</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7187E0A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237:742</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04C3645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Wolfe</w:t>
            </w:r>
          </w:p>
        </w:tc>
        <w:tc>
          <w:tcPr>
            <w:tcW w:w="938" w:type="dxa"/>
            <w:tcBorders>
              <w:top w:val="nil"/>
              <w:left w:val="nil"/>
              <w:bottom w:val="single" w:sz="8" w:space="0" w:color="77B800"/>
              <w:right w:val="single" w:sz="8" w:space="0" w:color="77B800"/>
            </w:tcBorders>
            <w:shd w:val="clear" w:color="auto" w:fill="auto"/>
            <w:vAlign w:val="center"/>
            <w:hideMark/>
          </w:tcPr>
          <w:p w14:paraId="56EDB55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P1</w:t>
            </w:r>
          </w:p>
        </w:tc>
        <w:tc>
          <w:tcPr>
            <w:tcW w:w="857" w:type="dxa"/>
            <w:tcBorders>
              <w:top w:val="nil"/>
              <w:left w:val="nil"/>
              <w:bottom w:val="single" w:sz="8" w:space="0" w:color="77B800"/>
              <w:right w:val="single" w:sz="8" w:space="0" w:color="77B800"/>
            </w:tcBorders>
            <w:shd w:val="clear" w:color="auto" w:fill="auto"/>
            <w:vAlign w:val="center"/>
            <w:hideMark/>
          </w:tcPr>
          <w:p w14:paraId="785208D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1.03</w:t>
            </w:r>
          </w:p>
        </w:tc>
        <w:tc>
          <w:tcPr>
            <w:tcW w:w="1039" w:type="dxa"/>
            <w:tcBorders>
              <w:top w:val="nil"/>
              <w:left w:val="nil"/>
              <w:bottom w:val="single" w:sz="8" w:space="0" w:color="77B800"/>
              <w:right w:val="single" w:sz="8" w:space="0" w:color="77B800"/>
            </w:tcBorders>
            <w:shd w:val="clear" w:color="auto" w:fill="auto"/>
            <w:vAlign w:val="center"/>
            <w:hideMark/>
          </w:tcPr>
          <w:p w14:paraId="7E2927B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0.69, 1.55</w:t>
            </w:r>
          </w:p>
        </w:tc>
      </w:tr>
      <w:tr w:rsidR="00E26AE0" w:rsidRPr="00E26AE0" w14:paraId="56361E8D"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6015ACA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3A8C5E2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3603CFF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4B4DDE2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054FF9C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82CF91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205CC5F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P2</w:t>
            </w:r>
          </w:p>
        </w:tc>
        <w:tc>
          <w:tcPr>
            <w:tcW w:w="857" w:type="dxa"/>
            <w:tcBorders>
              <w:top w:val="nil"/>
              <w:left w:val="nil"/>
              <w:bottom w:val="single" w:sz="8" w:space="0" w:color="77B800"/>
              <w:right w:val="single" w:sz="8" w:space="0" w:color="77B800"/>
            </w:tcBorders>
            <w:shd w:val="clear" w:color="auto" w:fill="auto"/>
            <w:vAlign w:val="center"/>
            <w:hideMark/>
          </w:tcPr>
          <w:p w14:paraId="2224649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0.68</w:t>
            </w:r>
          </w:p>
        </w:tc>
        <w:tc>
          <w:tcPr>
            <w:tcW w:w="1039" w:type="dxa"/>
            <w:tcBorders>
              <w:top w:val="nil"/>
              <w:left w:val="nil"/>
              <w:bottom w:val="single" w:sz="8" w:space="0" w:color="77B800"/>
              <w:right w:val="single" w:sz="8" w:space="0" w:color="77B800"/>
            </w:tcBorders>
            <w:shd w:val="clear" w:color="auto" w:fill="auto"/>
            <w:vAlign w:val="center"/>
            <w:hideMark/>
          </w:tcPr>
          <w:p w14:paraId="6932A02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0.36, 1.31</w:t>
            </w:r>
          </w:p>
        </w:tc>
      </w:tr>
      <w:tr w:rsidR="00E26AE0" w:rsidRPr="00E26AE0" w14:paraId="33A6E278"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753EFE2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0CA8424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2E04902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001B6F5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378ABBB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05018E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BD8FBD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DY</w:t>
            </w:r>
          </w:p>
        </w:tc>
        <w:tc>
          <w:tcPr>
            <w:tcW w:w="857" w:type="dxa"/>
            <w:tcBorders>
              <w:top w:val="nil"/>
              <w:left w:val="nil"/>
              <w:bottom w:val="single" w:sz="8" w:space="0" w:color="77B800"/>
              <w:right w:val="single" w:sz="8" w:space="0" w:color="77B800"/>
            </w:tcBorders>
            <w:shd w:val="clear" w:color="auto" w:fill="auto"/>
            <w:vAlign w:val="center"/>
            <w:hideMark/>
          </w:tcPr>
          <w:p w14:paraId="4E4316D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2.2</w:t>
            </w:r>
          </w:p>
        </w:tc>
        <w:tc>
          <w:tcPr>
            <w:tcW w:w="1039" w:type="dxa"/>
            <w:tcBorders>
              <w:top w:val="nil"/>
              <w:left w:val="nil"/>
              <w:bottom w:val="single" w:sz="8" w:space="0" w:color="77B800"/>
              <w:right w:val="single" w:sz="8" w:space="0" w:color="77B800"/>
            </w:tcBorders>
            <w:shd w:val="clear" w:color="auto" w:fill="auto"/>
            <w:vAlign w:val="center"/>
            <w:hideMark/>
          </w:tcPr>
          <w:p w14:paraId="7ED1048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1.02, 4.77</w:t>
            </w:r>
          </w:p>
        </w:tc>
      </w:tr>
      <w:tr w:rsidR="00E26AE0" w:rsidRPr="00E26AE0" w14:paraId="1D563337" w14:textId="77777777" w:rsidTr="000F3A5F">
        <w:trPr>
          <w:trHeight w:val="340"/>
        </w:trPr>
        <w:tc>
          <w:tcPr>
            <w:tcW w:w="936" w:type="dxa"/>
            <w:vMerge w:val="restart"/>
            <w:tcBorders>
              <w:top w:val="nil"/>
              <w:left w:val="single" w:sz="8" w:space="0" w:color="77B800"/>
              <w:bottom w:val="single" w:sz="8" w:space="0" w:color="77B800"/>
              <w:right w:val="single" w:sz="4" w:space="0" w:color="77B800" w:themeColor="background2"/>
            </w:tcBorders>
            <w:shd w:val="clear" w:color="auto" w:fill="auto"/>
            <w:vAlign w:val="center"/>
            <w:hideMark/>
          </w:tcPr>
          <w:p w14:paraId="244AD728" w14:textId="3A8D1573"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Nagata et al.</w:t>
            </w:r>
            <w:r w:rsidR="006058CD">
              <w:rPr>
                <w:rFonts w:ascii="Calibri" w:eastAsia="Times New Roman" w:hAnsi="Calibri" w:cs="Calibri"/>
                <w:color w:val="000000"/>
                <w:sz w:val="18"/>
                <w:szCs w:val="18"/>
                <w:lang w:eastAsia="en-NZ"/>
              </w:rPr>
              <w:t xml:space="preserve"> (</w:t>
            </w:r>
            <w:r w:rsidRPr="00E26AE0">
              <w:rPr>
                <w:rFonts w:ascii="Calibri" w:eastAsia="Times New Roman" w:hAnsi="Calibri" w:cs="Calibri"/>
                <w:color w:val="000000"/>
                <w:sz w:val="18"/>
                <w:szCs w:val="18"/>
                <w:lang w:eastAsia="en-NZ"/>
              </w:rPr>
              <w:t>2005</w:t>
            </w:r>
            <w:r w:rsidR="006058CD">
              <w:rPr>
                <w:rFonts w:ascii="Calibri" w:eastAsia="Times New Roman" w:hAnsi="Calibri" w:cs="Calibri"/>
                <w:color w:val="000000"/>
                <w:sz w:val="18"/>
                <w:szCs w:val="18"/>
                <w:lang w:eastAsia="en-NZ"/>
              </w:rPr>
              <w:t>)</w:t>
            </w:r>
          </w:p>
        </w:tc>
        <w:tc>
          <w:tcPr>
            <w:tcW w:w="957" w:type="dxa"/>
            <w:vMerge w:val="restart"/>
            <w:tcBorders>
              <w:top w:val="nil"/>
              <w:left w:val="single" w:sz="4" w:space="0" w:color="77B800" w:themeColor="background2"/>
              <w:bottom w:val="single" w:sz="8" w:space="0" w:color="77B800"/>
              <w:right w:val="single" w:sz="4" w:space="0" w:color="77B800" w:themeColor="background2"/>
            </w:tcBorders>
            <w:shd w:val="clear" w:color="auto" w:fill="auto"/>
            <w:vAlign w:val="center"/>
            <w:hideMark/>
          </w:tcPr>
          <w:p w14:paraId="662CF0E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Japan</w:t>
            </w:r>
          </w:p>
        </w:tc>
        <w:tc>
          <w:tcPr>
            <w:tcW w:w="1078" w:type="dxa"/>
            <w:vMerge w:val="restart"/>
            <w:tcBorders>
              <w:top w:val="nil"/>
              <w:left w:val="single" w:sz="4" w:space="0" w:color="77B800" w:themeColor="background2"/>
              <w:bottom w:val="single" w:sz="8" w:space="0" w:color="77B800"/>
              <w:right w:val="single" w:sz="4" w:space="0" w:color="77B800" w:themeColor="background2"/>
            </w:tcBorders>
            <w:shd w:val="clear" w:color="auto" w:fill="auto"/>
            <w:vAlign w:val="center"/>
            <w:hideMark/>
          </w:tcPr>
          <w:p w14:paraId="6522797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Gifu Hospital</w:t>
            </w:r>
          </w:p>
        </w:tc>
        <w:tc>
          <w:tcPr>
            <w:tcW w:w="1145" w:type="dxa"/>
            <w:vMerge w:val="restart"/>
            <w:tcBorders>
              <w:top w:val="nil"/>
              <w:left w:val="single" w:sz="4" w:space="0" w:color="77B800" w:themeColor="background2"/>
              <w:bottom w:val="single" w:sz="8" w:space="0" w:color="77B800"/>
              <w:right w:val="single" w:sz="4" w:space="0" w:color="77B800" w:themeColor="background2"/>
            </w:tcBorders>
            <w:shd w:val="clear" w:color="auto" w:fill="auto"/>
            <w:vAlign w:val="center"/>
            <w:hideMark/>
          </w:tcPr>
          <w:p w14:paraId="769A1F1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PreM</w:t>
            </w:r>
          </w:p>
        </w:tc>
        <w:tc>
          <w:tcPr>
            <w:tcW w:w="927" w:type="dxa"/>
            <w:vMerge w:val="restart"/>
            <w:tcBorders>
              <w:top w:val="nil"/>
              <w:left w:val="single" w:sz="4" w:space="0" w:color="77B800" w:themeColor="background2"/>
              <w:bottom w:val="single" w:sz="8" w:space="0" w:color="77B800"/>
              <w:right w:val="single" w:sz="8" w:space="0" w:color="77B800"/>
            </w:tcBorders>
            <w:shd w:val="clear" w:color="auto" w:fill="auto"/>
            <w:vAlign w:val="center"/>
            <w:hideMark/>
          </w:tcPr>
          <w:p w14:paraId="11A6DDC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71:370</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996752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PD</w:t>
            </w:r>
          </w:p>
        </w:tc>
        <w:tc>
          <w:tcPr>
            <w:tcW w:w="938" w:type="dxa"/>
            <w:tcBorders>
              <w:top w:val="nil"/>
              <w:left w:val="nil"/>
              <w:bottom w:val="single" w:sz="8" w:space="0" w:color="77B800"/>
              <w:right w:val="single" w:sz="8" w:space="0" w:color="77B800"/>
            </w:tcBorders>
            <w:shd w:val="clear" w:color="auto" w:fill="auto"/>
            <w:vAlign w:val="center"/>
            <w:hideMark/>
          </w:tcPr>
          <w:p w14:paraId="2C1947E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1-24</w:t>
            </w:r>
          </w:p>
        </w:tc>
        <w:tc>
          <w:tcPr>
            <w:tcW w:w="857" w:type="dxa"/>
            <w:tcBorders>
              <w:top w:val="nil"/>
              <w:left w:val="nil"/>
              <w:bottom w:val="single" w:sz="8" w:space="0" w:color="77B800"/>
              <w:right w:val="single" w:sz="8" w:space="0" w:color="77B800"/>
            </w:tcBorders>
            <w:shd w:val="clear" w:color="auto" w:fill="auto"/>
            <w:vAlign w:val="center"/>
            <w:hideMark/>
          </w:tcPr>
          <w:p w14:paraId="60E8A15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2.27</w:t>
            </w:r>
          </w:p>
        </w:tc>
        <w:tc>
          <w:tcPr>
            <w:tcW w:w="1039" w:type="dxa"/>
            <w:tcBorders>
              <w:top w:val="nil"/>
              <w:left w:val="nil"/>
              <w:bottom w:val="single" w:sz="8" w:space="0" w:color="77B800"/>
              <w:right w:val="single" w:sz="8" w:space="0" w:color="77B800"/>
            </w:tcBorders>
            <w:shd w:val="clear" w:color="auto" w:fill="auto"/>
            <w:vAlign w:val="center"/>
            <w:hideMark/>
          </w:tcPr>
          <w:p w14:paraId="57817AF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0.64, 8.08</w:t>
            </w:r>
          </w:p>
        </w:tc>
      </w:tr>
      <w:tr w:rsidR="00E26AE0" w:rsidRPr="00E26AE0" w14:paraId="0BFEB73E"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0EF7794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46F490C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2F620E8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5FD4701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73DDFA4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5D7454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4E8A1D7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25-49</w:t>
            </w:r>
          </w:p>
        </w:tc>
        <w:tc>
          <w:tcPr>
            <w:tcW w:w="857" w:type="dxa"/>
            <w:tcBorders>
              <w:top w:val="nil"/>
              <w:left w:val="nil"/>
              <w:bottom w:val="single" w:sz="8" w:space="0" w:color="77B800"/>
              <w:right w:val="single" w:sz="8" w:space="0" w:color="77B800"/>
            </w:tcBorders>
            <w:shd w:val="clear" w:color="auto" w:fill="auto"/>
            <w:vAlign w:val="center"/>
            <w:hideMark/>
          </w:tcPr>
          <w:p w14:paraId="23987808"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4.01</w:t>
            </w:r>
          </w:p>
        </w:tc>
        <w:tc>
          <w:tcPr>
            <w:tcW w:w="1039" w:type="dxa"/>
            <w:tcBorders>
              <w:top w:val="nil"/>
              <w:left w:val="nil"/>
              <w:bottom w:val="single" w:sz="8" w:space="0" w:color="77B800"/>
              <w:right w:val="single" w:sz="8" w:space="0" w:color="77B800"/>
            </w:tcBorders>
            <w:shd w:val="clear" w:color="auto" w:fill="auto"/>
            <w:vAlign w:val="center"/>
            <w:hideMark/>
          </w:tcPr>
          <w:p w14:paraId="2B4187A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1.16, 13.9</w:t>
            </w:r>
          </w:p>
        </w:tc>
      </w:tr>
      <w:tr w:rsidR="00E26AE0" w:rsidRPr="00E26AE0" w14:paraId="6BE96098"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45C86C4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34EE1CA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2DCE3C7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5BF2562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7ADF12F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5AE78BE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FEF3EF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50-75</w:t>
            </w:r>
          </w:p>
        </w:tc>
        <w:tc>
          <w:tcPr>
            <w:tcW w:w="857" w:type="dxa"/>
            <w:tcBorders>
              <w:top w:val="nil"/>
              <w:left w:val="nil"/>
              <w:bottom w:val="single" w:sz="8" w:space="0" w:color="77B800"/>
              <w:right w:val="single" w:sz="8" w:space="0" w:color="77B800"/>
            </w:tcBorders>
            <w:shd w:val="clear" w:color="auto" w:fill="auto"/>
            <w:vAlign w:val="center"/>
            <w:hideMark/>
          </w:tcPr>
          <w:p w14:paraId="1850457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4.37</w:t>
            </w:r>
          </w:p>
        </w:tc>
        <w:tc>
          <w:tcPr>
            <w:tcW w:w="1039" w:type="dxa"/>
            <w:tcBorders>
              <w:top w:val="nil"/>
              <w:left w:val="nil"/>
              <w:bottom w:val="single" w:sz="8" w:space="0" w:color="77B800"/>
              <w:right w:val="single" w:sz="8" w:space="0" w:color="77B800"/>
            </w:tcBorders>
            <w:shd w:val="clear" w:color="auto" w:fill="auto"/>
            <w:vAlign w:val="center"/>
            <w:hideMark/>
          </w:tcPr>
          <w:p w14:paraId="5A8643F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1.24, 15.4</w:t>
            </w:r>
          </w:p>
        </w:tc>
      </w:tr>
      <w:tr w:rsidR="00E26AE0" w:rsidRPr="00E26AE0" w14:paraId="21F1C743"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732BA49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6C5570E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24D8E4C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2FCD42D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708A13C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7C26E70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B79067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75+</w:t>
            </w:r>
          </w:p>
        </w:tc>
        <w:tc>
          <w:tcPr>
            <w:tcW w:w="857" w:type="dxa"/>
            <w:tcBorders>
              <w:top w:val="nil"/>
              <w:left w:val="nil"/>
              <w:bottom w:val="single" w:sz="8" w:space="0" w:color="77B800"/>
              <w:right w:val="single" w:sz="8" w:space="0" w:color="77B800"/>
            </w:tcBorders>
            <w:shd w:val="clear" w:color="auto" w:fill="auto"/>
            <w:vAlign w:val="center"/>
            <w:hideMark/>
          </w:tcPr>
          <w:p w14:paraId="6CFA4C8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1.36</w:t>
            </w:r>
          </w:p>
        </w:tc>
        <w:tc>
          <w:tcPr>
            <w:tcW w:w="1039" w:type="dxa"/>
            <w:tcBorders>
              <w:top w:val="nil"/>
              <w:left w:val="nil"/>
              <w:bottom w:val="single" w:sz="8" w:space="0" w:color="77B800"/>
              <w:right w:val="single" w:sz="8" w:space="0" w:color="77B800"/>
            </w:tcBorders>
            <w:shd w:val="clear" w:color="auto" w:fill="auto"/>
            <w:vAlign w:val="center"/>
            <w:hideMark/>
          </w:tcPr>
          <w:p w14:paraId="59580CD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0.31, 6.60</w:t>
            </w:r>
          </w:p>
        </w:tc>
      </w:tr>
      <w:tr w:rsidR="00E26AE0" w:rsidRPr="00E26AE0" w14:paraId="0932CB66"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5376146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73FA978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6F94E30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3DD63F1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5F3FFE9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3516FCD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DA</w:t>
            </w:r>
          </w:p>
        </w:tc>
        <w:tc>
          <w:tcPr>
            <w:tcW w:w="938" w:type="dxa"/>
            <w:tcBorders>
              <w:top w:val="nil"/>
              <w:left w:val="nil"/>
              <w:bottom w:val="single" w:sz="8" w:space="0" w:color="77B800"/>
              <w:right w:val="single" w:sz="8" w:space="0" w:color="77B800"/>
            </w:tcBorders>
            <w:shd w:val="clear" w:color="auto" w:fill="auto"/>
            <w:vAlign w:val="center"/>
            <w:hideMark/>
          </w:tcPr>
          <w:p w14:paraId="4DEF767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0.1-12.0</w:t>
            </w:r>
          </w:p>
        </w:tc>
        <w:tc>
          <w:tcPr>
            <w:tcW w:w="857" w:type="dxa"/>
            <w:tcBorders>
              <w:top w:val="nil"/>
              <w:left w:val="nil"/>
              <w:bottom w:val="single" w:sz="8" w:space="0" w:color="77B800"/>
              <w:right w:val="single" w:sz="8" w:space="0" w:color="77B800"/>
            </w:tcBorders>
            <w:shd w:val="clear" w:color="auto" w:fill="auto"/>
            <w:vAlign w:val="center"/>
            <w:hideMark/>
          </w:tcPr>
          <w:p w14:paraId="76A168D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1.58</w:t>
            </w:r>
          </w:p>
        </w:tc>
        <w:tc>
          <w:tcPr>
            <w:tcW w:w="1039" w:type="dxa"/>
            <w:tcBorders>
              <w:top w:val="nil"/>
              <w:left w:val="nil"/>
              <w:bottom w:val="single" w:sz="8" w:space="0" w:color="77B800"/>
              <w:right w:val="single" w:sz="8" w:space="0" w:color="77B800"/>
            </w:tcBorders>
            <w:shd w:val="clear" w:color="auto" w:fill="auto"/>
            <w:vAlign w:val="center"/>
            <w:hideMark/>
          </w:tcPr>
          <w:p w14:paraId="293FA1E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0.41, 6.23</w:t>
            </w:r>
          </w:p>
        </w:tc>
      </w:tr>
      <w:tr w:rsidR="00E26AE0" w:rsidRPr="00E26AE0" w14:paraId="3AECA40F"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7CB1CF8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4C739F8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0ABCA38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01DAAB4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3CE92A2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58028A2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47A302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12.1-26.3</w:t>
            </w:r>
          </w:p>
        </w:tc>
        <w:tc>
          <w:tcPr>
            <w:tcW w:w="857" w:type="dxa"/>
            <w:tcBorders>
              <w:top w:val="nil"/>
              <w:left w:val="nil"/>
              <w:bottom w:val="single" w:sz="8" w:space="0" w:color="77B800"/>
              <w:right w:val="single" w:sz="8" w:space="0" w:color="77B800"/>
            </w:tcBorders>
            <w:shd w:val="clear" w:color="auto" w:fill="auto"/>
            <w:vAlign w:val="center"/>
            <w:hideMark/>
          </w:tcPr>
          <w:p w14:paraId="0E959D3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4.03</w:t>
            </w:r>
          </w:p>
        </w:tc>
        <w:tc>
          <w:tcPr>
            <w:tcW w:w="1039" w:type="dxa"/>
            <w:tcBorders>
              <w:top w:val="nil"/>
              <w:left w:val="nil"/>
              <w:bottom w:val="single" w:sz="8" w:space="0" w:color="77B800"/>
              <w:right w:val="single" w:sz="8" w:space="0" w:color="77B800"/>
            </w:tcBorders>
            <w:shd w:val="clear" w:color="auto" w:fill="auto"/>
            <w:vAlign w:val="center"/>
            <w:hideMark/>
          </w:tcPr>
          <w:p w14:paraId="1CBDDDA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1.14, 14.2</w:t>
            </w:r>
          </w:p>
        </w:tc>
      </w:tr>
      <w:tr w:rsidR="00E26AE0" w:rsidRPr="00E26AE0" w14:paraId="6F8BE91B"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235EB83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03CE6EA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2178A20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2BEC2BA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1E5361F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7FE2E2D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3E25AB0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26.4-44.4</w:t>
            </w:r>
          </w:p>
        </w:tc>
        <w:tc>
          <w:tcPr>
            <w:tcW w:w="857" w:type="dxa"/>
            <w:tcBorders>
              <w:top w:val="nil"/>
              <w:left w:val="nil"/>
              <w:bottom w:val="single" w:sz="8" w:space="0" w:color="77B800"/>
              <w:right w:val="single" w:sz="8" w:space="0" w:color="77B800"/>
            </w:tcBorders>
            <w:shd w:val="clear" w:color="auto" w:fill="auto"/>
            <w:vAlign w:val="center"/>
            <w:hideMark/>
          </w:tcPr>
          <w:p w14:paraId="461ED95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5.14</w:t>
            </w:r>
          </w:p>
        </w:tc>
        <w:tc>
          <w:tcPr>
            <w:tcW w:w="1039" w:type="dxa"/>
            <w:tcBorders>
              <w:top w:val="nil"/>
              <w:left w:val="nil"/>
              <w:bottom w:val="single" w:sz="8" w:space="0" w:color="77B800"/>
              <w:right w:val="single" w:sz="8" w:space="0" w:color="77B800"/>
            </w:tcBorders>
            <w:shd w:val="clear" w:color="auto" w:fill="auto"/>
            <w:vAlign w:val="center"/>
            <w:hideMark/>
          </w:tcPr>
          <w:p w14:paraId="28841E5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1.45, 18.3</w:t>
            </w:r>
          </w:p>
        </w:tc>
      </w:tr>
      <w:tr w:rsidR="00E26AE0" w:rsidRPr="00E26AE0" w14:paraId="404EFFFD"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657AAF4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2EA374B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4FC23BB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697AD3F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2823ADA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7BCA05E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0527DF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44.5+</w:t>
            </w:r>
          </w:p>
        </w:tc>
        <w:tc>
          <w:tcPr>
            <w:tcW w:w="857" w:type="dxa"/>
            <w:tcBorders>
              <w:top w:val="nil"/>
              <w:left w:val="nil"/>
              <w:bottom w:val="single" w:sz="8" w:space="0" w:color="77B800"/>
              <w:right w:val="single" w:sz="8" w:space="0" w:color="77B800"/>
            </w:tcBorders>
            <w:shd w:val="clear" w:color="auto" w:fill="auto"/>
            <w:vAlign w:val="center"/>
            <w:hideMark/>
          </w:tcPr>
          <w:p w14:paraId="47B8169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2.78</w:t>
            </w:r>
          </w:p>
        </w:tc>
        <w:tc>
          <w:tcPr>
            <w:tcW w:w="1039" w:type="dxa"/>
            <w:tcBorders>
              <w:top w:val="nil"/>
              <w:left w:val="nil"/>
              <w:bottom w:val="single" w:sz="8" w:space="0" w:color="77B800"/>
              <w:right w:val="single" w:sz="8" w:space="0" w:color="77B800"/>
            </w:tcBorders>
            <w:shd w:val="clear" w:color="auto" w:fill="auto"/>
            <w:vAlign w:val="center"/>
            <w:hideMark/>
          </w:tcPr>
          <w:p w14:paraId="7C46B9B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0.77, 10.1</w:t>
            </w:r>
          </w:p>
        </w:tc>
      </w:tr>
      <w:tr w:rsidR="00E26AE0" w:rsidRPr="00E26AE0" w14:paraId="1DB139D7"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31BF5F6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15BBF21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6643705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4439897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6E5BFF4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A5D77E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TBA</w:t>
            </w:r>
          </w:p>
        </w:tc>
        <w:tc>
          <w:tcPr>
            <w:tcW w:w="938" w:type="dxa"/>
            <w:tcBorders>
              <w:top w:val="nil"/>
              <w:left w:val="nil"/>
              <w:bottom w:val="single" w:sz="8" w:space="0" w:color="77B800"/>
              <w:right w:val="single" w:sz="8" w:space="0" w:color="77B800"/>
            </w:tcBorders>
            <w:shd w:val="clear" w:color="auto" w:fill="auto"/>
            <w:vAlign w:val="center"/>
            <w:hideMark/>
          </w:tcPr>
          <w:p w14:paraId="4ECE81D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52.3-66.0</w:t>
            </w:r>
          </w:p>
        </w:tc>
        <w:tc>
          <w:tcPr>
            <w:tcW w:w="857" w:type="dxa"/>
            <w:tcBorders>
              <w:top w:val="nil"/>
              <w:left w:val="nil"/>
              <w:bottom w:val="single" w:sz="8" w:space="0" w:color="77B800"/>
              <w:right w:val="single" w:sz="8" w:space="0" w:color="77B800"/>
            </w:tcBorders>
            <w:shd w:val="clear" w:color="auto" w:fill="auto"/>
            <w:vAlign w:val="center"/>
            <w:hideMark/>
          </w:tcPr>
          <w:p w14:paraId="6358A8B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0.66</w:t>
            </w:r>
          </w:p>
        </w:tc>
        <w:tc>
          <w:tcPr>
            <w:tcW w:w="1039" w:type="dxa"/>
            <w:tcBorders>
              <w:top w:val="nil"/>
              <w:left w:val="nil"/>
              <w:bottom w:val="single" w:sz="8" w:space="0" w:color="77B800"/>
              <w:right w:val="single" w:sz="8" w:space="0" w:color="77B800"/>
            </w:tcBorders>
            <w:shd w:val="clear" w:color="auto" w:fill="auto"/>
            <w:vAlign w:val="center"/>
            <w:hideMark/>
          </w:tcPr>
          <w:p w14:paraId="5B4C6AF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0.28, 1.56</w:t>
            </w:r>
          </w:p>
        </w:tc>
      </w:tr>
      <w:tr w:rsidR="00E26AE0" w:rsidRPr="00E26AE0" w14:paraId="20A9DE9D"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33049CF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53074C0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59FBC81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2B38BCC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3AAEF9A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5AB7F6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F44BF6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66.1-83.8</w:t>
            </w:r>
          </w:p>
        </w:tc>
        <w:tc>
          <w:tcPr>
            <w:tcW w:w="857" w:type="dxa"/>
            <w:tcBorders>
              <w:top w:val="nil"/>
              <w:left w:val="nil"/>
              <w:bottom w:val="single" w:sz="8" w:space="0" w:color="77B800"/>
              <w:right w:val="single" w:sz="8" w:space="0" w:color="77B800"/>
            </w:tcBorders>
            <w:shd w:val="clear" w:color="auto" w:fill="auto"/>
            <w:vAlign w:val="center"/>
            <w:hideMark/>
          </w:tcPr>
          <w:p w14:paraId="0B6EE85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0.85</w:t>
            </w:r>
          </w:p>
        </w:tc>
        <w:tc>
          <w:tcPr>
            <w:tcW w:w="1039" w:type="dxa"/>
            <w:tcBorders>
              <w:top w:val="nil"/>
              <w:left w:val="nil"/>
              <w:bottom w:val="single" w:sz="8" w:space="0" w:color="77B800"/>
              <w:right w:val="single" w:sz="8" w:space="0" w:color="77B800"/>
            </w:tcBorders>
            <w:shd w:val="clear" w:color="auto" w:fill="auto"/>
            <w:vAlign w:val="center"/>
            <w:hideMark/>
          </w:tcPr>
          <w:p w14:paraId="38D363D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0.36, 2.04</w:t>
            </w:r>
          </w:p>
        </w:tc>
      </w:tr>
      <w:tr w:rsidR="00E26AE0" w:rsidRPr="00E26AE0" w14:paraId="723B3B9F"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2FCDE6A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091688A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408575C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5B03A6C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36224AE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5CA0709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20CF1B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83.9+</w:t>
            </w:r>
          </w:p>
        </w:tc>
        <w:tc>
          <w:tcPr>
            <w:tcW w:w="857" w:type="dxa"/>
            <w:tcBorders>
              <w:top w:val="nil"/>
              <w:left w:val="nil"/>
              <w:bottom w:val="single" w:sz="8" w:space="0" w:color="77B800"/>
              <w:right w:val="single" w:sz="8" w:space="0" w:color="77B800"/>
            </w:tcBorders>
            <w:shd w:val="clear" w:color="auto" w:fill="auto"/>
            <w:vAlign w:val="center"/>
            <w:hideMark/>
          </w:tcPr>
          <w:p w14:paraId="15A168D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1.53</w:t>
            </w:r>
          </w:p>
        </w:tc>
        <w:tc>
          <w:tcPr>
            <w:tcW w:w="1039" w:type="dxa"/>
            <w:tcBorders>
              <w:top w:val="nil"/>
              <w:left w:val="nil"/>
              <w:bottom w:val="single" w:sz="8" w:space="0" w:color="77B800"/>
              <w:right w:val="single" w:sz="8" w:space="0" w:color="77B800"/>
            </w:tcBorders>
            <w:shd w:val="clear" w:color="auto" w:fill="auto"/>
            <w:vAlign w:val="center"/>
            <w:hideMark/>
          </w:tcPr>
          <w:p w14:paraId="6C401A3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0.64, 3.65</w:t>
            </w:r>
          </w:p>
        </w:tc>
      </w:tr>
      <w:tr w:rsidR="00E26AE0" w:rsidRPr="00E26AE0" w14:paraId="317D1958"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656B3C1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5DEC5B6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4F7A4DB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val="restart"/>
            <w:tcBorders>
              <w:top w:val="nil"/>
              <w:left w:val="single" w:sz="4" w:space="0" w:color="77B800" w:themeColor="background2"/>
              <w:bottom w:val="single" w:sz="8" w:space="0" w:color="77B800"/>
              <w:right w:val="single" w:sz="4" w:space="0" w:color="77B800" w:themeColor="background2"/>
            </w:tcBorders>
            <w:shd w:val="clear" w:color="auto" w:fill="auto"/>
            <w:vAlign w:val="center"/>
            <w:hideMark/>
          </w:tcPr>
          <w:p w14:paraId="220519AA"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PostM</w:t>
            </w:r>
          </w:p>
        </w:tc>
        <w:tc>
          <w:tcPr>
            <w:tcW w:w="927" w:type="dxa"/>
            <w:vMerge w:val="restart"/>
            <w:tcBorders>
              <w:top w:val="nil"/>
              <w:left w:val="single" w:sz="4" w:space="0" w:color="77B800" w:themeColor="background2"/>
              <w:bottom w:val="single" w:sz="8" w:space="0" w:color="77B800"/>
              <w:right w:val="single" w:sz="8" w:space="0" w:color="77B800"/>
            </w:tcBorders>
            <w:shd w:val="clear" w:color="auto" w:fill="auto"/>
            <w:vAlign w:val="center"/>
            <w:hideMark/>
          </w:tcPr>
          <w:p w14:paraId="38B6459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75:289</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39923A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PD</w:t>
            </w:r>
          </w:p>
        </w:tc>
        <w:tc>
          <w:tcPr>
            <w:tcW w:w="938" w:type="dxa"/>
            <w:tcBorders>
              <w:top w:val="nil"/>
              <w:left w:val="nil"/>
              <w:bottom w:val="single" w:sz="8" w:space="0" w:color="77B800"/>
              <w:right w:val="single" w:sz="8" w:space="0" w:color="77B800"/>
            </w:tcBorders>
            <w:shd w:val="clear" w:color="auto" w:fill="auto"/>
            <w:vAlign w:val="center"/>
            <w:hideMark/>
          </w:tcPr>
          <w:p w14:paraId="64F9771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1-24</w:t>
            </w:r>
          </w:p>
        </w:tc>
        <w:tc>
          <w:tcPr>
            <w:tcW w:w="857" w:type="dxa"/>
            <w:tcBorders>
              <w:top w:val="nil"/>
              <w:left w:val="nil"/>
              <w:bottom w:val="single" w:sz="8" w:space="0" w:color="77B800"/>
              <w:right w:val="single" w:sz="8" w:space="0" w:color="77B800"/>
            </w:tcBorders>
            <w:shd w:val="clear" w:color="auto" w:fill="auto"/>
            <w:vAlign w:val="center"/>
            <w:hideMark/>
          </w:tcPr>
          <w:p w14:paraId="51597FE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1.17</w:t>
            </w:r>
          </w:p>
        </w:tc>
        <w:tc>
          <w:tcPr>
            <w:tcW w:w="1039" w:type="dxa"/>
            <w:tcBorders>
              <w:top w:val="nil"/>
              <w:left w:val="nil"/>
              <w:bottom w:val="single" w:sz="8" w:space="0" w:color="77B800"/>
              <w:right w:val="single" w:sz="8" w:space="0" w:color="77B800"/>
            </w:tcBorders>
            <w:shd w:val="clear" w:color="auto" w:fill="auto"/>
            <w:vAlign w:val="center"/>
            <w:hideMark/>
          </w:tcPr>
          <w:p w14:paraId="718C614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0.55, 2.49</w:t>
            </w:r>
          </w:p>
        </w:tc>
      </w:tr>
      <w:tr w:rsidR="00E26AE0" w:rsidRPr="00E26AE0" w14:paraId="5D86E185"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2742072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2B1865B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6203DAF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48F38D9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428AE61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5A9E83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423E09A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25-49</w:t>
            </w:r>
          </w:p>
        </w:tc>
        <w:tc>
          <w:tcPr>
            <w:tcW w:w="857" w:type="dxa"/>
            <w:tcBorders>
              <w:top w:val="nil"/>
              <w:left w:val="nil"/>
              <w:bottom w:val="single" w:sz="8" w:space="0" w:color="77B800"/>
              <w:right w:val="single" w:sz="8" w:space="0" w:color="77B800"/>
            </w:tcBorders>
            <w:shd w:val="clear" w:color="auto" w:fill="auto"/>
            <w:vAlign w:val="center"/>
            <w:hideMark/>
          </w:tcPr>
          <w:p w14:paraId="610521A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w:t>
            </w:r>
          </w:p>
        </w:tc>
        <w:tc>
          <w:tcPr>
            <w:tcW w:w="1039" w:type="dxa"/>
            <w:tcBorders>
              <w:top w:val="nil"/>
              <w:left w:val="nil"/>
              <w:bottom w:val="single" w:sz="8" w:space="0" w:color="77B800"/>
              <w:right w:val="single" w:sz="8" w:space="0" w:color="77B800"/>
            </w:tcBorders>
            <w:shd w:val="clear" w:color="auto" w:fill="auto"/>
            <w:vAlign w:val="center"/>
            <w:hideMark/>
          </w:tcPr>
          <w:p w14:paraId="1CEA247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1.20, 7.48</w:t>
            </w:r>
          </w:p>
        </w:tc>
      </w:tr>
      <w:tr w:rsidR="00E26AE0" w:rsidRPr="00E26AE0" w14:paraId="492891C6"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1A868CC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36D4540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0AA7D22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63350A1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04CFEBF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379D437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273318E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50+</w:t>
            </w:r>
          </w:p>
        </w:tc>
        <w:tc>
          <w:tcPr>
            <w:tcW w:w="857" w:type="dxa"/>
            <w:tcBorders>
              <w:top w:val="nil"/>
              <w:left w:val="nil"/>
              <w:bottom w:val="single" w:sz="8" w:space="0" w:color="77B800"/>
              <w:right w:val="single" w:sz="8" w:space="0" w:color="77B800"/>
            </w:tcBorders>
            <w:shd w:val="clear" w:color="auto" w:fill="auto"/>
            <w:vAlign w:val="center"/>
            <w:hideMark/>
          </w:tcPr>
          <w:p w14:paraId="6E4F57D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4.19</w:t>
            </w:r>
          </w:p>
        </w:tc>
        <w:tc>
          <w:tcPr>
            <w:tcW w:w="1039" w:type="dxa"/>
            <w:tcBorders>
              <w:top w:val="nil"/>
              <w:left w:val="nil"/>
              <w:bottom w:val="single" w:sz="8" w:space="0" w:color="77B800"/>
              <w:right w:val="single" w:sz="8" w:space="0" w:color="77B800"/>
            </w:tcBorders>
            <w:shd w:val="clear" w:color="auto" w:fill="auto"/>
            <w:vAlign w:val="center"/>
            <w:hideMark/>
          </w:tcPr>
          <w:p w14:paraId="74E9D1F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1.33, 13.2</w:t>
            </w:r>
          </w:p>
        </w:tc>
      </w:tr>
      <w:tr w:rsidR="00E26AE0" w:rsidRPr="00E26AE0" w14:paraId="5716601C"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346D36D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5CDCBA4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1AE230A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72710C6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75F5727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6434BE68"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DA</w:t>
            </w:r>
          </w:p>
        </w:tc>
        <w:tc>
          <w:tcPr>
            <w:tcW w:w="938" w:type="dxa"/>
            <w:tcBorders>
              <w:top w:val="nil"/>
              <w:left w:val="nil"/>
              <w:bottom w:val="single" w:sz="8" w:space="0" w:color="77B800"/>
              <w:right w:val="single" w:sz="8" w:space="0" w:color="77B800"/>
            </w:tcBorders>
            <w:shd w:val="clear" w:color="auto" w:fill="auto"/>
            <w:vAlign w:val="center"/>
            <w:hideMark/>
          </w:tcPr>
          <w:p w14:paraId="567975C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0.1-9.5</w:t>
            </w:r>
          </w:p>
        </w:tc>
        <w:tc>
          <w:tcPr>
            <w:tcW w:w="857" w:type="dxa"/>
            <w:tcBorders>
              <w:top w:val="nil"/>
              <w:left w:val="nil"/>
              <w:bottom w:val="single" w:sz="8" w:space="0" w:color="77B800"/>
              <w:right w:val="single" w:sz="8" w:space="0" w:color="77B800"/>
            </w:tcBorders>
            <w:shd w:val="clear" w:color="auto" w:fill="auto"/>
            <w:vAlign w:val="center"/>
            <w:hideMark/>
          </w:tcPr>
          <w:p w14:paraId="0CA7E62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0.83</w:t>
            </w:r>
          </w:p>
        </w:tc>
        <w:tc>
          <w:tcPr>
            <w:tcW w:w="1039" w:type="dxa"/>
            <w:tcBorders>
              <w:top w:val="nil"/>
              <w:left w:val="nil"/>
              <w:bottom w:val="single" w:sz="8" w:space="0" w:color="77B800"/>
              <w:right w:val="single" w:sz="8" w:space="0" w:color="77B800"/>
            </w:tcBorders>
            <w:shd w:val="clear" w:color="auto" w:fill="auto"/>
            <w:vAlign w:val="center"/>
            <w:hideMark/>
          </w:tcPr>
          <w:p w14:paraId="20361D7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0.33, 2.12</w:t>
            </w:r>
          </w:p>
        </w:tc>
      </w:tr>
      <w:tr w:rsidR="00E26AE0" w:rsidRPr="00E26AE0" w14:paraId="6BE2DB36"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1071FD3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000D230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1305351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49D23E4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21ACBEA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7B1BA4A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6E8952A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9.6-21.3</w:t>
            </w:r>
          </w:p>
        </w:tc>
        <w:tc>
          <w:tcPr>
            <w:tcW w:w="857" w:type="dxa"/>
            <w:tcBorders>
              <w:top w:val="nil"/>
              <w:left w:val="nil"/>
              <w:bottom w:val="single" w:sz="8" w:space="0" w:color="77B800"/>
              <w:right w:val="single" w:sz="8" w:space="0" w:color="77B800"/>
            </w:tcBorders>
            <w:shd w:val="clear" w:color="auto" w:fill="auto"/>
            <w:vAlign w:val="center"/>
            <w:hideMark/>
          </w:tcPr>
          <w:p w14:paraId="2535517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1.07</w:t>
            </w:r>
          </w:p>
        </w:tc>
        <w:tc>
          <w:tcPr>
            <w:tcW w:w="1039" w:type="dxa"/>
            <w:tcBorders>
              <w:top w:val="nil"/>
              <w:left w:val="nil"/>
              <w:bottom w:val="single" w:sz="8" w:space="0" w:color="77B800"/>
              <w:right w:val="single" w:sz="8" w:space="0" w:color="77B800"/>
            </w:tcBorders>
            <w:shd w:val="clear" w:color="auto" w:fill="auto"/>
            <w:vAlign w:val="center"/>
            <w:hideMark/>
          </w:tcPr>
          <w:p w14:paraId="09826ED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0.41, 2.80</w:t>
            </w:r>
          </w:p>
        </w:tc>
      </w:tr>
      <w:tr w:rsidR="00E26AE0" w:rsidRPr="00E26AE0" w14:paraId="41D8DBA2"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79008DC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254C833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03534A3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2D5333B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6BF4BAF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6B6913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44EED1D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21.4+</w:t>
            </w:r>
          </w:p>
        </w:tc>
        <w:tc>
          <w:tcPr>
            <w:tcW w:w="857" w:type="dxa"/>
            <w:tcBorders>
              <w:top w:val="nil"/>
              <w:left w:val="nil"/>
              <w:bottom w:val="single" w:sz="8" w:space="0" w:color="77B800"/>
              <w:right w:val="single" w:sz="8" w:space="0" w:color="77B800"/>
            </w:tcBorders>
            <w:shd w:val="clear" w:color="auto" w:fill="auto"/>
            <w:vAlign w:val="center"/>
            <w:hideMark/>
          </w:tcPr>
          <w:p w14:paraId="18F3EDA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4.02</w:t>
            </w:r>
          </w:p>
        </w:tc>
        <w:tc>
          <w:tcPr>
            <w:tcW w:w="1039" w:type="dxa"/>
            <w:tcBorders>
              <w:top w:val="nil"/>
              <w:left w:val="nil"/>
              <w:bottom w:val="single" w:sz="8" w:space="0" w:color="77B800"/>
              <w:right w:val="single" w:sz="8" w:space="0" w:color="77B800"/>
            </w:tcBorders>
            <w:shd w:val="clear" w:color="auto" w:fill="auto"/>
            <w:vAlign w:val="center"/>
            <w:hideMark/>
          </w:tcPr>
          <w:p w14:paraId="60F2133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1.80, 8.94</w:t>
            </w:r>
          </w:p>
        </w:tc>
      </w:tr>
      <w:tr w:rsidR="00E26AE0" w:rsidRPr="00E26AE0" w14:paraId="13E5C212"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376EB2D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2CCFA58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350E8B4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0A011A9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67654AB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33EF91F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TBA</w:t>
            </w:r>
          </w:p>
        </w:tc>
        <w:tc>
          <w:tcPr>
            <w:tcW w:w="938" w:type="dxa"/>
            <w:tcBorders>
              <w:top w:val="nil"/>
              <w:left w:val="nil"/>
              <w:bottom w:val="single" w:sz="8" w:space="0" w:color="77B800"/>
              <w:right w:val="single" w:sz="8" w:space="0" w:color="77B800"/>
            </w:tcBorders>
            <w:shd w:val="clear" w:color="auto" w:fill="auto"/>
            <w:vAlign w:val="center"/>
            <w:hideMark/>
          </w:tcPr>
          <w:p w14:paraId="08BE870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57.7-73.7</w:t>
            </w:r>
          </w:p>
        </w:tc>
        <w:tc>
          <w:tcPr>
            <w:tcW w:w="857" w:type="dxa"/>
            <w:tcBorders>
              <w:top w:val="nil"/>
              <w:left w:val="nil"/>
              <w:bottom w:val="single" w:sz="8" w:space="0" w:color="77B800"/>
              <w:right w:val="single" w:sz="8" w:space="0" w:color="77B800"/>
            </w:tcBorders>
            <w:shd w:val="clear" w:color="auto" w:fill="auto"/>
            <w:vAlign w:val="center"/>
            <w:hideMark/>
          </w:tcPr>
          <w:p w14:paraId="104E94B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1.89</w:t>
            </w:r>
          </w:p>
        </w:tc>
        <w:tc>
          <w:tcPr>
            <w:tcW w:w="1039" w:type="dxa"/>
            <w:tcBorders>
              <w:top w:val="nil"/>
              <w:left w:val="nil"/>
              <w:bottom w:val="single" w:sz="8" w:space="0" w:color="77B800"/>
              <w:right w:val="single" w:sz="8" w:space="0" w:color="77B800"/>
            </w:tcBorders>
            <w:shd w:val="clear" w:color="auto" w:fill="auto"/>
            <w:vAlign w:val="center"/>
            <w:hideMark/>
          </w:tcPr>
          <w:p w14:paraId="31AB4E4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0.61, 5.91</w:t>
            </w:r>
          </w:p>
        </w:tc>
      </w:tr>
      <w:tr w:rsidR="00E26AE0" w:rsidRPr="00E26AE0" w14:paraId="1C33D6B6"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7052F7B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39F5224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0C30199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2C537B7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19B57A5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2237F8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06E1083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73.8-97.0</w:t>
            </w:r>
          </w:p>
        </w:tc>
        <w:tc>
          <w:tcPr>
            <w:tcW w:w="857" w:type="dxa"/>
            <w:tcBorders>
              <w:top w:val="nil"/>
              <w:left w:val="nil"/>
              <w:bottom w:val="single" w:sz="8" w:space="0" w:color="77B800"/>
              <w:right w:val="single" w:sz="8" w:space="0" w:color="77B800"/>
            </w:tcBorders>
            <w:shd w:val="clear" w:color="auto" w:fill="auto"/>
            <w:vAlign w:val="center"/>
            <w:hideMark/>
          </w:tcPr>
          <w:p w14:paraId="0203C34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4.15</w:t>
            </w:r>
          </w:p>
        </w:tc>
        <w:tc>
          <w:tcPr>
            <w:tcW w:w="1039" w:type="dxa"/>
            <w:tcBorders>
              <w:top w:val="nil"/>
              <w:left w:val="nil"/>
              <w:bottom w:val="single" w:sz="8" w:space="0" w:color="77B800"/>
              <w:right w:val="single" w:sz="8" w:space="0" w:color="77B800"/>
            </w:tcBorders>
            <w:shd w:val="clear" w:color="auto" w:fill="auto"/>
            <w:vAlign w:val="center"/>
            <w:hideMark/>
          </w:tcPr>
          <w:p w14:paraId="65662F5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1.39, 12.4</w:t>
            </w:r>
          </w:p>
        </w:tc>
      </w:tr>
      <w:tr w:rsidR="00E26AE0" w:rsidRPr="00E26AE0" w14:paraId="3778A9D6" w14:textId="77777777" w:rsidTr="000F3A5F">
        <w:trPr>
          <w:trHeight w:val="340"/>
        </w:trPr>
        <w:tc>
          <w:tcPr>
            <w:tcW w:w="936" w:type="dxa"/>
            <w:vMerge/>
            <w:tcBorders>
              <w:top w:val="nil"/>
              <w:left w:val="single" w:sz="8" w:space="0" w:color="77B800"/>
              <w:bottom w:val="single" w:sz="8" w:space="0" w:color="77B800"/>
              <w:right w:val="single" w:sz="4" w:space="0" w:color="77B800" w:themeColor="background2"/>
            </w:tcBorders>
            <w:vAlign w:val="center"/>
            <w:hideMark/>
          </w:tcPr>
          <w:p w14:paraId="0BC0B90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4" w:space="0" w:color="77B800" w:themeColor="background2"/>
              <w:bottom w:val="single" w:sz="8" w:space="0" w:color="77B800"/>
              <w:right w:val="single" w:sz="4" w:space="0" w:color="77B800" w:themeColor="background2"/>
            </w:tcBorders>
            <w:vAlign w:val="center"/>
            <w:hideMark/>
          </w:tcPr>
          <w:p w14:paraId="7B86B16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4" w:space="0" w:color="77B800" w:themeColor="background2"/>
              <w:bottom w:val="single" w:sz="8" w:space="0" w:color="77B800"/>
              <w:right w:val="single" w:sz="4" w:space="0" w:color="77B800" w:themeColor="background2"/>
            </w:tcBorders>
            <w:vAlign w:val="center"/>
            <w:hideMark/>
          </w:tcPr>
          <w:p w14:paraId="7951C72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4" w:space="0" w:color="77B800" w:themeColor="background2"/>
              <w:bottom w:val="single" w:sz="8" w:space="0" w:color="77B800"/>
              <w:right w:val="single" w:sz="4" w:space="0" w:color="77B800" w:themeColor="background2"/>
            </w:tcBorders>
            <w:vAlign w:val="center"/>
            <w:hideMark/>
          </w:tcPr>
          <w:p w14:paraId="5151856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4" w:space="0" w:color="77B800" w:themeColor="background2"/>
              <w:bottom w:val="single" w:sz="8" w:space="0" w:color="77B800"/>
              <w:right w:val="single" w:sz="8" w:space="0" w:color="77B800"/>
            </w:tcBorders>
            <w:vAlign w:val="center"/>
            <w:hideMark/>
          </w:tcPr>
          <w:p w14:paraId="3F7855E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068363D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99922E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97.1+</w:t>
            </w:r>
          </w:p>
        </w:tc>
        <w:tc>
          <w:tcPr>
            <w:tcW w:w="857" w:type="dxa"/>
            <w:tcBorders>
              <w:top w:val="nil"/>
              <w:left w:val="nil"/>
              <w:bottom w:val="single" w:sz="8" w:space="0" w:color="77B800"/>
              <w:right w:val="single" w:sz="8" w:space="0" w:color="77B800"/>
            </w:tcBorders>
            <w:shd w:val="clear" w:color="auto" w:fill="auto"/>
            <w:vAlign w:val="center"/>
            <w:hideMark/>
          </w:tcPr>
          <w:p w14:paraId="02DD4A9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4.65</w:t>
            </w:r>
          </w:p>
        </w:tc>
        <w:tc>
          <w:tcPr>
            <w:tcW w:w="1039" w:type="dxa"/>
            <w:tcBorders>
              <w:top w:val="nil"/>
              <w:left w:val="nil"/>
              <w:bottom w:val="single" w:sz="8" w:space="0" w:color="77B800"/>
              <w:right w:val="single" w:sz="8" w:space="0" w:color="77B800"/>
            </w:tcBorders>
            <w:shd w:val="clear" w:color="auto" w:fill="auto"/>
            <w:vAlign w:val="center"/>
            <w:hideMark/>
          </w:tcPr>
          <w:p w14:paraId="7E84608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1.50, 14.4</w:t>
            </w:r>
          </w:p>
        </w:tc>
      </w:tr>
      <w:tr w:rsidR="00E26AE0" w:rsidRPr="00E26AE0" w14:paraId="604FE9CA" w14:textId="77777777" w:rsidTr="000F3A5F">
        <w:trPr>
          <w:trHeight w:val="340"/>
        </w:trPr>
        <w:tc>
          <w:tcPr>
            <w:tcW w:w="936"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2B185288" w14:textId="3C9E1858"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Kotsuma et al.</w:t>
            </w:r>
            <w:r w:rsidR="006058CD">
              <w:rPr>
                <w:rFonts w:ascii="Calibri" w:eastAsia="Times New Roman" w:hAnsi="Calibri" w:cs="Calibri"/>
                <w:color w:val="000000"/>
                <w:sz w:val="18"/>
                <w:szCs w:val="18"/>
                <w:lang w:eastAsia="en-NZ"/>
              </w:rPr>
              <w:t xml:space="preserve"> (</w:t>
            </w:r>
            <w:r w:rsidRPr="00E26AE0">
              <w:rPr>
                <w:rFonts w:ascii="Calibri" w:eastAsia="Times New Roman" w:hAnsi="Calibri" w:cs="Calibri"/>
                <w:color w:val="000000"/>
                <w:sz w:val="18"/>
                <w:szCs w:val="18"/>
                <w:lang w:eastAsia="en-NZ"/>
              </w:rPr>
              <w:t>2008</w:t>
            </w:r>
            <w:r w:rsidR="006058CD">
              <w:rPr>
                <w:rFonts w:ascii="Calibri" w:eastAsia="Times New Roman" w:hAnsi="Calibri" w:cs="Calibri"/>
                <w:color w:val="000000"/>
                <w:sz w:val="18"/>
                <w:szCs w:val="18"/>
                <w:lang w:eastAsia="en-NZ"/>
              </w:rPr>
              <w:t>)</w:t>
            </w:r>
          </w:p>
        </w:tc>
        <w:tc>
          <w:tcPr>
            <w:tcW w:w="95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F22F27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Japan</w:t>
            </w:r>
          </w:p>
        </w:tc>
        <w:tc>
          <w:tcPr>
            <w:tcW w:w="1078"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ABB940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Osaka University 1999-2003</w:t>
            </w: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692A5BC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PostM</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190FEAF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205:223</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12B4C68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PD</w:t>
            </w:r>
          </w:p>
        </w:tc>
        <w:tc>
          <w:tcPr>
            <w:tcW w:w="938" w:type="dxa"/>
            <w:tcBorders>
              <w:top w:val="nil"/>
              <w:left w:val="nil"/>
              <w:bottom w:val="single" w:sz="8" w:space="0" w:color="77B800"/>
              <w:right w:val="single" w:sz="8" w:space="0" w:color="77B800"/>
            </w:tcBorders>
            <w:shd w:val="clear" w:color="auto" w:fill="auto"/>
            <w:vAlign w:val="center"/>
            <w:hideMark/>
          </w:tcPr>
          <w:p w14:paraId="3C307AD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3.4-8.8</w:t>
            </w:r>
          </w:p>
        </w:tc>
        <w:tc>
          <w:tcPr>
            <w:tcW w:w="857" w:type="dxa"/>
            <w:tcBorders>
              <w:top w:val="nil"/>
              <w:left w:val="nil"/>
              <w:bottom w:val="single" w:sz="8" w:space="0" w:color="77B800"/>
              <w:right w:val="single" w:sz="8" w:space="0" w:color="77B800"/>
            </w:tcBorders>
            <w:shd w:val="clear" w:color="auto" w:fill="auto"/>
            <w:vAlign w:val="center"/>
            <w:hideMark/>
          </w:tcPr>
          <w:p w14:paraId="2AE454A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0.98</w:t>
            </w:r>
          </w:p>
        </w:tc>
        <w:tc>
          <w:tcPr>
            <w:tcW w:w="1039" w:type="dxa"/>
            <w:tcBorders>
              <w:top w:val="nil"/>
              <w:left w:val="nil"/>
              <w:bottom w:val="single" w:sz="8" w:space="0" w:color="77B800"/>
              <w:right w:val="single" w:sz="8" w:space="0" w:color="77B800"/>
            </w:tcBorders>
            <w:shd w:val="clear" w:color="auto" w:fill="auto"/>
            <w:vAlign w:val="center"/>
            <w:hideMark/>
          </w:tcPr>
          <w:p w14:paraId="148F80E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0.51, 1.91</w:t>
            </w:r>
          </w:p>
        </w:tc>
      </w:tr>
      <w:tr w:rsidR="00E26AE0" w:rsidRPr="00E26AE0" w14:paraId="4EEE2204"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74C8D11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570AFA2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5B2AD7F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15AC3B5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0B6CF77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E5F0E1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4FAC4B1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8.9-16.5</w:t>
            </w:r>
          </w:p>
        </w:tc>
        <w:tc>
          <w:tcPr>
            <w:tcW w:w="857" w:type="dxa"/>
            <w:tcBorders>
              <w:top w:val="nil"/>
              <w:left w:val="nil"/>
              <w:bottom w:val="single" w:sz="8" w:space="0" w:color="77B800"/>
              <w:right w:val="single" w:sz="8" w:space="0" w:color="77B800"/>
            </w:tcBorders>
            <w:shd w:val="clear" w:color="auto" w:fill="auto"/>
            <w:vAlign w:val="center"/>
            <w:hideMark/>
          </w:tcPr>
          <w:p w14:paraId="1FCA91B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0.94</w:t>
            </w:r>
          </w:p>
        </w:tc>
        <w:tc>
          <w:tcPr>
            <w:tcW w:w="1039" w:type="dxa"/>
            <w:tcBorders>
              <w:top w:val="nil"/>
              <w:left w:val="nil"/>
              <w:bottom w:val="single" w:sz="8" w:space="0" w:color="77B800"/>
              <w:right w:val="single" w:sz="8" w:space="0" w:color="77B800"/>
            </w:tcBorders>
            <w:shd w:val="clear" w:color="auto" w:fill="auto"/>
            <w:vAlign w:val="center"/>
            <w:hideMark/>
          </w:tcPr>
          <w:p w14:paraId="394609A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0.48, 1.84</w:t>
            </w:r>
          </w:p>
        </w:tc>
      </w:tr>
      <w:tr w:rsidR="00E26AE0" w:rsidRPr="00E26AE0" w14:paraId="13A3C1DB"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09BCA1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13A3ED7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12DA527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5C9A5D5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28FBE91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328DA7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3151BDE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16.6-28.7</w:t>
            </w:r>
          </w:p>
        </w:tc>
        <w:tc>
          <w:tcPr>
            <w:tcW w:w="857" w:type="dxa"/>
            <w:tcBorders>
              <w:top w:val="nil"/>
              <w:left w:val="nil"/>
              <w:bottom w:val="single" w:sz="8" w:space="0" w:color="77B800"/>
              <w:right w:val="single" w:sz="8" w:space="0" w:color="77B800"/>
            </w:tcBorders>
            <w:shd w:val="clear" w:color="auto" w:fill="auto"/>
            <w:vAlign w:val="center"/>
            <w:hideMark/>
          </w:tcPr>
          <w:p w14:paraId="27F01DD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1.36</w:t>
            </w:r>
          </w:p>
        </w:tc>
        <w:tc>
          <w:tcPr>
            <w:tcW w:w="1039" w:type="dxa"/>
            <w:tcBorders>
              <w:top w:val="nil"/>
              <w:left w:val="nil"/>
              <w:bottom w:val="single" w:sz="8" w:space="0" w:color="77B800"/>
              <w:right w:val="single" w:sz="8" w:space="0" w:color="77B800"/>
            </w:tcBorders>
            <w:shd w:val="clear" w:color="auto" w:fill="auto"/>
            <w:vAlign w:val="center"/>
            <w:hideMark/>
          </w:tcPr>
          <w:p w14:paraId="41B68F4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0.70, 2.65</w:t>
            </w:r>
          </w:p>
        </w:tc>
      </w:tr>
      <w:tr w:rsidR="00E26AE0" w:rsidRPr="00E26AE0" w14:paraId="3A3605D0"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0C50BC5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1055F78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4D069A9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116464F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5381819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A544F8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F7AA15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28.8-</w:t>
            </w:r>
          </w:p>
        </w:tc>
        <w:tc>
          <w:tcPr>
            <w:tcW w:w="857" w:type="dxa"/>
            <w:tcBorders>
              <w:top w:val="nil"/>
              <w:left w:val="nil"/>
              <w:bottom w:val="single" w:sz="8" w:space="0" w:color="77B800"/>
              <w:right w:val="single" w:sz="8" w:space="0" w:color="77B800"/>
            </w:tcBorders>
            <w:shd w:val="clear" w:color="auto" w:fill="auto"/>
            <w:vAlign w:val="center"/>
            <w:hideMark/>
          </w:tcPr>
          <w:p w14:paraId="1E8C5728"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3.02</w:t>
            </w:r>
          </w:p>
        </w:tc>
        <w:tc>
          <w:tcPr>
            <w:tcW w:w="1039" w:type="dxa"/>
            <w:tcBorders>
              <w:top w:val="nil"/>
              <w:left w:val="nil"/>
              <w:bottom w:val="single" w:sz="8" w:space="0" w:color="77B800"/>
              <w:right w:val="single" w:sz="8" w:space="0" w:color="77B800"/>
            </w:tcBorders>
            <w:shd w:val="clear" w:color="auto" w:fill="auto"/>
            <w:vAlign w:val="center"/>
            <w:hideMark/>
          </w:tcPr>
          <w:p w14:paraId="08F8573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1.58, 5.77</w:t>
            </w:r>
          </w:p>
        </w:tc>
      </w:tr>
      <w:tr w:rsidR="00E26AE0" w:rsidRPr="00E26AE0" w14:paraId="615E2DC9" w14:textId="77777777" w:rsidTr="000F3A5F">
        <w:trPr>
          <w:trHeight w:val="340"/>
        </w:trPr>
        <w:tc>
          <w:tcPr>
            <w:tcW w:w="936"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589BE93" w14:textId="307FDD6A"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Park et al.</w:t>
            </w:r>
            <w:r w:rsidR="006058CD">
              <w:rPr>
                <w:rFonts w:ascii="Calibri" w:eastAsia="Times New Roman" w:hAnsi="Calibri" w:cs="Calibri"/>
                <w:color w:val="000000"/>
                <w:sz w:val="18"/>
                <w:szCs w:val="18"/>
                <w:lang w:eastAsia="en-NZ"/>
              </w:rPr>
              <w:t xml:space="preserve"> (</w:t>
            </w:r>
            <w:r w:rsidRPr="00E26AE0">
              <w:rPr>
                <w:rFonts w:ascii="Calibri" w:eastAsia="Times New Roman" w:hAnsi="Calibri" w:cs="Calibri"/>
                <w:color w:val="000000"/>
                <w:sz w:val="18"/>
                <w:szCs w:val="18"/>
                <w:lang w:eastAsia="en-NZ"/>
              </w:rPr>
              <w:t>2014</w:t>
            </w:r>
            <w:r w:rsidR="006058CD">
              <w:rPr>
                <w:rFonts w:ascii="Calibri" w:eastAsia="Times New Roman" w:hAnsi="Calibri" w:cs="Calibri"/>
                <w:color w:val="000000"/>
                <w:sz w:val="18"/>
                <w:szCs w:val="18"/>
                <w:lang w:eastAsia="en-NZ"/>
              </w:rPr>
              <w:t>)</w:t>
            </w:r>
          </w:p>
        </w:tc>
        <w:tc>
          <w:tcPr>
            <w:tcW w:w="95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060E83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Korea</w:t>
            </w:r>
          </w:p>
        </w:tc>
        <w:tc>
          <w:tcPr>
            <w:tcW w:w="1078"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30B9658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National Cancer Center</w:t>
            </w: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378432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PostM</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7B4427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302:774</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6965FA1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VDG</w:t>
            </w:r>
          </w:p>
        </w:tc>
        <w:tc>
          <w:tcPr>
            <w:tcW w:w="938" w:type="dxa"/>
            <w:tcBorders>
              <w:top w:val="nil"/>
              <w:left w:val="nil"/>
              <w:bottom w:val="single" w:sz="8" w:space="0" w:color="77B800"/>
              <w:right w:val="single" w:sz="8" w:space="0" w:color="77B800"/>
            </w:tcBorders>
            <w:shd w:val="clear" w:color="auto" w:fill="auto"/>
            <w:vAlign w:val="center"/>
            <w:hideMark/>
          </w:tcPr>
          <w:p w14:paraId="0838F73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8.0-15.0</w:t>
            </w:r>
          </w:p>
        </w:tc>
        <w:tc>
          <w:tcPr>
            <w:tcW w:w="857" w:type="dxa"/>
            <w:tcBorders>
              <w:top w:val="nil"/>
              <w:left w:val="nil"/>
              <w:bottom w:val="single" w:sz="8" w:space="0" w:color="77B800"/>
              <w:right w:val="single" w:sz="8" w:space="0" w:color="77B800"/>
            </w:tcBorders>
            <w:shd w:val="clear" w:color="auto" w:fill="auto"/>
            <w:vAlign w:val="center"/>
            <w:hideMark/>
          </w:tcPr>
          <w:p w14:paraId="0C6FBF5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2.64</w:t>
            </w:r>
          </w:p>
        </w:tc>
        <w:tc>
          <w:tcPr>
            <w:tcW w:w="1039" w:type="dxa"/>
            <w:tcBorders>
              <w:top w:val="nil"/>
              <w:left w:val="nil"/>
              <w:bottom w:val="single" w:sz="8" w:space="0" w:color="77B800"/>
              <w:right w:val="single" w:sz="8" w:space="0" w:color="77B800"/>
            </w:tcBorders>
            <w:shd w:val="clear" w:color="auto" w:fill="auto"/>
            <w:vAlign w:val="center"/>
            <w:hideMark/>
          </w:tcPr>
          <w:p w14:paraId="360B0F7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1.85, 3.78</w:t>
            </w:r>
          </w:p>
        </w:tc>
      </w:tr>
      <w:tr w:rsidR="00E26AE0" w:rsidRPr="00E26AE0" w14:paraId="4BB99A7A"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750F702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6C4D825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748E5A9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143606A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77A93C1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3273CE0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FB46E1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15.1+</w:t>
            </w:r>
          </w:p>
        </w:tc>
        <w:tc>
          <w:tcPr>
            <w:tcW w:w="857" w:type="dxa"/>
            <w:tcBorders>
              <w:top w:val="nil"/>
              <w:left w:val="nil"/>
              <w:bottom w:val="single" w:sz="8" w:space="0" w:color="77B800"/>
              <w:right w:val="single" w:sz="8" w:space="0" w:color="77B800"/>
            </w:tcBorders>
            <w:shd w:val="clear" w:color="auto" w:fill="auto"/>
            <w:vAlign w:val="center"/>
            <w:hideMark/>
          </w:tcPr>
          <w:p w14:paraId="67F11A8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3.07</w:t>
            </w:r>
          </w:p>
        </w:tc>
        <w:tc>
          <w:tcPr>
            <w:tcW w:w="1039" w:type="dxa"/>
            <w:tcBorders>
              <w:top w:val="nil"/>
              <w:left w:val="nil"/>
              <w:bottom w:val="single" w:sz="8" w:space="0" w:color="77B800"/>
              <w:right w:val="single" w:sz="8" w:space="0" w:color="77B800"/>
            </w:tcBorders>
            <w:shd w:val="clear" w:color="auto" w:fill="auto"/>
            <w:vAlign w:val="center"/>
            <w:hideMark/>
          </w:tcPr>
          <w:p w14:paraId="2792F47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1.89, 4.99</w:t>
            </w:r>
          </w:p>
        </w:tc>
      </w:tr>
      <w:tr w:rsidR="00E26AE0" w:rsidRPr="00E26AE0" w14:paraId="6F6B8A39"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A680FF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753941C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309E7C3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B0F1D1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PreM</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1DDD066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374:435</w:t>
            </w:r>
          </w:p>
        </w:tc>
        <w:tc>
          <w:tcPr>
            <w:tcW w:w="912" w:type="dxa"/>
            <w:vMerge/>
            <w:tcBorders>
              <w:top w:val="nil"/>
              <w:left w:val="single" w:sz="8" w:space="0" w:color="77B800"/>
              <w:bottom w:val="single" w:sz="8" w:space="0" w:color="77B800"/>
              <w:right w:val="single" w:sz="8" w:space="0" w:color="77B800"/>
            </w:tcBorders>
            <w:vAlign w:val="center"/>
            <w:hideMark/>
          </w:tcPr>
          <w:p w14:paraId="434A821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C6D97C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8.0-15.0</w:t>
            </w:r>
          </w:p>
        </w:tc>
        <w:tc>
          <w:tcPr>
            <w:tcW w:w="857" w:type="dxa"/>
            <w:tcBorders>
              <w:top w:val="nil"/>
              <w:left w:val="nil"/>
              <w:bottom w:val="single" w:sz="8" w:space="0" w:color="77B800"/>
              <w:right w:val="single" w:sz="8" w:space="0" w:color="77B800"/>
            </w:tcBorders>
            <w:shd w:val="clear" w:color="auto" w:fill="auto"/>
            <w:vAlign w:val="center"/>
            <w:hideMark/>
          </w:tcPr>
          <w:p w14:paraId="33657F7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1.87</w:t>
            </w:r>
          </w:p>
        </w:tc>
        <w:tc>
          <w:tcPr>
            <w:tcW w:w="1039" w:type="dxa"/>
            <w:tcBorders>
              <w:top w:val="nil"/>
              <w:left w:val="nil"/>
              <w:bottom w:val="single" w:sz="8" w:space="0" w:color="77B800"/>
              <w:right w:val="single" w:sz="8" w:space="0" w:color="77B800"/>
            </w:tcBorders>
            <w:shd w:val="clear" w:color="auto" w:fill="auto"/>
            <w:vAlign w:val="center"/>
            <w:hideMark/>
          </w:tcPr>
          <w:p w14:paraId="57D7087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0.91, 3.86</w:t>
            </w:r>
          </w:p>
        </w:tc>
      </w:tr>
      <w:tr w:rsidR="00E26AE0" w:rsidRPr="00E26AE0" w14:paraId="2627D5E3"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0BA2AF3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7B29547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7B99E72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5A462E5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516DAC9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7782A13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696F0FE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15.1+</w:t>
            </w:r>
          </w:p>
        </w:tc>
        <w:tc>
          <w:tcPr>
            <w:tcW w:w="857" w:type="dxa"/>
            <w:tcBorders>
              <w:top w:val="nil"/>
              <w:left w:val="nil"/>
              <w:bottom w:val="single" w:sz="8" w:space="0" w:color="77B800"/>
              <w:right w:val="single" w:sz="8" w:space="0" w:color="77B800"/>
            </w:tcBorders>
            <w:shd w:val="clear" w:color="auto" w:fill="auto"/>
            <w:vAlign w:val="center"/>
            <w:hideMark/>
          </w:tcPr>
          <w:p w14:paraId="64C1B37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2.05</w:t>
            </w:r>
          </w:p>
        </w:tc>
        <w:tc>
          <w:tcPr>
            <w:tcW w:w="1039" w:type="dxa"/>
            <w:tcBorders>
              <w:top w:val="nil"/>
              <w:left w:val="nil"/>
              <w:bottom w:val="single" w:sz="8" w:space="0" w:color="77B800"/>
              <w:right w:val="single" w:sz="8" w:space="0" w:color="77B800"/>
            </w:tcBorders>
            <w:shd w:val="clear" w:color="auto" w:fill="auto"/>
            <w:vAlign w:val="center"/>
            <w:hideMark/>
          </w:tcPr>
          <w:p w14:paraId="760E859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0.99, 4.23</w:t>
            </w:r>
          </w:p>
        </w:tc>
      </w:tr>
      <w:tr w:rsidR="00E26AE0" w:rsidRPr="00E26AE0" w14:paraId="7022E227" w14:textId="77777777" w:rsidTr="000F3A5F">
        <w:trPr>
          <w:trHeight w:val="340"/>
        </w:trPr>
        <w:tc>
          <w:tcPr>
            <w:tcW w:w="936"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61452BD2" w14:textId="1C6505B4"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Kim et al.</w:t>
            </w:r>
            <w:r w:rsidR="006058CD">
              <w:rPr>
                <w:rFonts w:ascii="Calibri" w:eastAsia="Times New Roman" w:hAnsi="Calibri" w:cs="Calibri"/>
                <w:color w:val="000000"/>
                <w:sz w:val="18"/>
                <w:szCs w:val="18"/>
                <w:lang w:eastAsia="en-NZ"/>
              </w:rPr>
              <w:t xml:space="preserve"> (</w:t>
            </w:r>
            <w:r w:rsidRPr="00E26AE0">
              <w:rPr>
                <w:rFonts w:ascii="Calibri" w:eastAsia="Times New Roman" w:hAnsi="Calibri" w:cs="Calibri"/>
                <w:color w:val="000000"/>
                <w:sz w:val="18"/>
                <w:szCs w:val="18"/>
                <w:lang w:eastAsia="en-NZ"/>
              </w:rPr>
              <w:t>2015</w:t>
            </w:r>
            <w:r w:rsidR="006058CD">
              <w:rPr>
                <w:rFonts w:ascii="Calibri" w:eastAsia="Times New Roman" w:hAnsi="Calibri" w:cs="Calibri"/>
                <w:color w:val="000000"/>
                <w:sz w:val="18"/>
                <w:szCs w:val="18"/>
                <w:lang w:eastAsia="en-NZ"/>
              </w:rPr>
              <w:t>)</w:t>
            </w:r>
          </w:p>
        </w:tc>
        <w:tc>
          <w:tcPr>
            <w:tcW w:w="95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35AF06A2"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Korea</w:t>
            </w:r>
          </w:p>
        </w:tc>
        <w:tc>
          <w:tcPr>
            <w:tcW w:w="1078"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169E4B8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Samsung Medical Center</w:t>
            </w: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1C4F36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PreM</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0BBAA37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134:395</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121CE48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PD</w:t>
            </w:r>
          </w:p>
        </w:tc>
        <w:tc>
          <w:tcPr>
            <w:tcW w:w="938" w:type="dxa"/>
            <w:tcBorders>
              <w:top w:val="nil"/>
              <w:left w:val="nil"/>
              <w:bottom w:val="single" w:sz="8" w:space="0" w:color="77B800"/>
              <w:right w:val="single" w:sz="8" w:space="0" w:color="77B800"/>
            </w:tcBorders>
            <w:shd w:val="clear" w:color="auto" w:fill="auto"/>
            <w:vAlign w:val="center"/>
            <w:hideMark/>
          </w:tcPr>
          <w:p w14:paraId="79786EB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5-9</w:t>
            </w:r>
          </w:p>
        </w:tc>
        <w:tc>
          <w:tcPr>
            <w:tcW w:w="857" w:type="dxa"/>
            <w:tcBorders>
              <w:top w:val="nil"/>
              <w:left w:val="nil"/>
              <w:bottom w:val="single" w:sz="8" w:space="0" w:color="77B800"/>
              <w:right w:val="single" w:sz="8" w:space="0" w:color="77B800"/>
            </w:tcBorders>
            <w:shd w:val="clear" w:color="auto" w:fill="auto"/>
            <w:vAlign w:val="center"/>
            <w:hideMark/>
          </w:tcPr>
          <w:p w14:paraId="1C3BD0C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2.46</w:t>
            </w:r>
          </w:p>
        </w:tc>
        <w:tc>
          <w:tcPr>
            <w:tcW w:w="1039" w:type="dxa"/>
            <w:tcBorders>
              <w:top w:val="nil"/>
              <w:left w:val="nil"/>
              <w:bottom w:val="single" w:sz="8" w:space="0" w:color="77B800"/>
              <w:right w:val="single" w:sz="8" w:space="0" w:color="77B800"/>
            </w:tcBorders>
            <w:shd w:val="clear" w:color="auto" w:fill="auto"/>
            <w:vAlign w:val="center"/>
            <w:hideMark/>
          </w:tcPr>
          <w:p w14:paraId="3DC6010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0.52, 11.52</w:t>
            </w:r>
          </w:p>
        </w:tc>
      </w:tr>
      <w:tr w:rsidR="00E26AE0" w:rsidRPr="00E26AE0" w14:paraId="033995D9"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054AE63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256F4D3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39F1DA0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0E46D88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4EEC6DA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5F389B7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9B18D6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10-24</w:t>
            </w:r>
          </w:p>
        </w:tc>
        <w:tc>
          <w:tcPr>
            <w:tcW w:w="857" w:type="dxa"/>
            <w:tcBorders>
              <w:top w:val="nil"/>
              <w:left w:val="nil"/>
              <w:bottom w:val="single" w:sz="8" w:space="0" w:color="77B800"/>
              <w:right w:val="single" w:sz="8" w:space="0" w:color="77B800"/>
            </w:tcBorders>
            <w:shd w:val="clear" w:color="auto" w:fill="auto"/>
            <w:vAlign w:val="center"/>
            <w:hideMark/>
          </w:tcPr>
          <w:p w14:paraId="4B8AB2C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3.04</w:t>
            </w:r>
          </w:p>
        </w:tc>
        <w:tc>
          <w:tcPr>
            <w:tcW w:w="1039" w:type="dxa"/>
            <w:tcBorders>
              <w:top w:val="nil"/>
              <w:left w:val="nil"/>
              <w:bottom w:val="single" w:sz="8" w:space="0" w:color="77B800"/>
              <w:right w:val="single" w:sz="8" w:space="0" w:color="77B800"/>
            </w:tcBorders>
            <w:shd w:val="clear" w:color="auto" w:fill="auto"/>
            <w:vAlign w:val="center"/>
            <w:hideMark/>
          </w:tcPr>
          <w:p w14:paraId="22FA9BD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0.71, 12.96</w:t>
            </w:r>
          </w:p>
        </w:tc>
      </w:tr>
      <w:tr w:rsidR="00E26AE0" w:rsidRPr="00E26AE0" w14:paraId="5349B0D3"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53365A4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67325BB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11F4767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6A723D1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3B9DED6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34AA3B2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01ACF94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25-49</w:t>
            </w:r>
          </w:p>
        </w:tc>
        <w:tc>
          <w:tcPr>
            <w:tcW w:w="857" w:type="dxa"/>
            <w:tcBorders>
              <w:top w:val="nil"/>
              <w:left w:val="nil"/>
              <w:bottom w:val="single" w:sz="8" w:space="0" w:color="77B800"/>
              <w:right w:val="single" w:sz="8" w:space="0" w:color="77B800"/>
            </w:tcBorders>
            <w:shd w:val="clear" w:color="auto" w:fill="auto"/>
            <w:vAlign w:val="center"/>
            <w:hideMark/>
          </w:tcPr>
          <w:p w14:paraId="63E2E629"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4.08</w:t>
            </w:r>
          </w:p>
        </w:tc>
        <w:tc>
          <w:tcPr>
            <w:tcW w:w="1039" w:type="dxa"/>
            <w:tcBorders>
              <w:top w:val="nil"/>
              <w:left w:val="nil"/>
              <w:bottom w:val="single" w:sz="8" w:space="0" w:color="77B800"/>
              <w:right w:val="single" w:sz="8" w:space="0" w:color="77B800"/>
            </w:tcBorders>
            <w:shd w:val="clear" w:color="auto" w:fill="auto"/>
            <w:vAlign w:val="center"/>
            <w:hideMark/>
          </w:tcPr>
          <w:p w14:paraId="12A4B1E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0.93, 17.82</w:t>
            </w:r>
          </w:p>
        </w:tc>
      </w:tr>
      <w:tr w:rsidR="00E26AE0" w:rsidRPr="00E26AE0" w14:paraId="19E4EBAF"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4D117A8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32973C4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6EF04D7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13D836E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68C00F9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B2215F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55B1EBA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50+</w:t>
            </w:r>
          </w:p>
        </w:tc>
        <w:tc>
          <w:tcPr>
            <w:tcW w:w="857" w:type="dxa"/>
            <w:tcBorders>
              <w:top w:val="nil"/>
              <w:left w:val="nil"/>
              <w:bottom w:val="single" w:sz="8" w:space="0" w:color="77B800"/>
              <w:right w:val="single" w:sz="8" w:space="0" w:color="77B800"/>
            </w:tcBorders>
            <w:shd w:val="clear" w:color="auto" w:fill="auto"/>
            <w:vAlign w:val="center"/>
            <w:hideMark/>
          </w:tcPr>
          <w:p w14:paraId="25AABC6A"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5.73</w:t>
            </w:r>
          </w:p>
        </w:tc>
        <w:tc>
          <w:tcPr>
            <w:tcW w:w="1039" w:type="dxa"/>
            <w:tcBorders>
              <w:top w:val="nil"/>
              <w:left w:val="nil"/>
              <w:bottom w:val="single" w:sz="8" w:space="0" w:color="77B800"/>
              <w:right w:val="single" w:sz="8" w:space="0" w:color="77B800"/>
            </w:tcBorders>
            <w:shd w:val="clear" w:color="auto" w:fill="auto"/>
            <w:vAlign w:val="center"/>
            <w:hideMark/>
          </w:tcPr>
          <w:p w14:paraId="220AF85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0.93, 35.40</w:t>
            </w:r>
          </w:p>
        </w:tc>
      </w:tr>
      <w:tr w:rsidR="00E26AE0" w:rsidRPr="00E26AE0" w14:paraId="44F5F32A"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7E324B2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6A79E1F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60DDE58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3BBBDD2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31205BA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169669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TBA</w:t>
            </w:r>
          </w:p>
        </w:tc>
        <w:tc>
          <w:tcPr>
            <w:tcW w:w="938" w:type="dxa"/>
            <w:tcBorders>
              <w:top w:val="nil"/>
              <w:left w:val="nil"/>
              <w:bottom w:val="single" w:sz="8" w:space="0" w:color="77B800"/>
              <w:right w:val="single" w:sz="8" w:space="0" w:color="77B800"/>
            </w:tcBorders>
            <w:shd w:val="clear" w:color="auto" w:fill="auto"/>
            <w:vAlign w:val="center"/>
            <w:hideMark/>
          </w:tcPr>
          <w:p w14:paraId="0390B26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Q2</w:t>
            </w:r>
          </w:p>
        </w:tc>
        <w:tc>
          <w:tcPr>
            <w:tcW w:w="857" w:type="dxa"/>
            <w:tcBorders>
              <w:top w:val="nil"/>
              <w:left w:val="nil"/>
              <w:bottom w:val="single" w:sz="8" w:space="0" w:color="77B800"/>
              <w:right w:val="single" w:sz="8" w:space="0" w:color="77B800"/>
            </w:tcBorders>
            <w:shd w:val="clear" w:color="auto" w:fill="auto"/>
            <w:vAlign w:val="center"/>
            <w:hideMark/>
          </w:tcPr>
          <w:p w14:paraId="6118D83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w:t>
            </w:r>
          </w:p>
        </w:tc>
        <w:tc>
          <w:tcPr>
            <w:tcW w:w="1039" w:type="dxa"/>
            <w:tcBorders>
              <w:top w:val="nil"/>
              <w:left w:val="nil"/>
              <w:bottom w:val="single" w:sz="8" w:space="0" w:color="77B800"/>
              <w:right w:val="single" w:sz="8" w:space="0" w:color="77B800"/>
            </w:tcBorders>
            <w:shd w:val="clear" w:color="auto" w:fill="auto"/>
            <w:vAlign w:val="center"/>
            <w:hideMark/>
          </w:tcPr>
          <w:p w14:paraId="112B4B5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0.43, 1.14</w:t>
            </w:r>
          </w:p>
        </w:tc>
      </w:tr>
      <w:tr w:rsidR="00E26AE0" w:rsidRPr="00E26AE0" w14:paraId="1A693EB9"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A7E72B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5002C15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14C147E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55EF71E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5DF2A69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40ED63E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6E1EF44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Q3</w:t>
            </w:r>
          </w:p>
        </w:tc>
        <w:tc>
          <w:tcPr>
            <w:tcW w:w="857" w:type="dxa"/>
            <w:tcBorders>
              <w:top w:val="nil"/>
              <w:left w:val="nil"/>
              <w:bottom w:val="single" w:sz="8" w:space="0" w:color="77B800"/>
              <w:right w:val="single" w:sz="8" w:space="0" w:color="77B800"/>
            </w:tcBorders>
            <w:shd w:val="clear" w:color="auto" w:fill="auto"/>
            <w:vAlign w:val="center"/>
            <w:hideMark/>
          </w:tcPr>
          <w:p w14:paraId="348E33B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1.07</w:t>
            </w:r>
          </w:p>
        </w:tc>
        <w:tc>
          <w:tcPr>
            <w:tcW w:w="1039" w:type="dxa"/>
            <w:tcBorders>
              <w:top w:val="nil"/>
              <w:left w:val="nil"/>
              <w:bottom w:val="single" w:sz="8" w:space="0" w:color="77B800"/>
              <w:right w:val="single" w:sz="8" w:space="0" w:color="77B800"/>
            </w:tcBorders>
            <w:shd w:val="clear" w:color="auto" w:fill="auto"/>
            <w:vAlign w:val="center"/>
            <w:hideMark/>
          </w:tcPr>
          <w:p w14:paraId="4E61D65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0.67, 1.73</w:t>
            </w:r>
          </w:p>
        </w:tc>
      </w:tr>
      <w:tr w:rsidR="00E26AE0" w:rsidRPr="00E26AE0" w14:paraId="467F807D"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5297F4A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2A90B1E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0C050C7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38BAD64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72BBB82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694F09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3ADE6F5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Q4</w:t>
            </w:r>
          </w:p>
        </w:tc>
        <w:tc>
          <w:tcPr>
            <w:tcW w:w="857" w:type="dxa"/>
            <w:tcBorders>
              <w:top w:val="nil"/>
              <w:left w:val="nil"/>
              <w:bottom w:val="single" w:sz="8" w:space="0" w:color="77B800"/>
              <w:right w:val="single" w:sz="8" w:space="0" w:color="77B800"/>
            </w:tcBorders>
            <w:shd w:val="clear" w:color="auto" w:fill="auto"/>
            <w:vAlign w:val="center"/>
            <w:hideMark/>
          </w:tcPr>
          <w:p w14:paraId="0262A6C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0.97</w:t>
            </w:r>
          </w:p>
        </w:tc>
        <w:tc>
          <w:tcPr>
            <w:tcW w:w="1039" w:type="dxa"/>
            <w:tcBorders>
              <w:top w:val="nil"/>
              <w:left w:val="nil"/>
              <w:bottom w:val="single" w:sz="8" w:space="0" w:color="77B800"/>
              <w:right w:val="single" w:sz="8" w:space="0" w:color="77B800"/>
            </w:tcBorders>
            <w:shd w:val="clear" w:color="auto" w:fill="auto"/>
            <w:vAlign w:val="center"/>
            <w:hideMark/>
          </w:tcPr>
          <w:p w14:paraId="1DA4633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0.57, 1.67</w:t>
            </w:r>
          </w:p>
        </w:tc>
      </w:tr>
      <w:tr w:rsidR="00E26AE0" w:rsidRPr="00E26AE0" w14:paraId="29128046"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47112C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20EA2E3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52FAD5B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7BE64F2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4D77A4C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01F9017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ADA</w:t>
            </w:r>
          </w:p>
        </w:tc>
        <w:tc>
          <w:tcPr>
            <w:tcW w:w="938" w:type="dxa"/>
            <w:tcBorders>
              <w:top w:val="nil"/>
              <w:left w:val="nil"/>
              <w:bottom w:val="single" w:sz="8" w:space="0" w:color="77B800"/>
              <w:right w:val="single" w:sz="8" w:space="0" w:color="77B800"/>
            </w:tcBorders>
            <w:shd w:val="clear" w:color="auto" w:fill="auto"/>
            <w:vAlign w:val="center"/>
            <w:hideMark/>
          </w:tcPr>
          <w:p w14:paraId="48BB162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Q2</w:t>
            </w:r>
          </w:p>
        </w:tc>
        <w:tc>
          <w:tcPr>
            <w:tcW w:w="857" w:type="dxa"/>
            <w:tcBorders>
              <w:top w:val="nil"/>
              <w:left w:val="nil"/>
              <w:bottom w:val="single" w:sz="8" w:space="0" w:color="77B800"/>
              <w:right w:val="single" w:sz="8" w:space="0" w:color="77B800"/>
            </w:tcBorders>
            <w:shd w:val="clear" w:color="auto" w:fill="auto"/>
            <w:vAlign w:val="center"/>
            <w:hideMark/>
          </w:tcPr>
          <w:p w14:paraId="4C4D34FA"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w:t>
            </w:r>
          </w:p>
        </w:tc>
        <w:tc>
          <w:tcPr>
            <w:tcW w:w="1039" w:type="dxa"/>
            <w:tcBorders>
              <w:top w:val="nil"/>
              <w:left w:val="nil"/>
              <w:bottom w:val="single" w:sz="8" w:space="0" w:color="77B800"/>
              <w:right w:val="single" w:sz="8" w:space="0" w:color="77B800"/>
            </w:tcBorders>
            <w:shd w:val="clear" w:color="auto" w:fill="auto"/>
            <w:vAlign w:val="center"/>
            <w:hideMark/>
          </w:tcPr>
          <w:p w14:paraId="48F639C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0.72, 3.12</w:t>
            </w:r>
          </w:p>
        </w:tc>
      </w:tr>
      <w:tr w:rsidR="00E26AE0" w:rsidRPr="00E26AE0" w14:paraId="0C0B045B"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45CFCB2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4FB098B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44DE80C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26FE971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0FF7874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60C950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4BBE84F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Q3</w:t>
            </w:r>
          </w:p>
        </w:tc>
        <w:tc>
          <w:tcPr>
            <w:tcW w:w="857" w:type="dxa"/>
            <w:tcBorders>
              <w:top w:val="nil"/>
              <w:left w:val="nil"/>
              <w:bottom w:val="single" w:sz="8" w:space="0" w:color="77B800"/>
              <w:right w:val="single" w:sz="8" w:space="0" w:color="77B800"/>
            </w:tcBorders>
            <w:shd w:val="clear" w:color="auto" w:fill="auto"/>
            <w:vAlign w:val="center"/>
            <w:hideMark/>
          </w:tcPr>
          <w:p w14:paraId="66FFB38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1.56</w:t>
            </w:r>
          </w:p>
        </w:tc>
        <w:tc>
          <w:tcPr>
            <w:tcW w:w="1039" w:type="dxa"/>
            <w:tcBorders>
              <w:top w:val="nil"/>
              <w:left w:val="nil"/>
              <w:bottom w:val="single" w:sz="8" w:space="0" w:color="77B800"/>
              <w:right w:val="single" w:sz="8" w:space="0" w:color="77B800"/>
            </w:tcBorders>
            <w:shd w:val="clear" w:color="auto" w:fill="auto"/>
            <w:vAlign w:val="center"/>
            <w:hideMark/>
          </w:tcPr>
          <w:p w14:paraId="7A96F39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0.77, 3.17</w:t>
            </w:r>
          </w:p>
        </w:tc>
      </w:tr>
      <w:tr w:rsidR="00E26AE0" w:rsidRPr="00E26AE0" w14:paraId="31BF0ABB"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1DB2C22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6DCEC9E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312563B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026E21A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560D6E1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5C45363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663D758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Q4</w:t>
            </w:r>
          </w:p>
        </w:tc>
        <w:tc>
          <w:tcPr>
            <w:tcW w:w="857" w:type="dxa"/>
            <w:tcBorders>
              <w:top w:val="nil"/>
              <w:left w:val="nil"/>
              <w:bottom w:val="single" w:sz="8" w:space="0" w:color="77B800"/>
              <w:right w:val="single" w:sz="8" w:space="0" w:color="77B800"/>
            </w:tcBorders>
            <w:shd w:val="clear" w:color="auto" w:fill="auto"/>
            <w:vAlign w:val="center"/>
            <w:hideMark/>
          </w:tcPr>
          <w:p w14:paraId="5ED2B9E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1.99</w:t>
            </w:r>
          </w:p>
        </w:tc>
        <w:tc>
          <w:tcPr>
            <w:tcW w:w="1039" w:type="dxa"/>
            <w:tcBorders>
              <w:top w:val="nil"/>
              <w:left w:val="nil"/>
              <w:bottom w:val="single" w:sz="8" w:space="0" w:color="77B800"/>
              <w:right w:val="single" w:sz="8" w:space="0" w:color="77B800"/>
            </w:tcBorders>
            <w:shd w:val="clear" w:color="auto" w:fill="auto"/>
            <w:vAlign w:val="center"/>
            <w:hideMark/>
          </w:tcPr>
          <w:p w14:paraId="5533729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1.00, 3.97</w:t>
            </w:r>
          </w:p>
        </w:tc>
      </w:tr>
      <w:tr w:rsidR="00E26AE0" w:rsidRPr="00E26AE0" w14:paraId="6DE910DE"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090B6A8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160342B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1622653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092559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PostM</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8EB1EF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79:235</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7F0F7C4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PD</w:t>
            </w:r>
          </w:p>
        </w:tc>
        <w:tc>
          <w:tcPr>
            <w:tcW w:w="938" w:type="dxa"/>
            <w:tcBorders>
              <w:top w:val="nil"/>
              <w:left w:val="nil"/>
              <w:bottom w:val="single" w:sz="8" w:space="0" w:color="77B800"/>
              <w:right w:val="single" w:sz="8" w:space="0" w:color="77B800"/>
            </w:tcBorders>
            <w:shd w:val="clear" w:color="auto" w:fill="auto"/>
            <w:vAlign w:val="center"/>
            <w:hideMark/>
          </w:tcPr>
          <w:p w14:paraId="1020E4B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5-9</w:t>
            </w:r>
          </w:p>
        </w:tc>
        <w:tc>
          <w:tcPr>
            <w:tcW w:w="857" w:type="dxa"/>
            <w:tcBorders>
              <w:top w:val="nil"/>
              <w:left w:val="nil"/>
              <w:bottom w:val="single" w:sz="8" w:space="0" w:color="77B800"/>
              <w:right w:val="single" w:sz="8" w:space="0" w:color="77B800"/>
            </w:tcBorders>
            <w:shd w:val="clear" w:color="auto" w:fill="auto"/>
            <w:vAlign w:val="center"/>
            <w:hideMark/>
          </w:tcPr>
          <w:p w14:paraId="58F2868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1.11</w:t>
            </w:r>
          </w:p>
        </w:tc>
        <w:tc>
          <w:tcPr>
            <w:tcW w:w="1039" w:type="dxa"/>
            <w:tcBorders>
              <w:top w:val="nil"/>
              <w:left w:val="nil"/>
              <w:bottom w:val="single" w:sz="8" w:space="0" w:color="77B800"/>
              <w:right w:val="single" w:sz="8" w:space="0" w:color="77B800"/>
            </w:tcBorders>
            <w:shd w:val="clear" w:color="auto" w:fill="auto"/>
            <w:vAlign w:val="center"/>
            <w:hideMark/>
          </w:tcPr>
          <w:p w14:paraId="6B210C7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0.58, 2.10</w:t>
            </w:r>
          </w:p>
        </w:tc>
      </w:tr>
      <w:tr w:rsidR="00E26AE0" w:rsidRPr="00E26AE0" w14:paraId="670B68F3"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138FF6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22ABA5E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2E09712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3B47C3C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4B2DBF5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351272F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FD0C84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10-24</w:t>
            </w:r>
          </w:p>
        </w:tc>
        <w:tc>
          <w:tcPr>
            <w:tcW w:w="857" w:type="dxa"/>
            <w:tcBorders>
              <w:top w:val="nil"/>
              <w:left w:val="nil"/>
              <w:bottom w:val="single" w:sz="8" w:space="0" w:color="77B800"/>
              <w:right w:val="single" w:sz="8" w:space="0" w:color="77B800"/>
            </w:tcBorders>
            <w:shd w:val="clear" w:color="auto" w:fill="auto"/>
            <w:vAlign w:val="center"/>
            <w:hideMark/>
          </w:tcPr>
          <w:p w14:paraId="279FB97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1.05</w:t>
            </w:r>
          </w:p>
        </w:tc>
        <w:tc>
          <w:tcPr>
            <w:tcW w:w="1039" w:type="dxa"/>
            <w:tcBorders>
              <w:top w:val="nil"/>
              <w:left w:val="nil"/>
              <w:bottom w:val="single" w:sz="8" w:space="0" w:color="77B800"/>
              <w:right w:val="single" w:sz="8" w:space="0" w:color="77B800"/>
            </w:tcBorders>
            <w:shd w:val="clear" w:color="auto" w:fill="auto"/>
            <w:vAlign w:val="center"/>
            <w:hideMark/>
          </w:tcPr>
          <w:p w14:paraId="3599C44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0.54, 2.06</w:t>
            </w:r>
          </w:p>
        </w:tc>
      </w:tr>
      <w:tr w:rsidR="00E26AE0" w:rsidRPr="00E26AE0" w14:paraId="4012EF3B"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3BC622F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3B38652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7D8C5F1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0D28760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6444DCC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40D7CB1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3197F02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25-49</w:t>
            </w:r>
          </w:p>
        </w:tc>
        <w:tc>
          <w:tcPr>
            <w:tcW w:w="857" w:type="dxa"/>
            <w:tcBorders>
              <w:top w:val="nil"/>
              <w:left w:val="nil"/>
              <w:bottom w:val="single" w:sz="8" w:space="0" w:color="77B800"/>
              <w:right w:val="single" w:sz="8" w:space="0" w:color="77B800"/>
            </w:tcBorders>
            <w:shd w:val="clear" w:color="auto" w:fill="auto"/>
            <w:vAlign w:val="center"/>
            <w:hideMark/>
          </w:tcPr>
          <w:p w14:paraId="2CE5C39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1.4</w:t>
            </w:r>
          </w:p>
        </w:tc>
        <w:tc>
          <w:tcPr>
            <w:tcW w:w="1039" w:type="dxa"/>
            <w:tcBorders>
              <w:top w:val="nil"/>
              <w:left w:val="nil"/>
              <w:bottom w:val="single" w:sz="8" w:space="0" w:color="77B800"/>
              <w:right w:val="single" w:sz="8" w:space="0" w:color="77B800"/>
            </w:tcBorders>
            <w:shd w:val="clear" w:color="auto" w:fill="auto"/>
            <w:vAlign w:val="center"/>
            <w:hideMark/>
          </w:tcPr>
          <w:p w14:paraId="058E530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0.48, 4.08</w:t>
            </w:r>
          </w:p>
        </w:tc>
      </w:tr>
      <w:tr w:rsidR="00E26AE0" w:rsidRPr="00E26AE0" w14:paraId="62C00393"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3170882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4524BC6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2D5B982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2DE8CB8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56D4350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60368F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6BDDDB1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50+</w:t>
            </w:r>
          </w:p>
        </w:tc>
        <w:tc>
          <w:tcPr>
            <w:tcW w:w="857" w:type="dxa"/>
            <w:tcBorders>
              <w:top w:val="nil"/>
              <w:left w:val="nil"/>
              <w:bottom w:val="single" w:sz="8" w:space="0" w:color="77B800"/>
              <w:right w:val="single" w:sz="8" w:space="0" w:color="77B800"/>
            </w:tcBorders>
            <w:shd w:val="clear" w:color="auto" w:fill="auto"/>
            <w:vAlign w:val="center"/>
            <w:hideMark/>
          </w:tcPr>
          <w:p w14:paraId="392BC12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3.96</w:t>
            </w:r>
          </w:p>
        </w:tc>
        <w:tc>
          <w:tcPr>
            <w:tcW w:w="1039" w:type="dxa"/>
            <w:tcBorders>
              <w:top w:val="nil"/>
              <w:left w:val="nil"/>
              <w:bottom w:val="single" w:sz="8" w:space="0" w:color="77B800"/>
              <w:right w:val="single" w:sz="8" w:space="0" w:color="77B800"/>
            </w:tcBorders>
            <w:shd w:val="clear" w:color="auto" w:fill="auto"/>
            <w:vAlign w:val="center"/>
            <w:hideMark/>
          </w:tcPr>
          <w:p w14:paraId="5E9DB1E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1.38, 40.87</w:t>
            </w:r>
          </w:p>
        </w:tc>
      </w:tr>
      <w:tr w:rsidR="00E26AE0" w:rsidRPr="00E26AE0" w14:paraId="014A858B"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7B5611D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2FF847F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62EDB22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53D8AA2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3A04A38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F01B067"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TBA</w:t>
            </w:r>
          </w:p>
        </w:tc>
        <w:tc>
          <w:tcPr>
            <w:tcW w:w="938" w:type="dxa"/>
            <w:tcBorders>
              <w:top w:val="nil"/>
              <w:left w:val="nil"/>
              <w:bottom w:val="single" w:sz="8" w:space="0" w:color="77B800"/>
              <w:right w:val="single" w:sz="8" w:space="0" w:color="77B800"/>
            </w:tcBorders>
            <w:shd w:val="clear" w:color="auto" w:fill="auto"/>
            <w:vAlign w:val="center"/>
            <w:hideMark/>
          </w:tcPr>
          <w:p w14:paraId="5ED95B1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Q2</w:t>
            </w:r>
          </w:p>
        </w:tc>
        <w:tc>
          <w:tcPr>
            <w:tcW w:w="857" w:type="dxa"/>
            <w:tcBorders>
              <w:top w:val="nil"/>
              <w:left w:val="nil"/>
              <w:bottom w:val="single" w:sz="8" w:space="0" w:color="77B800"/>
              <w:right w:val="single" w:sz="8" w:space="0" w:color="77B800"/>
            </w:tcBorders>
            <w:shd w:val="clear" w:color="auto" w:fill="auto"/>
            <w:vAlign w:val="center"/>
            <w:hideMark/>
          </w:tcPr>
          <w:p w14:paraId="5389B03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w:t>
            </w:r>
          </w:p>
        </w:tc>
        <w:tc>
          <w:tcPr>
            <w:tcW w:w="1039" w:type="dxa"/>
            <w:tcBorders>
              <w:top w:val="nil"/>
              <w:left w:val="nil"/>
              <w:bottom w:val="single" w:sz="8" w:space="0" w:color="77B800"/>
              <w:right w:val="single" w:sz="8" w:space="0" w:color="77B800"/>
            </w:tcBorders>
            <w:shd w:val="clear" w:color="auto" w:fill="auto"/>
            <w:vAlign w:val="center"/>
            <w:hideMark/>
          </w:tcPr>
          <w:p w14:paraId="6439324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0.53, 2.70</w:t>
            </w:r>
          </w:p>
        </w:tc>
      </w:tr>
      <w:tr w:rsidR="00E26AE0" w:rsidRPr="00E26AE0" w14:paraId="30843BF2"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2F1DE5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33EC90D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157C910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66D3CB3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6627B1C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1BDB97F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526126C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Q3</w:t>
            </w:r>
          </w:p>
        </w:tc>
        <w:tc>
          <w:tcPr>
            <w:tcW w:w="857" w:type="dxa"/>
            <w:tcBorders>
              <w:top w:val="nil"/>
              <w:left w:val="nil"/>
              <w:bottom w:val="single" w:sz="8" w:space="0" w:color="77B800"/>
              <w:right w:val="single" w:sz="8" w:space="0" w:color="77B800"/>
            </w:tcBorders>
            <w:shd w:val="clear" w:color="auto" w:fill="auto"/>
            <w:vAlign w:val="center"/>
            <w:hideMark/>
          </w:tcPr>
          <w:p w14:paraId="7418C66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1.26</w:t>
            </w:r>
          </w:p>
        </w:tc>
        <w:tc>
          <w:tcPr>
            <w:tcW w:w="1039" w:type="dxa"/>
            <w:tcBorders>
              <w:top w:val="nil"/>
              <w:left w:val="nil"/>
              <w:bottom w:val="single" w:sz="8" w:space="0" w:color="77B800"/>
              <w:right w:val="single" w:sz="8" w:space="0" w:color="77B800"/>
            </w:tcBorders>
            <w:shd w:val="clear" w:color="auto" w:fill="auto"/>
            <w:vAlign w:val="center"/>
            <w:hideMark/>
          </w:tcPr>
          <w:p w14:paraId="757F524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0.57, 2.79</w:t>
            </w:r>
          </w:p>
        </w:tc>
      </w:tr>
      <w:tr w:rsidR="00E26AE0" w:rsidRPr="00E26AE0" w14:paraId="64B9C1F4"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5BFC77C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7F8BBDF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2F04BC0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63AE0AA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26DC2FD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8233BC4"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2AB8BC0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Q4</w:t>
            </w:r>
          </w:p>
        </w:tc>
        <w:tc>
          <w:tcPr>
            <w:tcW w:w="857" w:type="dxa"/>
            <w:tcBorders>
              <w:top w:val="nil"/>
              <w:left w:val="nil"/>
              <w:bottom w:val="single" w:sz="8" w:space="0" w:color="77B800"/>
              <w:right w:val="single" w:sz="8" w:space="0" w:color="77B800"/>
            </w:tcBorders>
            <w:shd w:val="clear" w:color="auto" w:fill="auto"/>
            <w:vAlign w:val="center"/>
            <w:hideMark/>
          </w:tcPr>
          <w:p w14:paraId="0C12FD2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1.52</w:t>
            </w:r>
          </w:p>
        </w:tc>
        <w:tc>
          <w:tcPr>
            <w:tcW w:w="1039" w:type="dxa"/>
            <w:tcBorders>
              <w:top w:val="nil"/>
              <w:left w:val="nil"/>
              <w:bottom w:val="single" w:sz="8" w:space="0" w:color="77B800"/>
              <w:right w:val="single" w:sz="8" w:space="0" w:color="77B800"/>
            </w:tcBorders>
            <w:shd w:val="clear" w:color="auto" w:fill="auto"/>
            <w:vAlign w:val="center"/>
            <w:hideMark/>
          </w:tcPr>
          <w:p w14:paraId="4F860D51"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0.64, 3.57</w:t>
            </w:r>
          </w:p>
        </w:tc>
      </w:tr>
      <w:tr w:rsidR="00E26AE0" w:rsidRPr="00E26AE0" w14:paraId="2C7BD5D6"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45528C3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0AD9633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50BFCA8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68CAB5C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43AC675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48062CF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ADA</w:t>
            </w:r>
          </w:p>
        </w:tc>
        <w:tc>
          <w:tcPr>
            <w:tcW w:w="938" w:type="dxa"/>
            <w:tcBorders>
              <w:top w:val="nil"/>
              <w:left w:val="nil"/>
              <w:bottom w:val="single" w:sz="8" w:space="0" w:color="77B800"/>
              <w:right w:val="single" w:sz="8" w:space="0" w:color="77B800"/>
            </w:tcBorders>
            <w:shd w:val="clear" w:color="auto" w:fill="auto"/>
            <w:vAlign w:val="center"/>
            <w:hideMark/>
          </w:tcPr>
          <w:p w14:paraId="2FF87CF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Q2</w:t>
            </w:r>
          </w:p>
        </w:tc>
        <w:tc>
          <w:tcPr>
            <w:tcW w:w="857" w:type="dxa"/>
            <w:tcBorders>
              <w:top w:val="nil"/>
              <w:left w:val="nil"/>
              <w:bottom w:val="single" w:sz="8" w:space="0" w:color="77B800"/>
              <w:right w:val="single" w:sz="8" w:space="0" w:color="77B800"/>
            </w:tcBorders>
            <w:shd w:val="clear" w:color="auto" w:fill="auto"/>
            <w:vAlign w:val="center"/>
            <w:hideMark/>
          </w:tcPr>
          <w:p w14:paraId="6ADFCDA6"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0.88</w:t>
            </w:r>
          </w:p>
        </w:tc>
        <w:tc>
          <w:tcPr>
            <w:tcW w:w="1039" w:type="dxa"/>
            <w:tcBorders>
              <w:top w:val="nil"/>
              <w:left w:val="nil"/>
              <w:bottom w:val="single" w:sz="8" w:space="0" w:color="77B800"/>
              <w:right w:val="single" w:sz="8" w:space="0" w:color="77B800"/>
            </w:tcBorders>
            <w:shd w:val="clear" w:color="auto" w:fill="auto"/>
            <w:vAlign w:val="center"/>
            <w:hideMark/>
          </w:tcPr>
          <w:p w14:paraId="26E14E0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0.47, 1.62</w:t>
            </w:r>
          </w:p>
        </w:tc>
      </w:tr>
      <w:tr w:rsidR="00E26AE0" w:rsidRPr="00E26AE0" w14:paraId="25B9D05A"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25C7446A"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68986FE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3B0998C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7A36FC6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2A7E142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41D6CA4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681B81B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Q3</w:t>
            </w:r>
          </w:p>
        </w:tc>
        <w:tc>
          <w:tcPr>
            <w:tcW w:w="857" w:type="dxa"/>
            <w:tcBorders>
              <w:top w:val="nil"/>
              <w:left w:val="nil"/>
              <w:bottom w:val="single" w:sz="8" w:space="0" w:color="77B800"/>
              <w:right w:val="single" w:sz="8" w:space="0" w:color="77B800"/>
            </w:tcBorders>
            <w:shd w:val="clear" w:color="auto" w:fill="auto"/>
            <w:vAlign w:val="center"/>
            <w:hideMark/>
          </w:tcPr>
          <w:p w14:paraId="024BA3C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0.78</w:t>
            </w:r>
          </w:p>
        </w:tc>
        <w:tc>
          <w:tcPr>
            <w:tcW w:w="1039" w:type="dxa"/>
            <w:tcBorders>
              <w:top w:val="nil"/>
              <w:left w:val="nil"/>
              <w:bottom w:val="single" w:sz="8" w:space="0" w:color="77B800"/>
              <w:right w:val="single" w:sz="8" w:space="0" w:color="77B800"/>
            </w:tcBorders>
            <w:shd w:val="clear" w:color="auto" w:fill="auto"/>
            <w:vAlign w:val="center"/>
            <w:hideMark/>
          </w:tcPr>
          <w:p w14:paraId="2AD76E9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0.36, 1.67</w:t>
            </w:r>
          </w:p>
        </w:tc>
      </w:tr>
      <w:tr w:rsidR="00E26AE0" w:rsidRPr="00E26AE0" w14:paraId="46246665"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647ADA1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580DBCE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2215099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1C1DC29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3CBFFC4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C3E9B5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8DB41FB"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Q4</w:t>
            </w:r>
          </w:p>
        </w:tc>
        <w:tc>
          <w:tcPr>
            <w:tcW w:w="857" w:type="dxa"/>
            <w:tcBorders>
              <w:top w:val="nil"/>
              <w:left w:val="nil"/>
              <w:bottom w:val="single" w:sz="8" w:space="0" w:color="77B800"/>
              <w:right w:val="single" w:sz="8" w:space="0" w:color="77B800"/>
            </w:tcBorders>
            <w:shd w:val="clear" w:color="auto" w:fill="auto"/>
            <w:vAlign w:val="center"/>
            <w:hideMark/>
          </w:tcPr>
          <w:p w14:paraId="0E7F3C6A"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1.55</w:t>
            </w:r>
          </w:p>
        </w:tc>
        <w:tc>
          <w:tcPr>
            <w:tcW w:w="1039" w:type="dxa"/>
            <w:tcBorders>
              <w:top w:val="nil"/>
              <w:left w:val="nil"/>
              <w:bottom w:val="single" w:sz="8" w:space="0" w:color="77B800"/>
              <w:right w:val="single" w:sz="8" w:space="0" w:color="77B800"/>
            </w:tcBorders>
            <w:shd w:val="clear" w:color="auto" w:fill="auto"/>
            <w:vAlign w:val="center"/>
            <w:hideMark/>
          </w:tcPr>
          <w:p w14:paraId="423D564C"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0.78, 3.06</w:t>
            </w:r>
          </w:p>
        </w:tc>
      </w:tr>
      <w:tr w:rsidR="00E26AE0" w:rsidRPr="00E26AE0" w14:paraId="3CB3635B" w14:textId="77777777" w:rsidTr="000F3A5F">
        <w:trPr>
          <w:trHeight w:val="340"/>
        </w:trPr>
        <w:tc>
          <w:tcPr>
            <w:tcW w:w="936"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7D7900C9" w14:textId="63D6FD5E"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Lee et al.</w:t>
            </w:r>
            <w:r w:rsidR="002E4977">
              <w:rPr>
                <w:rFonts w:ascii="Calibri" w:eastAsia="Times New Roman" w:hAnsi="Calibri" w:cs="Calibri"/>
                <w:color w:val="000000"/>
                <w:sz w:val="18"/>
                <w:szCs w:val="18"/>
                <w:lang w:eastAsia="en-NZ"/>
              </w:rPr>
              <w:t xml:space="preserve"> (</w:t>
            </w:r>
            <w:r w:rsidRPr="00E26AE0">
              <w:rPr>
                <w:rFonts w:ascii="Calibri" w:eastAsia="Times New Roman" w:hAnsi="Calibri" w:cs="Calibri"/>
                <w:color w:val="000000"/>
                <w:sz w:val="18"/>
                <w:szCs w:val="18"/>
                <w:lang w:eastAsia="en-NZ"/>
              </w:rPr>
              <w:t>2015</w:t>
            </w:r>
            <w:r w:rsidR="002E4977">
              <w:rPr>
                <w:rFonts w:ascii="Calibri" w:eastAsia="Times New Roman" w:hAnsi="Calibri" w:cs="Calibri"/>
                <w:color w:val="000000"/>
                <w:sz w:val="18"/>
                <w:szCs w:val="18"/>
                <w:lang w:eastAsia="en-NZ"/>
              </w:rPr>
              <w:t>)</w:t>
            </w:r>
          </w:p>
        </w:tc>
        <w:tc>
          <w:tcPr>
            <w:tcW w:w="95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262025E4"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Singapore</w:t>
            </w:r>
          </w:p>
        </w:tc>
        <w:tc>
          <w:tcPr>
            <w:tcW w:w="1078" w:type="dxa"/>
            <w:tcBorders>
              <w:top w:val="nil"/>
              <w:left w:val="nil"/>
              <w:bottom w:val="single" w:sz="8" w:space="0" w:color="77B800"/>
              <w:right w:val="single" w:sz="8" w:space="0" w:color="77B800"/>
            </w:tcBorders>
            <w:shd w:val="clear" w:color="auto" w:fill="auto"/>
            <w:vAlign w:val="center"/>
            <w:hideMark/>
          </w:tcPr>
          <w:p w14:paraId="3A5A73D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Singapore Breast Cancer</w:t>
            </w:r>
          </w:p>
        </w:tc>
        <w:tc>
          <w:tcPr>
            <w:tcW w:w="1145"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3B1BF5E6"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(17 y follow-up)</w:t>
            </w:r>
          </w:p>
        </w:tc>
        <w:tc>
          <w:tcPr>
            <w:tcW w:w="927"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3AB541C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680:23 481</w:t>
            </w:r>
          </w:p>
        </w:tc>
        <w:tc>
          <w:tcPr>
            <w:tcW w:w="912"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56A89B1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MDA</w:t>
            </w:r>
          </w:p>
        </w:tc>
        <w:tc>
          <w:tcPr>
            <w:tcW w:w="938" w:type="dxa"/>
            <w:tcBorders>
              <w:top w:val="nil"/>
              <w:left w:val="nil"/>
              <w:bottom w:val="single" w:sz="8" w:space="0" w:color="77B800"/>
              <w:right w:val="single" w:sz="8" w:space="0" w:color="77B800"/>
            </w:tcBorders>
            <w:shd w:val="clear" w:color="auto" w:fill="auto"/>
            <w:vAlign w:val="center"/>
            <w:hideMark/>
          </w:tcPr>
          <w:p w14:paraId="1D51FB7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11-20</w:t>
            </w:r>
          </w:p>
        </w:tc>
        <w:tc>
          <w:tcPr>
            <w:tcW w:w="857" w:type="dxa"/>
            <w:tcBorders>
              <w:top w:val="nil"/>
              <w:left w:val="nil"/>
              <w:bottom w:val="single" w:sz="8" w:space="0" w:color="77B800"/>
              <w:right w:val="single" w:sz="8" w:space="0" w:color="77B800"/>
            </w:tcBorders>
            <w:shd w:val="clear" w:color="auto" w:fill="auto"/>
            <w:vAlign w:val="center"/>
            <w:hideMark/>
          </w:tcPr>
          <w:p w14:paraId="6D28328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1.6</w:t>
            </w:r>
          </w:p>
        </w:tc>
        <w:tc>
          <w:tcPr>
            <w:tcW w:w="1039" w:type="dxa"/>
            <w:tcBorders>
              <w:top w:val="nil"/>
              <w:left w:val="nil"/>
              <w:bottom w:val="single" w:sz="8" w:space="0" w:color="77B800"/>
              <w:right w:val="single" w:sz="8" w:space="0" w:color="77B800"/>
            </w:tcBorders>
            <w:shd w:val="clear" w:color="auto" w:fill="auto"/>
            <w:vAlign w:val="center"/>
            <w:hideMark/>
          </w:tcPr>
          <w:p w14:paraId="3A28723D"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1.22, 2.10</w:t>
            </w:r>
          </w:p>
        </w:tc>
      </w:tr>
      <w:tr w:rsidR="00E26AE0" w:rsidRPr="00E26AE0" w14:paraId="52CDB4A8"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48F761B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556B8FA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val="restart"/>
            <w:tcBorders>
              <w:top w:val="nil"/>
              <w:left w:val="single" w:sz="8" w:space="0" w:color="77B800"/>
              <w:bottom w:val="single" w:sz="8" w:space="0" w:color="77B800"/>
              <w:right w:val="single" w:sz="8" w:space="0" w:color="77B800"/>
            </w:tcBorders>
            <w:shd w:val="clear" w:color="auto" w:fill="auto"/>
            <w:vAlign w:val="center"/>
            <w:hideMark/>
          </w:tcPr>
          <w:p w14:paraId="1A72D708"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Screening Programme</w:t>
            </w:r>
          </w:p>
        </w:tc>
        <w:tc>
          <w:tcPr>
            <w:tcW w:w="1145" w:type="dxa"/>
            <w:vMerge/>
            <w:tcBorders>
              <w:top w:val="nil"/>
              <w:left w:val="single" w:sz="8" w:space="0" w:color="77B800"/>
              <w:bottom w:val="single" w:sz="8" w:space="0" w:color="77B800"/>
              <w:right w:val="single" w:sz="8" w:space="0" w:color="77B800"/>
            </w:tcBorders>
            <w:vAlign w:val="center"/>
            <w:hideMark/>
          </w:tcPr>
          <w:p w14:paraId="42B00DD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770F08C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16D1A6A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03F3D44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21-30</w:t>
            </w:r>
          </w:p>
        </w:tc>
        <w:tc>
          <w:tcPr>
            <w:tcW w:w="857" w:type="dxa"/>
            <w:tcBorders>
              <w:top w:val="nil"/>
              <w:left w:val="nil"/>
              <w:bottom w:val="single" w:sz="8" w:space="0" w:color="77B800"/>
              <w:right w:val="single" w:sz="8" w:space="0" w:color="77B800"/>
            </w:tcBorders>
            <w:shd w:val="clear" w:color="auto" w:fill="auto"/>
            <w:vAlign w:val="center"/>
            <w:hideMark/>
          </w:tcPr>
          <w:p w14:paraId="3C2264D5"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2.2</w:t>
            </w:r>
          </w:p>
        </w:tc>
        <w:tc>
          <w:tcPr>
            <w:tcW w:w="1039" w:type="dxa"/>
            <w:tcBorders>
              <w:top w:val="nil"/>
              <w:left w:val="nil"/>
              <w:bottom w:val="single" w:sz="8" w:space="0" w:color="77B800"/>
              <w:right w:val="single" w:sz="8" w:space="0" w:color="77B800"/>
            </w:tcBorders>
            <w:shd w:val="clear" w:color="auto" w:fill="auto"/>
            <w:vAlign w:val="center"/>
            <w:hideMark/>
          </w:tcPr>
          <w:p w14:paraId="0E830118"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1.65, 2.92</w:t>
            </w:r>
          </w:p>
        </w:tc>
      </w:tr>
      <w:tr w:rsidR="00E26AE0" w:rsidRPr="00E26AE0" w14:paraId="2BF8585C"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3898810D"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4D9B986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6532889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5EAF45F9"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051C4CFC"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29C205C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1363D5BF"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31-40</w:t>
            </w:r>
          </w:p>
        </w:tc>
        <w:tc>
          <w:tcPr>
            <w:tcW w:w="857" w:type="dxa"/>
            <w:tcBorders>
              <w:top w:val="nil"/>
              <w:left w:val="nil"/>
              <w:bottom w:val="single" w:sz="8" w:space="0" w:color="77B800"/>
              <w:right w:val="single" w:sz="8" w:space="0" w:color="77B800"/>
            </w:tcBorders>
            <w:shd w:val="clear" w:color="auto" w:fill="auto"/>
            <w:vAlign w:val="center"/>
            <w:hideMark/>
          </w:tcPr>
          <w:p w14:paraId="780BB3EF"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2.33</w:t>
            </w:r>
          </w:p>
        </w:tc>
        <w:tc>
          <w:tcPr>
            <w:tcW w:w="1039" w:type="dxa"/>
            <w:tcBorders>
              <w:top w:val="nil"/>
              <w:left w:val="nil"/>
              <w:bottom w:val="single" w:sz="8" w:space="0" w:color="77B800"/>
              <w:right w:val="single" w:sz="8" w:space="0" w:color="77B800"/>
            </w:tcBorders>
            <w:shd w:val="clear" w:color="auto" w:fill="auto"/>
            <w:vAlign w:val="center"/>
            <w:hideMark/>
          </w:tcPr>
          <w:p w14:paraId="7402D6D3"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1.71, 3.20</w:t>
            </w:r>
          </w:p>
        </w:tc>
      </w:tr>
      <w:tr w:rsidR="00E26AE0" w:rsidRPr="00E26AE0" w14:paraId="66F5FA81"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7162971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6E4A3240"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2F76C1C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79F3D05E"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198D9C6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68B54DB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0E7357D3"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41-50</w:t>
            </w:r>
          </w:p>
        </w:tc>
        <w:tc>
          <w:tcPr>
            <w:tcW w:w="857" w:type="dxa"/>
            <w:tcBorders>
              <w:top w:val="nil"/>
              <w:left w:val="nil"/>
              <w:bottom w:val="single" w:sz="8" w:space="0" w:color="77B800"/>
              <w:right w:val="single" w:sz="8" w:space="0" w:color="77B800"/>
            </w:tcBorders>
            <w:shd w:val="clear" w:color="auto" w:fill="auto"/>
            <w:vAlign w:val="center"/>
            <w:hideMark/>
          </w:tcPr>
          <w:p w14:paraId="79FCF42B"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2.12</w:t>
            </w:r>
          </w:p>
        </w:tc>
        <w:tc>
          <w:tcPr>
            <w:tcW w:w="1039" w:type="dxa"/>
            <w:tcBorders>
              <w:top w:val="nil"/>
              <w:left w:val="nil"/>
              <w:bottom w:val="single" w:sz="8" w:space="0" w:color="77B800"/>
              <w:right w:val="single" w:sz="8" w:space="0" w:color="77B800"/>
            </w:tcBorders>
            <w:shd w:val="clear" w:color="auto" w:fill="auto"/>
            <w:vAlign w:val="center"/>
            <w:hideMark/>
          </w:tcPr>
          <w:p w14:paraId="7830108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1.43, 3.14</w:t>
            </w:r>
          </w:p>
        </w:tc>
      </w:tr>
      <w:tr w:rsidR="00E26AE0" w:rsidRPr="00E26AE0" w14:paraId="0FCDF2CD" w14:textId="77777777" w:rsidTr="000F3A5F">
        <w:trPr>
          <w:trHeight w:val="340"/>
        </w:trPr>
        <w:tc>
          <w:tcPr>
            <w:tcW w:w="936" w:type="dxa"/>
            <w:vMerge/>
            <w:tcBorders>
              <w:top w:val="nil"/>
              <w:left w:val="single" w:sz="8" w:space="0" w:color="77B800"/>
              <w:bottom w:val="single" w:sz="8" w:space="0" w:color="77B800"/>
              <w:right w:val="single" w:sz="8" w:space="0" w:color="77B800"/>
            </w:tcBorders>
            <w:vAlign w:val="center"/>
            <w:hideMark/>
          </w:tcPr>
          <w:p w14:paraId="0598186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57" w:type="dxa"/>
            <w:vMerge/>
            <w:tcBorders>
              <w:top w:val="nil"/>
              <w:left w:val="single" w:sz="8" w:space="0" w:color="77B800"/>
              <w:bottom w:val="single" w:sz="8" w:space="0" w:color="77B800"/>
              <w:right w:val="single" w:sz="8" w:space="0" w:color="77B800"/>
            </w:tcBorders>
            <w:vAlign w:val="center"/>
            <w:hideMark/>
          </w:tcPr>
          <w:p w14:paraId="36EC2232"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078" w:type="dxa"/>
            <w:vMerge/>
            <w:tcBorders>
              <w:top w:val="nil"/>
              <w:left w:val="single" w:sz="8" w:space="0" w:color="77B800"/>
              <w:bottom w:val="single" w:sz="8" w:space="0" w:color="77B800"/>
              <w:right w:val="single" w:sz="8" w:space="0" w:color="77B800"/>
            </w:tcBorders>
            <w:vAlign w:val="center"/>
            <w:hideMark/>
          </w:tcPr>
          <w:p w14:paraId="1BE8B3A7"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1145" w:type="dxa"/>
            <w:vMerge/>
            <w:tcBorders>
              <w:top w:val="nil"/>
              <w:left w:val="single" w:sz="8" w:space="0" w:color="77B800"/>
              <w:bottom w:val="single" w:sz="8" w:space="0" w:color="77B800"/>
              <w:right w:val="single" w:sz="8" w:space="0" w:color="77B800"/>
            </w:tcBorders>
            <w:vAlign w:val="center"/>
            <w:hideMark/>
          </w:tcPr>
          <w:p w14:paraId="4940DF3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27" w:type="dxa"/>
            <w:vMerge/>
            <w:tcBorders>
              <w:top w:val="nil"/>
              <w:left w:val="single" w:sz="8" w:space="0" w:color="77B800"/>
              <w:bottom w:val="single" w:sz="8" w:space="0" w:color="77B800"/>
              <w:right w:val="single" w:sz="8" w:space="0" w:color="77B800"/>
            </w:tcBorders>
            <w:vAlign w:val="center"/>
            <w:hideMark/>
          </w:tcPr>
          <w:p w14:paraId="58BF264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12" w:type="dxa"/>
            <w:vMerge/>
            <w:tcBorders>
              <w:top w:val="nil"/>
              <w:left w:val="single" w:sz="8" w:space="0" w:color="77B800"/>
              <w:bottom w:val="single" w:sz="8" w:space="0" w:color="77B800"/>
              <w:right w:val="single" w:sz="8" w:space="0" w:color="77B800"/>
            </w:tcBorders>
            <w:vAlign w:val="center"/>
            <w:hideMark/>
          </w:tcPr>
          <w:p w14:paraId="382B6215"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p>
        </w:tc>
        <w:tc>
          <w:tcPr>
            <w:tcW w:w="938" w:type="dxa"/>
            <w:tcBorders>
              <w:top w:val="nil"/>
              <w:left w:val="nil"/>
              <w:bottom w:val="single" w:sz="8" w:space="0" w:color="77B800"/>
              <w:right w:val="single" w:sz="8" w:space="0" w:color="77B800"/>
            </w:tcBorders>
            <w:shd w:val="clear" w:color="auto" w:fill="auto"/>
            <w:vAlign w:val="center"/>
            <w:hideMark/>
          </w:tcPr>
          <w:p w14:paraId="735E8AA1" w14:textId="77777777" w:rsidR="00E26AE0" w:rsidRPr="00E26AE0" w:rsidRDefault="00E26AE0" w:rsidP="00E26AE0">
            <w:pPr>
              <w:spacing w:after="0" w:line="240" w:lineRule="auto"/>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51-60</w:t>
            </w:r>
          </w:p>
        </w:tc>
        <w:tc>
          <w:tcPr>
            <w:tcW w:w="857" w:type="dxa"/>
            <w:tcBorders>
              <w:top w:val="nil"/>
              <w:left w:val="nil"/>
              <w:bottom w:val="single" w:sz="8" w:space="0" w:color="77B800"/>
              <w:right w:val="single" w:sz="8" w:space="0" w:color="77B800"/>
            </w:tcBorders>
            <w:shd w:val="clear" w:color="auto" w:fill="auto"/>
            <w:vAlign w:val="center"/>
            <w:hideMark/>
          </w:tcPr>
          <w:p w14:paraId="0CF93BE0"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3.27</w:t>
            </w:r>
          </w:p>
        </w:tc>
        <w:tc>
          <w:tcPr>
            <w:tcW w:w="1039" w:type="dxa"/>
            <w:tcBorders>
              <w:top w:val="nil"/>
              <w:left w:val="nil"/>
              <w:bottom w:val="single" w:sz="8" w:space="0" w:color="77B800"/>
              <w:right w:val="single" w:sz="8" w:space="0" w:color="77B800"/>
            </w:tcBorders>
            <w:shd w:val="clear" w:color="auto" w:fill="auto"/>
            <w:vAlign w:val="center"/>
            <w:hideMark/>
          </w:tcPr>
          <w:p w14:paraId="507ABDBE" w14:textId="77777777" w:rsidR="00E26AE0" w:rsidRPr="00E26AE0" w:rsidRDefault="00E26AE0" w:rsidP="00E26AE0">
            <w:pPr>
              <w:spacing w:after="0" w:line="240" w:lineRule="auto"/>
              <w:jc w:val="center"/>
              <w:rPr>
                <w:rFonts w:ascii="Calibri" w:eastAsia="Times New Roman" w:hAnsi="Calibri" w:cs="Calibri"/>
                <w:color w:val="000000"/>
                <w:sz w:val="18"/>
                <w:szCs w:val="18"/>
                <w:lang w:eastAsia="en-NZ"/>
              </w:rPr>
            </w:pPr>
            <w:r w:rsidRPr="00E26AE0">
              <w:rPr>
                <w:rFonts w:ascii="Calibri" w:eastAsia="Times New Roman" w:hAnsi="Calibri" w:cs="Calibri"/>
                <w:color w:val="000000"/>
                <w:sz w:val="18"/>
                <w:szCs w:val="18"/>
                <w:lang w:eastAsia="en-NZ"/>
              </w:rPr>
              <w:t>2.24, 4.76</w:t>
            </w:r>
          </w:p>
        </w:tc>
      </w:tr>
    </w:tbl>
    <w:p w14:paraId="47AC1479" w14:textId="55C31019" w:rsidR="00EB35FA" w:rsidRPr="00B66129" w:rsidRDefault="00E26AE0" w:rsidP="00B66129">
      <w:pPr>
        <w:pStyle w:val="BodyText"/>
        <w:spacing w:before="0" w:line="240" w:lineRule="auto"/>
        <w:jc w:val="left"/>
        <w:rPr>
          <w:sz w:val="18"/>
        </w:rPr>
      </w:pPr>
      <w:r>
        <w:rPr>
          <w:i/>
          <w:sz w:val="18"/>
        </w:rPr>
        <w:t xml:space="preserve">Abbreviations: </w:t>
      </w:r>
      <w:r w:rsidR="00EB35FA" w:rsidRPr="00B66129">
        <w:rPr>
          <w:sz w:val="18"/>
        </w:rPr>
        <w:t xml:space="preserve">aOR, adjusted odds ratio; PreM, premenopausal; PostM, postmenopausal; Wolfe, Wolfe classification; PD, </w:t>
      </w:r>
      <w:r w:rsidR="00893AA8">
        <w:rPr>
          <w:sz w:val="18"/>
        </w:rPr>
        <w:t>percent density</w:t>
      </w:r>
      <w:r w:rsidR="00EB35FA" w:rsidRPr="00B66129">
        <w:rPr>
          <w:sz w:val="18"/>
        </w:rPr>
        <w:t xml:space="preserve"> (%); DA, density area (cm2); MDA, mean dense area (cm2); TBA, total breast area (cm2); VDG, volumetric density grade (%); ADA, absolute dense area (cm2). Statistically significant results have been bolded. </w:t>
      </w:r>
    </w:p>
    <w:p w14:paraId="5F41869A" w14:textId="52181F42" w:rsidR="00EB35FA" w:rsidRPr="008C1846" w:rsidRDefault="00EB35FA" w:rsidP="00EB35FA">
      <w:pPr>
        <w:pStyle w:val="BodyText"/>
        <w:rPr>
          <w:shd w:val="clear" w:color="auto" w:fill="FFFFFF"/>
        </w:rPr>
      </w:pPr>
      <w:r w:rsidRPr="00B06C91">
        <w:rPr>
          <w:shd w:val="clear" w:color="auto" w:fill="FFFFFF"/>
        </w:rPr>
        <w:t>Further studies evaluating breast density</w:t>
      </w:r>
      <w:r w:rsidR="006118D4">
        <w:rPr>
          <w:shd w:val="clear" w:color="auto" w:fill="FFFFFF"/>
        </w:rPr>
        <w:t xml:space="preserve"> using several differen</w:t>
      </w:r>
      <w:r w:rsidR="00567981">
        <w:rPr>
          <w:shd w:val="clear" w:color="auto" w:fill="FFFFFF"/>
        </w:rPr>
        <w:t>t</w:t>
      </w:r>
      <w:r w:rsidR="006118D4">
        <w:rPr>
          <w:shd w:val="clear" w:color="auto" w:fill="FFFFFF"/>
        </w:rPr>
        <w:t xml:space="preserve"> measurement indices</w:t>
      </w:r>
      <w:r w:rsidRPr="00B06C91">
        <w:rPr>
          <w:shd w:val="clear" w:color="auto" w:fill="FFFFFF"/>
        </w:rPr>
        <w:t xml:space="preserve">, and the risk of breast cancer in </w:t>
      </w:r>
      <w:r w:rsidR="006118D4">
        <w:rPr>
          <w:shd w:val="clear" w:color="auto" w:fill="FFFFFF"/>
        </w:rPr>
        <w:t>non-European women</w:t>
      </w:r>
      <w:r w:rsidRPr="00B06C91">
        <w:rPr>
          <w:shd w:val="clear" w:color="auto" w:fill="FFFFFF"/>
        </w:rPr>
        <w:t xml:space="preserve"> are needed.</w:t>
      </w:r>
      <w:r>
        <w:rPr>
          <w:shd w:val="clear" w:color="auto" w:fill="FFFFFF"/>
        </w:rPr>
        <w:t xml:space="preserve"> Additional research about breast cancer and breast density in other population groups would also be useful to determine the association of </w:t>
      </w:r>
      <w:r w:rsidR="0012635E">
        <w:rPr>
          <w:shd w:val="clear" w:color="auto" w:fill="FFFFFF"/>
        </w:rPr>
        <w:t>ethnicity</w:t>
      </w:r>
      <w:r>
        <w:rPr>
          <w:shd w:val="clear" w:color="auto" w:fill="FFFFFF"/>
        </w:rPr>
        <w:t xml:space="preserve"> to density and cancer risk.</w:t>
      </w:r>
    </w:p>
    <w:p w14:paraId="6FD5BC27" w14:textId="77777777" w:rsidR="00EB35FA" w:rsidRPr="00B413E7" w:rsidRDefault="00EB35FA" w:rsidP="00EB35FA">
      <w:pPr>
        <w:pStyle w:val="NumberedHeading3"/>
      </w:pPr>
      <w:bookmarkStart w:id="70" w:name="_Toc507914432"/>
      <w:bookmarkStart w:id="71" w:name="_Toc507976157"/>
      <w:bookmarkStart w:id="72" w:name="_Toc518922207"/>
      <w:r>
        <w:t>Cancer characteristics, b</w:t>
      </w:r>
      <w:r w:rsidRPr="00B413E7">
        <w:t>reast density</w:t>
      </w:r>
      <w:r>
        <w:t xml:space="preserve"> and </w:t>
      </w:r>
      <w:r w:rsidRPr="00B413E7">
        <w:t xml:space="preserve">breast cancer </w:t>
      </w:r>
      <w:r>
        <w:t>risk</w:t>
      </w:r>
      <w:bookmarkEnd w:id="70"/>
      <w:bookmarkEnd w:id="71"/>
      <w:bookmarkEnd w:id="72"/>
      <w:r>
        <w:t xml:space="preserve"> </w:t>
      </w:r>
    </w:p>
    <w:p w14:paraId="75A007D2" w14:textId="62D9CC11" w:rsidR="00EB35FA" w:rsidRDefault="00EB35FA" w:rsidP="00EB35FA">
      <w:pPr>
        <w:pStyle w:val="BodyText"/>
      </w:pPr>
      <w:r>
        <w:t xml:space="preserve">The biological basis for the association between breast density and breast risk is not well understood. </w:t>
      </w:r>
      <w:r w:rsidR="008D405F">
        <w:t>It</w:t>
      </w:r>
      <w:r>
        <w:t xml:space="preserve"> has not been clearly established whether this association holds for all breast carcinomas or whether the increased risk is restricted to certain subtypes, deﬁned by receptor status or molecular proﬁles. Determinants of breast density show greater consistency with risk factors for </w:t>
      </w:r>
      <w:r w:rsidR="00761B6F">
        <w:t>o</w:t>
      </w:r>
      <w:r>
        <w:t>estrogen receptor positive (ER+) breast cancer than they do for ER- breast cancer. Because ER+ tumours are the majority subtype and represent an increasing proportion of cancers as women age (</w:t>
      </w:r>
      <w:r w:rsidR="00491761">
        <w:t>i.e.,</w:t>
      </w:r>
      <w:r>
        <w:t xml:space="preserve"> 75% postmenopausal tumours are ER+), it is possible that the density/breast cancer association is driven by its positive association with this subtype, and that the association may be weaker, or null, for ER- tumours.</w:t>
      </w:r>
    </w:p>
    <w:p w14:paraId="1758F39C" w14:textId="6B830A67" w:rsidR="00EB35FA" w:rsidRDefault="00EB35FA" w:rsidP="00EB35FA">
      <w:pPr>
        <w:pStyle w:val="BodyText"/>
      </w:pPr>
      <w:r>
        <w:lastRenderedPageBreak/>
        <w:t>A meta-analysis</w:t>
      </w:r>
      <w:r w:rsidR="00B66D01">
        <w:t xml:space="preserve"> was</w:t>
      </w:r>
      <w:r>
        <w:t xml:space="preserve"> undertaken by Antoni </w:t>
      </w:r>
      <w:r w:rsidR="00601F8A">
        <w:t>et al.</w:t>
      </w:r>
      <w:r>
        <w:t xml:space="preserve"> (2013) using standardised search methods </w:t>
      </w:r>
      <w:r w:rsidR="00E47217">
        <w:t xml:space="preserve">that </w:t>
      </w:r>
      <w:r>
        <w:t xml:space="preserve">included seven cohort/case–control and 12 case-only studies, comprising a total of 24,000 breast cancer cases. Antoni </w:t>
      </w:r>
      <w:r w:rsidR="00601F8A">
        <w:t>et al.</w:t>
      </w:r>
      <w:r>
        <w:t xml:space="preserve"> investigated the potential association between receptor type, breast density and risk of breast cancer. Random effects meta-analysis models were used to combine RR for breast density with subtype-specific breast cancer for case–control studies, and in case-only studies to combine relative risk ratios (RRR) of receptor positive versus negative breast tumours. The RRs were adjusted for age (eligibility criteria) and for breast cancer risk factors, in particular BMI, in all but the two European studies (Ding et al., 2010; Olsen et al., 2009). Density was classified depending on the original studies (</w:t>
      </w:r>
      <w:r w:rsidR="00A51F15">
        <w:t>eg,</w:t>
      </w:r>
      <w:r>
        <w:t xml:space="preserve"> </w:t>
      </w:r>
      <w:r w:rsidR="00275D65">
        <w:t>BIRADS</w:t>
      </w:r>
      <w:r>
        <w:t xml:space="preserve"> 4 compared to </w:t>
      </w:r>
      <w:r w:rsidR="00275D65">
        <w:t>BIRADS</w:t>
      </w:r>
      <w:r>
        <w:t xml:space="preserve"> 1-2 or fatty vs dense in visual estimation).</w:t>
      </w:r>
    </w:p>
    <w:p w14:paraId="4A8665F0" w14:textId="77777777" w:rsidR="00EB35FA" w:rsidRDefault="00EB35FA" w:rsidP="00EB35FA">
      <w:pPr>
        <w:pStyle w:val="BodyText"/>
      </w:pPr>
      <w:r>
        <w:t xml:space="preserve">In case–control/cohort studies, relative to women in the lowest density category, women in the highest density category had 3.1-fold (95%CI 2.2 - 4.2) and 3.2-fold (95%CI 1.7 - 5.9) increased risk of ER+ and ER- breast cancer, respectively. In case-only analyses, RRRs of breast tumours being ER+ versus ER- were 1.13 (95%CI 0.89, 1.42) for medium versus minimal breast density. </w:t>
      </w:r>
    </w:p>
    <w:p w14:paraId="21017FDB" w14:textId="1D82C770" w:rsidR="00EB35FA" w:rsidRDefault="00EB35FA" w:rsidP="00EB35FA">
      <w:pPr>
        <w:pStyle w:val="BodyText"/>
      </w:pPr>
      <w:r>
        <w:t xml:space="preserve">Breast density remained associated with screen-detected ER+ tumours, despite the expectation that this association would be attenuated due to masking bias and over-diagnoses of ER+ tumours. In eight contributing studies, the association of breast density </w:t>
      </w:r>
      <w:r w:rsidR="00E47217">
        <w:t xml:space="preserve">did </w:t>
      </w:r>
      <w:r>
        <w:t xml:space="preserve">not differ by HER2 status. </w:t>
      </w:r>
    </w:p>
    <w:p w14:paraId="5192BBF7" w14:textId="77777777" w:rsidR="00EB35FA" w:rsidRDefault="00EB35FA" w:rsidP="00EB35FA">
      <w:pPr>
        <w:pStyle w:val="BodyText"/>
      </w:pPr>
      <w:r>
        <w:t xml:space="preserve">This combined evidence strengthens the importance of breast density as a strong marker of overall and of subtype-specific risk, however </w:t>
      </w:r>
      <w:r w:rsidRPr="00FD6AF6">
        <w:t>the magnitude of the association between breast density and breast cancer of differing subtypes was similar</w:t>
      </w:r>
      <w:r w:rsidR="00D23723">
        <w:t xml:space="preserve">. </w:t>
      </w:r>
    </w:p>
    <w:p w14:paraId="0541D08B" w14:textId="1AF32B5A" w:rsidR="00EB35FA" w:rsidRDefault="00EB35FA" w:rsidP="00EB35FA">
      <w:pPr>
        <w:pStyle w:val="BodyText"/>
      </w:pPr>
      <w:r>
        <w:t xml:space="preserve">Huo et al. (2014), in a narrative review of 12 studies, investigated the </w:t>
      </w:r>
      <w:r w:rsidRPr="003754AE">
        <w:t xml:space="preserve">association of mammographic density with breast cancer subtypes and tumour </w:t>
      </w:r>
      <w:r w:rsidRPr="006F33EB">
        <w:t>characteristics. T</w:t>
      </w:r>
      <w:r w:rsidR="006F33EB" w:rsidRPr="006F33EB">
        <w:t xml:space="preserve">able </w:t>
      </w:r>
      <w:r w:rsidR="006465B1">
        <w:t>12</w:t>
      </w:r>
      <w:r w:rsidR="002232F9">
        <w:t xml:space="preserve"> (</w:t>
      </w:r>
      <w:r w:rsidR="003E44C6">
        <w:t>overleaf</w:t>
      </w:r>
      <w:r w:rsidR="002232F9">
        <w:t>)</w:t>
      </w:r>
      <w:r w:rsidRPr="006F33EB">
        <w:t xml:space="preserve"> outlines the studies included in this review.</w:t>
      </w:r>
    </w:p>
    <w:p w14:paraId="5BF9ABBD" w14:textId="366D60DF" w:rsidR="003E44C6" w:rsidRDefault="003E44C6" w:rsidP="003E44C6">
      <w:pPr>
        <w:jc w:val="both"/>
      </w:pPr>
      <w:r>
        <w:t>The studies presented by Huo et al. found differing associations between receptor subtypes and breast density. As there was no systematic analysis of these studies by Huo et al., it is difficult to reconcile these differences and key findings into a coherent conclusion. Our observations of these studies suggest that many of the studies including younger women found no association (</w:t>
      </w:r>
      <w:r w:rsidRPr="003754AE">
        <w:t>Gierach</w:t>
      </w:r>
      <w:r>
        <w:t xml:space="preserve"> et al.</w:t>
      </w:r>
      <w:r w:rsidRPr="003754AE">
        <w:t>, 2010</w:t>
      </w:r>
      <w:r>
        <w:t>;</w:t>
      </w:r>
      <w:r w:rsidRPr="00CC4034">
        <w:t xml:space="preserve"> </w:t>
      </w:r>
      <w:r>
        <w:t>Passaperuma et al., 2010</w:t>
      </w:r>
      <w:r w:rsidRPr="00CC4034">
        <w:t>)</w:t>
      </w:r>
      <w:r>
        <w:t xml:space="preserve"> between receptor subtype and breast density. The method used to classify breast density does not appear to be associated with the outcomes, as all methods had positive and negative findings for receptor subtype. All receptor subtypes (eg, ER-, ER+, PR+ and PR-) had at least one study report a positive association with higher breast density.</w:t>
      </w:r>
    </w:p>
    <w:p w14:paraId="1D2A1857" w14:textId="72F48676" w:rsidR="003E44C6" w:rsidRDefault="003E44C6" w:rsidP="003E44C6">
      <w:pPr>
        <w:jc w:val="both"/>
      </w:pPr>
    </w:p>
    <w:p w14:paraId="09E95BCC" w14:textId="77777777" w:rsidR="003E44C6" w:rsidRDefault="003E44C6" w:rsidP="003E44C6">
      <w:pPr>
        <w:jc w:val="both"/>
        <w:sectPr w:rsidR="003E44C6" w:rsidSect="0055619E">
          <w:pgSz w:w="11907" w:h="16839" w:code="9"/>
          <w:pgMar w:top="1418" w:right="1418" w:bottom="1418" w:left="1418" w:header="964" w:footer="964" w:gutter="0"/>
          <w:cols w:space="708"/>
          <w:docGrid w:linePitch="360"/>
        </w:sectPr>
      </w:pPr>
    </w:p>
    <w:p w14:paraId="48EA27DB" w14:textId="6C022103" w:rsidR="00EB35FA" w:rsidRPr="003754AE" w:rsidRDefault="006F33EB" w:rsidP="00EB35FA">
      <w:pPr>
        <w:pStyle w:val="Caption"/>
      </w:pPr>
      <w:r w:rsidRPr="006F33EB">
        <w:lastRenderedPageBreak/>
        <w:t xml:space="preserve">Table </w:t>
      </w:r>
      <w:r w:rsidR="006465B1">
        <w:t>12</w:t>
      </w:r>
      <w:r w:rsidR="00EB35FA" w:rsidRPr="006F33EB">
        <w:t>. Studies included in Huo et al., 2014 (cancer subtype and breast density)</w:t>
      </w:r>
    </w:p>
    <w:tbl>
      <w:tblPr>
        <w:tblStyle w:val="ACGreen-BasicTable"/>
        <w:tblW w:w="13796" w:type="dxa"/>
        <w:tblLook w:val="04A0" w:firstRow="1" w:lastRow="0" w:firstColumn="1" w:lastColumn="0" w:noHBand="0" w:noVBand="1"/>
        <w:tblDescription w:val="The table provides the key findings of twelve studies. For each study, information is provided on study design, study population, the variables adjusted for in analysis, the number of cases: non cases, age (years), and the mammographic feature. &#10;The study conducted by Bertrand et al., in 2013 was a case-controlled study. The study population included a Mayo Mammography Health Study; Mayo Clinic Breast Cancer Study; Nurses’ Health Study (NHS); NHS II; Mayo Clinic Mammography Study; San Francisco Bay Area Breast Cancer; San Francisco Mammography Registry; 1989-2008. The variables adjusted for in analysis were Age, BMI, parity, family history, HRT, and study. The number of cases: non-cases was 3,414: 7,199 for a Mean age of 57 years. The mammographic feature was Cumulus. The key findings were: Density is positively associated with BC of all subtypes, particularly with BC of large size and positive lymph nodes in all age groups, and ER-negative status in women &lt;55 years of age.&#10;The study conducted by Eriksson et al. in 2012 was a cohort study. The study population was a Cancer Hormone Replacement Epidemiology in Sweden study, 1993-1995. The variables adjusted for in analysis were Age (current, at menarche, at menopause), BMI, HRT, oral contraceptive, parity, family history, breastfeeding ever, mode of detection and the number of cases: non-cases was 2,720: 625 for the age of 50–74 years. The mammographic feature was Cumulus. The key findings were: No association found between density and tumour phenotype, except for tumour size which was partially confounded by mode of detection.&#10;The study conducted by Heusinger et al. in 2012 was a cohort study. The study population was a Breast Cancer Database, Franconia, 1995-2009. The variables adjusted for in analysis were Age at diagnosis, BMI, parity, grade, HRT with the number of cases: non-cases being 2,410: 2,700, with the ages being &lt;45–70 years. The mammographic feature was CAM. The key findings showed that PD appears to be inversely associated with ER expression and positively associated with PR expression.&#10;The study conducted by Phipps et al. in 2012 was a cohort study. The study population was a Breast Cancer Surveillance Consortium, USA, 1999-2008. The variables adjusted for in analysis were the Age at entry to programme, race, family history, previous biopsies with the number of cases: non-cases being 13,797: 1,040,669 for ages between 40–84 years. The mammographic feature was BIRADS. The key findings were: Density was positively and similarly associated with BC of all subtypes.&#10;The study conducted by Yaghjyan et al. in 2011 was a case-control study. The study population was a Nurses’ Health Study, USA, 1988-2004. The variables adjusted for in analysis were for Age (at diagnosis, at menarche, at first birth, at menopause), BMI, parity, HRT, alcohol, smoking, family history. The number of cases: non-cases was 1,042: 1,794 with a Mean age of 60.2 years. The mammographic feature was Cumulus. The key findings presented that ≥50% density showed a 3.39-fold increased risk of BC compared to &lt;10% density. The associations were stronger for in situ (vs. invasive) tumours, high-grade, larger (&gt;2 cm) tumours and ER-negative (vs. positive) tumours.&#10;The study conducted by Conroy et al. in 2011 was a nested case-control study. The study population was a Multi-Ethnic Cohort, USA, 1993-1996. The variables adjusted for in analysis were Age (at diagnosis, at first birth, at menarche), race, parity, menopausal status, HRT that was Matched on: Age and race. The number of cases: non-cases was 667: 607 for a Mean age of 62 years. The mammographic feature was Cumulus. The key findings were: Mean PD was significantly greater for ER-positive and PR-positive tumours.&#10;The study conducted by Arora et al. in 2010 was a cohort study. The study population was from Memorial Sloan-Kettering Cancer Centre, USA, 2005-2007. The variable adjusted for in analysis was for Age. The number of cases: non-cases was 1,323: NK and age was between 27–91 years. The mammographic feature was BIRADS. Key findings were: BIRADS-4 dense breasts occurred more commonly in younger women, more often mammographically occult.&#10;The study conducted by Passaperuma et al. in 2010 was a case-control study. The study population was from a High-Risk Screening Program, Canada, 1997-2008. The variables adjusted for in analysis were Age and mutation type. The number of cases: non-cases was 46: 376 for ages between 25–65 years. The mammographic feature was Cumulus. The key findings were: High density was not associated with increased BC risk in women with BRCA mutations.&#10;The study conducted by Ding et al. in 2010 was a case-control study. The study population was a National Health Service Breast Cancer Screening Program, UK, 1998-2004. The variable adjusted for in analysis was for Age, Matched on: Age. The number of cases: non-cases being 370: 1,904 between the age of 50–75 years. The mammographic feature was Cumulus. The key findings were: ≥50% density was associated with 2.63-fold risk of developing BC compared to density &lt;10%. High density was also associated with ER- positive tumours.&#10;The study conducted by Gierach in 2010 was a cohort study. The study population was from the National Cancer Institute’s Clinical Genetics Branch Breast Imaging Study, USA. The variables adjusted for in analysis included Age (current, at menarche, at first birth), BMI, parity, menopausal status, HRT, previous biopsies. The number of cases:non-cases was 143: 119 between the ages 25–56 years. The mammographic feature was CAM. The key findings were: No difference found in density between unaffected BRCA mutation carriers and women at low-to-average risk of BC.&#10;The study conducted by Ma in 2009 was a case-control study. The study population was the Women’s Contraceptive and Reproductive Experiences Study, USA, 1994-1998. The variables adjusted for in analysis were Age (at menarche, at first birth), race, menopausal status, parity, HRT which was Matched on: age. The number of cases: non-cases was 479: 376, between the ages 35–64. The mammographic feature of CAM. The key findings were: PD was positively associated with luminal-A and triple-negative BCs.&#10;The study conducted by Ghosh, in 2008 was a cross-sectional study. The study population was from the Postmenopausal Breast Cancer Study, USA, 1997-2001. The variables adjusted for in analysis were Age (current, at first birth), BMI, HRT, family history, parity. The number of cases: non-cases was 286: 799 for ages of 40+ years. The mammographic feature was CAM. The key findings were: Density was not associated with tumour size, histological type, ER/PR receptor status, mitotic activity or nuclear pleomorphism.&#10;"/>
      </w:tblPr>
      <w:tblGrid>
        <w:gridCol w:w="1135"/>
        <w:gridCol w:w="1077"/>
        <w:gridCol w:w="2665"/>
        <w:gridCol w:w="2211"/>
        <w:gridCol w:w="948"/>
        <w:gridCol w:w="1228"/>
        <w:gridCol w:w="1301"/>
        <w:gridCol w:w="3231"/>
      </w:tblGrid>
      <w:tr w:rsidR="00345CCE" w:rsidRPr="00345CCE" w14:paraId="19052F88" w14:textId="77777777" w:rsidTr="00C6485B">
        <w:trPr>
          <w:cnfStyle w:val="100000000000" w:firstRow="1" w:lastRow="0" w:firstColumn="0" w:lastColumn="0" w:oddVBand="0" w:evenVBand="0" w:oddHBand="0" w:evenHBand="0" w:firstRowFirstColumn="0" w:firstRowLastColumn="0" w:lastRowFirstColumn="0" w:lastRowLastColumn="0"/>
          <w:trHeight w:val="1210"/>
        </w:trPr>
        <w:tc>
          <w:tcPr>
            <w:tcW w:w="1135" w:type="dxa"/>
            <w:vAlign w:val="center"/>
            <w:hideMark/>
          </w:tcPr>
          <w:p w14:paraId="5A07E1B6" w14:textId="77777777"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w:t>
            </w:r>
          </w:p>
        </w:tc>
        <w:tc>
          <w:tcPr>
            <w:tcW w:w="1077" w:type="dxa"/>
            <w:vAlign w:val="center"/>
            <w:hideMark/>
          </w:tcPr>
          <w:p w14:paraId="7B6AE532" w14:textId="5779D941"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 design</w:t>
            </w:r>
          </w:p>
        </w:tc>
        <w:tc>
          <w:tcPr>
            <w:tcW w:w="2665" w:type="dxa"/>
            <w:vAlign w:val="center"/>
          </w:tcPr>
          <w:p w14:paraId="50939152" w14:textId="02411B11"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 population</w:t>
            </w:r>
          </w:p>
        </w:tc>
        <w:tc>
          <w:tcPr>
            <w:tcW w:w="2211" w:type="dxa"/>
            <w:vAlign w:val="center"/>
          </w:tcPr>
          <w:p w14:paraId="341900B4" w14:textId="4B244277"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Variables adjusted for in analysis</w:t>
            </w:r>
          </w:p>
        </w:tc>
        <w:tc>
          <w:tcPr>
            <w:tcW w:w="948" w:type="dxa"/>
            <w:vAlign w:val="center"/>
            <w:hideMark/>
          </w:tcPr>
          <w:p w14:paraId="4EE7A673" w14:textId="0EBAECBE"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No. cases: non-cases</w:t>
            </w:r>
          </w:p>
        </w:tc>
        <w:tc>
          <w:tcPr>
            <w:tcW w:w="1228" w:type="dxa"/>
            <w:vAlign w:val="center"/>
            <w:hideMark/>
          </w:tcPr>
          <w:p w14:paraId="27E96A36" w14:textId="77777777"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Age (years)</w:t>
            </w:r>
          </w:p>
        </w:tc>
        <w:tc>
          <w:tcPr>
            <w:tcW w:w="1301" w:type="dxa"/>
            <w:vAlign w:val="center"/>
            <w:hideMark/>
          </w:tcPr>
          <w:p w14:paraId="409C6AB1" w14:textId="77777777"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Mammographic feature</w:t>
            </w:r>
          </w:p>
        </w:tc>
        <w:tc>
          <w:tcPr>
            <w:tcW w:w="3231" w:type="dxa"/>
            <w:vAlign w:val="center"/>
            <w:hideMark/>
          </w:tcPr>
          <w:p w14:paraId="4BB5D04E" w14:textId="77777777" w:rsidR="00AD5324" w:rsidRPr="00345CCE" w:rsidRDefault="00AD5324" w:rsidP="00C6485B">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Key finding</w:t>
            </w:r>
          </w:p>
        </w:tc>
      </w:tr>
      <w:tr w:rsidR="00C6485B" w:rsidRPr="003754AE" w14:paraId="66F0B832" w14:textId="77777777" w:rsidTr="00C6485B">
        <w:trPr>
          <w:trHeight w:val="1210"/>
        </w:trPr>
        <w:tc>
          <w:tcPr>
            <w:tcW w:w="1135" w:type="dxa"/>
            <w:vAlign w:val="center"/>
            <w:hideMark/>
          </w:tcPr>
          <w:p w14:paraId="76FD3D29" w14:textId="0DBE24B1"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Bertrand</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2013</w:t>
            </w:r>
            <w:r w:rsidR="002E4977">
              <w:rPr>
                <w:rFonts w:ascii="Calibri" w:eastAsia="Times New Roman" w:hAnsi="Calibri" w:cs="Calibri"/>
                <w:sz w:val="18"/>
                <w:szCs w:val="18"/>
                <w:lang w:eastAsia="en-NZ"/>
              </w:rPr>
              <w:t>)</w:t>
            </w:r>
          </w:p>
        </w:tc>
        <w:tc>
          <w:tcPr>
            <w:tcW w:w="1077" w:type="dxa"/>
            <w:vAlign w:val="center"/>
            <w:hideMark/>
          </w:tcPr>
          <w:p w14:paraId="6C20360B" w14:textId="23676E1A" w:rsidR="00AD5324" w:rsidRPr="00EF54FD" w:rsidRDefault="00657167"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p>
        </w:tc>
        <w:tc>
          <w:tcPr>
            <w:tcW w:w="2665" w:type="dxa"/>
          </w:tcPr>
          <w:p w14:paraId="12D8885F" w14:textId="73F9F362" w:rsidR="00AD5324" w:rsidRPr="00EF54FD" w:rsidRDefault="00657167"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Mayo Mammography Health Study; Mayo Clinic Breast Cancer Study; Nurses’ Health Study (NHS); NHS II; Mayo Clinic Mammography Study; San Francisco Bay Area Breast Cancer; San Francisco Mammography Registry; 1989-2008</w:t>
            </w:r>
          </w:p>
        </w:tc>
        <w:tc>
          <w:tcPr>
            <w:tcW w:w="2211" w:type="dxa"/>
          </w:tcPr>
          <w:p w14:paraId="3D1A7035" w14:textId="452A1308"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BMI, parity, family history, HRT, study</w:t>
            </w:r>
          </w:p>
        </w:tc>
        <w:tc>
          <w:tcPr>
            <w:tcW w:w="948" w:type="dxa"/>
            <w:vAlign w:val="center"/>
            <w:hideMark/>
          </w:tcPr>
          <w:p w14:paraId="2AC6306B" w14:textId="3E3CC9E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3,414: 7,199</w:t>
            </w:r>
          </w:p>
        </w:tc>
        <w:tc>
          <w:tcPr>
            <w:tcW w:w="1228" w:type="dxa"/>
            <w:vAlign w:val="center"/>
            <w:hideMark/>
          </w:tcPr>
          <w:p w14:paraId="103C4C6B"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57</w:t>
            </w:r>
          </w:p>
        </w:tc>
        <w:tc>
          <w:tcPr>
            <w:tcW w:w="1301" w:type="dxa"/>
            <w:vAlign w:val="center"/>
            <w:hideMark/>
          </w:tcPr>
          <w:p w14:paraId="744C6CA6"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3231" w:type="dxa"/>
            <w:vAlign w:val="center"/>
            <w:hideMark/>
          </w:tcPr>
          <w:p w14:paraId="32F11CF5" w14:textId="0F22265E"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Density</w:t>
            </w:r>
            <w:r w:rsidR="00AD5324" w:rsidRPr="00EF54FD">
              <w:rPr>
                <w:rFonts w:ascii="Calibri" w:eastAsia="Times New Roman" w:hAnsi="Calibri" w:cs="Calibri"/>
                <w:sz w:val="18"/>
                <w:szCs w:val="18"/>
                <w:lang w:eastAsia="en-NZ"/>
              </w:rPr>
              <w:t xml:space="preserve"> is positively associated with BC of all subtypes, particularly with BC of large size and positive lymph nodes in all age groups, and ER-negative status in women &lt;55</w:t>
            </w:r>
            <w:r w:rsidR="00AD5324">
              <w:rPr>
                <w:rFonts w:ascii="Calibri" w:eastAsia="Times New Roman" w:hAnsi="Calibri" w:cs="Calibri"/>
                <w:sz w:val="18"/>
                <w:szCs w:val="18"/>
                <w:lang w:eastAsia="en-NZ"/>
              </w:rPr>
              <w:t xml:space="preserve"> </w:t>
            </w:r>
            <w:r w:rsidR="00AD5324" w:rsidRPr="00EF54FD">
              <w:rPr>
                <w:rFonts w:ascii="Calibri" w:eastAsia="Times New Roman" w:hAnsi="Calibri" w:cs="Calibri"/>
                <w:sz w:val="18"/>
                <w:szCs w:val="18"/>
                <w:lang w:eastAsia="en-NZ"/>
              </w:rPr>
              <w:t>years of age</w:t>
            </w:r>
          </w:p>
        </w:tc>
      </w:tr>
      <w:tr w:rsidR="00C6485B" w:rsidRPr="003754AE" w14:paraId="6C2A71E4" w14:textId="77777777" w:rsidTr="00C6485B">
        <w:trPr>
          <w:trHeight w:val="730"/>
        </w:trPr>
        <w:tc>
          <w:tcPr>
            <w:tcW w:w="1135" w:type="dxa"/>
            <w:vAlign w:val="center"/>
            <w:hideMark/>
          </w:tcPr>
          <w:p w14:paraId="3BD74429" w14:textId="4A3839A3"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Eriksson</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2012</w:t>
            </w:r>
            <w:r w:rsidR="002E4977">
              <w:rPr>
                <w:rFonts w:ascii="Calibri" w:eastAsia="Times New Roman" w:hAnsi="Calibri" w:cs="Calibri"/>
                <w:sz w:val="18"/>
                <w:szCs w:val="18"/>
                <w:lang w:eastAsia="en-NZ"/>
              </w:rPr>
              <w:t>)</w:t>
            </w:r>
          </w:p>
        </w:tc>
        <w:tc>
          <w:tcPr>
            <w:tcW w:w="1077" w:type="dxa"/>
            <w:vAlign w:val="center"/>
            <w:hideMark/>
          </w:tcPr>
          <w:p w14:paraId="4C5EA53F" w14:textId="586F80FE"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Cohor</w:t>
            </w:r>
            <w:r w:rsidR="00937448">
              <w:rPr>
                <w:rFonts w:ascii="Calibri" w:eastAsia="Times New Roman" w:hAnsi="Calibri" w:cs="Calibri"/>
                <w:sz w:val="18"/>
                <w:szCs w:val="18"/>
                <w:lang w:eastAsia="en-NZ"/>
              </w:rPr>
              <w:t>t</w:t>
            </w:r>
            <w:r w:rsidRPr="00EF54FD">
              <w:rPr>
                <w:rFonts w:ascii="Calibri" w:eastAsia="Times New Roman" w:hAnsi="Calibri" w:cs="Calibri"/>
                <w:sz w:val="18"/>
                <w:szCs w:val="18"/>
                <w:lang w:eastAsia="en-NZ"/>
              </w:rPr>
              <w:t xml:space="preserve"> </w:t>
            </w:r>
          </w:p>
        </w:tc>
        <w:tc>
          <w:tcPr>
            <w:tcW w:w="2665" w:type="dxa"/>
          </w:tcPr>
          <w:p w14:paraId="14B50D04" w14:textId="7096664A" w:rsidR="00AD5324" w:rsidRPr="00EF54FD" w:rsidRDefault="00937448"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Cancer Hormone Replacement Epidemiology in Sweden study, 1993-1995</w:t>
            </w:r>
          </w:p>
        </w:tc>
        <w:tc>
          <w:tcPr>
            <w:tcW w:w="2211" w:type="dxa"/>
          </w:tcPr>
          <w:p w14:paraId="15660293" w14:textId="2F209FA0"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menarche, at menopause), BMI, HRT, oral contraceptive, parity, family history</w:t>
            </w:r>
            <w:r w:rsidR="00937448">
              <w:rPr>
                <w:rFonts w:ascii="Calibri" w:eastAsia="Times New Roman" w:hAnsi="Calibri" w:cs="Calibri"/>
                <w:sz w:val="18"/>
                <w:szCs w:val="18"/>
                <w:lang w:eastAsia="en-NZ"/>
              </w:rPr>
              <w:t>, breastfeeding ever, mode of detection</w:t>
            </w:r>
          </w:p>
        </w:tc>
        <w:tc>
          <w:tcPr>
            <w:tcW w:w="948" w:type="dxa"/>
            <w:vAlign w:val="center"/>
            <w:hideMark/>
          </w:tcPr>
          <w:p w14:paraId="65F63F3F" w14:textId="3A4F75C6"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2,720: 625</w:t>
            </w:r>
          </w:p>
        </w:tc>
        <w:tc>
          <w:tcPr>
            <w:tcW w:w="1228" w:type="dxa"/>
            <w:vAlign w:val="center"/>
            <w:hideMark/>
          </w:tcPr>
          <w:p w14:paraId="32E53A2A"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50–74</w:t>
            </w:r>
          </w:p>
        </w:tc>
        <w:tc>
          <w:tcPr>
            <w:tcW w:w="1301" w:type="dxa"/>
            <w:vAlign w:val="center"/>
            <w:hideMark/>
          </w:tcPr>
          <w:p w14:paraId="1EF534C7"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3231" w:type="dxa"/>
            <w:vAlign w:val="center"/>
            <w:hideMark/>
          </w:tcPr>
          <w:p w14:paraId="3FF66FC3" w14:textId="224704A9"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No association found between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xml:space="preserve"> and tumour phenotype, except for </w:t>
            </w:r>
            <w:r w:rsidR="00C6485B">
              <w:rPr>
                <w:rFonts w:ascii="Calibri" w:eastAsia="Times New Roman" w:hAnsi="Calibri" w:cs="Calibri"/>
                <w:sz w:val="18"/>
                <w:szCs w:val="18"/>
                <w:lang w:eastAsia="en-NZ"/>
              </w:rPr>
              <w:t>tumour size</w:t>
            </w:r>
            <w:r w:rsidRPr="00EF54FD">
              <w:rPr>
                <w:rFonts w:ascii="Calibri" w:eastAsia="Times New Roman" w:hAnsi="Calibri" w:cs="Calibri"/>
                <w:sz w:val="18"/>
                <w:szCs w:val="18"/>
                <w:lang w:eastAsia="en-NZ"/>
              </w:rPr>
              <w:t xml:space="preserve"> which was partially confounded by</w:t>
            </w:r>
            <w:r>
              <w:rPr>
                <w:rFonts w:ascii="Calibri" w:eastAsia="Times New Roman" w:hAnsi="Calibri" w:cs="Calibri"/>
                <w:sz w:val="18"/>
                <w:szCs w:val="18"/>
                <w:lang w:eastAsia="en-NZ"/>
              </w:rPr>
              <w:t xml:space="preserve"> mode of detection</w:t>
            </w:r>
          </w:p>
        </w:tc>
      </w:tr>
      <w:tr w:rsidR="00C6485B" w:rsidRPr="003754AE" w14:paraId="172C9F8E" w14:textId="77777777" w:rsidTr="00C6485B">
        <w:trPr>
          <w:trHeight w:val="730"/>
        </w:trPr>
        <w:tc>
          <w:tcPr>
            <w:tcW w:w="1135" w:type="dxa"/>
            <w:vAlign w:val="center"/>
            <w:hideMark/>
          </w:tcPr>
          <w:p w14:paraId="336020CE" w14:textId="1CA770FB"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Heusinger</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2012</w:t>
            </w:r>
            <w:r w:rsidR="002E4977">
              <w:rPr>
                <w:rFonts w:ascii="Calibri" w:eastAsia="Times New Roman" w:hAnsi="Calibri" w:cs="Calibri"/>
                <w:sz w:val="18"/>
                <w:szCs w:val="18"/>
                <w:lang w:eastAsia="en-NZ"/>
              </w:rPr>
              <w:t>)</w:t>
            </w:r>
          </w:p>
        </w:tc>
        <w:tc>
          <w:tcPr>
            <w:tcW w:w="1077" w:type="dxa"/>
            <w:vAlign w:val="center"/>
            <w:hideMark/>
          </w:tcPr>
          <w:p w14:paraId="09D744BF" w14:textId="09EA97E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665" w:type="dxa"/>
          </w:tcPr>
          <w:p w14:paraId="0846CA8D" w14:textId="16D87AC5" w:rsidR="00AD5324" w:rsidRPr="00EF54FD" w:rsidRDefault="00937448"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Breast Cancer Database, Franconia, 1995-2009</w:t>
            </w:r>
          </w:p>
        </w:tc>
        <w:tc>
          <w:tcPr>
            <w:tcW w:w="2211" w:type="dxa"/>
          </w:tcPr>
          <w:p w14:paraId="3C8324AC" w14:textId="39B16C80"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at diagnosis, BMI, parity, grade, HRT</w:t>
            </w:r>
          </w:p>
        </w:tc>
        <w:tc>
          <w:tcPr>
            <w:tcW w:w="948" w:type="dxa"/>
            <w:vAlign w:val="center"/>
            <w:hideMark/>
          </w:tcPr>
          <w:p w14:paraId="227518EC" w14:textId="057D8C7C"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2,410: 2,700</w:t>
            </w:r>
          </w:p>
        </w:tc>
        <w:tc>
          <w:tcPr>
            <w:tcW w:w="1228" w:type="dxa"/>
            <w:vAlign w:val="center"/>
            <w:hideMark/>
          </w:tcPr>
          <w:p w14:paraId="0149DECB"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&lt;45–70</w:t>
            </w:r>
          </w:p>
        </w:tc>
        <w:tc>
          <w:tcPr>
            <w:tcW w:w="1301" w:type="dxa"/>
            <w:vAlign w:val="center"/>
            <w:hideMark/>
          </w:tcPr>
          <w:p w14:paraId="09F4C90C"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3231" w:type="dxa"/>
            <w:vAlign w:val="center"/>
            <w:hideMark/>
          </w:tcPr>
          <w:p w14:paraId="0ED186CA" w14:textId="3F7880F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PD appears to be inversely </w:t>
            </w:r>
            <w:r w:rsidR="00C6485B">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ER expression and positively </w:t>
            </w:r>
            <w:r w:rsidR="00C6485B">
              <w:rPr>
                <w:rFonts w:ascii="Calibri" w:eastAsia="Times New Roman" w:hAnsi="Calibri" w:cs="Calibri"/>
                <w:sz w:val="18"/>
                <w:szCs w:val="18"/>
                <w:lang w:eastAsia="en-NZ"/>
              </w:rPr>
              <w:t xml:space="preserve">associated with </w:t>
            </w:r>
            <w:r w:rsidRPr="00EF54FD">
              <w:rPr>
                <w:rFonts w:ascii="Calibri" w:eastAsia="Times New Roman" w:hAnsi="Calibri" w:cs="Calibri"/>
                <w:sz w:val="18"/>
                <w:szCs w:val="18"/>
                <w:lang w:eastAsia="en-NZ"/>
              </w:rPr>
              <w:t>PR expression</w:t>
            </w:r>
          </w:p>
        </w:tc>
      </w:tr>
      <w:tr w:rsidR="00C6485B" w:rsidRPr="003754AE" w14:paraId="20B805DA" w14:textId="77777777" w:rsidTr="00C6485B">
        <w:trPr>
          <w:trHeight w:val="500"/>
        </w:trPr>
        <w:tc>
          <w:tcPr>
            <w:tcW w:w="1135" w:type="dxa"/>
            <w:vAlign w:val="center"/>
            <w:hideMark/>
          </w:tcPr>
          <w:p w14:paraId="25F1D434" w14:textId="6AE51EA9"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Phipps</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2012</w:t>
            </w:r>
            <w:r w:rsidR="002E4977">
              <w:rPr>
                <w:rFonts w:ascii="Calibri" w:eastAsia="Times New Roman" w:hAnsi="Calibri" w:cs="Calibri"/>
                <w:sz w:val="18"/>
                <w:szCs w:val="18"/>
                <w:lang w:eastAsia="en-NZ"/>
              </w:rPr>
              <w:t>)</w:t>
            </w:r>
          </w:p>
        </w:tc>
        <w:tc>
          <w:tcPr>
            <w:tcW w:w="1077" w:type="dxa"/>
            <w:vAlign w:val="center"/>
            <w:hideMark/>
          </w:tcPr>
          <w:p w14:paraId="4966A745" w14:textId="152CE9D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665" w:type="dxa"/>
          </w:tcPr>
          <w:p w14:paraId="73B498CD" w14:textId="0307ADEB" w:rsidR="00AD5324" w:rsidRPr="00EF54FD" w:rsidRDefault="00937448"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Breast Cancer Surveillance Consortium, USA, 1999-2008</w:t>
            </w:r>
          </w:p>
        </w:tc>
        <w:tc>
          <w:tcPr>
            <w:tcW w:w="2211" w:type="dxa"/>
          </w:tcPr>
          <w:p w14:paraId="6549FBDD" w14:textId="6B2000A9"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at entry to programme, race, family history, previous biopsies</w:t>
            </w:r>
          </w:p>
        </w:tc>
        <w:tc>
          <w:tcPr>
            <w:tcW w:w="948" w:type="dxa"/>
            <w:vAlign w:val="center"/>
            <w:hideMark/>
          </w:tcPr>
          <w:p w14:paraId="022BD222" w14:textId="0E22BA19"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13,797: 1,040,669</w:t>
            </w:r>
          </w:p>
        </w:tc>
        <w:tc>
          <w:tcPr>
            <w:tcW w:w="1228" w:type="dxa"/>
            <w:vAlign w:val="center"/>
            <w:hideMark/>
          </w:tcPr>
          <w:p w14:paraId="662905DE"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40–84</w:t>
            </w:r>
          </w:p>
        </w:tc>
        <w:tc>
          <w:tcPr>
            <w:tcW w:w="1301" w:type="dxa"/>
            <w:vAlign w:val="center"/>
            <w:hideMark/>
          </w:tcPr>
          <w:p w14:paraId="4ED2F33C" w14:textId="475AFEFF" w:rsidR="00AD5324" w:rsidRPr="00EF54FD" w:rsidRDefault="00275D65"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p>
        </w:tc>
        <w:tc>
          <w:tcPr>
            <w:tcW w:w="3231" w:type="dxa"/>
            <w:vAlign w:val="center"/>
            <w:hideMark/>
          </w:tcPr>
          <w:p w14:paraId="0DCA309F" w14:textId="7AD6812B"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Density</w:t>
            </w:r>
            <w:r w:rsidR="00AD5324" w:rsidRPr="00EF54FD">
              <w:rPr>
                <w:rFonts w:ascii="Calibri" w:eastAsia="Times New Roman" w:hAnsi="Calibri" w:cs="Calibri"/>
                <w:sz w:val="18"/>
                <w:szCs w:val="18"/>
                <w:lang w:eastAsia="en-NZ"/>
              </w:rPr>
              <w:t xml:space="preserve"> was positively and similarly </w:t>
            </w:r>
            <w:r>
              <w:rPr>
                <w:rFonts w:ascii="Calibri" w:eastAsia="Times New Roman" w:hAnsi="Calibri" w:cs="Calibri"/>
                <w:sz w:val="18"/>
                <w:szCs w:val="18"/>
                <w:lang w:eastAsia="en-NZ"/>
              </w:rPr>
              <w:t>associated with</w:t>
            </w:r>
            <w:r w:rsidR="00AD5324" w:rsidRPr="00EF54FD">
              <w:rPr>
                <w:rFonts w:ascii="Calibri" w:eastAsia="Times New Roman" w:hAnsi="Calibri" w:cs="Calibri"/>
                <w:sz w:val="18"/>
                <w:szCs w:val="18"/>
                <w:lang w:eastAsia="en-NZ"/>
              </w:rPr>
              <w:t xml:space="preserve"> BC of all subtypes</w:t>
            </w:r>
          </w:p>
        </w:tc>
      </w:tr>
      <w:tr w:rsidR="00C6485B" w:rsidRPr="003754AE" w14:paraId="621050B1" w14:textId="77777777" w:rsidTr="00C6485B">
        <w:trPr>
          <w:trHeight w:val="1450"/>
        </w:trPr>
        <w:tc>
          <w:tcPr>
            <w:tcW w:w="1135" w:type="dxa"/>
            <w:vAlign w:val="center"/>
            <w:hideMark/>
          </w:tcPr>
          <w:p w14:paraId="4EC5379D" w14:textId="54428E43"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Yaghjyan</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2011</w:t>
            </w:r>
            <w:r w:rsidR="002E4977">
              <w:rPr>
                <w:rFonts w:ascii="Calibri" w:eastAsia="Times New Roman" w:hAnsi="Calibri" w:cs="Calibri"/>
                <w:sz w:val="18"/>
                <w:szCs w:val="18"/>
                <w:lang w:eastAsia="en-NZ"/>
              </w:rPr>
              <w:t>)</w:t>
            </w:r>
          </w:p>
        </w:tc>
        <w:tc>
          <w:tcPr>
            <w:tcW w:w="1077" w:type="dxa"/>
            <w:vAlign w:val="center"/>
            <w:hideMark/>
          </w:tcPr>
          <w:p w14:paraId="7EF35D72" w14:textId="6479B253" w:rsidR="00AD5324" w:rsidRPr="00EF54FD" w:rsidRDefault="00937448"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r w:rsidR="00AD5324" w:rsidRPr="00EF54FD">
              <w:rPr>
                <w:rFonts w:ascii="Calibri" w:eastAsia="Times New Roman" w:hAnsi="Calibri" w:cs="Calibri"/>
                <w:sz w:val="18"/>
                <w:szCs w:val="18"/>
                <w:lang w:eastAsia="en-NZ"/>
              </w:rPr>
              <w:t xml:space="preserve"> </w:t>
            </w:r>
          </w:p>
        </w:tc>
        <w:tc>
          <w:tcPr>
            <w:tcW w:w="2665" w:type="dxa"/>
          </w:tcPr>
          <w:p w14:paraId="0D62F2CD" w14:textId="12257AD4" w:rsidR="00AD5324" w:rsidRPr="00EF54FD" w:rsidRDefault="00937448"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Nurses’ Health Study, USA, 1988-2004</w:t>
            </w:r>
          </w:p>
        </w:tc>
        <w:tc>
          <w:tcPr>
            <w:tcW w:w="2211" w:type="dxa"/>
          </w:tcPr>
          <w:p w14:paraId="3C18B8D6" w14:textId="2965F281"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(at diagnosis, at menarche, at first birth, at menopause), BMI, parity, HRT, alcohol, smoking, family history</w:t>
            </w:r>
          </w:p>
        </w:tc>
        <w:tc>
          <w:tcPr>
            <w:tcW w:w="948" w:type="dxa"/>
            <w:vAlign w:val="center"/>
            <w:hideMark/>
          </w:tcPr>
          <w:p w14:paraId="5954CF54" w14:textId="6250429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1,042: 1,794</w:t>
            </w:r>
          </w:p>
        </w:tc>
        <w:tc>
          <w:tcPr>
            <w:tcW w:w="1228" w:type="dxa"/>
            <w:vAlign w:val="center"/>
            <w:hideMark/>
          </w:tcPr>
          <w:p w14:paraId="25A2BF88"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60.2</w:t>
            </w:r>
          </w:p>
        </w:tc>
        <w:tc>
          <w:tcPr>
            <w:tcW w:w="1301" w:type="dxa"/>
            <w:vAlign w:val="center"/>
            <w:hideMark/>
          </w:tcPr>
          <w:p w14:paraId="6F9A7B1A"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3231" w:type="dxa"/>
            <w:vAlign w:val="center"/>
            <w:hideMark/>
          </w:tcPr>
          <w:p w14:paraId="14718537" w14:textId="6C12C950"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≥50% </w:t>
            </w:r>
            <w:r w:rsidR="00C6485B">
              <w:rPr>
                <w:rFonts w:ascii="Calibri" w:eastAsia="Times New Roman" w:hAnsi="Calibri" w:cs="Calibri"/>
                <w:sz w:val="18"/>
                <w:szCs w:val="18"/>
                <w:lang w:eastAsia="en-NZ"/>
              </w:rPr>
              <w:t xml:space="preserve">density </w:t>
            </w:r>
            <w:r w:rsidRPr="00EF54FD">
              <w:rPr>
                <w:rFonts w:ascii="Calibri" w:eastAsia="Times New Roman" w:hAnsi="Calibri" w:cs="Calibri"/>
                <w:sz w:val="18"/>
                <w:szCs w:val="18"/>
                <w:lang w:eastAsia="en-NZ"/>
              </w:rPr>
              <w:t xml:space="preserve">showed a 3.39-fold increased risk of BC compared to &lt;10%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The associations were stronger for in situ (vs. invasive) tumours, high-grade, larger (&gt;2</w:t>
            </w:r>
            <w:r>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cm) tumours and ER-negative (vs. positive) tumours</w:t>
            </w:r>
          </w:p>
        </w:tc>
      </w:tr>
      <w:tr w:rsidR="00C6485B" w:rsidRPr="003754AE" w14:paraId="16EA1365" w14:textId="77777777" w:rsidTr="00C6485B">
        <w:trPr>
          <w:trHeight w:val="730"/>
        </w:trPr>
        <w:tc>
          <w:tcPr>
            <w:tcW w:w="1135" w:type="dxa"/>
            <w:vAlign w:val="center"/>
            <w:hideMark/>
          </w:tcPr>
          <w:p w14:paraId="26F47B9B" w14:textId="47CAF275"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lastRenderedPageBreak/>
              <w:t>Conroy</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2011</w:t>
            </w:r>
            <w:r w:rsidR="002E4977">
              <w:rPr>
                <w:rFonts w:ascii="Calibri" w:eastAsia="Times New Roman" w:hAnsi="Calibri" w:cs="Calibri"/>
                <w:sz w:val="18"/>
                <w:szCs w:val="18"/>
                <w:lang w:eastAsia="en-NZ"/>
              </w:rPr>
              <w:t>)</w:t>
            </w:r>
          </w:p>
        </w:tc>
        <w:tc>
          <w:tcPr>
            <w:tcW w:w="1077" w:type="dxa"/>
            <w:vAlign w:val="center"/>
            <w:hideMark/>
          </w:tcPr>
          <w:p w14:paraId="0C36B2F7" w14:textId="7C74E913" w:rsidR="00AD5324" w:rsidRPr="00EF54FD" w:rsidRDefault="00242382"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Nested case-control</w:t>
            </w:r>
            <w:r w:rsidR="00AD5324" w:rsidRPr="00EF54FD">
              <w:rPr>
                <w:rFonts w:ascii="Calibri" w:eastAsia="Times New Roman" w:hAnsi="Calibri" w:cs="Calibri"/>
                <w:sz w:val="18"/>
                <w:szCs w:val="18"/>
                <w:lang w:eastAsia="en-NZ"/>
              </w:rPr>
              <w:t xml:space="preserve"> </w:t>
            </w:r>
          </w:p>
        </w:tc>
        <w:tc>
          <w:tcPr>
            <w:tcW w:w="2665" w:type="dxa"/>
          </w:tcPr>
          <w:p w14:paraId="0BB1403E" w14:textId="259F1598" w:rsidR="00AD5324" w:rsidRPr="00EF54FD" w:rsidRDefault="00242382"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Multi-Ethnic Cohort, USA, 1993-1996</w:t>
            </w:r>
          </w:p>
        </w:tc>
        <w:tc>
          <w:tcPr>
            <w:tcW w:w="2211" w:type="dxa"/>
          </w:tcPr>
          <w:p w14:paraId="302D964A" w14:textId="77777777" w:rsidR="00AD5324"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(at diagnosis, at first birth, at menarche), race, parity, menopausal status, HRT</w:t>
            </w:r>
          </w:p>
          <w:p w14:paraId="63C1BADF" w14:textId="77777777" w:rsidR="00AD5324" w:rsidRDefault="00AD5324" w:rsidP="00AD5324">
            <w:pPr>
              <w:rPr>
                <w:rFonts w:ascii="Calibri" w:eastAsia="Times New Roman" w:hAnsi="Calibri" w:cs="Calibri"/>
                <w:sz w:val="18"/>
                <w:szCs w:val="18"/>
                <w:lang w:eastAsia="en-NZ"/>
              </w:rPr>
            </w:pPr>
          </w:p>
          <w:p w14:paraId="5A15F9A4" w14:textId="56878110"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Matched on: Age, race</w:t>
            </w:r>
          </w:p>
        </w:tc>
        <w:tc>
          <w:tcPr>
            <w:tcW w:w="948" w:type="dxa"/>
            <w:vAlign w:val="center"/>
            <w:hideMark/>
          </w:tcPr>
          <w:p w14:paraId="297C766A" w14:textId="1B77B2E0"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667: 607</w:t>
            </w:r>
          </w:p>
        </w:tc>
        <w:tc>
          <w:tcPr>
            <w:tcW w:w="1228" w:type="dxa"/>
            <w:vAlign w:val="center"/>
            <w:hideMark/>
          </w:tcPr>
          <w:p w14:paraId="26D77B54"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62</w:t>
            </w:r>
          </w:p>
        </w:tc>
        <w:tc>
          <w:tcPr>
            <w:tcW w:w="1301" w:type="dxa"/>
            <w:vAlign w:val="center"/>
            <w:hideMark/>
          </w:tcPr>
          <w:p w14:paraId="33A30F8C"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3231" w:type="dxa"/>
            <w:vAlign w:val="center"/>
            <w:hideMark/>
          </w:tcPr>
          <w:p w14:paraId="11983305"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Mean PD was significantly greater for ER-positive and PR-positive tumours</w:t>
            </w:r>
          </w:p>
        </w:tc>
      </w:tr>
      <w:tr w:rsidR="00C6485B" w:rsidRPr="003754AE" w14:paraId="516223CC" w14:textId="77777777" w:rsidTr="00C6485B">
        <w:trPr>
          <w:trHeight w:val="730"/>
        </w:trPr>
        <w:tc>
          <w:tcPr>
            <w:tcW w:w="1135" w:type="dxa"/>
            <w:vAlign w:val="center"/>
            <w:hideMark/>
          </w:tcPr>
          <w:p w14:paraId="2CF6D598" w14:textId="19BC47DC"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A</w:t>
            </w:r>
            <w:r>
              <w:rPr>
                <w:rFonts w:ascii="Calibri" w:eastAsia="Times New Roman" w:hAnsi="Calibri" w:cs="Calibri"/>
                <w:sz w:val="18"/>
                <w:szCs w:val="18"/>
                <w:lang w:eastAsia="en-NZ"/>
              </w:rPr>
              <w:t>r</w:t>
            </w:r>
            <w:r w:rsidRPr="00EF54FD">
              <w:rPr>
                <w:rFonts w:ascii="Calibri" w:eastAsia="Times New Roman" w:hAnsi="Calibri" w:cs="Calibri"/>
                <w:sz w:val="18"/>
                <w:szCs w:val="18"/>
                <w:lang w:eastAsia="en-NZ"/>
              </w:rPr>
              <w:t>ora</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2E4977">
              <w:rPr>
                <w:rFonts w:ascii="Calibri" w:eastAsia="Times New Roman" w:hAnsi="Calibri" w:cs="Calibri"/>
                <w:sz w:val="18"/>
                <w:szCs w:val="18"/>
                <w:lang w:eastAsia="en-NZ"/>
              </w:rPr>
              <w:t>)</w:t>
            </w:r>
          </w:p>
        </w:tc>
        <w:tc>
          <w:tcPr>
            <w:tcW w:w="1077" w:type="dxa"/>
            <w:vAlign w:val="center"/>
            <w:hideMark/>
          </w:tcPr>
          <w:p w14:paraId="146D0223" w14:textId="6BE6D754"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Cohort </w:t>
            </w:r>
          </w:p>
        </w:tc>
        <w:tc>
          <w:tcPr>
            <w:tcW w:w="2665" w:type="dxa"/>
          </w:tcPr>
          <w:p w14:paraId="00F84E5D" w14:textId="7B8ED708"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Memorial Sloan-Kettering Cancer Centre, USA, 2005-2007</w:t>
            </w:r>
          </w:p>
        </w:tc>
        <w:tc>
          <w:tcPr>
            <w:tcW w:w="2211" w:type="dxa"/>
          </w:tcPr>
          <w:p w14:paraId="40A5984B" w14:textId="2891637B"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w:t>
            </w:r>
          </w:p>
        </w:tc>
        <w:tc>
          <w:tcPr>
            <w:tcW w:w="948" w:type="dxa"/>
            <w:vAlign w:val="center"/>
            <w:hideMark/>
          </w:tcPr>
          <w:p w14:paraId="34F7AAFE" w14:textId="1816E03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1,323: NK</w:t>
            </w:r>
          </w:p>
        </w:tc>
        <w:tc>
          <w:tcPr>
            <w:tcW w:w="1228" w:type="dxa"/>
            <w:vAlign w:val="center"/>
            <w:hideMark/>
          </w:tcPr>
          <w:p w14:paraId="1C67A78B"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27–91</w:t>
            </w:r>
          </w:p>
        </w:tc>
        <w:tc>
          <w:tcPr>
            <w:tcW w:w="1301" w:type="dxa"/>
            <w:vAlign w:val="center"/>
            <w:hideMark/>
          </w:tcPr>
          <w:p w14:paraId="4F934E18" w14:textId="47B86FD8" w:rsidR="00AD5324" w:rsidRPr="00EF54FD" w:rsidRDefault="00275D65"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p>
        </w:tc>
        <w:tc>
          <w:tcPr>
            <w:tcW w:w="3231" w:type="dxa"/>
            <w:vAlign w:val="center"/>
            <w:hideMark/>
          </w:tcPr>
          <w:p w14:paraId="6127DD50" w14:textId="7CDCF8C1" w:rsidR="00AD5324" w:rsidRPr="00EF54FD" w:rsidRDefault="00275D65"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BIRADS</w:t>
            </w:r>
            <w:r w:rsidR="00AD5324" w:rsidRPr="00EF54FD">
              <w:rPr>
                <w:rFonts w:ascii="Calibri" w:eastAsia="Times New Roman" w:hAnsi="Calibri" w:cs="Calibri"/>
                <w:sz w:val="18"/>
                <w:szCs w:val="18"/>
                <w:lang w:eastAsia="en-NZ"/>
              </w:rPr>
              <w:t>-4 dense breasts occurred more commonly in younger women, more often mammographically occult</w:t>
            </w:r>
          </w:p>
        </w:tc>
      </w:tr>
      <w:tr w:rsidR="00C6485B" w:rsidRPr="003754AE" w14:paraId="0089F41A" w14:textId="77777777" w:rsidTr="00C6485B">
        <w:trPr>
          <w:trHeight w:val="500"/>
        </w:trPr>
        <w:tc>
          <w:tcPr>
            <w:tcW w:w="1135" w:type="dxa"/>
            <w:vAlign w:val="center"/>
            <w:hideMark/>
          </w:tcPr>
          <w:p w14:paraId="3D042BDE" w14:textId="56F003BA"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Passaperuma</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2E4977">
              <w:rPr>
                <w:rFonts w:ascii="Calibri" w:eastAsia="Times New Roman" w:hAnsi="Calibri" w:cs="Calibri"/>
                <w:sz w:val="18"/>
                <w:szCs w:val="18"/>
                <w:lang w:eastAsia="en-NZ"/>
              </w:rPr>
              <w:t>)</w:t>
            </w:r>
          </w:p>
        </w:tc>
        <w:tc>
          <w:tcPr>
            <w:tcW w:w="1077" w:type="dxa"/>
            <w:vAlign w:val="center"/>
            <w:hideMark/>
          </w:tcPr>
          <w:p w14:paraId="6413A68F" w14:textId="7C30FCE1"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p>
        </w:tc>
        <w:tc>
          <w:tcPr>
            <w:tcW w:w="2665" w:type="dxa"/>
          </w:tcPr>
          <w:p w14:paraId="2FF70034" w14:textId="1D5A4B58"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 xml:space="preserve">High-Risk Screening Program, Canada, 1997-2008 </w:t>
            </w:r>
          </w:p>
        </w:tc>
        <w:tc>
          <w:tcPr>
            <w:tcW w:w="2211" w:type="dxa"/>
          </w:tcPr>
          <w:p w14:paraId="720F29CF" w14:textId="50E574BF"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m</w:t>
            </w:r>
            <w:r w:rsidR="00937448">
              <w:rPr>
                <w:rFonts w:ascii="Calibri" w:eastAsia="Times New Roman" w:hAnsi="Calibri" w:cs="Calibri"/>
                <w:sz w:val="18"/>
                <w:szCs w:val="18"/>
                <w:lang w:eastAsia="en-NZ"/>
              </w:rPr>
              <w:t>utation type</w:t>
            </w:r>
          </w:p>
        </w:tc>
        <w:tc>
          <w:tcPr>
            <w:tcW w:w="948" w:type="dxa"/>
            <w:vAlign w:val="center"/>
            <w:hideMark/>
          </w:tcPr>
          <w:p w14:paraId="60E99DA7" w14:textId="2BD0530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46: 376</w:t>
            </w:r>
          </w:p>
        </w:tc>
        <w:tc>
          <w:tcPr>
            <w:tcW w:w="1228" w:type="dxa"/>
            <w:vAlign w:val="center"/>
            <w:hideMark/>
          </w:tcPr>
          <w:p w14:paraId="7D520A79"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25–65</w:t>
            </w:r>
          </w:p>
        </w:tc>
        <w:tc>
          <w:tcPr>
            <w:tcW w:w="1301" w:type="dxa"/>
            <w:vAlign w:val="center"/>
            <w:hideMark/>
          </w:tcPr>
          <w:p w14:paraId="4F68B8FF"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3231" w:type="dxa"/>
            <w:vAlign w:val="center"/>
            <w:hideMark/>
          </w:tcPr>
          <w:p w14:paraId="7F8DDDFB" w14:textId="3EC7ECD6"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High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xml:space="preserve"> was not </w:t>
            </w:r>
            <w:r w:rsidR="00C6485B">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increased BC risk in women with BRCA mutations</w:t>
            </w:r>
          </w:p>
        </w:tc>
      </w:tr>
      <w:tr w:rsidR="00C6485B" w:rsidRPr="003754AE" w14:paraId="14577539" w14:textId="77777777" w:rsidTr="00C6485B">
        <w:trPr>
          <w:trHeight w:val="970"/>
        </w:trPr>
        <w:tc>
          <w:tcPr>
            <w:tcW w:w="1135" w:type="dxa"/>
            <w:vAlign w:val="center"/>
            <w:hideMark/>
          </w:tcPr>
          <w:p w14:paraId="47663E1F" w14:textId="5E1E536F"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Ding</w:t>
            </w:r>
            <w:r>
              <w:rPr>
                <w:rFonts w:ascii="Calibri" w:eastAsia="Times New Roman" w:hAnsi="Calibri" w:cs="Calibri"/>
                <w:sz w:val="18"/>
                <w:szCs w:val="18"/>
                <w:lang w:eastAsia="en-NZ"/>
              </w:rPr>
              <w:t xml:space="preserve"> et al.</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2E4977">
              <w:rPr>
                <w:rFonts w:ascii="Calibri" w:eastAsia="Times New Roman" w:hAnsi="Calibri" w:cs="Calibri"/>
                <w:sz w:val="18"/>
                <w:szCs w:val="18"/>
                <w:lang w:eastAsia="en-NZ"/>
              </w:rPr>
              <w:t>)</w:t>
            </w:r>
          </w:p>
        </w:tc>
        <w:tc>
          <w:tcPr>
            <w:tcW w:w="1077" w:type="dxa"/>
            <w:vAlign w:val="center"/>
            <w:hideMark/>
          </w:tcPr>
          <w:p w14:paraId="3869F957" w14:textId="13A4A18A"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p>
        </w:tc>
        <w:tc>
          <w:tcPr>
            <w:tcW w:w="2665" w:type="dxa"/>
          </w:tcPr>
          <w:p w14:paraId="0209F87C" w14:textId="6B22F72C"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National Health Service Breast Cancer Screening Program, UK, 1998-2004</w:t>
            </w:r>
          </w:p>
        </w:tc>
        <w:tc>
          <w:tcPr>
            <w:tcW w:w="2211" w:type="dxa"/>
          </w:tcPr>
          <w:p w14:paraId="6DE7361D" w14:textId="77777777" w:rsidR="00AD5324"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w:t>
            </w:r>
          </w:p>
          <w:p w14:paraId="462AB93E" w14:textId="77777777" w:rsidR="00AD5324" w:rsidRDefault="00AD5324" w:rsidP="00AD5324">
            <w:pPr>
              <w:rPr>
                <w:rFonts w:ascii="Calibri" w:eastAsia="Times New Roman" w:hAnsi="Calibri" w:cs="Calibri"/>
                <w:sz w:val="18"/>
                <w:szCs w:val="18"/>
                <w:lang w:eastAsia="en-NZ"/>
              </w:rPr>
            </w:pPr>
          </w:p>
          <w:p w14:paraId="54F691ED" w14:textId="00203FFA"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 xml:space="preserve">Matched on: </w:t>
            </w:r>
            <w:r w:rsidR="00C6485B">
              <w:rPr>
                <w:rFonts w:ascii="Calibri" w:eastAsia="Times New Roman" w:hAnsi="Calibri" w:cs="Calibri"/>
                <w:sz w:val="18"/>
                <w:szCs w:val="18"/>
                <w:lang w:eastAsia="en-NZ"/>
              </w:rPr>
              <w:t>A</w:t>
            </w:r>
            <w:r>
              <w:rPr>
                <w:rFonts w:ascii="Calibri" w:eastAsia="Times New Roman" w:hAnsi="Calibri" w:cs="Calibri"/>
                <w:sz w:val="18"/>
                <w:szCs w:val="18"/>
                <w:lang w:eastAsia="en-NZ"/>
              </w:rPr>
              <w:t>ge</w:t>
            </w:r>
          </w:p>
        </w:tc>
        <w:tc>
          <w:tcPr>
            <w:tcW w:w="948" w:type="dxa"/>
            <w:vAlign w:val="center"/>
            <w:hideMark/>
          </w:tcPr>
          <w:p w14:paraId="548F47E2" w14:textId="4AC3CF5A"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370: 1,904</w:t>
            </w:r>
          </w:p>
        </w:tc>
        <w:tc>
          <w:tcPr>
            <w:tcW w:w="1228" w:type="dxa"/>
            <w:vAlign w:val="center"/>
            <w:hideMark/>
          </w:tcPr>
          <w:p w14:paraId="17C59BAB"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50–75</w:t>
            </w:r>
          </w:p>
        </w:tc>
        <w:tc>
          <w:tcPr>
            <w:tcW w:w="1301" w:type="dxa"/>
            <w:vAlign w:val="center"/>
            <w:hideMark/>
          </w:tcPr>
          <w:p w14:paraId="12F1BE8C"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Cumulus</w:t>
            </w:r>
          </w:p>
        </w:tc>
        <w:tc>
          <w:tcPr>
            <w:tcW w:w="3231" w:type="dxa"/>
            <w:vAlign w:val="center"/>
            <w:hideMark/>
          </w:tcPr>
          <w:p w14:paraId="5F27C904" w14:textId="67F784A6"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≥50%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xml:space="preserve"> was </w:t>
            </w:r>
            <w:r w:rsidR="00C6485B">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2.63-fold risk of developing BC compared to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xml:space="preserve"> &lt;10%. High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xml:space="preserve"> was also </w:t>
            </w:r>
            <w:r w:rsidR="00C6485B">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ER- positive tumours</w:t>
            </w:r>
          </w:p>
        </w:tc>
      </w:tr>
      <w:tr w:rsidR="00C6485B" w:rsidRPr="003754AE" w14:paraId="2985CEEA" w14:textId="77777777" w:rsidTr="00C6485B">
        <w:trPr>
          <w:trHeight w:val="730"/>
        </w:trPr>
        <w:tc>
          <w:tcPr>
            <w:tcW w:w="1135" w:type="dxa"/>
            <w:vAlign w:val="center"/>
            <w:hideMark/>
          </w:tcPr>
          <w:p w14:paraId="7A38CC38" w14:textId="482F3502"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Gierach</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2010</w:t>
            </w:r>
            <w:r w:rsidR="002E4977">
              <w:rPr>
                <w:rFonts w:ascii="Calibri" w:eastAsia="Times New Roman" w:hAnsi="Calibri" w:cs="Calibri"/>
                <w:sz w:val="18"/>
                <w:szCs w:val="18"/>
                <w:lang w:eastAsia="en-NZ"/>
              </w:rPr>
              <w:t>)</w:t>
            </w:r>
          </w:p>
        </w:tc>
        <w:tc>
          <w:tcPr>
            <w:tcW w:w="1077" w:type="dxa"/>
            <w:vAlign w:val="center"/>
            <w:hideMark/>
          </w:tcPr>
          <w:p w14:paraId="6FFF693E" w14:textId="43F4B0CA"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Cohort</w:t>
            </w:r>
          </w:p>
        </w:tc>
        <w:tc>
          <w:tcPr>
            <w:tcW w:w="2665" w:type="dxa"/>
          </w:tcPr>
          <w:p w14:paraId="199DD4E6" w14:textId="6BE8AD93"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 xml:space="preserve">National Cancer Institute’s Clinical Genetics Branch Breast Imaging Study, USA </w:t>
            </w:r>
          </w:p>
        </w:tc>
        <w:tc>
          <w:tcPr>
            <w:tcW w:w="2211" w:type="dxa"/>
          </w:tcPr>
          <w:p w14:paraId="17F60233" w14:textId="7344F08D"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menarche, at first birth), BMI, parity, menopausal status, HRT, previous biopsies</w:t>
            </w:r>
          </w:p>
        </w:tc>
        <w:tc>
          <w:tcPr>
            <w:tcW w:w="948" w:type="dxa"/>
            <w:vAlign w:val="center"/>
            <w:hideMark/>
          </w:tcPr>
          <w:p w14:paraId="347554C1" w14:textId="12490FF6"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143: 119</w:t>
            </w:r>
          </w:p>
        </w:tc>
        <w:tc>
          <w:tcPr>
            <w:tcW w:w="1228" w:type="dxa"/>
            <w:vAlign w:val="center"/>
            <w:hideMark/>
          </w:tcPr>
          <w:p w14:paraId="144132E1"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25–56</w:t>
            </w:r>
          </w:p>
        </w:tc>
        <w:tc>
          <w:tcPr>
            <w:tcW w:w="1301" w:type="dxa"/>
            <w:vAlign w:val="center"/>
            <w:hideMark/>
          </w:tcPr>
          <w:p w14:paraId="24498F26"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3231" w:type="dxa"/>
            <w:vAlign w:val="center"/>
            <w:hideMark/>
          </w:tcPr>
          <w:p w14:paraId="35055B21" w14:textId="011D0C11"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No difference found in </w:t>
            </w:r>
            <w:r w:rsidR="00C6485B">
              <w:rPr>
                <w:rFonts w:ascii="Calibri" w:eastAsia="Times New Roman" w:hAnsi="Calibri" w:cs="Calibri"/>
                <w:sz w:val="18"/>
                <w:szCs w:val="18"/>
                <w:lang w:eastAsia="en-NZ"/>
              </w:rPr>
              <w:t>density</w:t>
            </w:r>
            <w:r w:rsidRPr="00EF54FD">
              <w:rPr>
                <w:rFonts w:ascii="Calibri" w:eastAsia="Times New Roman" w:hAnsi="Calibri" w:cs="Calibri"/>
                <w:sz w:val="18"/>
                <w:szCs w:val="18"/>
                <w:lang w:eastAsia="en-NZ"/>
              </w:rPr>
              <w:t xml:space="preserve"> between unaffected BRCA mutation carriers and women at low-to-average risk of BC</w:t>
            </w:r>
          </w:p>
        </w:tc>
      </w:tr>
      <w:tr w:rsidR="00C6485B" w:rsidRPr="003754AE" w14:paraId="4FB62606" w14:textId="77777777" w:rsidTr="00C6485B">
        <w:trPr>
          <w:trHeight w:val="730"/>
        </w:trPr>
        <w:tc>
          <w:tcPr>
            <w:tcW w:w="1135" w:type="dxa"/>
            <w:vAlign w:val="center"/>
            <w:hideMark/>
          </w:tcPr>
          <w:p w14:paraId="0D5FBD41" w14:textId="6B1BA04A"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Ma</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2009</w:t>
            </w:r>
            <w:r w:rsidR="002E4977">
              <w:rPr>
                <w:rFonts w:ascii="Calibri" w:eastAsia="Times New Roman" w:hAnsi="Calibri" w:cs="Calibri"/>
                <w:sz w:val="18"/>
                <w:szCs w:val="18"/>
                <w:lang w:eastAsia="en-NZ"/>
              </w:rPr>
              <w:t>)</w:t>
            </w:r>
          </w:p>
        </w:tc>
        <w:tc>
          <w:tcPr>
            <w:tcW w:w="1077" w:type="dxa"/>
            <w:vAlign w:val="center"/>
            <w:hideMark/>
          </w:tcPr>
          <w:p w14:paraId="2CEC1CB7" w14:textId="4602EA64"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Case-control</w:t>
            </w:r>
          </w:p>
        </w:tc>
        <w:tc>
          <w:tcPr>
            <w:tcW w:w="2665" w:type="dxa"/>
          </w:tcPr>
          <w:p w14:paraId="4A8091E3" w14:textId="7DD38275"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Women’s Contraceptive and Reproductive Experiences Study, USA, 1994-1998</w:t>
            </w:r>
          </w:p>
        </w:tc>
        <w:tc>
          <w:tcPr>
            <w:tcW w:w="2211" w:type="dxa"/>
          </w:tcPr>
          <w:p w14:paraId="5EB1906C" w14:textId="77777777" w:rsidR="00AD5324"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(at menarche, at first birth), race, menopausal status, parity, HRT</w:t>
            </w:r>
          </w:p>
          <w:p w14:paraId="29AB2607" w14:textId="77777777" w:rsidR="00AD5324" w:rsidRDefault="00AD5324" w:rsidP="00AD5324">
            <w:pPr>
              <w:rPr>
                <w:rFonts w:ascii="Calibri" w:eastAsia="Times New Roman" w:hAnsi="Calibri" w:cs="Calibri"/>
                <w:sz w:val="18"/>
                <w:szCs w:val="18"/>
                <w:lang w:eastAsia="en-NZ"/>
              </w:rPr>
            </w:pPr>
          </w:p>
          <w:p w14:paraId="62EEEFDF" w14:textId="69DF1BB3"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Matched on: age</w:t>
            </w:r>
          </w:p>
        </w:tc>
        <w:tc>
          <w:tcPr>
            <w:tcW w:w="948" w:type="dxa"/>
            <w:vAlign w:val="center"/>
            <w:hideMark/>
          </w:tcPr>
          <w:p w14:paraId="7916517F" w14:textId="53BF09FC"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479: 376</w:t>
            </w:r>
          </w:p>
        </w:tc>
        <w:tc>
          <w:tcPr>
            <w:tcW w:w="1228" w:type="dxa"/>
            <w:vAlign w:val="center"/>
            <w:hideMark/>
          </w:tcPr>
          <w:p w14:paraId="68417E1A"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35–64</w:t>
            </w:r>
          </w:p>
        </w:tc>
        <w:tc>
          <w:tcPr>
            <w:tcW w:w="1301" w:type="dxa"/>
            <w:vAlign w:val="center"/>
            <w:hideMark/>
          </w:tcPr>
          <w:p w14:paraId="338FAD26"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3231" w:type="dxa"/>
            <w:vAlign w:val="center"/>
            <w:hideMark/>
          </w:tcPr>
          <w:p w14:paraId="29F24E64" w14:textId="66D4362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 xml:space="preserve">PD was positively </w:t>
            </w:r>
            <w:r w:rsidR="00C6485B">
              <w:rPr>
                <w:rFonts w:ascii="Calibri" w:eastAsia="Times New Roman" w:hAnsi="Calibri" w:cs="Calibri"/>
                <w:sz w:val="18"/>
                <w:szCs w:val="18"/>
                <w:lang w:eastAsia="en-NZ"/>
              </w:rPr>
              <w:t>associated with</w:t>
            </w:r>
            <w:r w:rsidRPr="00EF54FD">
              <w:rPr>
                <w:rFonts w:ascii="Calibri" w:eastAsia="Times New Roman" w:hAnsi="Calibri" w:cs="Calibri"/>
                <w:sz w:val="18"/>
                <w:szCs w:val="18"/>
                <w:lang w:eastAsia="en-NZ"/>
              </w:rPr>
              <w:t xml:space="preserve"> luminal-A and triple-negative BCs</w:t>
            </w:r>
          </w:p>
        </w:tc>
      </w:tr>
      <w:tr w:rsidR="00C6485B" w:rsidRPr="003754AE" w14:paraId="08FDC53F" w14:textId="77777777" w:rsidTr="00C6485B">
        <w:trPr>
          <w:trHeight w:val="730"/>
        </w:trPr>
        <w:tc>
          <w:tcPr>
            <w:tcW w:w="1135" w:type="dxa"/>
            <w:vAlign w:val="center"/>
            <w:hideMark/>
          </w:tcPr>
          <w:p w14:paraId="19DD89E6" w14:textId="342BD8B3"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lastRenderedPageBreak/>
              <w:t>Ghosh</w:t>
            </w:r>
            <w:r w:rsidR="002E4977">
              <w:rPr>
                <w:rFonts w:ascii="Calibri" w:eastAsia="Times New Roman" w:hAnsi="Calibri" w:cs="Calibri"/>
                <w:sz w:val="18"/>
                <w:szCs w:val="18"/>
                <w:lang w:eastAsia="en-NZ"/>
              </w:rPr>
              <w:t xml:space="preserve"> (</w:t>
            </w:r>
            <w:r w:rsidRPr="00EF54FD">
              <w:rPr>
                <w:rFonts w:ascii="Calibri" w:eastAsia="Times New Roman" w:hAnsi="Calibri" w:cs="Calibri"/>
                <w:sz w:val="18"/>
                <w:szCs w:val="18"/>
                <w:lang w:eastAsia="en-NZ"/>
              </w:rPr>
              <w:t>2008</w:t>
            </w:r>
            <w:r w:rsidR="002E4977">
              <w:rPr>
                <w:rFonts w:ascii="Calibri" w:eastAsia="Times New Roman" w:hAnsi="Calibri" w:cs="Calibri"/>
                <w:sz w:val="18"/>
                <w:szCs w:val="18"/>
                <w:lang w:eastAsia="en-NZ"/>
              </w:rPr>
              <w:t>)</w:t>
            </w:r>
          </w:p>
        </w:tc>
        <w:tc>
          <w:tcPr>
            <w:tcW w:w="1077" w:type="dxa"/>
            <w:vAlign w:val="center"/>
            <w:hideMark/>
          </w:tcPr>
          <w:p w14:paraId="63000E99" w14:textId="159281BF"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Cross-sectional</w:t>
            </w:r>
            <w:r w:rsidR="00AD5324" w:rsidRPr="00EF54FD">
              <w:rPr>
                <w:rFonts w:ascii="Calibri" w:eastAsia="Times New Roman" w:hAnsi="Calibri" w:cs="Calibri"/>
                <w:sz w:val="18"/>
                <w:szCs w:val="18"/>
                <w:lang w:eastAsia="en-NZ"/>
              </w:rPr>
              <w:t xml:space="preserve"> </w:t>
            </w:r>
          </w:p>
        </w:tc>
        <w:tc>
          <w:tcPr>
            <w:tcW w:w="2665" w:type="dxa"/>
          </w:tcPr>
          <w:p w14:paraId="0A932FAF" w14:textId="35AD5AC0"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Postmenopausal Breast Cancer Study, USA, 1997-2001</w:t>
            </w:r>
          </w:p>
        </w:tc>
        <w:tc>
          <w:tcPr>
            <w:tcW w:w="2211" w:type="dxa"/>
          </w:tcPr>
          <w:p w14:paraId="40E6D7ED" w14:textId="21FAFA70" w:rsidR="00AD5324" w:rsidRPr="00EF54FD" w:rsidRDefault="00AD5324"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Age (current, at first birth), BMI, HRT, family history, parity</w:t>
            </w:r>
          </w:p>
        </w:tc>
        <w:tc>
          <w:tcPr>
            <w:tcW w:w="948" w:type="dxa"/>
            <w:vAlign w:val="center"/>
            <w:hideMark/>
          </w:tcPr>
          <w:p w14:paraId="143CFFD1" w14:textId="03752A5D"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286: 799</w:t>
            </w:r>
          </w:p>
        </w:tc>
        <w:tc>
          <w:tcPr>
            <w:tcW w:w="1228" w:type="dxa"/>
            <w:vAlign w:val="center"/>
            <w:hideMark/>
          </w:tcPr>
          <w:p w14:paraId="032EAE8D"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40+</w:t>
            </w:r>
          </w:p>
        </w:tc>
        <w:tc>
          <w:tcPr>
            <w:tcW w:w="1301" w:type="dxa"/>
            <w:vAlign w:val="center"/>
            <w:hideMark/>
          </w:tcPr>
          <w:p w14:paraId="30EAFE7D" w14:textId="77777777" w:rsidR="00AD5324" w:rsidRPr="00EF54FD" w:rsidRDefault="00AD5324" w:rsidP="00AD5324">
            <w:pPr>
              <w:rPr>
                <w:rFonts w:ascii="Calibri" w:eastAsia="Times New Roman" w:hAnsi="Calibri" w:cs="Calibri"/>
                <w:sz w:val="18"/>
                <w:szCs w:val="18"/>
                <w:lang w:eastAsia="en-NZ"/>
              </w:rPr>
            </w:pPr>
            <w:r w:rsidRPr="00EF54FD">
              <w:rPr>
                <w:rFonts w:ascii="Calibri" w:eastAsia="Times New Roman" w:hAnsi="Calibri" w:cs="Calibri"/>
                <w:sz w:val="18"/>
                <w:szCs w:val="18"/>
                <w:lang w:eastAsia="en-NZ"/>
              </w:rPr>
              <w:t>CAM</w:t>
            </w:r>
          </w:p>
        </w:tc>
        <w:tc>
          <w:tcPr>
            <w:tcW w:w="3231" w:type="dxa"/>
            <w:vAlign w:val="center"/>
            <w:hideMark/>
          </w:tcPr>
          <w:p w14:paraId="4231BBC8" w14:textId="55CC5F11" w:rsidR="00AD5324" w:rsidRPr="00EF54FD" w:rsidRDefault="00C6485B" w:rsidP="00AD5324">
            <w:pPr>
              <w:rPr>
                <w:rFonts w:ascii="Calibri" w:eastAsia="Times New Roman" w:hAnsi="Calibri" w:cs="Calibri"/>
                <w:sz w:val="18"/>
                <w:szCs w:val="18"/>
                <w:lang w:eastAsia="en-NZ"/>
              </w:rPr>
            </w:pPr>
            <w:r>
              <w:rPr>
                <w:rFonts w:ascii="Calibri" w:eastAsia="Times New Roman" w:hAnsi="Calibri" w:cs="Calibri"/>
                <w:sz w:val="18"/>
                <w:szCs w:val="18"/>
                <w:lang w:eastAsia="en-NZ"/>
              </w:rPr>
              <w:t>Density</w:t>
            </w:r>
            <w:r w:rsidR="00AD5324" w:rsidRPr="00EF54FD">
              <w:rPr>
                <w:rFonts w:ascii="Calibri" w:eastAsia="Times New Roman" w:hAnsi="Calibri" w:cs="Calibri"/>
                <w:sz w:val="18"/>
                <w:szCs w:val="18"/>
                <w:lang w:eastAsia="en-NZ"/>
              </w:rPr>
              <w:t xml:space="preserve"> was not </w:t>
            </w:r>
            <w:r>
              <w:rPr>
                <w:rFonts w:ascii="Calibri" w:eastAsia="Times New Roman" w:hAnsi="Calibri" w:cs="Calibri"/>
                <w:sz w:val="18"/>
                <w:szCs w:val="18"/>
                <w:lang w:eastAsia="en-NZ"/>
              </w:rPr>
              <w:t>associated with</w:t>
            </w:r>
            <w:r w:rsidR="00AD5324" w:rsidRPr="00EF54FD">
              <w:rPr>
                <w:rFonts w:ascii="Calibri" w:eastAsia="Times New Roman" w:hAnsi="Calibri" w:cs="Calibri"/>
                <w:sz w:val="18"/>
                <w:szCs w:val="18"/>
                <w:lang w:eastAsia="en-NZ"/>
              </w:rPr>
              <w:t xml:space="preserve"> </w:t>
            </w:r>
            <w:r>
              <w:rPr>
                <w:rFonts w:ascii="Calibri" w:eastAsia="Times New Roman" w:hAnsi="Calibri" w:cs="Calibri"/>
                <w:sz w:val="18"/>
                <w:szCs w:val="18"/>
                <w:lang w:eastAsia="en-NZ"/>
              </w:rPr>
              <w:t xml:space="preserve">tumour size, </w:t>
            </w:r>
            <w:r w:rsidR="00AD5324" w:rsidRPr="00EF54FD">
              <w:rPr>
                <w:rFonts w:ascii="Calibri" w:eastAsia="Times New Roman" w:hAnsi="Calibri" w:cs="Calibri"/>
                <w:sz w:val="18"/>
                <w:szCs w:val="18"/>
                <w:lang w:eastAsia="en-NZ"/>
              </w:rPr>
              <w:t>histological type, ER/PR receptor status, mitotic activity or nuclear pleomorphism</w:t>
            </w:r>
          </w:p>
        </w:tc>
      </w:tr>
    </w:tbl>
    <w:p w14:paraId="70ADBB37" w14:textId="7EE6C081" w:rsidR="00C6485B" w:rsidRDefault="00C6485B" w:rsidP="00C6485B">
      <w:pPr>
        <w:pStyle w:val="BodyText"/>
        <w:spacing w:line="240" w:lineRule="auto"/>
        <w:rPr>
          <w:rFonts w:asciiTheme="majorHAnsi" w:hAnsiTheme="majorHAnsi" w:cstheme="majorHAnsi"/>
          <w:color w:val="333333"/>
          <w:spacing w:val="2"/>
          <w:sz w:val="16"/>
          <w:szCs w:val="26"/>
          <w:shd w:val="clear" w:color="auto" w:fill="FCFCFC"/>
        </w:rPr>
      </w:pPr>
      <w:r w:rsidRPr="003122C0">
        <w:rPr>
          <w:rStyle w:val="Emphasis"/>
          <w:rFonts w:asciiTheme="majorHAnsi" w:hAnsiTheme="majorHAnsi" w:cstheme="majorHAnsi"/>
          <w:sz w:val="18"/>
          <w:szCs w:val="20"/>
        </w:rPr>
        <w:t>Abbreviations</w:t>
      </w:r>
      <w:r w:rsidRPr="003122C0">
        <w:rPr>
          <w:rFonts w:asciiTheme="majorHAnsi" w:hAnsiTheme="majorHAnsi" w:cstheme="majorHAnsi"/>
          <w:sz w:val="18"/>
          <w:szCs w:val="20"/>
        </w:rPr>
        <w:t>:</w:t>
      </w:r>
      <w:r>
        <w:rPr>
          <w:rFonts w:asciiTheme="majorHAnsi" w:hAnsiTheme="majorHAnsi" w:cstheme="majorHAnsi"/>
          <w:sz w:val="18"/>
          <w:szCs w:val="20"/>
        </w:rPr>
        <w:t xml:space="preserve"> BC = breast cancer; HRT = hormonal replacement therapy</w:t>
      </w:r>
      <w:r>
        <w:rPr>
          <w:rFonts w:asciiTheme="majorHAnsi" w:hAnsiTheme="majorHAnsi" w:cstheme="majorHAnsi"/>
          <w:color w:val="333333"/>
          <w:spacing w:val="2"/>
          <w:sz w:val="16"/>
          <w:szCs w:val="26"/>
          <w:shd w:val="clear" w:color="auto" w:fill="FCFCFC"/>
        </w:rPr>
        <w:t xml:space="preserve">; </w:t>
      </w:r>
      <w:r>
        <w:rPr>
          <w:rFonts w:asciiTheme="majorHAnsi" w:hAnsiTheme="majorHAnsi" w:cstheme="majorHAnsi"/>
          <w:sz w:val="18"/>
          <w:szCs w:val="20"/>
        </w:rPr>
        <w:t>PD = percent density</w:t>
      </w:r>
      <w:r w:rsidR="002C175B">
        <w:rPr>
          <w:rFonts w:asciiTheme="majorHAnsi" w:hAnsiTheme="majorHAnsi" w:cstheme="majorHAnsi"/>
          <w:sz w:val="18"/>
          <w:szCs w:val="20"/>
        </w:rPr>
        <w:t>.</w:t>
      </w:r>
      <w:r w:rsidRPr="003122C0">
        <w:rPr>
          <w:rFonts w:asciiTheme="majorHAnsi" w:hAnsiTheme="majorHAnsi" w:cstheme="majorHAnsi"/>
          <w:sz w:val="18"/>
          <w:szCs w:val="20"/>
        </w:rPr>
        <w:t xml:space="preserve"> </w:t>
      </w:r>
    </w:p>
    <w:p w14:paraId="5DA5A3E5" w14:textId="77777777" w:rsidR="00C6485B" w:rsidRDefault="00C6485B" w:rsidP="00EB35FA">
      <w:pPr>
        <w:pStyle w:val="BodyText"/>
        <w:spacing w:line="240" w:lineRule="auto"/>
        <w:rPr>
          <w:rFonts w:asciiTheme="majorHAnsi" w:hAnsiTheme="majorHAnsi" w:cstheme="majorHAnsi"/>
          <w:sz w:val="12"/>
        </w:rPr>
      </w:pPr>
    </w:p>
    <w:p w14:paraId="0EF7A013" w14:textId="42980932" w:rsidR="00C6485B" w:rsidRDefault="00C6485B" w:rsidP="00EB35FA">
      <w:pPr>
        <w:pStyle w:val="BodyText"/>
        <w:spacing w:line="240" w:lineRule="auto"/>
        <w:rPr>
          <w:rFonts w:asciiTheme="majorHAnsi" w:hAnsiTheme="majorHAnsi" w:cstheme="majorHAnsi"/>
          <w:sz w:val="12"/>
        </w:rPr>
        <w:sectPr w:rsidR="00C6485B" w:rsidSect="003E44C6">
          <w:pgSz w:w="16839" w:h="11907" w:orient="landscape" w:code="9"/>
          <w:pgMar w:top="1418" w:right="1418" w:bottom="1418" w:left="1418" w:header="964" w:footer="964" w:gutter="0"/>
          <w:cols w:space="708"/>
          <w:docGrid w:linePitch="360"/>
        </w:sectPr>
      </w:pPr>
    </w:p>
    <w:p w14:paraId="09F97D6C" w14:textId="01195BB3" w:rsidR="00473EEC" w:rsidRDefault="004B4B19" w:rsidP="00EB35FA">
      <w:pPr>
        <w:jc w:val="both"/>
      </w:pPr>
      <w:r>
        <w:lastRenderedPageBreak/>
        <w:t>Two further</w:t>
      </w:r>
      <w:r w:rsidR="00473EEC">
        <w:t xml:space="preserve"> nested case-control stud</w:t>
      </w:r>
      <w:r>
        <w:t xml:space="preserve">ies </w:t>
      </w:r>
      <w:r w:rsidR="00473EEC">
        <w:t>evaluated the relationship between breast density and tumour characteristics</w:t>
      </w:r>
      <w:r>
        <w:t>.</w:t>
      </w:r>
      <w:r w:rsidR="00473EEC">
        <w:t xml:space="preserve"> Maskarinec et al. </w:t>
      </w:r>
      <w:r>
        <w:t>(</w:t>
      </w:r>
      <w:r w:rsidR="00473EEC">
        <w:t xml:space="preserve">2017) </w:t>
      </w:r>
      <w:r>
        <w:t>u</w:t>
      </w:r>
      <w:r w:rsidR="00473EEC">
        <w:t>s</w:t>
      </w:r>
      <w:r>
        <w:t>ed</w:t>
      </w:r>
      <w:r w:rsidR="00473EEC">
        <w:t xml:space="preserve"> 820 cases and 820 matched controls sourced from the French E3N cohort study</w:t>
      </w:r>
      <w:r>
        <w:t xml:space="preserve"> and</w:t>
      </w:r>
      <w:r w:rsidR="00473EEC">
        <w:t xml:space="preserve"> found no evidence for significant differences in tumour size, lymph node status, grade, or hormone receptor status by absolute dense breast area or percent density. They did find that the association between percent density and breast cancer risk was significantly stronger for women with familial history of breast cancer (OR = 2.25, per 1 SD increase in density, 95%CI 1.67-3.04) than women without (OR = 1.41, per 1 SD increase in density, 95%CI 1.24-1.60), suggesting a shared genetic component to both breast density and breast cancer risk (discussed in the following section)</w:t>
      </w:r>
      <w:r w:rsidR="00067C61">
        <w:t>.</w:t>
      </w:r>
    </w:p>
    <w:p w14:paraId="2645E307" w14:textId="594AA416" w:rsidR="004B4B19" w:rsidRDefault="004B4B19" w:rsidP="00EB35FA">
      <w:pPr>
        <w:jc w:val="both"/>
      </w:pPr>
      <w:r>
        <w:t xml:space="preserve">Consistent with the results of Maskarinec et al. (2017), the other nested case-control study identified also did not find a significant link between breast density and specific tumour characteristics (Yaghjyan et al., 2015b). The sample used in this study comprised 1,010 postmenopausal cases with 2,077 matched controls sourced from two prospective cohorts in the United States: the Nurses’ Health Study and the Nurses’ Health Study II. Breast density was assessed using Cumulus software. Results showed that the association between percent density and breast cancer risk was stronger for ER+ (OR = 4.61, 95%CI 2.36-9.03) compared with ER- (4.61, 95%CI 2.36-9.03) tumours, however this difference was not statistically significant. Additionally, no significant differences in the association between percent density and breast cancer risk were found by progesterone receptor or human epidermal growth factor receptor 2 status. Both of these studies add to the mixed findings regarding the relationship between </w:t>
      </w:r>
      <w:r w:rsidR="000A6196">
        <w:t>breast density and breast cancer subtype, highlighting the need for further good-quality research in this area.</w:t>
      </w:r>
    </w:p>
    <w:p w14:paraId="5F754AEA" w14:textId="387AE427" w:rsidR="00E64D1E" w:rsidRPr="00522F1A" w:rsidRDefault="00E64D1E" w:rsidP="00EB35FA">
      <w:pPr>
        <w:jc w:val="both"/>
      </w:pPr>
      <w:r>
        <w:t xml:space="preserve">One </w:t>
      </w:r>
      <w:r w:rsidR="00473EEC">
        <w:t xml:space="preserve">additional </w:t>
      </w:r>
      <w:r>
        <w:t xml:space="preserve">case-control study assessed the relationship between mammographic breast density and contralateral breast cancer (i.e., developing cancer in the opposite breast subsequent to a primary diagnosis of breast cancer; Chowdhury et al., 2018). This study sourced 847 cases and 2,541 </w:t>
      </w:r>
      <w:r w:rsidR="00301909">
        <w:t xml:space="preserve">age-matched </w:t>
      </w:r>
      <w:r>
        <w:t xml:space="preserve">controls from the Breast Cancer Surveillance Consortium. Breast density was visually assessed using </w:t>
      </w:r>
      <w:r w:rsidR="00275D65">
        <w:t>BIRADS</w:t>
      </w:r>
      <w:r>
        <w:t xml:space="preserve">. Results showed that the risk of developing contralateral breast cancer increased across </w:t>
      </w:r>
      <w:r w:rsidR="00275D65">
        <w:t>BIRADS</w:t>
      </w:r>
      <w:r>
        <w:t xml:space="preserve"> categories. The odds of developing </w:t>
      </w:r>
      <w:r w:rsidR="0023689C">
        <w:t xml:space="preserve">contralateral </w:t>
      </w:r>
      <w:r>
        <w:t>breast cancer were 1.64</w:t>
      </w:r>
      <w:r w:rsidR="0023689C">
        <w:t xml:space="preserve"> </w:t>
      </w:r>
      <w:r>
        <w:t xml:space="preserve">(95%CI 1.03-2.60), 2.08 (95%CI 1.32-3.30) or 2.27 (95%CI 1.37-3.77) times higher for women categorised as </w:t>
      </w:r>
      <w:r w:rsidR="00275D65">
        <w:t>BIRADS</w:t>
      </w:r>
      <w:r>
        <w:t xml:space="preserve"> 2, 3 or 4 (respectively), compared to the odds for women categorised as </w:t>
      </w:r>
      <w:r w:rsidR="00275D65">
        <w:t>BIRADS</w:t>
      </w:r>
      <w:r>
        <w:t xml:space="preserve"> 1</w:t>
      </w:r>
      <w:r w:rsidR="0023689C">
        <w:t xml:space="preserve"> (</w:t>
      </w:r>
      <w:r w:rsidR="0023689C">
        <w:rPr>
          <w:i/>
        </w:rPr>
        <w:t>p</w:t>
      </w:r>
      <w:r w:rsidR="0023689C">
        <w:t xml:space="preserve"> &lt;.001). The authors concluded that breast density is an independent and significant predictor of contralateral breast cancer, and its contribution to clinical decision making should be </w:t>
      </w:r>
      <w:r w:rsidR="00AE6DD0">
        <w:t xml:space="preserve">further </w:t>
      </w:r>
      <w:r w:rsidR="0023689C">
        <w:t>explore</w:t>
      </w:r>
      <w:r w:rsidR="00AE6DD0">
        <w:t>d</w:t>
      </w:r>
      <w:r w:rsidR="0023689C">
        <w:t>.</w:t>
      </w:r>
    </w:p>
    <w:p w14:paraId="56E1E538" w14:textId="4E386167" w:rsidR="00EB35FA" w:rsidRDefault="00EB35FA" w:rsidP="00EB35FA">
      <w:pPr>
        <w:pStyle w:val="BodyText"/>
      </w:pPr>
      <w:r>
        <w:t>C</w:t>
      </w:r>
      <w:r w:rsidRPr="00FD6AF6">
        <w:t>ombined evidence from all studies to date suggests that percent</w:t>
      </w:r>
      <w:r>
        <w:t xml:space="preserve"> of</w:t>
      </w:r>
      <w:r w:rsidRPr="00FD6AF6">
        <w:t xml:space="preserve"> mammographic density is a risk factor for </w:t>
      </w:r>
      <w:r>
        <w:t xml:space="preserve">most breast cancer subtypes; however, the </w:t>
      </w:r>
      <w:r w:rsidRPr="00FD6AF6">
        <w:t>association</w:t>
      </w:r>
      <w:r>
        <w:t xml:space="preserve"> for each subtype needs to be further defined. As the research in this area moves forward, breast density may be able to help</w:t>
      </w:r>
      <w:r w:rsidRPr="003C30E4">
        <w:t xml:space="preserve"> stratify women into different breast screening strategies (</w:t>
      </w:r>
      <w:r>
        <w:t>including</w:t>
      </w:r>
      <w:r w:rsidRPr="003C30E4">
        <w:t xml:space="preserve"> intervals</w:t>
      </w:r>
      <w:r>
        <w:t xml:space="preserve"> or </w:t>
      </w:r>
      <w:r w:rsidRPr="003C30E4">
        <w:t xml:space="preserve">modalities) </w:t>
      </w:r>
      <w:r>
        <w:t xml:space="preserve">based on breast cancer subtypes, </w:t>
      </w:r>
      <w:r w:rsidRPr="003C30E4">
        <w:t>as part of a more persona</w:t>
      </w:r>
      <w:r>
        <w:t xml:space="preserve">lised breast screening </w:t>
      </w:r>
      <w:r w:rsidR="00920772">
        <w:t>approach</w:t>
      </w:r>
      <w:r>
        <w:t xml:space="preserve">. These studies show there is </w:t>
      </w:r>
      <w:r w:rsidRPr="003C30E4">
        <w:t xml:space="preserve">potential </w:t>
      </w:r>
      <w:r>
        <w:t xml:space="preserve">for breast density </w:t>
      </w:r>
      <w:r w:rsidRPr="003C30E4">
        <w:t>to be used in overall breast cancer risk assessment and monitoring for both research and clinical purposes.</w:t>
      </w:r>
    </w:p>
    <w:p w14:paraId="332370D5" w14:textId="77777777" w:rsidR="00EB35FA" w:rsidRDefault="00EB35FA" w:rsidP="00EB35FA">
      <w:pPr>
        <w:pStyle w:val="NumberedHeading3"/>
      </w:pPr>
      <w:bookmarkStart w:id="73" w:name="_Toc507914433"/>
      <w:bookmarkStart w:id="74" w:name="_Toc507976158"/>
      <w:bookmarkStart w:id="75" w:name="_Toc518922208"/>
      <w:r w:rsidRPr="00934921">
        <w:t>Genetic links</w:t>
      </w:r>
      <w:bookmarkEnd w:id="73"/>
      <w:bookmarkEnd w:id="74"/>
      <w:bookmarkEnd w:id="75"/>
    </w:p>
    <w:p w14:paraId="71AC6CE6" w14:textId="70790DC0" w:rsidR="00EB35FA" w:rsidRDefault="008524B4" w:rsidP="00EB35FA">
      <w:pPr>
        <w:pStyle w:val="BodyText"/>
      </w:pPr>
      <w:r>
        <w:t>Demographic or l</w:t>
      </w:r>
      <w:r w:rsidR="00EB35FA" w:rsidRPr="007A368B">
        <w:t>ifestyle factors including age, parity, BMI and exogenous hormone levels explain only 20-30% of the between-women variation in percent mammographic density</w:t>
      </w:r>
      <w:r w:rsidR="00BB2B6B">
        <w:t xml:space="preserve"> </w:t>
      </w:r>
      <w:r w:rsidR="00EB35FA" w:rsidRPr="007A368B">
        <w:t>(Vahcon et al., 2000). It has been estimated that 6</w:t>
      </w:r>
      <w:r w:rsidR="00DC434B">
        <w:t>3</w:t>
      </w:r>
      <w:r w:rsidR="00EB35FA" w:rsidRPr="007A368B">
        <w:t>-67% of the residual variation could be attributable to genetic factors</w:t>
      </w:r>
      <w:r w:rsidR="00BB2B6B">
        <w:t xml:space="preserve"> </w:t>
      </w:r>
      <w:r w:rsidR="00EB35FA" w:rsidRPr="007A368B">
        <w:t>but linkage and candidate gene association studies have been largely unsuccessful in reproducibly identifying loci related to mammographic density</w:t>
      </w:r>
      <w:r w:rsidR="00DC434B">
        <w:t xml:space="preserve"> (Boyd, 2002)</w:t>
      </w:r>
      <w:r w:rsidR="00EB35FA" w:rsidRPr="007A368B">
        <w:t xml:space="preserve">. </w:t>
      </w:r>
      <w:r w:rsidR="00DC434B">
        <w:t xml:space="preserve">Breast cancer also </w:t>
      </w:r>
      <w:r w:rsidR="00DC434B">
        <w:lastRenderedPageBreak/>
        <w:t>has a genetic component, with first degree familial relatives of individuals diagnosed with b</w:t>
      </w:r>
      <w:r w:rsidR="00EB35FA" w:rsidRPr="007A368B">
        <w:t xml:space="preserve">reast </w:t>
      </w:r>
      <w:r w:rsidR="00EB35FA" w:rsidRPr="008C1846">
        <w:t>cancer</w:t>
      </w:r>
      <w:r w:rsidR="00EB35FA" w:rsidRPr="007A368B">
        <w:t xml:space="preserve"> h</w:t>
      </w:r>
      <w:r w:rsidR="00DC434B">
        <w:t>aving approximately twice the risk of developing breast cancer compared with non-relative</w:t>
      </w:r>
      <w:r w:rsidR="00EB35FA" w:rsidRPr="007A368B">
        <w:t>s</w:t>
      </w:r>
      <w:r w:rsidR="00DC434B">
        <w:t xml:space="preserve"> </w:t>
      </w:r>
      <w:r w:rsidR="00EB35FA" w:rsidRPr="007A368B">
        <w:t>(Collaborative Group on Hormonal Risk Factors in Breast Cancer, 2001)</w:t>
      </w:r>
      <w:r w:rsidR="00DC434B">
        <w:t xml:space="preserve">. </w:t>
      </w:r>
      <w:r w:rsidR="00EB35FA">
        <w:t>I</w:t>
      </w:r>
      <w:r w:rsidR="00EB35FA" w:rsidRPr="007A368B">
        <w:t xml:space="preserve">t is </w:t>
      </w:r>
      <w:r w:rsidR="00DC434B">
        <w:t xml:space="preserve">therefore </w:t>
      </w:r>
      <w:r w:rsidR="00EB35FA" w:rsidRPr="007A368B">
        <w:t xml:space="preserve">plausible that these two </w:t>
      </w:r>
      <w:r w:rsidR="00DC434B">
        <w:t>phenomena</w:t>
      </w:r>
      <w:r w:rsidR="00EB35FA" w:rsidRPr="007A368B">
        <w:t xml:space="preserve"> </w:t>
      </w:r>
      <w:r w:rsidR="00DC434B">
        <w:t xml:space="preserve">(breast density and breast cancer) </w:t>
      </w:r>
      <w:r w:rsidR="00EB35FA" w:rsidRPr="007A368B">
        <w:t>share a common genetic basis.</w:t>
      </w:r>
    </w:p>
    <w:p w14:paraId="7EDAA55E" w14:textId="59960F1F" w:rsidR="00EB35FA" w:rsidRDefault="00EB35FA" w:rsidP="00EB35FA">
      <w:pPr>
        <w:pStyle w:val="BodyText"/>
        <w:rPr>
          <w:color w:val="000000"/>
          <w:shd w:val="clear" w:color="auto" w:fill="FFFFFF"/>
        </w:rPr>
      </w:pPr>
      <w:r w:rsidRPr="007A368B">
        <w:t xml:space="preserve">Lindstrom et al. </w:t>
      </w:r>
      <w:r>
        <w:t>(</w:t>
      </w:r>
      <w:r w:rsidRPr="007A368B">
        <w:t>2011</w:t>
      </w:r>
      <w:r>
        <w:t>)</w:t>
      </w:r>
      <w:r w:rsidRPr="007A368B">
        <w:t xml:space="preserve"> conducted a meta-analysis of five genome-wide association studies (GWAS) of percent mammographic density adjusted for age and BMI</w:t>
      </w:r>
      <w:r>
        <w:t>. The studies included were</w:t>
      </w:r>
      <w:r w:rsidR="001677A5">
        <w:t xml:space="preserve"> within</w:t>
      </w:r>
      <w:r>
        <w:t xml:space="preserve"> the</w:t>
      </w:r>
      <w:r w:rsidRPr="007A368B">
        <w:t xml:space="preserve"> Marker </w:t>
      </w:r>
      <w:proofErr w:type="gramStart"/>
      <w:r w:rsidRPr="007A368B">
        <w:t>Of</w:t>
      </w:r>
      <w:proofErr w:type="gramEnd"/>
      <w:r w:rsidRPr="007A368B">
        <w:t xml:space="preserve"> DEnsity (MODE) consortium: the Nurses' Health Study (NHS</w:t>
      </w:r>
      <w:r w:rsidR="00333FD2">
        <w:t xml:space="preserve">; </w:t>
      </w:r>
      <w:r w:rsidR="00333FD2">
        <w:rPr>
          <w:i/>
        </w:rPr>
        <w:t>n</w:t>
      </w:r>
      <w:r w:rsidRPr="007A368B">
        <w:t>=1</w:t>
      </w:r>
      <w:r w:rsidR="00333FD2">
        <w:t>,</w:t>
      </w:r>
      <w:r w:rsidRPr="007A368B">
        <w:t>590), the Singapore and Swedish Breast Cancer Study (SASBAC</w:t>
      </w:r>
      <w:r w:rsidR="00333FD2">
        <w:t xml:space="preserve">; </w:t>
      </w:r>
      <w:r w:rsidR="00333FD2">
        <w:rPr>
          <w:i/>
        </w:rPr>
        <w:t>n</w:t>
      </w:r>
      <w:r w:rsidRPr="007A368B">
        <w:t>=1</w:t>
      </w:r>
      <w:r w:rsidR="00333FD2">
        <w:t>,</w:t>
      </w:r>
      <w:r w:rsidRPr="007A368B">
        <w:t>258), the European Prospective Investigation Into Cancer and Nutrition - (EPIC-Norfolk</w:t>
      </w:r>
      <w:r w:rsidR="00333FD2">
        <w:t xml:space="preserve">; </w:t>
      </w:r>
      <w:r w:rsidRPr="00333FD2">
        <w:rPr>
          <w:i/>
        </w:rPr>
        <w:t>n</w:t>
      </w:r>
      <w:r w:rsidRPr="007A368B">
        <w:t>=1</w:t>
      </w:r>
      <w:r w:rsidR="00333FD2">
        <w:t>,</w:t>
      </w:r>
      <w:r w:rsidRPr="007A368B">
        <w:t>142), the Minnesota Breast Cancer Family study (MBCFS</w:t>
      </w:r>
      <w:r w:rsidR="00333FD2">
        <w:t xml:space="preserve">; </w:t>
      </w:r>
      <w:r w:rsidR="00333FD2">
        <w:rPr>
          <w:i/>
        </w:rPr>
        <w:t>n</w:t>
      </w:r>
      <w:r w:rsidRPr="007A368B">
        <w:t>=571) and the T</w:t>
      </w:r>
      <w:r w:rsidR="00C14D92">
        <w:t>oronto/Melbourne</w:t>
      </w:r>
      <w:r w:rsidRPr="007A368B">
        <w:t xml:space="preserve"> study (</w:t>
      </w:r>
      <w:r w:rsidRPr="00333FD2">
        <w:rPr>
          <w:i/>
        </w:rPr>
        <w:t>n</w:t>
      </w:r>
      <w:r w:rsidRPr="007A368B">
        <w:t xml:space="preserve">=316). </w:t>
      </w:r>
      <w:r w:rsidR="00333FD2">
        <w:t>The final sample</w:t>
      </w:r>
      <w:r w:rsidRPr="007A368B">
        <w:t xml:space="preserve"> </w:t>
      </w:r>
      <w:r w:rsidR="00333FD2">
        <w:t>consisted of</w:t>
      </w:r>
      <w:r w:rsidRPr="007A368B">
        <w:t xml:space="preserve"> 4</w:t>
      </w:r>
      <w:r w:rsidR="00333FD2">
        <w:t>,</w:t>
      </w:r>
      <w:r w:rsidRPr="007A368B">
        <w:t xml:space="preserve">877 </w:t>
      </w:r>
      <w:r w:rsidR="00333FD2">
        <w:t xml:space="preserve">European </w:t>
      </w:r>
      <w:r w:rsidRPr="007A368B">
        <w:t>women</w:t>
      </w:r>
      <w:r w:rsidR="00333FD2">
        <w:t>, the majority (89%) of whom were post-menopausal</w:t>
      </w:r>
      <w:r w:rsidRPr="007A368B">
        <w:t xml:space="preserve">. </w:t>
      </w:r>
      <w:r>
        <w:t>A</w:t>
      </w:r>
      <w:r>
        <w:rPr>
          <w:color w:val="000000"/>
          <w:shd w:val="clear" w:color="auto" w:fill="FFFFFF"/>
        </w:rPr>
        <w:t xml:space="preserve">ll studies used the </w:t>
      </w:r>
      <w:r w:rsidR="00E47217">
        <w:rPr>
          <w:color w:val="000000"/>
          <w:shd w:val="clear" w:color="auto" w:fill="FFFFFF"/>
        </w:rPr>
        <w:t>C</w:t>
      </w:r>
      <w:r w:rsidR="00627E27">
        <w:rPr>
          <w:color w:val="000000"/>
          <w:shd w:val="clear" w:color="auto" w:fill="FFFFFF"/>
        </w:rPr>
        <w:t xml:space="preserve">umulus </w:t>
      </w:r>
      <w:r>
        <w:rPr>
          <w:color w:val="000000"/>
          <w:shd w:val="clear" w:color="auto" w:fill="FFFFFF"/>
        </w:rPr>
        <w:t xml:space="preserve">software to measure breast density. </w:t>
      </w:r>
      <w:r w:rsidR="00333FD2">
        <w:rPr>
          <w:color w:val="000000"/>
          <w:shd w:val="clear" w:color="auto" w:fill="FFFFFF"/>
        </w:rPr>
        <w:t xml:space="preserve">Because studies did not use the same </w:t>
      </w:r>
      <w:r w:rsidR="00505627">
        <w:rPr>
          <w:color w:val="000000"/>
          <w:shd w:val="clear" w:color="auto" w:fill="FFFFFF"/>
        </w:rPr>
        <w:t>breast density measurement units (</w:t>
      </w:r>
      <w:r w:rsidR="00CC24AA">
        <w:rPr>
          <w:color w:val="000000"/>
          <w:shd w:val="clear" w:color="auto" w:fill="FFFFFF"/>
        </w:rPr>
        <w:t>eg,</w:t>
      </w:r>
      <w:r w:rsidR="00505627">
        <w:rPr>
          <w:color w:val="000000"/>
          <w:shd w:val="clear" w:color="auto" w:fill="FFFFFF"/>
        </w:rPr>
        <w:t xml:space="preserve"> some used extreme sampling whereas others measured density as a continuous trait), a meta-analysis of estimated effect sizes was not possible. </w:t>
      </w:r>
      <w:r>
        <w:rPr>
          <w:color w:val="000000"/>
          <w:shd w:val="clear" w:color="auto" w:fill="FFFFFF"/>
        </w:rPr>
        <w:t xml:space="preserve">Instead, a combined test for each </w:t>
      </w:r>
      <w:r w:rsidRPr="00627E27">
        <w:rPr>
          <w:color w:val="000000"/>
          <w:shd w:val="clear" w:color="auto" w:fill="FFFFFF"/>
        </w:rPr>
        <w:t>single nucleotide polymorphisms (</w:t>
      </w:r>
      <w:r>
        <w:rPr>
          <w:color w:val="000000"/>
          <w:shd w:val="clear" w:color="auto" w:fill="FFFFFF"/>
        </w:rPr>
        <w:t>SNP</w:t>
      </w:r>
      <w:r w:rsidR="00627E27">
        <w:rPr>
          <w:color w:val="000000"/>
          <w:shd w:val="clear" w:color="auto" w:fill="FFFFFF"/>
        </w:rPr>
        <w:t>; a small change in a person’s DNA, the</w:t>
      </w:r>
      <w:r w:rsidR="00627E27" w:rsidRPr="00627E27">
        <w:rPr>
          <w:color w:val="000000"/>
          <w:shd w:val="clear" w:color="auto" w:fill="FFFFFF"/>
        </w:rPr>
        <w:t xml:space="preserve"> most common type of genetic variation</w:t>
      </w:r>
      <w:r>
        <w:rPr>
          <w:color w:val="000000"/>
          <w:shd w:val="clear" w:color="auto" w:fill="FFFFFF"/>
        </w:rPr>
        <w:t>) was derived</w:t>
      </w:r>
      <w:r w:rsidR="00505627">
        <w:rPr>
          <w:color w:val="000000"/>
          <w:shd w:val="clear" w:color="auto" w:fill="FFFFFF"/>
        </w:rPr>
        <w:t xml:space="preserve"> from combined </w:t>
      </w:r>
      <w:r w:rsidR="00505627">
        <w:rPr>
          <w:i/>
          <w:color w:val="000000"/>
          <w:shd w:val="clear" w:color="auto" w:fill="FFFFFF"/>
        </w:rPr>
        <w:t>p</w:t>
      </w:r>
      <w:r w:rsidR="00505627">
        <w:rPr>
          <w:color w:val="000000"/>
          <w:shd w:val="clear" w:color="auto" w:fill="FFFFFF"/>
        </w:rPr>
        <w:t>-values, direction of associations, sample sizes and study-specific weightings.</w:t>
      </w:r>
      <w:r>
        <w:rPr>
          <w:color w:val="000000"/>
          <w:shd w:val="clear" w:color="auto" w:fill="FFFFFF"/>
        </w:rPr>
        <w:t xml:space="preserve"> </w:t>
      </w:r>
    </w:p>
    <w:p w14:paraId="2507040E" w14:textId="02741713" w:rsidR="00EB35FA" w:rsidRPr="0006344F" w:rsidRDefault="00EB35FA" w:rsidP="00EB35FA">
      <w:pPr>
        <w:pStyle w:val="BodyText"/>
        <w:spacing w:before="40" w:after="40"/>
        <w:rPr>
          <w:color w:val="000000"/>
          <w:shd w:val="clear" w:color="auto" w:fill="FFFFFF"/>
        </w:rPr>
      </w:pPr>
      <w:r>
        <w:rPr>
          <w:color w:val="000000"/>
          <w:shd w:val="clear" w:color="auto" w:fill="FFFFFF"/>
        </w:rPr>
        <w:t>This study found that the ‘</w:t>
      </w:r>
      <w:proofErr w:type="gramStart"/>
      <w:r>
        <w:rPr>
          <w:color w:val="000000"/>
          <w:shd w:val="clear" w:color="auto" w:fill="FFFFFF"/>
        </w:rPr>
        <w:t>A</w:t>
      </w:r>
      <w:proofErr w:type="gramEnd"/>
      <w:r>
        <w:rPr>
          <w:color w:val="000000"/>
          <w:shd w:val="clear" w:color="auto" w:fill="FFFFFF"/>
        </w:rPr>
        <w:t>’ allele of rs10995190 in</w:t>
      </w:r>
      <w:r w:rsidR="00BB2B6B">
        <w:rPr>
          <w:color w:val="000000"/>
          <w:shd w:val="clear" w:color="auto" w:fill="FFFFFF"/>
        </w:rPr>
        <w:t xml:space="preserve"> </w:t>
      </w:r>
      <w:r>
        <w:rPr>
          <w:rStyle w:val="Emphasis"/>
          <w:color w:val="000000"/>
          <w:shd w:val="clear" w:color="auto" w:fill="FFFFFF"/>
        </w:rPr>
        <w:t>ZNF365</w:t>
      </w:r>
      <w:r w:rsidR="00BB2B6B">
        <w:rPr>
          <w:color w:val="000000"/>
          <w:shd w:val="clear" w:color="auto" w:fill="FFFFFF"/>
        </w:rPr>
        <w:t xml:space="preserve"> </w:t>
      </w:r>
      <w:r>
        <w:rPr>
          <w:color w:val="000000"/>
          <w:shd w:val="clear" w:color="auto" w:fill="FFFFFF"/>
        </w:rPr>
        <w:t xml:space="preserve">was associated with </w:t>
      </w:r>
      <w:r w:rsidR="009622E9">
        <w:rPr>
          <w:color w:val="000000"/>
          <w:shd w:val="clear" w:color="auto" w:fill="FFFFFF"/>
        </w:rPr>
        <w:t>both decreased breast cancer risk (</w:t>
      </w:r>
      <w:r w:rsidR="009622E9">
        <w:rPr>
          <w:i/>
          <w:color w:val="000000"/>
          <w:shd w:val="clear" w:color="auto" w:fill="FFFFFF"/>
        </w:rPr>
        <w:t xml:space="preserve">p </w:t>
      </w:r>
      <w:r w:rsidR="009622E9">
        <w:rPr>
          <w:color w:val="000000"/>
          <w:shd w:val="clear" w:color="auto" w:fill="FFFFFF"/>
        </w:rPr>
        <w:t>= 5.1 x 10</w:t>
      </w:r>
      <w:r w:rsidR="009622E9" w:rsidRPr="009622E9">
        <w:rPr>
          <w:color w:val="000000"/>
          <w:shd w:val="clear" w:color="auto" w:fill="FFFFFF"/>
          <w:vertAlign w:val="superscript"/>
        </w:rPr>
        <w:t>-15</w:t>
      </w:r>
      <w:r w:rsidR="009622E9">
        <w:rPr>
          <w:color w:val="000000"/>
          <w:shd w:val="clear" w:color="auto" w:fill="FFFFFF"/>
        </w:rPr>
        <w:t xml:space="preserve">) and </w:t>
      </w:r>
      <w:r>
        <w:rPr>
          <w:color w:val="000000"/>
          <w:shd w:val="clear" w:color="auto" w:fill="FFFFFF"/>
        </w:rPr>
        <w:t>lower breast density (</w:t>
      </w:r>
      <w:r>
        <w:rPr>
          <w:i/>
          <w:color w:val="000000"/>
          <w:shd w:val="clear" w:color="auto" w:fill="FFFFFF"/>
        </w:rPr>
        <w:t>p</w:t>
      </w:r>
      <w:r w:rsidR="009622E9">
        <w:rPr>
          <w:color w:val="000000"/>
          <w:shd w:val="clear" w:color="auto" w:fill="FFFFFF"/>
        </w:rPr>
        <w:t xml:space="preserve"> = 9.6 x 10</w:t>
      </w:r>
      <w:r w:rsidR="009622E9" w:rsidRPr="009622E9">
        <w:rPr>
          <w:color w:val="000000"/>
          <w:shd w:val="clear" w:color="auto" w:fill="FFFFFF"/>
          <w:vertAlign w:val="superscript"/>
        </w:rPr>
        <w:t>-10</w:t>
      </w:r>
      <w:r>
        <w:rPr>
          <w:color w:val="000000"/>
          <w:shd w:val="clear" w:color="auto" w:fill="FFFFFF"/>
        </w:rPr>
        <w:t>)</w:t>
      </w:r>
      <w:r w:rsidR="009622E9">
        <w:rPr>
          <w:color w:val="000000"/>
          <w:sz w:val="20"/>
          <w:szCs w:val="20"/>
          <w:shd w:val="clear" w:color="auto" w:fill="FFFFFF"/>
        </w:rPr>
        <w:t xml:space="preserve">. </w:t>
      </w:r>
      <w:r>
        <w:rPr>
          <w:color w:val="000000"/>
          <w:shd w:val="clear" w:color="auto" w:fill="FFFFFF"/>
        </w:rPr>
        <w:t xml:space="preserve">To assess </w:t>
      </w:r>
      <w:r w:rsidR="009622E9">
        <w:rPr>
          <w:color w:val="000000"/>
          <w:shd w:val="clear" w:color="auto" w:fill="FFFFFF"/>
        </w:rPr>
        <w:t xml:space="preserve">whether its relationship with lower breast cancer risk is mediated through its association with lower breast density, the relationships between rs10995190 and breast cancer risk </w:t>
      </w:r>
      <w:r w:rsidR="00567981">
        <w:rPr>
          <w:color w:val="000000"/>
          <w:shd w:val="clear" w:color="auto" w:fill="FFFFFF"/>
        </w:rPr>
        <w:t xml:space="preserve">were </w:t>
      </w:r>
      <w:r w:rsidR="009622E9">
        <w:rPr>
          <w:color w:val="000000"/>
          <w:shd w:val="clear" w:color="auto" w:fill="FFFFFF"/>
        </w:rPr>
        <w:t xml:space="preserve">calculated before and after controlling for breast density. These analyses used case-control data from three of the included studies </w:t>
      </w:r>
      <w:r>
        <w:rPr>
          <w:color w:val="000000"/>
          <w:shd w:val="clear" w:color="auto" w:fill="FFFFFF"/>
        </w:rPr>
        <w:t>(NHS, SASBAC and MCBCS)</w:t>
      </w:r>
      <w:r w:rsidR="009622E9">
        <w:rPr>
          <w:color w:val="000000"/>
          <w:shd w:val="clear" w:color="auto" w:fill="FFFFFF"/>
        </w:rPr>
        <w:t>, totalling 2,107 breast cancer cases and 2,433 controls</w:t>
      </w:r>
      <w:r>
        <w:rPr>
          <w:color w:val="000000"/>
          <w:shd w:val="clear" w:color="auto" w:fill="FFFFFF"/>
        </w:rPr>
        <w:t xml:space="preserve">. </w:t>
      </w:r>
      <w:r w:rsidR="009622E9">
        <w:rPr>
          <w:color w:val="000000"/>
          <w:shd w:val="clear" w:color="auto" w:fill="FFFFFF"/>
        </w:rPr>
        <w:t xml:space="preserve">Before controlling for breast density, they found a </w:t>
      </w:r>
      <w:r w:rsidR="00505627">
        <w:rPr>
          <w:color w:val="000000"/>
          <w:shd w:val="clear" w:color="auto" w:fill="FFFFFF"/>
        </w:rPr>
        <w:t xml:space="preserve">small but </w:t>
      </w:r>
      <w:r>
        <w:rPr>
          <w:color w:val="000000"/>
          <w:shd w:val="clear" w:color="auto" w:fill="FFFFFF"/>
        </w:rPr>
        <w:t>significant association between rs10995190 and breast cancer risk (OR</w:t>
      </w:r>
      <w:r w:rsidR="00505627">
        <w:rPr>
          <w:color w:val="000000"/>
          <w:shd w:val="clear" w:color="auto" w:fill="FFFFFF"/>
        </w:rPr>
        <w:t xml:space="preserve"> =</w:t>
      </w:r>
      <w:r>
        <w:rPr>
          <w:color w:val="000000"/>
          <w:shd w:val="clear" w:color="auto" w:fill="FFFFFF"/>
        </w:rPr>
        <w:t xml:space="preserve"> 0.85, 95%CI 0.76-0.96, </w:t>
      </w:r>
      <w:r>
        <w:rPr>
          <w:i/>
          <w:color w:val="000000"/>
          <w:shd w:val="clear" w:color="auto" w:fill="FFFFFF"/>
        </w:rPr>
        <w:t>p</w:t>
      </w:r>
      <w:r>
        <w:rPr>
          <w:color w:val="000000"/>
          <w:shd w:val="clear" w:color="auto" w:fill="FFFFFF"/>
        </w:rPr>
        <w:t xml:space="preserve">=.008). </w:t>
      </w:r>
      <w:r w:rsidR="009622E9">
        <w:rPr>
          <w:color w:val="000000"/>
          <w:shd w:val="clear" w:color="auto" w:fill="FFFFFF"/>
        </w:rPr>
        <w:t xml:space="preserve">After controlling for breast density, the association </w:t>
      </w:r>
      <w:r w:rsidR="0006344F">
        <w:rPr>
          <w:color w:val="000000"/>
          <w:shd w:val="clear" w:color="auto" w:fill="FFFFFF"/>
        </w:rPr>
        <w:t xml:space="preserve">increased slightly (OR = 0.90, 95%CI 0.80-1.01, </w:t>
      </w:r>
      <w:r w:rsidR="0006344F">
        <w:rPr>
          <w:i/>
          <w:color w:val="000000"/>
          <w:shd w:val="clear" w:color="auto" w:fill="FFFFFF"/>
        </w:rPr>
        <w:t>p</w:t>
      </w:r>
      <w:r w:rsidR="0006344F">
        <w:rPr>
          <w:color w:val="000000"/>
          <w:shd w:val="clear" w:color="auto" w:fill="FFFFFF"/>
        </w:rPr>
        <w:t xml:space="preserve">=.09). </w:t>
      </w:r>
    </w:p>
    <w:p w14:paraId="19335F23" w14:textId="1C3B5679" w:rsidR="00EB35FA" w:rsidRDefault="0006344F" w:rsidP="00EB35FA">
      <w:pPr>
        <w:pStyle w:val="BodyText"/>
        <w:rPr>
          <w:shd w:val="clear" w:color="auto" w:fill="FFFFFF"/>
        </w:rPr>
      </w:pPr>
      <w:r>
        <w:rPr>
          <w:shd w:val="clear" w:color="auto" w:fill="FFFFFF"/>
        </w:rPr>
        <w:t>The results indicate</w:t>
      </w:r>
      <w:r w:rsidR="00EB35FA">
        <w:rPr>
          <w:shd w:val="clear" w:color="auto" w:fill="FFFFFF"/>
        </w:rPr>
        <w:t xml:space="preserve"> that genetic variation in</w:t>
      </w:r>
      <w:r w:rsidR="00BB2B6B">
        <w:rPr>
          <w:shd w:val="clear" w:color="auto" w:fill="FFFFFF"/>
        </w:rPr>
        <w:t xml:space="preserve"> </w:t>
      </w:r>
      <w:r w:rsidR="00EB35FA">
        <w:rPr>
          <w:rStyle w:val="Emphasis"/>
          <w:color w:val="000000"/>
          <w:shd w:val="clear" w:color="auto" w:fill="FFFFFF"/>
        </w:rPr>
        <w:t>ZNF365</w:t>
      </w:r>
      <w:r w:rsidR="00BB2B6B">
        <w:rPr>
          <w:shd w:val="clear" w:color="auto" w:fill="FFFFFF"/>
        </w:rPr>
        <w:t xml:space="preserve"> </w:t>
      </w:r>
      <w:r w:rsidR="00EB35FA">
        <w:rPr>
          <w:shd w:val="clear" w:color="auto" w:fill="FFFFFF"/>
        </w:rPr>
        <w:t xml:space="preserve">could </w:t>
      </w:r>
      <w:r>
        <w:rPr>
          <w:shd w:val="clear" w:color="auto" w:fill="FFFFFF"/>
        </w:rPr>
        <w:t>reduce</w:t>
      </w:r>
      <w:r w:rsidR="00EB35FA">
        <w:rPr>
          <w:shd w:val="clear" w:color="auto" w:fill="FFFFFF"/>
        </w:rPr>
        <w:t xml:space="preserve"> breast cancer risk </w:t>
      </w:r>
      <w:r>
        <w:rPr>
          <w:shd w:val="clear" w:color="auto" w:fill="FFFFFF"/>
        </w:rPr>
        <w:t xml:space="preserve">through its negative association with the level </w:t>
      </w:r>
      <w:r w:rsidR="00EB35FA">
        <w:rPr>
          <w:shd w:val="clear" w:color="auto" w:fill="FFFFFF"/>
        </w:rPr>
        <w:t>of dense tissue in the breast</w:t>
      </w:r>
      <w:r>
        <w:rPr>
          <w:shd w:val="clear" w:color="auto" w:fill="FFFFFF"/>
        </w:rPr>
        <w:t xml:space="preserve">. That said, the study </w:t>
      </w:r>
      <w:r w:rsidR="00505627">
        <w:rPr>
          <w:shd w:val="clear" w:color="auto" w:fill="FFFFFF"/>
        </w:rPr>
        <w:t xml:space="preserve">did not control for the possibility of a </w:t>
      </w:r>
      <w:r>
        <w:rPr>
          <w:shd w:val="clear" w:color="auto" w:fill="FFFFFF"/>
        </w:rPr>
        <w:t xml:space="preserve">confounding </w:t>
      </w:r>
      <w:r w:rsidR="00505627">
        <w:rPr>
          <w:shd w:val="clear" w:color="auto" w:fill="FFFFFF"/>
        </w:rPr>
        <w:t xml:space="preserve">factor influencing </w:t>
      </w:r>
      <w:r>
        <w:rPr>
          <w:shd w:val="clear" w:color="auto" w:fill="FFFFFF"/>
        </w:rPr>
        <w:t>the genetic variation,</w:t>
      </w:r>
      <w:r w:rsidR="00505627">
        <w:rPr>
          <w:shd w:val="clear" w:color="auto" w:fill="FFFFFF"/>
        </w:rPr>
        <w:t xml:space="preserve"> breast cancer risk and breast density independently</w:t>
      </w:r>
      <w:r w:rsidR="00EB35FA">
        <w:rPr>
          <w:shd w:val="clear" w:color="auto" w:fill="FFFFFF"/>
        </w:rPr>
        <w:t xml:space="preserve">. </w:t>
      </w:r>
      <w:r w:rsidRPr="00FF0B5D">
        <w:t>This</w:t>
      </w:r>
      <w:r>
        <w:rPr>
          <w:shd w:val="clear" w:color="auto" w:fill="FFFFFF"/>
        </w:rPr>
        <w:t xml:space="preserve"> was the only meta-analysis found within our date range looking specifically at the association between genes and breast density; f</w:t>
      </w:r>
      <w:r w:rsidR="008D405F">
        <w:rPr>
          <w:shd w:val="clear" w:color="auto" w:fill="FFFFFF"/>
        </w:rPr>
        <w:t>urther</w:t>
      </w:r>
      <w:r w:rsidR="00EB35FA">
        <w:rPr>
          <w:shd w:val="clear" w:color="auto" w:fill="FFFFFF"/>
        </w:rPr>
        <w:t xml:space="preserve"> investigation is needed for a more conclusive link.</w:t>
      </w:r>
    </w:p>
    <w:p w14:paraId="62D57138" w14:textId="6C88E567" w:rsidR="00EB35FA" w:rsidRDefault="00EB35FA" w:rsidP="00EB35FA">
      <w:pPr>
        <w:pStyle w:val="BodyText"/>
      </w:pPr>
      <w:r w:rsidRPr="003F55E9">
        <w:t>Huo et al.</w:t>
      </w:r>
      <w:r>
        <w:t xml:space="preserve"> (</w:t>
      </w:r>
      <w:r w:rsidRPr="003F55E9">
        <w:t>201</w:t>
      </w:r>
      <w:r w:rsidR="00937448">
        <w:t>4</w:t>
      </w:r>
      <w:r w:rsidR="00505627">
        <w:t xml:space="preserve">; </w:t>
      </w:r>
      <w:r w:rsidRPr="003F55E9">
        <w:t xml:space="preserve">as described above) included 28 studies investigating the link between breast density and factors such as gene variants, hereditability, gene polymorphisms, </w:t>
      </w:r>
      <w:proofErr w:type="gramStart"/>
      <w:r w:rsidRPr="003F55E9">
        <w:t>variation</w:t>
      </w:r>
      <w:proofErr w:type="gramEnd"/>
      <w:r w:rsidRPr="003F55E9">
        <w:t xml:space="preserve"> in cellular pathway signalling</w:t>
      </w:r>
      <w:r>
        <w:t xml:space="preserve">. The results of this are described in </w:t>
      </w:r>
      <w:r w:rsidRPr="003F55E9">
        <w:t xml:space="preserve">Table </w:t>
      </w:r>
      <w:r w:rsidR="00D9440D">
        <w:t>1</w:t>
      </w:r>
      <w:r w:rsidR="006465B1">
        <w:t>3</w:t>
      </w:r>
      <w:r w:rsidR="00D9440D">
        <w:t xml:space="preserve"> </w:t>
      </w:r>
      <w:r w:rsidR="00C14D92">
        <w:t>(overleaf)</w:t>
      </w:r>
      <w:r w:rsidRPr="003F55E9">
        <w:t>.</w:t>
      </w:r>
    </w:p>
    <w:p w14:paraId="235A7AA7" w14:textId="77777777" w:rsidR="00EB040B" w:rsidRPr="003F55E9" w:rsidRDefault="00EB040B" w:rsidP="00EB35FA">
      <w:pPr>
        <w:pStyle w:val="BodyText"/>
      </w:pPr>
    </w:p>
    <w:p w14:paraId="5DCC7CB6" w14:textId="77777777" w:rsidR="00EB040B" w:rsidRDefault="00EB040B">
      <w:pPr>
        <w:rPr>
          <w:b/>
          <w:bCs/>
          <w:color w:val="36424A" w:themeColor="accent1"/>
          <w:sz w:val="18"/>
          <w:szCs w:val="18"/>
          <w:shd w:val="clear" w:color="auto" w:fill="FFFFFF"/>
        </w:rPr>
        <w:sectPr w:rsidR="00EB040B" w:rsidSect="0055619E">
          <w:pgSz w:w="11907" w:h="16839" w:code="9"/>
          <w:pgMar w:top="1418" w:right="1418" w:bottom="1418" w:left="1418" w:header="964" w:footer="964" w:gutter="0"/>
          <w:cols w:space="708"/>
          <w:docGrid w:linePitch="360"/>
        </w:sectPr>
      </w:pPr>
    </w:p>
    <w:p w14:paraId="16EDD125" w14:textId="4E497F0F" w:rsidR="00EB35FA" w:rsidRDefault="006F33EB" w:rsidP="00EB35FA">
      <w:pPr>
        <w:pStyle w:val="Caption"/>
        <w:rPr>
          <w:shd w:val="clear" w:color="auto" w:fill="FFFFFF"/>
        </w:rPr>
      </w:pPr>
      <w:r>
        <w:rPr>
          <w:shd w:val="clear" w:color="auto" w:fill="FFFFFF"/>
        </w:rPr>
        <w:lastRenderedPageBreak/>
        <w:t xml:space="preserve">Table </w:t>
      </w:r>
      <w:r w:rsidR="00D9440D">
        <w:rPr>
          <w:shd w:val="clear" w:color="auto" w:fill="FFFFFF"/>
        </w:rPr>
        <w:t>1</w:t>
      </w:r>
      <w:r w:rsidR="006465B1">
        <w:rPr>
          <w:shd w:val="clear" w:color="auto" w:fill="FFFFFF"/>
        </w:rPr>
        <w:t>3</w:t>
      </w:r>
      <w:r w:rsidR="00EB35FA" w:rsidRPr="00477928">
        <w:rPr>
          <w:shd w:val="clear" w:color="auto" w:fill="FFFFFF"/>
        </w:rPr>
        <w:t xml:space="preserve">. Literature on the genetic variations of mammographic density presented in Huo et al. </w:t>
      </w:r>
      <w:r w:rsidR="0006344F">
        <w:rPr>
          <w:shd w:val="clear" w:color="auto" w:fill="FFFFFF"/>
        </w:rPr>
        <w:t>(</w:t>
      </w:r>
      <w:r w:rsidR="00EB35FA" w:rsidRPr="00477928">
        <w:rPr>
          <w:shd w:val="clear" w:color="auto" w:fill="FFFFFF"/>
        </w:rPr>
        <w:t>201</w:t>
      </w:r>
      <w:r w:rsidR="00937448">
        <w:rPr>
          <w:shd w:val="clear" w:color="auto" w:fill="FFFFFF"/>
        </w:rPr>
        <w:t>4</w:t>
      </w:r>
      <w:r w:rsidR="0006344F">
        <w:rPr>
          <w:shd w:val="clear" w:color="auto" w:fill="FFFFFF"/>
        </w:rPr>
        <w:t>)</w:t>
      </w:r>
      <w:r w:rsidR="00EB35FA" w:rsidRPr="00477928">
        <w:rPr>
          <w:shd w:val="clear" w:color="auto" w:fill="FFFFFF"/>
        </w:rPr>
        <w:t>.</w:t>
      </w:r>
    </w:p>
    <w:tbl>
      <w:tblPr>
        <w:tblStyle w:val="ACGreen-BasicTable"/>
        <w:tblW w:w="4882" w:type="pct"/>
        <w:tblInd w:w="0" w:type="dxa"/>
        <w:tblLayout w:type="fixed"/>
        <w:tblLook w:val="04A0" w:firstRow="1" w:lastRow="0" w:firstColumn="1" w:lastColumn="0" w:noHBand="0" w:noVBand="1"/>
        <w:tblDescription w:val="The table presents the key findings from seventeen studies. Individual studies are presented with information on study design, study population, variables adjusted for in analysis, the number of cases: non-cases, age (years), and mammographic feature. &#10;The study conducted by Sun et al. in 2013 was a cohort study. The study population was from a Population-based Polish Women’s Breast Cancer Study, 2000-2003. The variables adjusted for in analysis were age and BMI. The number of cases: non-cases was 121: NK, the age was between 20–74 years. The mammographic feature was Cumulus. The key findings were: Inactive subtype of extratumoral gene expression was associated with increased density.&#10;The study conducted by Ozhand et al. in 2013 was a cohort study. The study population was a Norwegian Breast Cancer Screening Program, 1996-2005. The variables adjusted for in analysis were age and BMI. The number of cases: non-cases was 2,755: 4,419 for ages between 50–69 years. The mammographic feature was CAM. The key findings were: 9 tagging SNPs in the IL6 gene had an effect of 3–5% on density per variant allele.&#10;The study conducted by Lee et al. in 2013 was a cohort study. The study population was a Singapore Breast-Screening Project. The variables adjusted for in analysis were age at menopause and BMI. The number of cases: non-cases was 2,164: 1,538, for age (years) NK.  The mammographic features was NK. The key findings were 161 SNPs in 15 hormone metabolism pathway gene regions were not associated with density.&#10;The study conducted by Lee et al. in 2013 was a cross-sectional study. The study population was a Singapore Breast-Screening Project, 1993-1998. The variables adjusted for in analysis were age, BMI and dialect group. The number of cases: non-cases was 3,695: 82, for ages between 45–74 years. The mammographic feature was CAM. The key findings were: TGFβ1 genetic variations were found to be associated with PD.&#10;The study conducted by De Aguiar et al. in 2012 was a cohort study. The study population was from a Screening Centre, Brazil, 2005-2006. The variables adjusted for in analysis were N/A. The number of cases: non-cases was 890: NK, the age was between 45–69 years. The mammographic feature was BIRADS. The key findings were: Density in postmenopausal women was significantly associated with the combined GSTM1 and GSTT1 null genotypes.&#10;The study conducted by Stone et al. in 2012 was a case-control study. The study population was from the Australian Twin Registry, 1995-1999. The variables adjusted for in analysis were age and BMI. The number of cases: non-cases was 327: 272, aged between 40–70 years. The mammographic feature was Cumulus. The key findings were: Genetic components of density variation are established before mid-life, and density measures are highly correlated over time.&#10;The study conducted by Stevens et al. in 2012 was a cross-sectional study. The study population was from The Mayo Clinic, USA. The variables adjusted for in analysis were age and BMI. The number of cases: non-cases was 1,241: 5,777, with the age (years) NK. The mammographic feature was Cumulus. The key findings were: RS1265507 on 12q24 was associated with PD.&#10;The study conducted by Vachon et al. in 2007 was a cross-sectional study. The study population was from the DENSNP consortium, USA. The variables adjusted for in analysis were age, BMI, and menopausal status. The number of cases: non-cases was 5,110:11,785, the age (years) NK. The mammographic feature was Cumulus. The key findings were: The C-allele of rs3817198 in LSP1 was positively associated with BC and density.&#10;The study conducted by Varghese, in 2012 was a cohort study. The study population was from Genome-Wide Association Studies, UK. The variables adjusted for in analysis were age, BMI, and population stratification. The number of cases: non-cases was 3,628:5,190, the age (years) was NK. The mammographic feature was Cumulus. The key findings were: PD and BC have a shared genetic basis that is mediated through a large number of common variants.&#10;The study conducted by Greenwood et al.in 2011 was a cohort study. The study population came from the Australian Twin Registry. The variables adjusted for in analysis were age, parity, menopausal status, HRT, and BMI. The number of cases: non-cases was 3,253: 699, for the Mean age of 52.8 (years). The mammographic feature was PD. The key findings were: Maximum logarithm of odds from the genome-wide scan was on chromosome 7q32.3-q34 (LOD32) and 12.11.22-q13.11 (LOD 3.3).&#10;The study conducted by Maskarinec et al. in 2011 was a cohort study. The study population was mother and daughter pairs, USA. The variables adjusted for in analysis were age, BMI, and race. The number of cases: non-cases was 101:203, with the age between 38.7–64.3 years (mothers); 10.2–16.9 years (daughters). The mammographic feature was BIRADS. The key findings were: No association was found between percent and absolute fibroglandular volume of mothers and daughters. &#10;The study conducted by Giacomazzi in 2011 was a cohort study. The study population was from a Mammography Screening Program, Brazil. The variables adjusted for in analysis were Age (at screening, at menopause, at menarche, at first birth), parity, race, and BMI.  The number of cases: non-cases was 750: NK, aged between 40–69 years. The mammographic feature was BIRADS. The key findings were: HD was associated with BC more frequently in premenopausal women with the risk genotypes STK15 F31I AA and AT.&#10;The study conducted by Sung et al. in 2010 was a cohort study. The study population was from a Healthy Twin Study, Korea, 2005-2007. The variables adjusted for in analysis were age (current, at first birth, at menarche), BMI, smoking, alcohol, parity, breastfeeding ever, HRT, and menopausal status. The number of cases: non-cases was 730: 667, for ages 30+ years. The mammographic feature was Cumulus. The key findings were: PD demonstrated high heritability in Korean women.&#10;The study conducted by Odefrey in 2010 was a cross-sectional study. The study population was an Australian Twin and Sisters Mammographic Density Study, 2004-2009. The variables adjusted for in analysis were age and BMI. The number of cases: non-cases was 2,288: NK, with the age between 40–70 years. The mammographic feature was Cumulus. The key findings were: rs3817198 (LSP1) and rs13281615 (8q) were associated with dense area and PD.&#10;The study conducted by Yang et al. in 2010 was a pre-clinical study. The study population was from a Frozen Tissue Bank, USA. The variables adjusted for in analysis were N/A. The number of cases: non-cases was 66: NK, with the age between 29–88 years. The mammographic feature was BIRADS. The key findings were: High density was associated with reduced TGFβ signalling and increased COX2 expression in high-risk women. &#10;The study conducted by de Moura Ramos et al in 2009 was a cross-sectional study. The study population included patients from Climacterium Sector and Diagnostic Section of the Department of Gynaecology, Federal de São Paulo, Escola Paulista de Medicina, 2008. The variables adjusted for in analysis were age (current, at menopause), BMI, menopausal status, and parity. The number of cases: non-cases was 120: NK, the age (years) was NK. The mammographic feature was BIRADS. The key findings were: Polymorphism Xbal may be strongly related to density (p = 0.02).&#10;The study conducted by Crandall et al. in 2009 was a cohort study. The study population was from the Study of Women’s Health Across the Nation, USA. The variables adjusted for in analysis were age, race, parity, BMI, and smoking. The number of cases: non-cases was 451:643, the age between 42–52 years. The mammographic feature was PD. The key findings were: The CYP1B1 rs162555 CC genotype was associated with a 9.4% higher density than the TC/TT genotype (p = 0.04). The CYP19A1 rs936306 TT genotype was associated with 6.2% lower density than the TC/CC genotype (p = 0.02).&#10;The study conducted by Kataoka et al. in 2009 was a case-control study. The study population was from the Mammography Screening Program, UK, 2002-2007. The variables adjusted for in analysis were age (at screening, at menopause, at menarche, at first birth), BMI, smoking, alcohol, menopausal status, parity, breastfeeding ever, and history of benign disease. The number of cases: non-cases was 746: NK, the age between 37–79 years. The mammographic feature was Cumulus. The key findings were: Sister–sister pairs and monozygotic twin pairs showed that density had a strong heritable basis.&#10;The study conducted by Chambo et al. in 2009 was a cross-sectional study. The study population included patients from Climacterium Sector and Diagnostic Section of the Department of Gynaecology, Federal de São Paulo, Escola Paulista de Medicina, 2006. The variables adjusted for in analysis were age, parity, and BMI. The number of cases: non-cases was 123: NK, the age (years) NK. The mammographic feature was BIRADS. The key findings were: Wild-type PROGINS and mutated CYP17 taken together were associated with a 4.87 times higher chance of having dense breasts (p = 0.030).&#10;The study conducted by Woolcott et al. in 2009 was a nested case-control study. The study population was a Multi-Ethnic Cohort, USA, 1993-1996. The variables adjusted for in analysis were age, race, and BMI, matched on: race and age group. The number of cases: non-cases was 361:464, the age was between 45–75 years. The mammographic feature was Cumulus. The key findings were: The polymorphism rs12443621 in TOX3 was associated with PD.&#10;The study conducted by Douglas et al. in 2008 was a cohort study. The study population was a Sister-pairs Study, USA, 2005-2007. The variables adjusted for in analysis were age (current, at menarche, at menopause), menopausal status, and BMI. The number of cases: non-cases was 550: 474, with the age between 40–88 years. The mammographic feature was CAM. The key findings were: Genetic effects accounted for &gt;33% of the total variance of density.&#10;The study conducted by Tamimi et al. in 2008 was a cross-sectional study. The study population was a Nurses’ Health Study, USA, 1989-1990. The variables adjusted for in analysis were age and BMI. The number of cases: non-cases was 1,121: NK, with the age between 33–55 years. The mammographic feature was Cumulus. The key findings were: No association between the 11 BC susceptibility loci and density was seen.&#10;The study conducted by Diorio et al. in 2008 was a cross-sectional study. The study population was from a Mammography Screening Program, Canada, 2001. The variables adjusted for in analysis were age at screening, BMI, parity, smoking, and previous biopsies. The number of cases: non-cases was 741:46, with the Mean age being 46.8 years. The mammographic feature was Cumulus. The key findings were: Women carrying increasing number of copies of the rare allele of IGF-I rs1520220 and rs6220 SNPs had increased PD.&#10;The study conducted by Verheus et al. in 2008 was a cohort study. The study population was from a European Prospective Investigation into Cancer and Nutrition Study, 1993-1997. The variables adjusted for in analysis were age (current, at first birth), BMI, parity, HRT, smoking, and oral contraceptive. The number of cases: non-cases was 656: 1,272, with an age of 50+ years. The mammographic feature was PD. The key findings were: Common genetic variations in the IGF-1 gene were not associated with density.&#10;The study conducted by Vachon et al. in 2007 was a cross-sectional study. The study population was multigenerational families ascertained though a breast cancer proband, USA, 1990-1996. The variable adjusted for in analysis was age. The number of cases: non-cases was 583:306, the age between 46–70 years. The mammographic feature was Cumulus. The key findings were: The maximum logarithm of odds for linkage score from the genome wide scan was on chromosome 5p (likely to account for up to 22% of variation in density).&#10;The study conducted by Stone et al. in 2007 was a cross-sectional study. The study population was from an Australian Twin and Sisters Mammographic Density Study. The variables adjusted for in analysis were age, BMI, parity, HRT, smoking, and menopausal status. The number of cases: non-cases was 457: 499, for ages between 40–70 years. The mammographic feature was CAM. The key findings were: Each additional copy of the HSD3B1 Asn(367)Thr variant allele was associated with lower PD.&#10;The study conducted by Olson et al. in 2007 was a cross-sectional study. The study population was from The Mayo Clinic, USA. The variables adjusted for in analysis were age, geographic location, BMI, menopausal status, and parity. The number of cases: non-cases was 550: 182, the age (years) was NK. The mammographic feature was Cumulus. The key findings were: CYP19 variants were not associated with density. &#10;The study conducted by Tamimi et al in 2007 was a cross-sectional study. The study population was from a Nurses’ Health Study, USA, 1998. The variables adjusted for in analysis was age, BMI, alcohol, parity, family history, history of benign disease, menopausal status, and HRT. The number of cases: non-cases was 1,121:21, with the age being between 42–78 years. The mammographic feature was Cumulus. The key findings was: Two haplotype-tagging SNPs in IGF1, rs1520220 and rs2946834 showed a strong association with density.&#10;"/>
      </w:tblPr>
      <w:tblGrid>
        <w:gridCol w:w="1354"/>
        <w:gridCol w:w="1195"/>
        <w:gridCol w:w="2271"/>
        <w:gridCol w:w="2129"/>
        <w:gridCol w:w="1019"/>
        <w:gridCol w:w="1008"/>
        <w:gridCol w:w="1044"/>
        <w:gridCol w:w="3643"/>
      </w:tblGrid>
      <w:tr w:rsidR="00345CCE" w:rsidRPr="00345CCE" w14:paraId="18475068" w14:textId="77777777" w:rsidTr="00461081">
        <w:trPr>
          <w:cnfStyle w:val="100000000000" w:firstRow="1" w:lastRow="0" w:firstColumn="0" w:lastColumn="0" w:oddVBand="0" w:evenVBand="0" w:oddHBand="0" w:evenHBand="0" w:firstRowFirstColumn="0" w:firstRowLastColumn="0" w:lastRowFirstColumn="0" w:lastRowLastColumn="0"/>
          <w:trHeight w:val="1390"/>
        </w:trPr>
        <w:tc>
          <w:tcPr>
            <w:tcW w:w="495" w:type="pct"/>
            <w:vAlign w:val="center"/>
            <w:hideMark/>
          </w:tcPr>
          <w:p w14:paraId="3C7D32D0" w14:textId="0631732A"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Study</w:t>
            </w:r>
          </w:p>
        </w:tc>
        <w:tc>
          <w:tcPr>
            <w:tcW w:w="437" w:type="pct"/>
            <w:vAlign w:val="center"/>
            <w:hideMark/>
          </w:tcPr>
          <w:p w14:paraId="2A131C26" w14:textId="6B186012"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Study design</w:t>
            </w:r>
          </w:p>
        </w:tc>
        <w:tc>
          <w:tcPr>
            <w:tcW w:w="831" w:type="pct"/>
            <w:vAlign w:val="center"/>
          </w:tcPr>
          <w:p w14:paraId="2AE39CA6" w14:textId="650E0299"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Study population</w:t>
            </w:r>
          </w:p>
        </w:tc>
        <w:tc>
          <w:tcPr>
            <w:tcW w:w="779" w:type="pct"/>
            <w:vAlign w:val="center"/>
          </w:tcPr>
          <w:p w14:paraId="26E714FA" w14:textId="3ED3D585"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Variables adjusted for in analysis</w:t>
            </w:r>
          </w:p>
        </w:tc>
        <w:tc>
          <w:tcPr>
            <w:tcW w:w="373" w:type="pct"/>
            <w:vAlign w:val="center"/>
            <w:hideMark/>
          </w:tcPr>
          <w:p w14:paraId="3A2B9554" w14:textId="00931DB3"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No. cases: non-cases</w:t>
            </w:r>
          </w:p>
        </w:tc>
        <w:tc>
          <w:tcPr>
            <w:tcW w:w="369" w:type="pct"/>
            <w:vAlign w:val="center"/>
            <w:hideMark/>
          </w:tcPr>
          <w:p w14:paraId="350C81D8" w14:textId="77777777"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Age (years)</w:t>
            </w:r>
          </w:p>
        </w:tc>
        <w:tc>
          <w:tcPr>
            <w:tcW w:w="382" w:type="pct"/>
            <w:vAlign w:val="center"/>
            <w:hideMark/>
          </w:tcPr>
          <w:p w14:paraId="3BDE1C80" w14:textId="77777777"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Mammographic feature</w:t>
            </w:r>
          </w:p>
        </w:tc>
        <w:tc>
          <w:tcPr>
            <w:tcW w:w="1333" w:type="pct"/>
            <w:vAlign w:val="center"/>
            <w:hideMark/>
          </w:tcPr>
          <w:p w14:paraId="52F83CF4" w14:textId="77777777" w:rsidR="002C175B" w:rsidRPr="00345CCE" w:rsidRDefault="002C175B" w:rsidP="00162A58">
            <w:pPr>
              <w:pStyle w:val="BodyText"/>
              <w:spacing w:before="0" w:after="0" w:line="240" w:lineRule="auto"/>
              <w:jc w:val="center"/>
              <w:rPr>
                <w:color w:val="auto"/>
                <w:sz w:val="18"/>
                <w:szCs w:val="18"/>
                <w:lang w:eastAsia="en-NZ"/>
              </w:rPr>
            </w:pPr>
            <w:r w:rsidRPr="00345CCE">
              <w:rPr>
                <w:color w:val="auto"/>
                <w:sz w:val="18"/>
                <w:szCs w:val="18"/>
                <w:lang w:eastAsia="en-NZ"/>
              </w:rPr>
              <w:t>Key finding</w:t>
            </w:r>
          </w:p>
        </w:tc>
      </w:tr>
      <w:tr w:rsidR="00461081" w:rsidRPr="006F33EB" w14:paraId="29CB8024" w14:textId="77777777" w:rsidTr="00461081">
        <w:trPr>
          <w:trHeight w:val="700"/>
        </w:trPr>
        <w:tc>
          <w:tcPr>
            <w:tcW w:w="495" w:type="pct"/>
            <w:vAlign w:val="center"/>
            <w:hideMark/>
          </w:tcPr>
          <w:p w14:paraId="02E4719D" w14:textId="720DB1F0"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Sun et al.</w:t>
            </w:r>
            <w:r w:rsidR="00A80AE3">
              <w:rPr>
                <w:sz w:val="18"/>
                <w:szCs w:val="18"/>
                <w:lang w:eastAsia="en-NZ"/>
              </w:rPr>
              <w:t xml:space="preserve"> (</w:t>
            </w:r>
            <w:r w:rsidRPr="00D57B2D">
              <w:rPr>
                <w:sz w:val="18"/>
                <w:szCs w:val="18"/>
                <w:lang w:eastAsia="en-NZ"/>
              </w:rPr>
              <w:t>2013</w:t>
            </w:r>
            <w:r w:rsidR="00A80AE3">
              <w:rPr>
                <w:sz w:val="18"/>
                <w:szCs w:val="18"/>
                <w:lang w:eastAsia="en-NZ"/>
              </w:rPr>
              <w:t>)</w:t>
            </w:r>
          </w:p>
        </w:tc>
        <w:tc>
          <w:tcPr>
            <w:tcW w:w="437" w:type="pct"/>
            <w:vAlign w:val="center"/>
            <w:hideMark/>
          </w:tcPr>
          <w:p w14:paraId="10E7409F" w14:textId="212A8868"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Cohort</w:t>
            </w:r>
          </w:p>
        </w:tc>
        <w:tc>
          <w:tcPr>
            <w:tcW w:w="831" w:type="pct"/>
          </w:tcPr>
          <w:p w14:paraId="28229AB5" w14:textId="00E4F85B" w:rsidR="002C175B" w:rsidRPr="00D57B2D" w:rsidRDefault="002C175B" w:rsidP="00162A58">
            <w:pPr>
              <w:pStyle w:val="BodyText"/>
              <w:spacing w:before="0" w:after="0" w:line="240" w:lineRule="auto"/>
              <w:jc w:val="left"/>
              <w:rPr>
                <w:sz w:val="18"/>
                <w:szCs w:val="18"/>
                <w:lang w:eastAsia="en-NZ"/>
              </w:rPr>
            </w:pPr>
            <w:r>
              <w:rPr>
                <w:sz w:val="18"/>
                <w:szCs w:val="18"/>
                <w:lang w:eastAsia="en-NZ"/>
              </w:rPr>
              <w:t>Population-based Polish Women’s Breast Cancer Study, 2000-2003</w:t>
            </w:r>
          </w:p>
        </w:tc>
        <w:tc>
          <w:tcPr>
            <w:tcW w:w="779" w:type="pct"/>
          </w:tcPr>
          <w:p w14:paraId="000533AF" w14:textId="162AA95D"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w:t>
            </w:r>
          </w:p>
        </w:tc>
        <w:tc>
          <w:tcPr>
            <w:tcW w:w="373" w:type="pct"/>
            <w:vAlign w:val="center"/>
            <w:hideMark/>
          </w:tcPr>
          <w:p w14:paraId="12A6CA2A" w14:textId="0A1C7019"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121: NK</w:t>
            </w:r>
          </w:p>
        </w:tc>
        <w:tc>
          <w:tcPr>
            <w:tcW w:w="369" w:type="pct"/>
            <w:vAlign w:val="center"/>
            <w:hideMark/>
          </w:tcPr>
          <w:p w14:paraId="23A672CB"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20–74</w:t>
            </w:r>
          </w:p>
        </w:tc>
        <w:tc>
          <w:tcPr>
            <w:tcW w:w="382" w:type="pct"/>
            <w:vAlign w:val="center"/>
            <w:hideMark/>
          </w:tcPr>
          <w:p w14:paraId="438E9ECD"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516EFC22" w14:textId="57A13A6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Inactive subtype of extratumoral gene expression was </w:t>
            </w:r>
            <w:r w:rsidR="00162A58">
              <w:rPr>
                <w:sz w:val="18"/>
                <w:szCs w:val="18"/>
                <w:lang w:eastAsia="en-NZ"/>
              </w:rPr>
              <w:t>associated with</w:t>
            </w:r>
            <w:r w:rsidRPr="00D57B2D">
              <w:rPr>
                <w:sz w:val="18"/>
                <w:szCs w:val="18"/>
                <w:lang w:eastAsia="en-NZ"/>
              </w:rPr>
              <w:t xml:space="preserve"> increased </w:t>
            </w:r>
            <w:r w:rsidR="00162A58">
              <w:rPr>
                <w:sz w:val="18"/>
                <w:szCs w:val="18"/>
                <w:lang w:eastAsia="en-NZ"/>
              </w:rPr>
              <w:t>density</w:t>
            </w:r>
          </w:p>
        </w:tc>
      </w:tr>
      <w:tr w:rsidR="00461081" w:rsidRPr="006F33EB" w14:paraId="2B4B0DCC" w14:textId="77777777" w:rsidTr="00461081">
        <w:trPr>
          <w:trHeight w:val="700"/>
        </w:trPr>
        <w:tc>
          <w:tcPr>
            <w:tcW w:w="495" w:type="pct"/>
            <w:vAlign w:val="center"/>
            <w:hideMark/>
          </w:tcPr>
          <w:p w14:paraId="7EFFAC1B" w14:textId="09EA6F1F"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Ozhand et al.</w:t>
            </w:r>
            <w:r w:rsidR="00A80AE3">
              <w:rPr>
                <w:sz w:val="18"/>
                <w:szCs w:val="18"/>
                <w:lang w:eastAsia="en-NZ"/>
              </w:rPr>
              <w:t xml:space="preserve"> (2013)</w:t>
            </w:r>
          </w:p>
        </w:tc>
        <w:tc>
          <w:tcPr>
            <w:tcW w:w="437" w:type="pct"/>
            <w:vAlign w:val="center"/>
            <w:hideMark/>
          </w:tcPr>
          <w:p w14:paraId="317A8F81" w14:textId="2A08CC2A"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Cohort</w:t>
            </w:r>
          </w:p>
        </w:tc>
        <w:tc>
          <w:tcPr>
            <w:tcW w:w="831" w:type="pct"/>
          </w:tcPr>
          <w:p w14:paraId="59BE9772" w14:textId="497509E1" w:rsidR="002C175B" w:rsidRPr="00D57B2D" w:rsidRDefault="002C175B" w:rsidP="00162A58">
            <w:pPr>
              <w:pStyle w:val="BodyText"/>
              <w:spacing w:before="0" w:after="0" w:line="240" w:lineRule="auto"/>
              <w:jc w:val="left"/>
              <w:rPr>
                <w:sz w:val="18"/>
                <w:szCs w:val="18"/>
                <w:lang w:eastAsia="en-NZ"/>
              </w:rPr>
            </w:pPr>
            <w:r>
              <w:rPr>
                <w:sz w:val="18"/>
                <w:szCs w:val="18"/>
                <w:lang w:eastAsia="en-NZ"/>
              </w:rPr>
              <w:t>Norwegian Breast Cancer Screening Program, 1996-2005</w:t>
            </w:r>
          </w:p>
        </w:tc>
        <w:tc>
          <w:tcPr>
            <w:tcW w:w="779" w:type="pct"/>
          </w:tcPr>
          <w:p w14:paraId="25EAC62C" w14:textId="23096DC3"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w:t>
            </w:r>
          </w:p>
        </w:tc>
        <w:tc>
          <w:tcPr>
            <w:tcW w:w="373" w:type="pct"/>
            <w:vAlign w:val="center"/>
            <w:hideMark/>
          </w:tcPr>
          <w:p w14:paraId="45E01FE7" w14:textId="629C6C1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2,755: 4,419</w:t>
            </w:r>
          </w:p>
        </w:tc>
        <w:tc>
          <w:tcPr>
            <w:tcW w:w="369" w:type="pct"/>
            <w:vAlign w:val="center"/>
            <w:hideMark/>
          </w:tcPr>
          <w:p w14:paraId="4234CB2B"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50–69</w:t>
            </w:r>
          </w:p>
        </w:tc>
        <w:tc>
          <w:tcPr>
            <w:tcW w:w="382" w:type="pct"/>
            <w:vAlign w:val="center"/>
            <w:hideMark/>
          </w:tcPr>
          <w:p w14:paraId="7E62F9D3"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CAM</w:t>
            </w:r>
          </w:p>
        </w:tc>
        <w:tc>
          <w:tcPr>
            <w:tcW w:w="1333" w:type="pct"/>
            <w:vAlign w:val="center"/>
            <w:hideMark/>
          </w:tcPr>
          <w:p w14:paraId="3616FF40" w14:textId="11E7F440"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9 tagging SNPs in the </w:t>
            </w:r>
            <w:r w:rsidRPr="00D57B2D">
              <w:rPr>
                <w:i/>
                <w:iCs/>
                <w:sz w:val="18"/>
                <w:szCs w:val="18"/>
                <w:lang w:eastAsia="en-NZ"/>
              </w:rPr>
              <w:t>IL6</w:t>
            </w:r>
            <w:r w:rsidRPr="00D57B2D">
              <w:rPr>
                <w:sz w:val="18"/>
                <w:szCs w:val="18"/>
                <w:lang w:eastAsia="en-NZ"/>
              </w:rPr>
              <w:t xml:space="preserve"> gene had an effect of 3–5% on </w:t>
            </w:r>
            <w:r w:rsidR="00162A58">
              <w:rPr>
                <w:sz w:val="18"/>
                <w:szCs w:val="18"/>
                <w:lang w:eastAsia="en-NZ"/>
              </w:rPr>
              <w:t>density</w:t>
            </w:r>
            <w:r w:rsidRPr="00D57B2D">
              <w:rPr>
                <w:sz w:val="18"/>
                <w:szCs w:val="18"/>
                <w:lang w:eastAsia="en-NZ"/>
              </w:rPr>
              <w:t xml:space="preserve"> per variant allele</w:t>
            </w:r>
          </w:p>
        </w:tc>
      </w:tr>
      <w:tr w:rsidR="00461081" w:rsidRPr="006F33EB" w14:paraId="70B9028D" w14:textId="77777777" w:rsidTr="00461081">
        <w:trPr>
          <w:trHeight w:val="700"/>
        </w:trPr>
        <w:tc>
          <w:tcPr>
            <w:tcW w:w="495" w:type="pct"/>
            <w:vAlign w:val="center"/>
            <w:hideMark/>
          </w:tcPr>
          <w:p w14:paraId="795D12E3" w14:textId="0C37EB2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Lee et al</w:t>
            </w:r>
            <w:r>
              <w:rPr>
                <w:sz w:val="18"/>
                <w:szCs w:val="18"/>
                <w:lang w:eastAsia="en-NZ"/>
              </w:rPr>
              <w:t>.</w:t>
            </w:r>
            <w:r w:rsidR="00A80AE3">
              <w:rPr>
                <w:sz w:val="18"/>
                <w:szCs w:val="18"/>
                <w:lang w:eastAsia="en-NZ"/>
              </w:rPr>
              <w:t xml:space="preserve"> (</w:t>
            </w:r>
            <w:r w:rsidRPr="00D57B2D">
              <w:rPr>
                <w:sz w:val="18"/>
                <w:szCs w:val="18"/>
                <w:lang w:eastAsia="en-NZ"/>
              </w:rPr>
              <w:t>2013</w:t>
            </w:r>
            <w:r w:rsidR="00A80AE3">
              <w:rPr>
                <w:sz w:val="18"/>
                <w:szCs w:val="18"/>
                <w:lang w:eastAsia="en-NZ"/>
              </w:rPr>
              <w:t>)</w:t>
            </w:r>
          </w:p>
        </w:tc>
        <w:tc>
          <w:tcPr>
            <w:tcW w:w="437" w:type="pct"/>
            <w:vAlign w:val="center"/>
            <w:hideMark/>
          </w:tcPr>
          <w:p w14:paraId="02AA8F1F" w14:textId="29BAC0E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Cohort </w:t>
            </w:r>
          </w:p>
        </w:tc>
        <w:tc>
          <w:tcPr>
            <w:tcW w:w="831" w:type="pct"/>
          </w:tcPr>
          <w:p w14:paraId="3CB52418" w14:textId="2961D87B" w:rsidR="002C175B" w:rsidRPr="00D57B2D" w:rsidRDefault="002C175B" w:rsidP="00162A58">
            <w:pPr>
              <w:pStyle w:val="BodyText"/>
              <w:spacing w:before="0" w:after="0" w:line="240" w:lineRule="auto"/>
              <w:jc w:val="left"/>
              <w:rPr>
                <w:sz w:val="18"/>
                <w:szCs w:val="18"/>
                <w:lang w:eastAsia="en-NZ"/>
              </w:rPr>
            </w:pPr>
            <w:r>
              <w:rPr>
                <w:sz w:val="18"/>
                <w:szCs w:val="18"/>
                <w:lang w:eastAsia="en-NZ"/>
              </w:rPr>
              <w:t>Singapore Breast-Screening Project</w:t>
            </w:r>
          </w:p>
        </w:tc>
        <w:tc>
          <w:tcPr>
            <w:tcW w:w="779" w:type="pct"/>
          </w:tcPr>
          <w:p w14:paraId="236FA267" w14:textId="263E7652"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at menopause, BMI</w:t>
            </w:r>
          </w:p>
        </w:tc>
        <w:tc>
          <w:tcPr>
            <w:tcW w:w="373" w:type="pct"/>
            <w:vAlign w:val="center"/>
            <w:hideMark/>
          </w:tcPr>
          <w:p w14:paraId="64414717" w14:textId="3AC1448D"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2,164: 1,538</w:t>
            </w:r>
          </w:p>
        </w:tc>
        <w:tc>
          <w:tcPr>
            <w:tcW w:w="369" w:type="pct"/>
            <w:vAlign w:val="center"/>
            <w:hideMark/>
          </w:tcPr>
          <w:p w14:paraId="37512B5A"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382" w:type="pct"/>
            <w:vAlign w:val="center"/>
            <w:hideMark/>
          </w:tcPr>
          <w:p w14:paraId="3FF8FF0D"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1333" w:type="pct"/>
            <w:vAlign w:val="center"/>
            <w:hideMark/>
          </w:tcPr>
          <w:p w14:paraId="4E5D6A04" w14:textId="0F24769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161 SNPs in 15 hormone metabolism pathway gene regions were not </w:t>
            </w:r>
            <w:r w:rsidR="00162A58">
              <w:rPr>
                <w:sz w:val="18"/>
                <w:szCs w:val="18"/>
                <w:lang w:eastAsia="en-NZ"/>
              </w:rPr>
              <w:t>associated with density</w:t>
            </w:r>
          </w:p>
        </w:tc>
      </w:tr>
      <w:tr w:rsidR="00461081" w:rsidRPr="006F33EB" w14:paraId="07009C06" w14:textId="77777777" w:rsidTr="00461081">
        <w:trPr>
          <w:trHeight w:val="470"/>
        </w:trPr>
        <w:tc>
          <w:tcPr>
            <w:tcW w:w="495" w:type="pct"/>
            <w:vAlign w:val="center"/>
            <w:hideMark/>
          </w:tcPr>
          <w:p w14:paraId="04A3D908" w14:textId="584FA7F5"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Lee et al</w:t>
            </w:r>
            <w:r>
              <w:rPr>
                <w:sz w:val="18"/>
                <w:szCs w:val="18"/>
                <w:lang w:eastAsia="en-NZ"/>
              </w:rPr>
              <w:t>.</w:t>
            </w:r>
            <w:r w:rsidR="00A80AE3">
              <w:rPr>
                <w:sz w:val="18"/>
                <w:szCs w:val="18"/>
                <w:lang w:eastAsia="en-NZ"/>
              </w:rPr>
              <w:t xml:space="preserve"> (</w:t>
            </w:r>
            <w:r w:rsidRPr="00D57B2D">
              <w:rPr>
                <w:sz w:val="18"/>
                <w:szCs w:val="18"/>
                <w:lang w:eastAsia="en-NZ"/>
              </w:rPr>
              <w:t>2013</w:t>
            </w:r>
            <w:r w:rsidR="00A80AE3">
              <w:rPr>
                <w:sz w:val="18"/>
                <w:szCs w:val="18"/>
                <w:lang w:eastAsia="en-NZ"/>
              </w:rPr>
              <w:t>)</w:t>
            </w:r>
          </w:p>
        </w:tc>
        <w:tc>
          <w:tcPr>
            <w:tcW w:w="437" w:type="pct"/>
            <w:vAlign w:val="center"/>
            <w:hideMark/>
          </w:tcPr>
          <w:p w14:paraId="1CC9BA7C" w14:textId="69448934" w:rsidR="002C175B" w:rsidRPr="00D57B2D" w:rsidRDefault="002C175B" w:rsidP="00162A58">
            <w:pPr>
              <w:pStyle w:val="BodyText"/>
              <w:spacing w:before="0" w:after="0" w:line="240" w:lineRule="auto"/>
              <w:rPr>
                <w:sz w:val="18"/>
                <w:szCs w:val="18"/>
                <w:lang w:eastAsia="en-NZ"/>
              </w:rPr>
            </w:pPr>
            <w:r>
              <w:rPr>
                <w:sz w:val="18"/>
                <w:szCs w:val="18"/>
                <w:lang w:eastAsia="en-NZ"/>
              </w:rPr>
              <w:t>Cross-sectional</w:t>
            </w:r>
            <w:r w:rsidRPr="00D57B2D">
              <w:rPr>
                <w:sz w:val="18"/>
                <w:szCs w:val="18"/>
                <w:lang w:eastAsia="en-NZ"/>
              </w:rPr>
              <w:t xml:space="preserve"> </w:t>
            </w:r>
          </w:p>
        </w:tc>
        <w:tc>
          <w:tcPr>
            <w:tcW w:w="831" w:type="pct"/>
          </w:tcPr>
          <w:p w14:paraId="2302EB8E" w14:textId="75206374" w:rsidR="002C175B" w:rsidRPr="00D57B2D" w:rsidRDefault="002C175B" w:rsidP="00162A58">
            <w:pPr>
              <w:pStyle w:val="BodyText"/>
              <w:spacing w:before="0" w:after="0" w:line="240" w:lineRule="auto"/>
              <w:jc w:val="left"/>
              <w:rPr>
                <w:sz w:val="18"/>
                <w:szCs w:val="18"/>
                <w:lang w:eastAsia="en-NZ"/>
              </w:rPr>
            </w:pPr>
            <w:r>
              <w:rPr>
                <w:sz w:val="18"/>
                <w:szCs w:val="18"/>
                <w:lang w:eastAsia="en-NZ"/>
              </w:rPr>
              <w:t>Singapore Breast-Screening Project, 1993-1998</w:t>
            </w:r>
          </w:p>
        </w:tc>
        <w:tc>
          <w:tcPr>
            <w:tcW w:w="779" w:type="pct"/>
          </w:tcPr>
          <w:p w14:paraId="3D37E8EA" w14:textId="37158489"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 dialect group</w:t>
            </w:r>
          </w:p>
        </w:tc>
        <w:tc>
          <w:tcPr>
            <w:tcW w:w="373" w:type="pct"/>
            <w:vAlign w:val="center"/>
            <w:hideMark/>
          </w:tcPr>
          <w:p w14:paraId="0203F1D4" w14:textId="0CB60058"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3,695: 82</w:t>
            </w:r>
          </w:p>
        </w:tc>
        <w:tc>
          <w:tcPr>
            <w:tcW w:w="369" w:type="pct"/>
            <w:vAlign w:val="center"/>
            <w:hideMark/>
          </w:tcPr>
          <w:p w14:paraId="6C611021"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45–74</w:t>
            </w:r>
          </w:p>
        </w:tc>
        <w:tc>
          <w:tcPr>
            <w:tcW w:w="382" w:type="pct"/>
            <w:vAlign w:val="center"/>
            <w:hideMark/>
          </w:tcPr>
          <w:p w14:paraId="62B4B215"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CAM</w:t>
            </w:r>
          </w:p>
        </w:tc>
        <w:tc>
          <w:tcPr>
            <w:tcW w:w="1333" w:type="pct"/>
            <w:vAlign w:val="center"/>
            <w:hideMark/>
          </w:tcPr>
          <w:p w14:paraId="4920B65B" w14:textId="1B52B47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TGFβ1 genetic variations were found to be </w:t>
            </w:r>
            <w:r w:rsidR="00162A58">
              <w:rPr>
                <w:sz w:val="18"/>
                <w:szCs w:val="18"/>
                <w:lang w:eastAsia="en-NZ"/>
              </w:rPr>
              <w:t>associated with</w:t>
            </w:r>
            <w:r w:rsidRPr="00D57B2D">
              <w:rPr>
                <w:sz w:val="18"/>
                <w:szCs w:val="18"/>
                <w:lang w:eastAsia="en-NZ"/>
              </w:rPr>
              <w:t xml:space="preserve"> PD</w:t>
            </w:r>
          </w:p>
        </w:tc>
      </w:tr>
      <w:tr w:rsidR="00461081" w:rsidRPr="006F33EB" w14:paraId="4BB4FE1F" w14:textId="77777777" w:rsidTr="00461081">
        <w:trPr>
          <w:trHeight w:val="930"/>
        </w:trPr>
        <w:tc>
          <w:tcPr>
            <w:tcW w:w="495" w:type="pct"/>
            <w:vAlign w:val="center"/>
            <w:hideMark/>
          </w:tcPr>
          <w:p w14:paraId="3D6E594A" w14:textId="088C7E08"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De Aguiar et al.</w:t>
            </w:r>
            <w:r w:rsidR="00A80AE3">
              <w:rPr>
                <w:sz w:val="18"/>
                <w:szCs w:val="18"/>
                <w:lang w:eastAsia="en-NZ"/>
              </w:rPr>
              <w:t xml:space="preserve"> (</w:t>
            </w:r>
            <w:r w:rsidRPr="00D57B2D">
              <w:rPr>
                <w:sz w:val="18"/>
                <w:szCs w:val="18"/>
                <w:lang w:eastAsia="en-NZ"/>
              </w:rPr>
              <w:t>2012</w:t>
            </w:r>
            <w:r w:rsidR="00A80AE3">
              <w:rPr>
                <w:sz w:val="18"/>
                <w:szCs w:val="18"/>
                <w:lang w:eastAsia="en-NZ"/>
              </w:rPr>
              <w:t>)</w:t>
            </w:r>
          </w:p>
        </w:tc>
        <w:tc>
          <w:tcPr>
            <w:tcW w:w="437" w:type="pct"/>
            <w:vAlign w:val="center"/>
            <w:hideMark/>
          </w:tcPr>
          <w:p w14:paraId="4D642DD2" w14:textId="6DF7C15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Cohort</w:t>
            </w:r>
          </w:p>
        </w:tc>
        <w:tc>
          <w:tcPr>
            <w:tcW w:w="831" w:type="pct"/>
          </w:tcPr>
          <w:p w14:paraId="7CFF97A2" w14:textId="2E36235F" w:rsidR="002C175B" w:rsidRPr="00D57B2D" w:rsidRDefault="002C175B" w:rsidP="00162A58">
            <w:pPr>
              <w:pStyle w:val="BodyText"/>
              <w:spacing w:before="0" w:after="0" w:line="240" w:lineRule="auto"/>
              <w:jc w:val="left"/>
              <w:rPr>
                <w:sz w:val="18"/>
                <w:szCs w:val="18"/>
                <w:lang w:eastAsia="en-NZ"/>
              </w:rPr>
            </w:pPr>
            <w:r>
              <w:rPr>
                <w:sz w:val="18"/>
                <w:szCs w:val="18"/>
                <w:lang w:eastAsia="en-NZ"/>
              </w:rPr>
              <w:t>Screening Centre, Brazil, 2005-2006</w:t>
            </w:r>
          </w:p>
        </w:tc>
        <w:tc>
          <w:tcPr>
            <w:tcW w:w="779" w:type="pct"/>
          </w:tcPr>
          <w:p w14:paraId="07C37D67" w14:textId="38A7F5D3" w:rsidR="002C175B" w:rsidRPr="00D57B2D" w:rsidRDefault="002C175B" w:rsidP="00162A58">
            <w:pPr>
              <w:pStyle w:val="BodyText"/>
              <w:spacing w:before="0" w:after="0" w:line="240" w:lineRule="auto"/>
              <w:jc w:val="left"/>
              <w:rPr>
                <w:sz w:val="18"/>
                <w:szCs w:val="18"/>
                <w:lang w:eastAsia="en-NZ"/>
              </w:rPr>
            </w:pPr>
            <w:r>
              <w:rPr>
                <w:sz w:val="18"/>
                <w:szCs w:val="18"/>
                <w:lang w:eastAsia="en-NZ"/>
              </w:rPr>
              <w:t>N/A</w:t>
            </w:r>
          </w:p>
        </w:tc>
        <w:tc>
          <w:tcPr>
            <w:tcW w:w="373" w:type="pct"/>
            <w:vAlign w:val="center"/>
            <w:hideMark/>
          </w:tcPr>
          <w:p w14:paraId="173EA523" w14:textId="24EF34A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890: NK</w:t>
            </w:r>
          </w:p>
        </w:tc>
        <w:tc>
          <w:tcPr>
            <w:tcW w:w="369" w:type="pct"/>
            <w:vAlign w:val="center"/>
            <w:hideMark/>
          </w:tcPr>
          <w:p w14:paraId="5951ED01"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45–69</w:t>
            </w:r>
          </w:p>
        </w:tc>
        <w:tc>
          <w:tcPr>
            <w:tcW w:w="382" w:type="pct"/>
            <w:vAlign w:val="center"/>
            <w:hideMark/>
          </w:tcPr>
          <w:p w14:paraId="36FE2F88" w14:textId="6415236B" w:rsidR="002C175B" w:rsidRPr="00D57B2D" w:rsidRDefault="00275D65" w:rsidP="00162A58">
            <w:pPr>
              <w:pStyle w:val="BodyText"/>
              <w:spacing w:before="0" w:after="0" w:line="240" w:lineRule="auto"/>
              <w:rPr>
                <w:sz w:val="18"/>
                <w:szCs w:val="18"/>
                <w:lang w:eastAsia="en-NZ"/>
              </w:rPr>
            </w:pPr>
            <w:r>
              <w:rPr>
                <w:sz w:val="18"/>
                <w:szCs w:val="18"/>
                <w:lang w:eastAsia="en-NZ"/>
              </w:rPr>
              <w:t>BIRADS</w:t>
            </w:r>
          </w:p>
        </w:tc>
        <w:tc>
          <w:tcPr>
            <w:tcW w:w="1333" w:type="pct"/>
            <w:vAlign w:val="center"/>
            <w:hideMark/>
          </w:tcPr>
          <w:p w14:paraId="50724B06" w14:textId="16672330" w:rsidR="002C175B" w:rsidRPr="00D57B2D" w:rsidRDefault="00162A58" w:rsidP="00162A58">
            <w:pPr>
              <w:pStyle w:val="BodyText"/>
              <w:spacing w:before="0" w:after="0" w:line="240" w:lineRule="auto"/>
              <w:rPr>
                <w:sz w:val="18"/>
                <w:szCs w:val="18"/>
                <w:lang w:eastAsia="en-NZ"/>
              </w:rPr>
            </w:pPr>
            <w:r>
              <w:rPr>
                <w:sz w:val="18"/>
                <w:szCs w:val="18"/>
                <w:lang w:eastAsia="en-NZ"/>
              </w:rPr>
              <w:t>Density</w:t>
            </w:r>
            <w:r w:rsidR="002C175B" w:rsidRPr="00D57B2D">
              <w:rPr>
                <w:sz w:val="18"/>
                <w:szCs w:val="18"/>
                <w:lang w:eastAsia="en-NZ"/>
              </w:rPr>
              <w:t xml:space="preserve"> in postmenopausal women was significant</w:t>
            </w:r>
            <w:r>
              <w:rPr>
                <w:sz w:val="18"/>
                <w:szCs w:val="18"/>
                <w:lang w:eastAsia="en-NZ"/>
              </w:rPr>
              <w:t>ly associated with</w:t>
            </w:r>
            <w:r w:rsidR="002C175B" w:rsidRPr="00D57B2D">
              <w:rPr>
                <w:sz w:val="18"/>
                <w:szCs w:val="18"/>
                <w:lang w:eastAsia="en-NZ"/>
              </w:rPr>
              <w:t xml:space="preserve"> the combined GSTM1 and GSTT1 null genotypes</w:t>
            </w:r>
          </w:p>
        </w:tc>
      </w:tr>
      <w:tr w:rsidR="00461081" w:rsidRPr="006F33EB" w14:paraId="3BE0601C" w14:textId="77777777" w:rsidTr="00461081">
        <w:trPr>
          <w:trHeight w:val="930"/>
        </w:trPr>
        <w:tc>
          <w:tcPr>
            <w:tcW w:w="495" w:type="pct"/>
            <w:vAlign w:val="center"/>
            <w:hideMark/>
          </w:tcPr>
          <w:p w14:paraId="7985B609" w14:textId="533BA5A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Stone et al.</w:t>
            </w:r>
            <w:r w:rsidR="00A80AE3">
              <w:rPr>
                <w:sz w:val="18"/>
                <w:szCs w:val="18"/>
                <w:lang w:eastAsia="en-NZ"/>
              </w:rPr>
              <w:t xml:space="preserve"> (</w:t>
            </w:r>
            <w:r w:rsidRPr="00D57B2D">
              <w:rPr>
                <w:sz w:val="18"/>
                <w:szCs w:val="18"/>
                <w:lang w:eastAsia="en-NZ"/>
              </w:rPr>
              <w:t>2012</w:t>
            </w:r>
            <w:r w:rsidR="00A80AE3">
              <w:rPr>
                <w:sz w:val="18"/>
                <w:szCs w:val="18"/>
                <w:lang w:eastAsia="en-NZ"/>
              </w:rPr>
              <w:t>)</w:t>
            </w:r>
          </w:p>
        </w:tc>
        <w:tc>
          <w:tcPr>
            <w:tcW w:w="437" w:type="pct"/>
            <w:vAlign w:val="center"/>
            <w:hideMark/>
          </w:tcPr>
          <w:p w14:paraId="19A5821D" w14:textId="4A11E1CE" w:rsidR="002C175B" w:rsidRPr="00D57B2D" w:rsidRDefault="004E54AC" w:rsidP="00162A58">
            <w:pPr>
              <w:pStyle w:val="BodyText"/>
              <w:spacing w:before="0" w:after="0" w:line="240" w:lineRule="auto"/>
              <w:rPr>
                <w:sz w:val="18"/>
                <w:szCs w:val="18"/>
                <w:lang w:eastAsia="en-NZ"/>
              </w:rPr>
            </w:pPr>
            <w:r>
              <w:rPr>
                <w:sz w:val="18"/>
                <w:szCs w:val="18"/>
                <w:lang w:eastAsia="en-NZ"/>
              </w:rPr>
              <w:t>Case-control</w:t>
            </w:r>
            <w:r w:rsidR="002C175B" w:rsidRPr="00D57B2D">
              <w:rPr>
                <w:sz w:val="18"/>
                <w:szCs w:val="18"/>
                <w:lang w:eastAsia="en-NZ"/>
              </w:rPr>
              <w:t xml:space="preserve"> </w:t>
            </w:r>
          </w:p>
        </w:tc>
        <w:tc>
          <w:tcPr>
            <w:tcW w:w="831" w:type="pct"/>
          </w:tcPr>
          <w:p w14:paraId="013DB9F9" w14:textId="29BA1D96" w:rsidR="002C175B" w:rsidRPr="00D57B2D" w:rsidRDefault="004E54AC" w:rsidP="00162A58">
            <w:pPr>
              <w:pStyle w:val="BodyText"/>
              <w:spacing w:before="0" w:after="0" w:line="240" w:lineRule="auto"/>
              <w:jc w:val="left"/>
              <w:rPr>
                <w:sz w:val="18"/>
                <w:szCs w:val="18"/>
                <w:lang w:eastAsia="en-NZ"/>
              </w:rPr>
            </w:pPr>
            <w:r>
              <w:rPr>
                <w:sz w:val="18"/>
                <w:szCs w:val="18"/>
                <w:lang w:eastAsia="en-NZ"/>
              </w:rPr>
              <w:t>Australian Twin Registry, 1995-1999</w:t>
            </w:r>
          </w:p>
        </w:tc>
        <w:tc>
          <w:tcPr>
            <w:tcW w:w="779" w:type="pct"/>
          </w:tcPr>
          <w:p w14:paraId="529546B4" w14:textId="533D57B5"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w:t>
            </w:r>
          </w:p>
        </w:tc>
        <w:tc>
          <w:tcPr>
            <w:tcW w:w="373" w:type="pct"/>
            <w:vAlign w:val="center"/>
            <w:hideMark/>
          </w:tcPr>
          <w:p w14:paraId="7D7D5C56" w14:textId="71AE9BA0"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327: 272</w:t>
            </w:r>
          </w:p>
        </w:tc>
        <w:tc>
          <w:tcPr>
            <w:tcW w:w="369" w:type="pct"/>
            <w:vAlign w:val="center"/>
            <w:hideMark/>
          </w:tcPr>
          <w:p w14:paraId="4D4C4C39"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40–70</w:t>
            </w:r>
          </w:p>
        </w:tc>
        <w:tc>
          <w:tcPr>
            <w:tcW w:w="382" w:type="pct"/>
            <w:vAlign w:val="center"/>
            <w:hideMark/>
          </w:tcPr>
          <w:p w14:paraId="0314FFA7"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57A04E15" w14:textId="65B2EE2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Genetic components of </w:t>
            </w:r>
            <w:r w:rsidR="00162A58">
              <w:rPr>
                <w:sz w:val="18"/>
                <w:szCs w:val="18"/>
                <w:lang w:eastAsia="en-NZ"/>
              </w:rPr>
              <w:t>density</w:t>
            </w:r>
            <w:r w:rsidRPr="00D57B2D">
              <w:rPr>
                <w:sz w:val="18"/>
                <w:szCs w:val="18"/>
                <w:lang w:eastAsia="en-NZ"/>
              </w:rPr>
              <w:t xml:space="preserve"> variation are established before mid-life, and </w:t>
            </w:r>
            <w:r w:rsidR="00162A58">
              <w:rPr>
                <w:sz w:val="18"/>
                <w:szCs w:val="18"/>
                <w:lang w:eastAsia="en-NZ"/>
              </w:rPr>
              <w:t>density</w:t>
            </w:r>
            <w:r w:rsidRPr="00D57B2D">
              <w:rPr>
                <w:sz w:val="18"/>
                <w:szCs w:val="18"/>
                <w:lang w:eastAsia="en-NZ"/>
              </w:rPr>
              <w:t xml:space="preserve"> measures are highly correlated over time</w:t>
            </w:r>
          </w:p>
        </w:tc>
      </w:tr>
      <w:tr w:rsidR="00461081" w:rsidRPr="006F33EB" w14:paraId="2E4B92C0" w14:textId="77777777" w:rsidTr="00461081">
        <w:trPr>
          <w:trHeight w:val="470"/>
        </w:trPr>
        <w:tc>
          <w:tcPr>
            <w:tcW w:w="495" w:type="pct"/>
            <w:vAlign w:val="center"/>
            <w:hideMark/>
          </w:tcPr>
          <w:p w14:paraId="29D3F2E8" w14:textId="21F34BE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Stevens et al.</w:t>
            </w:r>
            <w:r w:rsidR="00A80AE3">
              <w:rPr>
                <w:sz w:val="18"/>
                <w:szCs w:val="18"/>
                <w:lang w:eastAsia="en-NZ"/>
              </w:rPr>
              <w:t xml:space="preserve"> (</w:t>
            </w:r>
            <w:r w:rsidRPr="00D57B2D">
              <w:rPr>
                <w:sz w:val="18"/>
                <w:szCs w:val="18"/>
                <w:lang w:eastAsia="en-NZ"/>
              </w:rPr>
              <w:t>2012</w:t>
            </w:r>
            <w:r w:rsidR="00A80AE3">
              <w:rPr>
                <w:sz w:val="18"/>
                <w:szCs w:val="18"/>
                <w:lang w:eastAsia="en-NZ"/>
              </w:rPr>
              <w:t>)</w:t>
            </w:r>
          </w:p>
        </w:tc>
        <w:tc>
          <w:tcPr>
            <w:tcW w:w="437" w:type="pct"/>
            <w:vAlign w:val="center"/>
            <w:hideMark/>
          </w:tcPr>
          <w:p w14:paraId="431A74DD" w14:textId="58C122AA" w:rsidR="002C175B" w:rsidRPr="00D57B2D" w:rsidRDefault="004E54AC" w:rsidP="00162A58">
            <w:pPr>
              <w:pStyle w:val="BodyText"/>
              <w:spacing w:before="0" w:after="0" w:line="240" w:lineRule="auto"/>
              <w:rPr>
                <w:sz w:val="18"/>
                <w:szCs w:val="18"/>
                <w:lang w:eastAsia="en-NZ"/>
              </w:rPr>
            </w:pPr>
            <w:r>
              <w:rPr>
                <w:sz w:val="18"/>
                <w:szCs w:val="18"/>
                <w:lang w:eastAsia="en-NZ"/>
              </w:rPr>
              <w:t>Cross-sectional</w:t>
            </w:r>
            <w:r w:rsidR="002C175B" w:rsidRPr="00D57B2D">
              <w:rPr>
                <w:sz w:val="18"/>
                <w:szCs w:val="18"/>
                <w:lang w:eastAsia="en-NZ"/>
              </w:rPr>
              <w:t xml:space="preserve"> </w:t>
            </w:r>
          </w:p>
        </w:tc>
        <w:tc>
          <w:tcPr>
            <w:tcW w:w="831" w:type="pct"/>
          </w:tcPr>
          <w:p w14:paraId="7BB370AA" w14:textId="2D051A1F" w:rsidR="002C175B" w:rsidRPr="00D57B2D" w:rsidRDefault="004E54AC" w:rsidP="00162A58">
            <w:pPr>
              <w:pStyle w:val="BodyText"/>
              <w:spacing w:before="0" w:after="0" w:line="240" w:lineRule="auto"/>
              <w:jc w:val="left"/>
              <w:rPr>
                <w:sz w:val="18"/>
                <w:szCs w:val="18"/>
                <w:lang w:eastAsia="en-NZ"/>
              </w:rPr>
            </w:pPr>
            <w:r>
              <w:rPr>
                <w:sz w:val="18"/>
                <w:szCs w:val="18"/>
                <w:lang w:eastAsia="en-NZ"/>
              </w:rPr>
              <w:t>The Mayo Clinic, USA</w:t>
            </w:r>
          </w:p>
        </w:tc>
        <w:tc>
          <w:tcPr>
            <w:tcW w:w="779" w:type="pct"/>
          </w:tcPr>
          <w:p w14:paraId="2A39A9A8" w14:textId="11708C36"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w:t>
            </w:r>
          </w:p>
        </w:tc>
        <w:tc>
          <w:tcPr>
            <w:tcW w:w="373" w:type="pct"/>
            <w:vAlign w:val="center"/>
            <w:hideMark/>
          </w:tcPr>
          <w:p w14:paraId="6902202B" w14:textId="43C651B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1,241: 5,777</w:t>
            </w:r>
          </w:p>
        </w:tc>
        <w:tc>
          <w:tcPr>
            <w:tcW w:w="369" w:type="pct"/>
            <w:vAlign w:val="center"/>
            <w:hideMark/>
          </w:tcPr>
          <w:p w14:paraId="11990251"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382" w:type="pct"/>
            <w:vAlign w:val="center"/>
            <w:hideMark/>
          </w:tcPr>
          <w:p w14:paraId="35FA9818"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69A9B32C" w14:textId="407627D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RS1265507 on 12q24 was </w:t>
            </w:r>
            <w:r w:rsidR="00162A58">
              <w:rPr>
                <w:sz w:val="18"/>
                <w:szCs w:val="18"/>
                <w:lang w:eastAsia="en-NZ"/>
              </w:rPr>
              <w:t>associated with</w:t>
            </w:r>
            <w:r w:rsidRPr="00D57B2D">
              <w:rPr>
                <w:sz w:val="18"/>
                <w:szCs w:val="18"/>
                <w:lang w:eastAsia="en-NZ"/>
              </w:rPr>
              <w:t xml:space="preserve"> PD</w:t>
            </w:r>
          </w:p>
        </w:tc>
      </w:tr>
      <w:tr w:rsidR="00461081" w:rsidRPr="006F33EB" w14:paraId="1819EB1C" w14:textId="77777777" w:rsidTr="00461081">
        <w:trPr>
          <w:trHeight w:val="700"/>
        </w:trPr>
        <w:tc>
          <w:tcPr>
            <w:tcW w:w="495" w:type="pct"/>
            <w:vAlign w:val="center"/>
            <w:hideMark/>
          </w:tcPr>
          <w:p w14:paraId="24499B94" w14:textId="276D3EB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lastRenderedPageBreak/>
              <w:t>Vachon et al.</w:t>
            </w:r>
            <w:r w:rsidR="00A80AE3">
              <w:rPr>
                <w:sz w:val="18"/>
                <w:szCs w:val="18"/>
                <w:lang w:eastAsia="en-NZ"/>
              </w:rPr>
              <w:t xml:space="preserve"> (</w:t>
            </w:r>
            <w:r w:rsidRPr="00D57B2D">
              <w:rPr>
                <w:sz w:val="18"/>
                <w:szCs w:val="18"/>
                <w:lang w:eastAsia="en-NZ"/>
              </w:rPr>
              <w:t>2007</w:t>
            </w:r>
            <w:r w:rsidR="00A80AE3">
              <w:rPr>
                <w:sz w:val="18"/>
                <w:szCs w:val="18"/>
                <w:lang w:eastAsia="en-NZ"/>
              </w:rPr>
              <w:t>)</w:t>
            </w:r>
          </w:p>
        </w:tc>
        <w:tc>
          <w:tcPr>
            <w:tcW w:w="437" w:type="pct"/>
            <w:vAlign w:val="center"/>
            <w:hideMark/>
          </w:tcPr>
          <w:p w14:paraId="36E24FB6" w14:textId="23A9B09B" w:rsidR="002C175B" w:rsidRPr="00D57B2D" w:rsidRDefault="004E54AC" w:rsidP="00162A58">
            <w:pPr>
              <w:pStyle w:val="BodyText"/>
              <w:spacing w:before="0" w:after="0" w:line="240" w:lineRule="auto"/>
              <w:rPr>
                <w:sz w:val="18"/>
                <w:szCs w:val="18"/>
                <w:lang w:eastAsia="en-NZ"/>
              </w:rPr>
            </w:pPr>
            <w:r>
              <w:rPr>
                <w:sz w:val="18"/>
                <w:szCs w:val="18"/>
                <w:lang w:eastAsia="en-NZ"/>
              </w:rPr>
              <w:t>Cross-sectional</w:t>
            </w:r>
            <w:r w:rsidR="002C175B" w:rsidRPr="00D57B2D">
              <w:rPr>
                <w:sz w:val="18"/>
                <w:szCs w:val="18"/>
                <w:lang w:eastAsia="en-NZ"/>
              </w:rPr>
              <w:t xml:space="preserve"> </w:t>
            </w:r>
          </w:p>
        </w:tc>
        <w:tc>
          <w:tcPr>
            <w:tcW w:w="831" w:type="pct"/>
          </w:tcPr>
          <w:p w14:paraId="5869AC0A" w14:textId="1A4538DF" w:rsidR="002C175B" w:rsidRPr="00D57B2D" w:rsidRDefault="004E54AC" w:rsidP="00162A58">
            <w:pPr>
              <w:pStyle w:val="BodyText"/>
              <w:spacing w:before="0" w:after="0" w:line="240" w:lineRule="auto"/>
              <w:jc w:val="left"/>
              <w:rPr>
                <w:sz w:val="18"/>
                <w:szCs w:val="18"/>
                <w:lang w:eastAsia="en-NZ"/>
              </w:rPr>
            </w:pPr>
            <w:r>
              <w:rPr>
                <w:sz w:val="18"/>
                <w:szCs w:val="18"/>
                <w:lang w:eastAsia="en-NZ"/>
              </w:rPr>
              <w:t>DENSNP consortium, USA</w:t>
            </w:r>
          </w:p>
        </w:tc>
        <w:tc>
          <w:tcPr>
            <w:tcW w:w="779" w:type="pct"/>
          </w:tcPr>
          <w:p w14:paraId="6938865C" w14:textId="34AF07F8"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 menopausal status</w:t>
            </w:r>
          </w:p>
        </w:tc>
        <w:tc>
          <w:tcPr>
            <w:tcW w:w="373" w:type="pct"/>
            <w:vAlign w:val="center"/>
            <w:hideMark/>
          </w:tcPr>
          <w:p w14:paraId="2318D5E1" w14:textId="012E532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5,110:11,785</w:t>
            </w:r>
          </w:p>
        </w:tc>
        <w:tc>
          <w:tcPr>
            <w:tcW w:w="369" w:type="pct"/>
            <w:vAlign w:val="center"/>
            <w:hideMark/>
          </w:tcPr>
          <w:p w14:paraId="0AD1EDA3"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382" w:type="pct"/>
            <w:vAlign w:val="center"/>
            <w:hideMark/>
          </w:tcPr>
          <w:p w14:paraId="329631F9"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4707FA4B" w14:textId="351667E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The C-allele of rs3817198 in LSP1 was positively </w:t>
            </w:r>
            <w:r w:rsidR="00162A58">
              <w:rPr>
                <w:sz w:val="18"/>
                <w:szCs w:val="18"/>
                <w:lang w:eastAsia="en-NZ"/>
              </w:rPr>
              <w:t>associated with</w:t>
            </w:r>
            <w:r w:rsidRPr="00D57B2D">
              <w:rPr>
                <w:sz w:val="18"/>
                <w:szCs w:val="18"/>
                <w:lang w:eastAsia="en-NZ"/>
              </w:rPr>
              <w:t xml:space="preserve"> BC and</w:t>
            </w:r>
            <w:r w:rsidR="00162A58">
              <w:rPr>
                <w:sz w:val="18"/>
                <w:szCs w:val="18"/>
                <w:lang w:eastAsia="en-NZ"/>
              </w:rPr>
              <w:t xml:space="preserve"> density</w:t>
            </w:r>
          </w:p>
        </w:tc>
      </w:tr>
      <w:tr w:rsidR="00461081" w:rsidRPr="006F33EB" w14:paraId="4EA55322" w14:textId="77777777" w:rsidTr="00461081">
        <w:trPr>
          <w:trHeight w:val="930"/>
        </w:trPr>
        <w:tc>
          <w:tcPr>
            <w:tcW w:w="495" w:type="pct"/>
            <w:vAlign w:val="center"/>
            <w:hideMark/>
          </w:tcPr>
          <w:p w14:paraId="355D5F2C" w14:textId="036B830D"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Varghese</w:t>
            </w:r>
            <w:r w:rsidR="00A80AE3">
              <w:rPr>
                <w:sz w:val="18"/>
                <w:szCs w:val="18"/>
                <w:lang w:eastAsia="en-NZ"/>
              </w:rPr>
              <w:t xml:space="preserve"> (</w:t>
            </w:r>
            <w:r w:rsidRPr="00D57B2D">
              <w:rPr>
                <w:sz w:val="18"/>
                <w:szCs w:val="18"/>
                <w:lang w:eastAsia="en-NZ"/>
              </w:rPr>
              <w:t>2012</w:t>
            </w:r>
            <w:r w:rsidR="00A80AE3">
              <w:rPr>
                <w:sz w:val="18"/>
                <w:szCs w:val="18"/>
                <w:lang w:eastAsia="en-NZ"/>
              </w:rPr>
              <w:t>)</w:t>
            </w:r>
          </w:p>
        </w:tc>
        <w:tc>
          <w:tcPr>
            <w:tcW w:w="437" w:type="pct"/>
            <w:vAlign w:val="center"/>
            <w:hideMark/>
          </w:tcPr>
          <w:p w14:paraId="5A18F832" w14:textId="4DB7665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Cohort </w:t>
            </w:r>
          </w:p>
        </w:tc>
        <w:tc>
          <w:tcPr>
            <w:tcW w:w="831" w:type="pct"/>
          </w:tcPr>
          <w:p w14:paraId="56DACDF6" w14:textId="7FCBEFB1" w:rsidR="002C175B" w:rsidRPr="00D57B2D" w:rsidRDefault="004E54AC" w:rsidP="00162A58">
            <w:pPr>
              <w:pStyle w:val="BodyText"/>
              <w:spacing w:before="0" w:after="0" w:line="240" w:lineRule="auto"/>
              <w:jc w:val="left"/>
              <w:rPr>
                <w:sz w:val="18"/>
                <w:szCs w:val="18"/>
                <w:lang w:eastAsia="en-NZ"/>
              </w:rPr>
            </w:pPr>
            <w:r>
              <w:rPr>
                <w:sz w:val="18"/>
                <w:szCs w:val="18"/>
                <w:lang w:eastAsia="en-NZ"/>
              </w:rPr>
              <w:t>Genome-Wide Association Studies, UK</w:t>
            </w:r>
          </w:p>
        </w:tc>
        <w:tc>
          <w:tcPr>
            <w:tcW w:w="779" w:type="pct"/>
          </w:tcPr>
          <w:p w14:paraId="3CC93782" w14:textId="3A9C848A"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 population stratification</w:t>
            </w:r>
          </w:p>
        </w:tc>
        <w:tc>
          <w:tcPr>
            <w:tcW w:w="373" w:type="pct"/>
            <w:vAlign w:val="center"/>
            <w:hideMark/>
          </w:tcPr>
          <w:p w14:paraId="0AF66E82" w14:textId="3887620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3,628:5,190</w:t>
            </w:r>
          </w:p>
        </w:tc>
        <w:tc>
          <w:tcPr>
            <w:tcW w:w="369" w:type="pct"/>
            <w:vAlign w:val="center"/>
            <w:hideMark/>
          </w:tcPr>
          <w:p w14:paraId="2AFA2AA0"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382" w:type="pct"/>
            <w:vAlign w:val="center"/>
            <w:hideMark/>
          </w:tcPr>
          <w:p w14:paraId="5A41F4D8"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2F5AEF91" w14:textId="5FAFBA58"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PD and </w:t>
            </w:r>
            <w:r w:rsidR="00162A58">
              <w:rPr>
                <w:sz w:val="18"/>
                <w:szCs w:val="18"/>
                <w:lang w:eastAsia="en-NZ"/>
              </w:rPr>
              <w:t>BC</w:t>
            </w:r>
            <w:r w:rsidRPr="00D57B2D">
              <w:rPr>
                <w:sz w:val="18"/>
                <w:szCs w:val="18"/>
                <w:lang w:eastAsia="en-NZ"/>
              </w:rPr>
              <w:t xml:space="preserve"> have a shared genetic basis that is mediated through a large number of common variants</w:t>
            </w:r>
          </w:p>
        </w:tc>
      </w:tr>
      <w:tr w:rsidR="00461081" w:rsidRPr="006F33EB" w14:paraId="7DCBAC25" w14:textId="77777777" w:rsidTr="00461081">
        <w:trPr>
          <w:trHeight w:val="930"/>
        </w:trPr>
        <w:tc>
          <w:tcPr>
            <w:tcW w:w="495" w:type="pct"/>
            <w:vAlign w:val="center"/>
            <w:hideMark/>
          </w:tcPr>
          <w:p w14:paraId="377327CD" w14:textId="259EB6E2"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Greenwood et al.</w:t>
            </w:r>
            <w:r w:rsidR="00A80AE3">
              <w:rPr>
                <w:sz w:val="18"/>
                <w:szCs w:val="18"/>
                <w:lang w:eastAsia="en-NZ"/>
              </w:rPr>
              <w:t xml:space="preserve"> (</w:t>
            </w:r>
            <w:r w:rsidRPr="00D57B2D">
              <w:rPr>
                <w:sz w:val="18"/>
                <w:szCs w:val="18"/>
                <w:lang w:eastAsia="en-NZ"/>
              </w:rPr>
              <w:t>2011</w:t>
            </w:r>
            <w:r w:rsidR="00A80AE3">
              <w:rPr>
                <w:sz w:val="18"/>
                <w:szCs w:val="18"/>
                <w:lang w:eastAsia="en-NZ"/>
              </w:rPr>
              <w:t>)</w:t>
            </w:r>
          </w:p>
        </w:tc>
        <w:tc>
          <w:tcPr>
            <w:tcW w:w="437" w:type="pct"/>
            <w:vAlign w:val="center"/>
            <w:hideMark/>
          </w:tcPr>
          <w:p w14:paraId="57CAC541" w14:textId="1258F878"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Cohort </w:t>
            </w:r>
          </w:p>
        </w:tc>
        <w:tc>
          <w:tcPr>
            <w:tcW w:w="831" w:type="pct"/>
          </w:tcPr>
          <w:p w14:paraId="0AB19B98" w14:textId="72F73FD6" w:rsidR="002C175B" w:rsidRPr="00D57B2D" w:rsidRDefault="004E54AC" w:rsidP="00162A58">
            <w:pPr>
              <w:pStyle w:val="BodyText"/>
              <w:spacing w:before="0" w:after="0" w:line="240" w:lineRule="auto"/>
              <w:jc w:val="left"/>
              <w:rPr>
                <w:sz w:val="18"/>
                <w:szCs w:val="18"/>
                <w:lang w:eastAsia="en-NZ"/>
              </w:rPr>
            </w:pPr>
            <w:r>
              <w:rPr>
                <w:sz w:val="18"/>
                <w:szCs w:val="18"/>
                <w:lang w:eastAsia="en-NZ"/>
              </w:rPr>
              <w:t>Australian Twin Registry</w:t>
            </w:r>
          </w:p>
        </w:tc>
        <w:tc>
          <w:tcPr>
            <w:tcW w:w="779" w:type="pct"/>
          </w:tcPr>
          <w:p w14:paraId="1162A09A" w14:textId="6D310FA6"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parity, menopausal status, HRT, BMI</w:t>
            </w:r>
          </w:p>
        </w:tc>
        <w:tc>
          <w:tcPr>
            <w:tcW w:w="373" w:type="pct"/>
            <w:vAlign w:val="center"/>
            <w:hideMark/>
          </w:tcPr>
          <w:p w14:paraId="18FE2A07" w14:textId="0E63453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3,253: 699</w:t>
            </w:r>
          </w:p>
        </w:tc>
        <w:tc>
          <w:tcPr>
            <w:tcW w:w="369" w:type="pct"/>
            <w:vAlign w:val="center"/>
            <w:hideMark/>
          </w:tcPr>
          <w:p w14:paraId="699F1918"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Mean 52.8</w:t>
            </w:r>
          </w:p>
        </w:tc>
        <w:tc>
          <w:tcPr>
            <w:tcW w:w="382" w:type="pct"/>
            <w:vAlign w:val="center"/>
            <w:hideMark/>
          </w:tcPr>
          <w:p w14:paraId="1792A3A9"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PD</w:t>
            </w:r>
          </w:p>
        </w:tc>
        <w:tc>
          <w:tcPr>
            <w:tcW w:w="1333" w:type="pct"/>
            <w:vAlign w:val="center"/>
            <w:hideMark/>
          </w:tcPr>
          <w:p w14:paraId="6F9D3A1F" w14:textId="634253B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Maximum </w:t>
            </w:r>
            <w:r w:rsidR="00162A58">
              <w:rPr>
                <w:sz w:val="18"/>
                <w:szCs w:val="18"/>
                <w:lang w:eastAsia="en-NZ"/>
              </w:rPr>
              <w:t>logarithm of odds</w:t>
            </w:r>
            <w:r w:rsidRPr="00D57B2D">
              <w:rPr>
                <w:sz w:val="18"/>
                <w:szCs w:val="18"/>
                <w:lang w:eastAsia="en-NZ"/>
              </w:rPr>
              <w:t xml:space="preserve"> from the </w:t>
            </w:r>
            <w:r w:rsidR="00162A58">
              <w:rPr>
                <w:sz w:val="18"/>
                <w:szCs w:val="18"/>
                <w:lang w:eastAsia="en-NZ"/>
              </w:rPr>
              <w:t xml:space="preserve">genome-wide scan </w:t>
            </w:r>
            <w:r w:rsidRPr="00D57B2D">
              <w:rPr>
                <w:sz w:val="18"/>
                <w:szCs w:val="18"/>
                <w:lang w:eastAsia="en-NZ"/>
              </w:rPr>
              <w:t>was on chromosome 7q32.3-q34 (LOD32) and 12.11.22-q13.11 (LOD 3.3)</w:t>
            </w:r>
          </w:p>
        </w:tc>
      </w:tr>
      <w:tr w:rsidR="00461081" w:rsidRPr="006F33EB" w14:paraId="55EB36AF" w14:textId="77777777" w:rsidTr="00461081">
        <w:trPr>
          <w:trHeight w:val="1160"/>
        </w:trPr>
        <w:tc>
          <w:tcPr>
            <w:tcW w:w="495" w:type="pct"/>
            <w:vAlign w:val="center"/>
            <w:hideMark/>
          </w:tcPr>
          <w:p w14:paraId="0998156F" w14:textId="6D9603A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Maskarinec et al</w:t>
            </w:r>
            <w:r w:rsidR="00A80AE3">
              <w:rPr>
                <w:sz w:val="18"/>
                <w:szCs w:val="18"/>
                <w:lang w:eastAsia="en-NZ"/>
              </w:rPr>
              <w:t>. (</w:t>
            </w:r>
            <w:r w:rsidRPr="00D57B2D">
              <w:rPr>
                <w:sz w:val="18"/>
                <w:szCs w:val="18"/>
                <w:lang w:eastAsia="en-NZ"/>
              </w:rPr>
              <w:t>2011</w:t>
            </w:r>
            <w:r w:rsidR="00A80AE3">
              <w:rPr>
                <w:sz w:val="18"/>
                <w:szCs w:val="18"/>
                <w:lang w:eastAsia="en-NZ"/>
              </w:rPr>
              <w:t>)</w:t>
            </w:r>
          </w:p>
        </w:tc>
        <w:tc>
          <w:tcPr>
            <w:tcW w:w="437" w:type="pct"/>
            <w:vAlign w:val="center"/>
            <w:hideMark/>
          </w:tcPr>
          <w:p w14:paraId="2A7AFEE5" w14:textId="2E8B0961"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Cohort</w:t>
            </w:r>
          </w:p>
        </w:tc>
        <w:tc>
          <w:tcPr>
            <w:tcW w:w="831" w:type="pct"/>
          </w:tcPr>
          <w:p w14:paraId="6619970C" w14:textId="154D2E52" w:rsidR="002C175B" w:rsidRPr="00D57B2D" w:rsidRDefault="007C3EC1" w:rsidP="00162A58">
            <w:pPr>
              <w:pStyle w:val="BodyText"/>
              <w:spacing w:before="0" w:after="0" w:line="240" w:lineRule="auto"/>
              <w:jc w:val="left"/>
              <w:rPr>
                <w:sz w:val="18"/>
                <w:szCs w:val="18"/>
                <w:lang w:eastAsia="en-NZ"/>
              </w:rPr>
            </w:pPr>
            <w:r>
              <w:rPr>
                <w:sz w:val="18"/>
                <w:szCs w:val="18"/>
                <w:lang w:eastAsia="en-NZ"/>
              </w:rPr>
              <w:t>Mother and daughter pairs, USA</w:t>
            </w:r>
          </w:p>
        </w:tc>
        <w:tc>
          <w:tcPr>
            <w:tcW w:w="779" w:type="pct"/>
          </w:tcPr>
          <w:p w14:paraId="2074A689" w14:textId="62071C5E"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 race</w:t>
            </w:r>
          </w:p>
        </w:tc>
        <w:tc>
          <w:tcPr>
            <w:tcW w:w="373" w:type="pct"/>
            <w:vAlign w:val="center"/>
            <w:hideMark/>
          </w:tcPr>
          <w:p w14:paraId="4B915A2D" w14:textId="0FB7FD1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101:203</w:t>
            </w:r>
          </w:p>
        </w:tc>
        <w:tc>
          <w:tcPr>
            <w:tcW w:w="369" w:type="pct"/>
            <w:vAlign w:val="center"/>
            <w:hideMark/>
          </w:tcPr>
          <w:p w14:paraId="223D5906" w14:textId="77777777" w:rsidR="002C175B" w:rsidRPr="00D57B2D" w:rsidRDefault="002C175B" w:rsidP="00461081">
            <w:pPr>
              <w:pStyle w:val="BodyText"/>
              <w:spacing w:before="0" w:after="0" w:line="240" w:lineRule="auto"/>
              <w:jc w:val="left"/>
              <w:rPr>
                <w:sz w:val="18"/>
                <w:szCs w:val="18"/>
                <w:lang w:eastAsia="en-NZ"/>
              </w:rPr>
            </w:pPr>
            <w:r w:rsidRPr="00D57B2D">
              <w:rPr>
                <w:sz w:val="18"/>
                <w:szCs w:val="18"/>
                <w:lang w:eastAsia="en-NZ"/>
              </w:rPr>
              <w:t>38.7–64.3 (mothers); 10.2–16.9 (daughters)</w:t>
            </w:r>
          </w:p>
        </w:tc>
        <w:tc>
          <w:tcPr>
            <w:tcW w:w="382" w:type="pct"/>
            <w:vAlign w:val="center"/>
            <w:hideMark/>
          </w:tcPr>
          <w:p w14:paraId="268D0B81" w14:textId="0B42A58D" w:rsidR="002C175B" w:rsidRPr="00D57B2D" w:rsidRDefault="00275D65" w:rsidP="00162A58">
            <w:pPr>
              <w:pStyle w:val="BodyText"/>
              <w:spacing w:before="0" w:after="0" w:line="240" w:lineRule="auto"/>
              <w:rPr>
                <w:sz w:val="18"/>
                <w:szCs w:val="18"/>
                <w:lang w:eastAsia="en-NZ"/>
              </w:rPr>
            </w:pPr>
            <w:r>
              <w:rPr>
                <w:sz w:val="18"/>
                <w:szCs w:val="18"/>
                <w:lang w:eastAsia="en-NZ"/>
              </w:rPr>
              <w:t>BIRADS</w:t>
            </w:r>
          </w:p>
        </w:tc>
        <w:tc>
          <w:tcPr>
            <w:tcW w:w="1333" w:type="pct"/>
            <w:vAlign w:val="center"/>
            <w:hideMark/>
          </w:tcPr>
          <w:p w14:paraId="0BFF22EB"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No association was found between percent and absolute fibroglandular volume of mothers and daughters</w:t>
            </w:r>
          </w:p>
        </w:tc>
      </w:tr>
      <w:tr w:rsidR="00461081" w:rsidRPr="006F33EB" w14:paraId="43691FBD" w14:textId="77777777" w:rsidTr="00461081">
        <w:trPr>
          <w:trHeight w:val="1160"/>
        </w:trPr>
        <w:tc>
          <w:tcPr>
            <w:tcW w:w="495" w:type="pct"/>
            <w:vAlign w:val="center"/>
            <w:hideMark/>
          </w:tcPr>
          <w:p w14:paraId="3B9DC2F2" w14:textId="6639F48B"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Giacomazzi</w:t>
            </w:r>
            <w:r w:rsidR="00A80AE3">
              <w:rPr>
                <w:sz w:val="18"/>
                <w:szCs w:val="18"/>
                <w:lang w:eastAsia="en-NZ"/>
              </w:rPr>
              <w:t xml:space="preserve"> (</w:t>
            </w:r>
            <w:r w:rsidRPr="00D57B2D">
              <w:rPr>
                <w:sz w:val="18"/>
                <w:szCs w:val="18"/>
                <w:lang w:eastAsia="en-NZ"/>
              </w:rPr>
              <w:t>2011</w:t>
            </w:r>
            <w:r w:rsidR="00A80AE3">
              <w:rPr>
                <w:sz w:val="18"/>
                <w:szCs w:val="18"/>
                <w:lang w:eastAsia="en-NZ"/>
              </w:rPr>
              <w:t>)</w:t>
            </w:r>
          </w:p>
        </w:tc>
        <w:tc>
          <w:tcPr>
            <w:tcW w:w="437" w:type="pct"/>
            <w:vAlign w:val="center"/>
            <w:hideMark/>
          </w:tcPr>
          <w:p w14:paraId="2E4CA2EB" w14:textId="52FF59C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Cohort </w:t>
            </w:r>
          </w:p>
        </w:tc>
        <w:tc>
          <w:tcPr>
            <w:tcW w:w="831" w:type="pct"/>
          </w:tcPr>
          <w:p w14:paraId="581DFF57" w14:textId="476112F5" w:rsidR="002C175B" w:rsidRPr="00D57B2D" w:rsidRDefault="007C3EC1" w:rsidP="00162A58">
            <w:pPr>
              <w:pStyle w:val="BodyText"/>
              <w:spacing w:before="0" w:after="0" w:line="240" w:lineRule="auto"/>
              <w:jc w:val="left"/>
              <w:rPr>
                <w:sz w:val="18"/>
                <w:szCs w:val="18"/>
                <w:lang w:eastAsia="en-NZ"/>
              </w:rPr>
            </w:pPr>
            <w:r>
              <w:rPr>
                <w:sz w:val="18"/>
                <w:szCs w:val="18"/>
                <w:lang w:eastAsia="en-NZ"/>
              </w:rPr>
              <w:t xml:space="preserve">Mammography Screening Program, </w:t>
            </w:r>
            <w:r w:rsidR="00AB330F">
              <w:rPr>
                <w:sz w:val="18"/>
                <w:szCs w:val="18"/>
                <w:lang w:eastAsia="en-NZ"/>
              </w:rPr>
              <w:t>Brazil</w:t>
            </w:r>
          </w:p>
        </w:tc>
        <w:tc>
          <w:tcPr>
            <w:tcW w:w="779" w:type="pct"/>
          </w:tcPr>
          <w:p w14:paraId="58BBAB4F" w14:textId="219FBB5B"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(at screening, at menopause, at menarche, at first birth), parity, race, BMI</w:t>
            </w:r>
          </w:p>
        </w:tc>
        <w:tc>
          <w:tcPr>
            <w:tcW w:w="373" w:type="pct"/>
            <w:vAlign w:val="center"/>
            <w:hideMark/>
          </w:tcPr>
          <w:p w14:paraId="4D12E584" w14:textId="36258713"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750: NK</w:t>
            </w:r>
          </w:p>
        </w:tc>
        <w:tc>
          <w:tcPr>
            <w:tcW w:w="369" w:type="pct"/>
            <w:vAlign w:val="center"/>
            <w:hideMark/>
          </w:tcPr>
          <w:p w14:paraId="68FBD21E"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40–69</w:t>
            </w:r>
          </w:p>
        </w:tc>
        <w:tc>
          <w:tcPr>
            <w:tcW w:w="382" w:type="pct"/>
            <w:vAlign w:val="center"/>
            <w:hideMark/>
          </w:tcPr>
          <w:p w14:paraId="1FB8A896" w14:textId="21E5F783" w:rsidR="002C175B" w:rsidRPr="00D57B2D" w:rsidRDefault="00275D65" w:rsidP="00162A58">
            <w:pPr>
              <w:pStyle w:val="BodyText"/>
              <w:spacing w:before="0" w:after="0" w:line="240" w:lineRule="auto"/>
              <w:rPr>
                <w:sz w:val="18"/>
                <w:szCs w:val="18"/>
                <w:lang w:eastAsia="en-NZ"/>
              </w:rPr>
            </w:pPr>
            <w:r>
              <w:rPr>
                <w:sz w:val="18"/>
                <w:szCs w:val="18"/>
                <w:lang w:eastAsia="en-NZ"/>
              </w:rPr>
              <w:t>BIRADS</w:t>
            </w:r>
          </w:p>
        </w:tc>
        <w:tc>
          <w:tcPr>
            <w:tcW w:w="1333" w:type="pct"/>
            <w:vAlign w:val="center"/>
            <w:hideMark/>
          </w:tcPr>
          <w:p w14:paraId="0A283440" w14:textId="7A14157B"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HD was </w:t>
            </w:r>
            <w:r w:rsidR="00162A58">
              <w:rPr>
                <w:sz w:val="18"/>
                <w:szCs w:val="18"/>
                <w:lang w:eastAsia="en-NZ"/>
              </w:rPr>
              <w:t>associated with BC</w:t>
            </w:r>
            <w:r w:rsidRPr="00D57B2D">
              <w:rPr>
                <w:sz w:val="18"/>
                <w:szCs w:val="18"/>
                <w:lang w:eastAsia="en-NZ"/>
              </w:rPr>
              <w:t xml:space="preserve"> more frequently in premenopausal women with the risk genotypes </w:t>
            </w:r>
            <w:r w:rsidRPr="00D57B2D">
              <w:rPr>
                <w:i/>
                <w:iCs/>
                <w:sz w:val="18"/>
                <w:szCs w:val="18"/>
                <w:lang w:eastAsia="en-NZ"/>
              </w:rPr>
              <w:t>STK15</w:t>
            </w:r>
            <w:r w:rsidRPr="00D57B2D">
              <w:rPr>
                <w:sz w:val="18"/>
                <w:szCs w:val="18"/>
                <w:lang w:eastAsia="en-NZ"/>
              </w:rPr>
              <w:t xml:space="preserve"> </w:t>
            </w:r>
            <w:r w:rsidRPr="00D57B2D">
              <w:rPr>
                <w:i/>
                <w:iCs/>
                <w:sz w:val="18"/>
                <w:szCs w:val="18"/>
                <w:lang w:eastAsia="en-NZ"/>
              </w:rPr>
              <w:t>F31I</w:t>
            </w:r>
            <w:r w:rsidRPr="00D57B2D">
              <w:rPr>
                <w:sz w:val="18"/>
                <w:szCs w:val="18"/>
                <w:lang w:eastAsia="en-NZ"/>
              </w:rPr>
              <w:t xml:space="preserve"> </w:t>
            </w:r>
            <w:r w:rsidRPr="00D57B2D">
              <w:rPr>
                <w:i/>
                <w:iCs/>
                <w:sz w:val="18"/>
                <w:szCs w:val="18"/>
                <w:lang w:eastAsia="en-NZ"/>
              </w:rPr>
              <w:t>AA</w:t>
            </w:r>
            <w:r w:rsidR="00D90BC1">
              <w:rPr>
                <w:i/>
                <w:iCs/>
                <w:sz w:val="18"/>
                <w:szCs w:val="18"/>
                <w:lang w:eastAsia="en-NZ"/>
              </w:rPr>
              <w:t xml:space="preserve"> </w:t>
            </w:r>
            <w:r w:rsidRPr="00D57B2D">
              <w:rPr>
                <w:sz w:val="18"/>
                <w:szCs w:val="18"/>
                <w:lang w:eastAsia="en-NZ"/>
              </w:rPr>
              <w:t xml:space="preserve">and </w:t>
            </w:r>
            <w:r w:rsidRPr="00D57B2D">
              <w:rPr>
                <w:i/>
                <w:iCs/>
                <w:sz w:val="18"/>
                <w:szCs w:val="18"/>
                <w:lang w:eastAsia="en-NZ"/>
              </w:rPr>
              <w:t>AT.</w:t>
            </w:r>
          </w:p>
        </w:tc>
      </w:tr>
      <w:tr w:rsidR="00461081" w:rsidRPr="006F33EB" w14:paraId="480699E1" w14:textId="77777777" w:rsidTr="00461081">
        <w:trPr>
          <w:trHeight w:val="700"/>
        </w:trPr>
        <w:tc>
          <w:tcPr>
            <w:tcW w:w="495" w:type="pct"/>
            <w:vAlign w:val="center"/>
            <w:hideMark/>
          </w:tcPr>
          <w:p w14:paraId="32F3811C" w14:textId="4F7E2D9E"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Sung et al.</w:t>
            </w:r>
            <w:r w:rsidR="00A80AE3">
              <w:rPr>
                <w:sz w:val="18"/>
                <w:szCs w:val="18"/>
                <w:lang w:eastAsia="en-NZ"/>
              </w:rPr>
              <w:t xml:space="preserve"> (</w:t>
            </w:r>
            <w:r w:rsidRPr="00D57B2D">
              <w:rPr>
                <w:sz w:val="18"/>
                <w:szCs w:val="18"/>
                <w:lang w:eastAsia="en-NZ"/>
              </w:rPr>
              <w:t>2010</w:t>
            </w:r>
            <w:r w:rsidR="00A80AE3">
              <w:rPr>
                <w:sz w:val="18"/>
                <w:szCs w:val="18"/>
                <w:lang w:eastAsia="en-NZ"/>
              </w:rPr>
              <w:t>)</w:t>
            </w:r>
          </w:p>
        </w:tc>
        <w:tc>
          <w:tcPr>
            <w:tcW w:w="437" w:type="pct"/>
            <w:vAlign w:val="center"/>
            <w:hideMark/>
          </w:tcPr>
          <w:p w14:paraId="42ACD4C8" w14:textId="4BC226AD"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Cohort </w:t>
            </w:r>
          </w:p>
        </w:tc>
        <w:tc>
          <w:tcPr>
            <w:tcW w:w="831" w:type="pct"/>
          </w:tcPr>
          <w:p w14:paraId="60891AC6" w14:textId="5B1B9223" w:rsidR="002C175B" w:rsidRPr="00D57B2D" w:rsidRDefault="007C3EC1" w:rsidP="00162A58">
            <w:pPr>
              <w:pStyle w:val="BodyText"/>
              <w:spacing w:before="0" w:after="0" w:line="240" w:lineRule="auto"/>
              <w:jc w:val="left"/>
              <w:rPr>
                <w:sz w:val="18"/>
                <w:szCs w:val="18"/>
                <w:lang w:eastAsia="en-NZ"/>
              </w:rPr>
            </w:pPr>
            <w:r>
              <w:rPr>
                <w:sz w:val="18"/>
                <w:szCs w:val="18"/>
                <w:lang w:eastAsia="en-NZ"/>
              </w:rPr>
              <w:t>Healthy Twin Study, Korea, 2005-2007</w:t>
            </w:r>
          </w:p>
        </w:tc>
        <w:tc>
          <w:tcPr>
            <w:tcW w:w="779" w:type="pct"/>
          </w:tcPr>
          <w:p w14:paraId="6B6A0BF3" w14:textId="52BC7BF7" w:rsidR="002C175B" w:rsidRPr="00D57B2D" w:rsidRDefault="002C175B" w:rsidP="00162A58">
            <w:pPr>
              <w:pStyle w:val="BodyText"/>
              <w:spacing w:before="0" w:after="0" w:line="240" w:lineRule="auto"/>
              <w:jc w:val="left"/>
              <w:rPr>
                <w:sz w:val="18"/>
                <w:szCs w:val="18"/>
                <w:lang w:eastAsia="en-NZ"/>
              </w:rPr>
            </w:pPr>
            <w:r>
              <w:rPr>
                <w:sz w:val="18"/>
                <w:szCs w:val="18"/>
                <w:lang w:eastAsia="en-NZ"/>
              </w:rPr>
              <w:t xml:space="preserve">Age (current, at first birth, at menarche), BMI, smoking, alcohol, parity, </w:t>
            </w:r>
            <w:r>
              <w:rPr>
                <w:sz w:val="18"/>
                <w:szCs w:val="18"/>
                <w:lang w:eastAsia="en-NZ"/>
              </w:rPr>
              <w:lastRenderedPageBreak/>
              <w:t>breastfeeding ever, HRT, menopausal status</w:t>
            </w:r>
          </w:p>
        </w:tc>
        <w:tc>
          <w:tcPr>
            <w:tcW w:w="373" w:type="pct"/>
            <w:vAlign w:val="center"/>
            <w:hideMark/>
          </w:tcPr>
          <w:p w14:paraId="7B6BCCAD" w14:textId="32A7D383" w:rsidR="002C175B" w:rsidRPr="00D57B2D" w:rsidRDefault="002C175B" w:rsidP="00162A58">
            <w:pPr>
              <w:pStyle w:val="BodyText"/>
              <w:spacing w:before="0" w:after="0" w:line="240" w:lineRule="auto"/>
              <w:rPr>
                <w:sz w:val="18"/>
                <w:szCs w:val="18"/>
                <w:lang w:eastAsia="en-NZ"/>
              </w:rPr>
            </w:pPr>
            <w:r w:rsidRPr="00D57B2D">
              <w:rPr>
                <w:sz w:val="18"/>
                <w:szCs w:val="18"/>
                <w:lang w:eastAsia="en-NZ"/>
              </w:rPr>
              <w:lastRenderedPageBreak/>
              <w:t>730: 667</w:t>
            </w:r>
          </w:p>
        </w:tc>
        <w:tc>
          <w:tcPr>
            <w:tcW w:w="369" w:type="pct"/>
            <w:vAlign w:val="center"/>
            <w:hideMark/>
          </w:tcPr>
          <w:p w14:paraId="719808BF"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30+</w:t>
            </w:r>
          </w:p>
        </w:tc>
        <w:tc>
          <w:tcPr>
            <w:tcW w:w="382" w:type="pct"/>
            <w:vAlign w:val="center"/>
            <w:hideMark/>
          </w:tcPr>
          <w:p w14:paraId="709489FC"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0D7E7978"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PD demonstrated high heritability in Korean women</w:t>
            </w:r>
          </w:p>
        </w:tc>
      </w:tr>
      <w:tr w:rsidR="00461081" w:rsidRPr="006F33EB" w14:paraId="59C95357" w14:textId="77777777" w:rsidTr="00461081">
        <w:trPr>
          <w:trHeight w:val="700"/>
        </w:trPr>
        <w:tc>
          <w:tcPr>
            <w:tcW w:w="495" w:type="pct"/>
            <w:vAlign w:val="center"/>
            <w:hideMark/>
          </w:tcPr>
          <w:p w14:paraId="404A29CD" w14:textId="1EFC076D"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Odefrey</w:t>
            </w:r>
            <w:r w:rsidR="00A80AE3">
              <w:rPr>
                <w:sz w:val="18"/>
                <w:szCs w:val="18"/>
                <w:lang w:eastAsia="en-NZ"/>
              </w:rPr>
              <w:t xml:space="preserve"> (</w:t>
            </w:r>
            <w:r w:rsidRPr="00D57B2D">
              <w:rPr>
                <w:sz w:val="18"/>
                <w:szCs w:val="18"/>
                <w:lang w:eastAsia="en-NZ"/>
              </w:rPr>
              <w:t>2010</w:t>
            </w:r>
            <w:r w:rsidR="00A80AE3">
              <w:rPr>
                <w:sz w:val="18"/>
                <w:szCs w:val="18"/>
                <w:lang w:eastAsia="en-NZ"/>
              </w:rPr>
              <w:t>)</w:t>
            </w:r>
          </w:p>
        </w:tc>
        <w:tc>
          <w:tcPr>
            <w:tcW w:w="437" w:type="pct"/>
            <w:vAlign w:val="center"/>
            <w:hideMark/>
          </w:tcPr>
          <w:p w14:paraId="783267E0" w14:textId="110AC483" w:rsidR="002C175B" w:rsidRPr="00D57B2D" w:rsidRDefault="007C3EC1" w:rsidP="00162A58">
            <w:pPr>
              <w:pStyle w:val="BodyText"/>
              <w:spacing w:before="0" w:after="0" w:line="240" w:lineRule="auto"/>
              <w:rPr>
                <w:sz w:val="18"/>
                <w:szCs w:val="18"/>
                <w:lang w:eastAsia="en-NZ"/>
              </w:rPr>
            </w:pPr>
            <w:r>
              <w:rPr>
                <w:sz w:val="18"/>
                <w:szCs w:val="18"/>
                <w:lang w:eastAsia="en-NZ"/>
              </w:rPr>
              <w:t>Cross-sectional</w:t>
            </w:r>
            <w:r w:rsidR="002C175B" w:rsidRPr="00D57B2D">
              <w:rPr>
                <w:sz w:val="18"/>
                <w:szCs w:val="18"/>
                <w:lang w:eastAsia="en-NZ"/>
              </w:rPr>
              <w:t xml:space="preserve"> </w:t>
            </w:r>
          </w:p>
        </w:tc>
        <w:tc>
          <w:tcPr>
            <w:tcW w:w="831" w:type="pct"/>
          </w:tcPr>
          <w:p w14:paraId="374E22E8" w14:textId="52C5AB82" w:rsidR="002C175B" w:rsidRPr="00D57B2D" w:rsidRDefault="007C3EC1" w:rsidP="00162A58">
            <w:pPr>
              <w:pStyle w:val="BodyText"/>
              <w:spacing w:before="0" w:after="0" w:line="240" w:lineRule="auto"/>
              <w:jc w:val="left"/>
              <w:rPr>
                <w:sz w:val="18"/>
                <w:szCs w:val="18"/>
                <w:lang w:eastAsia="en-NZ"/>
              </w:rPr>
            </w:pPr>
            <w:r>
              <w:rPr>
                <w:sz w:val="18"/>
                <w:szCs w:val="18"/>
                <w:lang w:eastAsia="en-NZ"/>
              </w:rPr>
              <w:t>Australian Twin and Sisters Mammographic Density Study, 2004-2009</w:t>
            </w:r>
          </w:p>
        </w:tc>
        <w:tc>
          <w:tcPr>
            <w:tcW w:w="779" w:type="pct"/>
          </w:tcPr>
          <w:p w14:paraId="2322B432" w14:textId="7C814458"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BMI</w:t>
            </w:r>
          </w:p>
        </w:tc>
        <w:tc>
          <w:tcPr>
            <w:tcW w:w="373" w:type="pct"/>
            <w:vAlign w:val="center"/>
            <w:hideMark/>
          </w:tcPr>
          <w:p w14:paraId="40C7E460" w14:textId="5E594E6E"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2,288: NK</w:t>
            </w:r>
          </w:p>
        </w:tc>
        <w:tc>
          <w:tcPr>
            <w:tcW w:w="369" w:type="pct"/>
            <w:vAlign w:val="center"/>
            <w:hideMark/>
          </w:tcPr>
          <w:p w14:paraId="4F911536"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40–70</w:t>
            </w:r>
          </w:p>
        </w:tc>
        <w:tc>
          <w:tcPr>
            <w:tcW w:w="382" w:type="pct"/>
            <w:vAlign w:val="center"/>
            <w:hideMark/>
          </w:tcPr>
          <w:p w14:paraId="0BE78665"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4C1B98FF" w14:textId="1DD8813B"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rs3817198 (LSP1) and rs13281615 (8q) were </w:t>
            </w:r>
            <w:r w:rsidR="00162A58">
              <w:rPr>
                <w:sz w:val="18"/>
                <w:szCs w:val="18"/>
                <w:lang w:eastAsia="en-NZ"/>
              </w:rPr>
              <w:t>associated with</w:t>
            </w:r>
            <w:r w:rsidRPr="00D57B2D">
              <w:rPr>
                <w:sz w:val="18"/>
                <w:szCs w:val="18"/>
                <w:lang w:eastAsia="en-NZ"/>
              </w:rPr>
              <w:t xml:space="preserve"> dense area and PD</w:t>
            </w:r>
          </w:p>
        </w:tc>
      </w:tr>
      <w:tr w:rsidR="00461081" w:rsidRPr="006F33EB" w14:paraId="1FB1B744" w14:textId="77777777" w:rsidTr="00461081">
        <w:trPr>
          <w:trHeight w:val="930"/>
        </w:trPr>
        <w:tc>
          <w:tcPr>
            <w:tcW w:w="495" w:type="pct"/>
            <w:vAlign w:val="center"/>
            <w:hideMark/>
          </w:tcPr>
          <w:p w14:paraId="1B8F0F3E" w14:textId="7B64DFA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Yang et al.</w:t>
            </w:r>
            <w:r w:rsidR="00A80AE3">
              <w:rPr>
                <w:sz w:val="18"/>
                <w:szCs w:val="18"/>
                <w:lang w:eastAsia="en-NZ"/>
              </w:rPr>
              <w:t xml:space="preserve"> (</w:t>
            </w:r>
            <w:r w:rsidRPr="00D57B2D">
              <w:rPr>
                <w:sz w:val="18"/>
                <w:szCs w:val="18"/>
                <w:lang w:eastAsia="en-NZ"/>
              </w:rPr>
              <w:t>2010</w:t>
            </w:r>
            <w:r w:rsidR="00A80AE3">
              <w:rPr>
                <w:sz w:val="18"/>
                <w:szCs w:val="18"/>
                <w:lang w:eastAsia="en-NZ"/>
              </w:rPr>
              <w:t>)</w:t>
            </w:r>
          </w:p>
        </w:tc>
        <w:tc>
          <w:tcPr>
            <w:tcW w:w="437" w:type="pct"/>
            <w:vAlign w:val="center"/>
            <w:hideMark/>
          </w:tcPr>
          <w:p w14:paraId="5A4880CF" w14:textId="6805BC23" w:rsidR="002C175B" w:rsidRPr="00D57B2D" w:rsidRDefault="007C3EC1" w:rsidP="00162A58">
            <w:pPr>
              <w:pStyle w:val="BodyText"/>
              <w:spacing w:before="0" w:after="0" w:line="240" w:lineRule="auto"/>
              <w:rPr>
                <w:sz w:val="18"/>
                <w:szCs w:val="18"/>
                <w:lang w:eastAsia="en-NZ"/>
              </w:rPr>
            </w:pPr>
            <w:r>
              <w:rPr>
                <w:sz w:val="18"/>
                <w:szCs w:val="18"/>
                <w:lang w:eastAsia="en-NZ"/>
              </w:rPr>
              <w:t>Pre-clinical</w:t>
            </w:r>
          </w:p>
        </w:tc>
        <w:tc>
          <w:tcPr>
            <w:tcW w:w="831" w:type="pct"/>
          </w:tcPr>
          <w:p w14:paraId="0461A4AA" w14:textId="61065DDF" w:rsidR="002C175B" w:rsidRPr="00D57B2D" w:rsidRDefault="007C3EC1" w:rsidP="00162A58">
            <w:pPr>
              <w:pStyle w:val="BodyText"/>
              <w:spacing w:before="0" w:after="0" w:line="240" w:lineRule="auto"/>
              <w:jc w:val="left"/>
              <w:rPr>
                <w:sz w:val="18"/>
                <w:szCs w:val="18"/>
                <w:lang w:eastAsia="en-NZ"/>
              </w:rPr>
            </w:pPr>
            <w:r>
              <w:rPr>
                <w:sz w:val="18"/>
                <w:szCs w:val="18"/>
                <w:lang w:eastAsia="en-NZ"/>
              </w:rPr>
              <w:t>Frozen Tissue Bank, USA</w:t>
            </w:r>
          </w:p>
        </w:tc>
        <w:tc>
          <w:tcPr>
            <w:tcW w:w="779" w:type="pct"/>
          </w:tcPr>
          <w:p w14:paraId="72A51D95" w14:textId="3098CB4F" w:rsidR="002C175B" w:rsidRPr="00D57B2D" w:rsidRDefault="002C175B" w:rsidP="00162A58">
            <w:pPr>
              <w:pStyle w:val="BodyText"/>
              <w:spacing w:before="0" w:after="0" w:line="240" w:lineRule="auto"/>
              <w:jc w:val="left"/>
              <w:rPr>
                <w:sz w:val="18"/>
                <w:szCs w:val="18"/>
                <w:lang w:eastAsia="en-NZ"/>
              </w:rPr>
            </w:pPr>
            <w:r>
              <w:rPr>
                <w:sz w:val="18"/>
                <w:szCs w:val="18"/>
                <w:lang w:eastAsia="en-NZ"/>
              </w:rPr>
              <w:t>N/A</w:t>
            </w:r>
          </w:p>
        </w:tc>
        <w:tc>
          <w:tcPr>
            <w:tcW w:w="373" w:type="pct"/>
            <w:vAlign w:val="center"/>
            <w:hideMark/>
          </w:tcPr>
          <w:p w14:paraId="2A826363" w14:textId="05679AAA"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66: NK</w:t>
            </w:r>
          </w:p>
        </w:tc>
        <w:tc>
          <w:tcPr>
            <w:tcW w:w="369" w:type="pct"/>
            <w:vAlign w:val="center"/>
            <w:hideMark/>
          </w:tcPr>
          <w:p w14:paraId="672B8CCD"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29–88</w:t>
            </w:r>
          </w:p>
        </w:tc>
        <w:tc>
          <w:tcPr>
            <w:tcW w:w="382" w:type="pct"/>
            <w:vAlign w:val="center"/>
            <w:hideMark/>
          </w:tcPr>
          <w:p w14:paraId="0CC58B63" w14:textId="732A8D41" w:rsidR="002C175B" w:rsidRPr="00D57B2D" w:rsidRDefault="00275D65" w:rsidP="00162A58">
            <w:pPr>
              <w:pStyle w:val="BodyText"/>
              <w:spacing w:before="0" w:after="0" w:line="240" w:lineRule="auto"/>
              <w:rPr>
                <w:sz w:val="18"/>
                <w:szCs w:val="18"/>
                <w:lang w:eastAsia="en-NZ"/>
              </w:rPr>
            </w:pPr>
            <w:r>
              <w:rPr>
                <w:sz w:val="18"/>
                <w:szCs w:val="18"/>
                <w:lang w:eastAsia="en-NZ"/>
              </w:rPr>
              <w:t>BIRADS</w:t>
            </w:r>
          </w:p>
        </w:tc>
        <w:tc>
          <w:tcPr>
            <w:tcW w:w="1333" w:type="pct"/>
            <w:vAlign w:val="center"/>
            <w:hideMark/>
          </w:tcPr>
          <w:p w14:paraId="1181128F" w14:textId="5F9DB765"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High</w:t>
            </w:r>
            <w:r w:rsidR="00162A58">
              <w:rPr>
                <w:sz w:val="18"/>
                <w:szCs w:val="18"/>
                <w:lang w:eastAsia="en-NZ"/>
              </w:rPr>
              <w:t xml:space="preserve"> density was associated with</w:t>
            </w:r>
            <w:r w:rsidRPr="00D57B2D">
              <w:rPr>
                <w:sz w:val="18"/>
                <w:szCs w:val="18"/>
                <w:lang w:eastAsia="en-NZ"/>
              </w:rPr>
              <w:t xml:space="preserve"> reduced TGFβ signalling and increased COX2 expression in high-risk women</w:t>
            </w:r>
          </w:p>
        </w:tc>
      </w:tr>
      <w:tr w:rsidR="00461081" w:rsidRPr="006F33EB" w14:paraId="50898196" w14:textId="77777777" w:rsidTr="00461081">
        <w:trPr>
          <w:trHeight w:val="700"/>
        </w:trPr>
        <w:tc>
          <w:tcPr>
            <w:tcW w:w="495" w:type="pct"/>
            <w:vAlign w:val="center"/>
            <w:hideMark/>
          </w:tcPr>
          <w:p w14:paraId="7FD071D5" w14:textId="07051B6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de Moura Ramos et al</w:t>
            </w:r>
            <w:r w:rsidR="00A80AE3">
              <w:rPr>
                <w:sz w:val="18"/>
                <w:szCs w:val="18"/>
                <w:lang w:eastAsia="en-NZ"/>
              </w:rPr>
              <w:t>. (</w:t>
            </w:r>
            <w:r w:rsidRPr="00D57B2D">
              <w:rPr>
                <w:sz w:val="18"/>
                <w:szCs w:val="18"/>
                <w:lang w:eastAsia="en-NZ"/>
              </w:rPr>
              <w:t>2009</w:t>
            </w:r>
            <w:r w:rsidR="00A80AE3">
              <w:rPr>
                <w:sz w:val="18"/>
                <w:szCs w:val="18"/>
                <w:lang w:eastAsia="en-NZ"/>
              </w:rPr>
              <w:t>)</w:t>
            </w:r>
          </w:p>
        </w:tc>
        <w:tc>
          <w:tcPr>
            <w:tcW w:w="437" w:type="pct"/>
            <w:vAlign w:val="center"/>
            <w:hideMark/>
          </w:tcPr>
          <w:p w14:paraId="7AABF92D" w14:textId="69CE9D2C" w:rsidR="002C175B" w:rsidRPr="00D57B2D" w:rsidRDefault="007C3EC1" w:rsidP="00162A58">
            <w:pPr>
              <w:pStyle w:val="BodyText"/>
              <w:spacing w:before="0" w:after="0" w:line="240" w:lineRule="auto"/>
              <w:rPr>
                <w:sz w:val="18"/>
                <w:szCs w:val="18"/>
                <w:lang w:eastAsia="en-NZ"/>
              </w:rPr>
            </w:pPr>
            <w:r>
              <w:rPr>
                <w:sz w:val="18"/>
                <w:szCs w:val="18"/>
                <w:lang w:eastAsia="en-NZ"/>
              </w:rPr>
              <w:t>Cross-sectional</w:t>
            </w:r>
          </w:p>
        </w:tc>
        <w:tc>
          <w:tcPr>
            <w:tcW w:w="831" w:type="pct"/>
          </w:tcPr>
          <w:p w14:paraId="0593AA25" w14:textId="3D1D2D54" w:rsidR="002C175B" w:rsidRPr="00D57B2D" w:rsidRDefault="007C3EC1" w:rsidP="00162A58">
            <w:pPr>
              <w:pStyle w:val="BodyText"/>
              <w:spacing w:before="0" w:after="0" w:line="240" w:lineRule="auto"/>
              <w:jc w:val="left"/>
              <w:rPr>
                <w:sz w:val="18"/>
                <w:szCs w:val="18"/>
                <w:lang w:eastAsia="en-NZ"/>
              </w:rPr>
            </w:pPr>
            <w:r>
              <w:rPr>
                <w:sz w:val="18"/>
                <w:szCs w:val="18"/>
                <w:lang w:eastAsia="en-NZ"/>
              </w:rPr>
              <w:t>Patients from Climacterium Sector and Diagnostic Section of the Department of Gynaecology, Federal de S</w:t>
            </w:r>
            <w:r>
              <w:rPr>
                <w:rFonts w:cstheme="majorHAnsi"/>
                <w:sz w:val="18"/>
                <w:szCs w:val="18"/>
                <w:lang w:eastAsia="en-NZ"/>
              </w:rPr>
              <w:t>ã</w:t>
            </w:r>
            <w:r>
              <w:rPr>
                <w:sz w:val="18"/>
                <w:szCs w:val="18"/>
                <w:lang w:eastAsia="en-NZ"/>
              </w:rPr>
              <w:t>o Paulo, Escola Paulista de Medicina, 2008</w:t>
            </w:r>
          </w:p>
        </w:tc>
        <w:tc>
          <w:tcPr>
            <w:tcW w:w="779" w:type="pct"/>
          </w:tcPr>
          <w:p w14:paraId="41404564" w14:textId="68AC5A85"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(current, at menopause), BMI, menopausal status, parity</w:t>
            </w:r>
          </w:p>
        </w:tc>
        <w:tc>
          <w:tcPr>
            <w:tcW w:w="373" w:type="pct"/>
            <w:vAlign w:val="center"/>
            <w:hideMark/>
          </w:tcPr>
          <w:p w14:paraId="32833CD8" w14:textId="436CD550"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120: NK</w:t>
            </w:r>
          </w:p>
        </w:tc>
        <w:tc>
          <w:tcPr>
            <w:tcW w:w="369" w:type="pct"/>
            <w:vAlign w:val="center"/>
            <w:hideMark/>
          </w:tcPr>
          <w:p w14:paraId="6FC1E9EE"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382" w:type="pct"/>
            <w:vAlign w:val="center"/>
            <w:hideMark/>
          </w:tcPr>
          <w:p w14:paraId="7D3849E4" w14:textId="5B85C71A" w:rsidR="002C175B" w:rsidRPr="00D57B2D" w:rsidRDefault="00275D65" w:rsidP="00162A58">
            <w:pPr>
              <w:pStyle w:val="BodyText"/>
              <w:spacing w:before="0" w:after="0" w:line="240" w:lineRule="auto"/>
              <w:rPr>
                <w:sz w:val="18"/>
                <w:szCs w:val="18"/>
                <w:lang w:eastAsia="en-NZ"/>
              </w:rPr>
            </w:pPr>
            <w:r>
              <w:rPr>
                <w:sz w:val="18"/>
                <w:szCs w:val="18"/>
                <w:lang w:eastAsia="en-NZ"/>
              </w:rPr>
              <w:t>BIRADS</w:t>
            </w:r>
          </w:p>
        </w:tc>
        <w:tc>
          <w:tcPr>
            <w:tcW w:w="1333" w:type="pct"/>
            <w:vAlign w:val="center"/>
            <w:hideMark/>
          </w:tcPr>
          <w:p w14:paraId="7377A889" w14:textId="48FF1A48"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Polymorphism Xbal may be strongly related to </w:t>
            </w:r>
            <w:r w:rsidR="00162A58">
              <w:rPr>
                <w:sz w:val="18"/>
                <w:szCs w:val="18"/>
                <w:lang w:eastAsia="en-NZ"/>
              </w:rPr>
              <w:t>density</w:t>
            </w:r>
            <w:r w:rsidRPr="00D57B2D">
              <w:rPr>
                <w:sz w:val="18"/>
                <w:szCs w:val="18"/>
                <w:lang w:eastAsia="en-NZ"/>
              </w:rPr>
              <w:t xml:space="preserve"> (</w:t>
            </w:r>
            <w:r w:rsidRPr="00D57B2D">
              <w:rPr>
                <w:i/>
                <w:iCs/>
                <w:sz w:val="18"/>
                <w:szCs w:val="18"/>
                <w:lang w:eastAsia="en-NZ"/>
              </w:rPr>
              <w:t>p</w:t>
            </w:r>
            <w:r w:rsidRPr="00D57B2D">
              <w:rPr>
                <w:sz w:val="18"/>
                <w:szCs w:val="18"/>
                <w:lang w:eastAsia="en-NZ"/>
              </w:rPr>
              <w:t xml:space="preserve"> = 0.02)</w:t>
            </w:r>
          </w:p>
        </w:tc>
      </w:tr>
      <w:tr w:rsidR="00461081" w:rsidRPr="006F33EB" w14:paraId="7579E2BF" w14:textId="77777777" w:rsidTr="00461081">
        <w:trPr>
          <w:trHeight w:val="1620"/>
        </w:trPr>
        <w:tc>
          <w:tcPr>
            <w:tcW w:w="495" w:type="pct"/>
            <w:vAlign w:val="center"/>
            <w:hideMark/>
          </w:tcPr>
          <w:p w14:paraId="463D2E09" w14:textId="218E5AC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Crandall et al.</w:t>
            </w:r>
            <w:r w:rsidR="00A80AE3">
              <w:rPr>
                <w:sz w:val="18"/>
                <w:szCs w:val="18"/>
                <w:lang w:eastAsia="en-NZ"/>
              </w:rPr>
              <w:t xml:space="preserve"> (</w:t>
            </w:r>
            <w:r w:rsidRPr="00D57B2D">
              <w:rPr>
                <w:sz w:val="18"/>
                <w:szCs w:val="18"/>
                <w:lang w:eastAsia="en-NZ"/>
              </w:rPr>
              <w:t>2009</w:t>
            </w:r>
            <w:r w:rsidR="00A80AE3">
              <w:rPr>
                <w:sz w:val="18"/>
                <w:szCs w:val="18"/>
                <w:lang w:eastAsia="en-NZ"/>
              </w:rPr>
              <w:t>)</w:t>
            </w:r>
          </w:p>
        </w:tc>
        <w:tc>
          <w:tcPr>
            <w:tcW w:w="437" w:type="pct"/>
            <w:vAlign w:val="center"/>
            <w:hideMark/>
          </w:tcPr>
          <w:p w14:paraId="341BE13E" w14:textId="626A453A"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Cohort</w:t>
            </w:r>
          </w:p>
        </w:tc>
        <w:tc>
          <w:tcPr>
            <w:tcW w:w="831" w:type="pct"/>
          </w:tcPr>
          <w:p w14:paraId="61C7856C" w14:textId="33993B4C" w:rsidR="002C175B" w:rsidRPr="00D57B2D" w:rsidRDefault="007C3EC1" w:rsidP="00162A58">
            <w:pPr>
              <w:pStyle w:val="BodyText"/>
              <w:spacing w:before="0" w:after="0" w:line="240" w:lineRule="auto"/>
              <w:jc w:val="left"/>
              <w:rPr>
                <w:sz w:val="18"/>
                <w:szCs w:val="18"/>
                <w:lang w:eastAsia="en-NZ"/>
              </w:rPr>
            </w:pPr>
            <w:r>
              <w:rPr>
                <w:sz w:val="18"/>
                <w:szCs w:val="18"/>
                <w:lang w:eastAsia="en-NZ"/>
              </w:rPr>
              <w:t>Study of Women’s Health Across the Nation, USA</w:t>
            </w:r>
          </w:p>
        </w:tc>
        <w:tc>
          <w:tcPr>
            <w:tcW w:w="779" w:type="pct"/>
          </w:tcPr>
          <w:p w14:paraId="3C617091" w14:textId="7C22A59E"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race, parity, BMI, smoking</w:t>
            </w:r>
          </w:p>
        </w:tc>
        <w:tc>
          <w:tcPr>
            <w:tcW w:w="373" w:type="pct"/>
            <w:vAlign w:val="center"/>
            <w:hideMark/>
          </w:tcPr>
          <w:p w14:paraId="2C9CD66D" w14:textId="59B2D34F"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451:643</w:t>
            </w:r>
          </w:p>
        </w:tc>
        <w:tc>
          <w:tcPr>
            <w:tcW w:w="369" w:type="pct"/>
            <w:vAlign w:val="center"/>
            <w:hideMark/>
          </w:tcPr>
          <w:p w14:paraId="17DAD157"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42–52</w:t>
            </w:r>
          </w:p>
        </w:tc>
        <w:tc>
          <w:tcPr>
            <w:tcW w:w="382" w:type="pct"/>
            <w:vAlign w:val="center"/>
            <w:hideMark/>
          </w:tcPr>
          <w:p w14:paraId="409DC3DB"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PD</w:t>
            </w:r>
          </w:p>
        </w:tc>
        <w:tc>
          <w:tcPr>
            <w:tcW w:w="1333" w:type="pct"/>
            <w:vAlign w:val="center"/>
            <w:hideMark/>
          </w:tcPr>
          <w:p w14:paraId="7F6F8CCF" w14:textId="4AC98265"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The CYP1B1 rs162555 CC genotype was </w:t>
            </w:r>
            <w:r w:rsidR="00162A58">
              <w:rPr>
                <w:sz w:val="18"/>
                <w:szCs w:val="18"/>
                <w:lang w:eastAsia="en-NZ"/>
              </w:rPr>
              <w:t>associated with</w:t>
            </w:r>
            <w:r w:rsidRPr="00D57B2D">
              <w:rPr>
                <w:sz w:val="18"/>
                <w:szCs w:val="18"/>
                <w:lang w:eastAsia="en-NZ"/>
              </w:rPr>
              <w:t xml:space="preserve"> a 9.4% higher </w:t>
            </w:r>
            <w:r w:rsidR="00162A58">
              <w:rPr>
                <w:sz w:val="18"/>
                <w:szCs w:val="18"/>
                <w:lang w:eastAsia="en-NZ"/>
              </w:rPr>
              <w:t>density</w:t>
            </w:r>
            <w:r w:rsidRPr="00D57B2D">
              <w:rPr>
                <w:sz w:val="18"/>
                <w:szCs w:val="18"/>
                <w:lang w:eastAsia="en-NZ"/>
              </w:rPr>
              <w:t xml:space="preserve"> than the TC/TT genotype (</w:t>
            </w:r>
            <w:r w:rsidRPr="00D57B2D">
              <w:rPr>
                <w:i/>
                <w:iCs/>
                <w:sz w:val="18"/>
                <w:szCs w:val="18"/>
                <w:lang w:eastAsia="en-NZ"/>
              </w:rPr>
              <w:t>p</w:t>
            </w:r>
            <w:r w:rsidRPr="00D57B2D">
              <w:rPr>
                <w:sz w:val="18"/>
                <w:szCs w:val="18"/>
                <w:lang w:eastAsia="en-NZ"/>
              </w:rPr>
              <w:t xml:space="preserve"> = 0.04). The CYP19A1 rs936306 TT genotype was </w:t>
            </w:r>
            <w:r w:rsidR="00162A58">
              <w:rPr>
                <w:sz w:val="18"/>
                <w:szCs w:val="18"/>
                <w:lang w:eastAsia="en-NZ"/>
              </w:rPr>
              <w:t>associated with</w:t>
            </w:r>
            <w:r w:rsidRPr="00D57B2D">
              <w:rPr>
                <w:sz w:val="18"/>
                <w:szCs w:val="18"/>
                <w:lang w:eastAsia="en-NZ"/>
              </w:rPr>
              <w:t xml:space="preserve"> 6.2% lower </w:t>
            </w:r>
            <w:r w:rsidR="00162A58">
              <w:rPr>
                <w:sz w:val="18"/>
                <w:szCs w:val="18"/>
                <w:lang w:eastAsia="en-NZ"/>
              </w:rPr>
              <w:t>density</w:t>
            </w:r>
            <w:r w:rsidRPr="00D57B2D">
              <w:rPr>
                <w:sz w:val="18"/>
                <w:szCs w:val="18"/>
                <w:lang w:eastAsia="en-NZ"/>
              </w:rPr>
              <w:t xml:space="preserve"> than the TC/CC genotype (</w:t>
            </w:r>
            <w:r w:rsidRPr="00D57B2D">
              <w:rPr>
                <w:i/>
                <w:iCs/>
                <w:sz w:val="18"/>
                <w:szCs w:val="18"/>
                <w:lang w:eastAsia="en-NZ"/>
              </w:rPr>
              <w:t>p</w:t>
            </w:r>
            <w:r w:rsidRPr="00D57B2D">
              <w:rPr>
                <w:sz w:val="18"/>
                <w:szCs w:val="18"/>
                <w:lang w:eastAsia="en-NZ"/>
              </w:rPr>
              <w:t xml:space="preserve"> = 0.02)</w:t>
            </w:r>
          </w:p>
        </w:tc>
      </w:tr>
      <w:tr w:rsidR="00461081" w:rsidRPr="006F33EB" w14:paraId="56939F88" w14:textId="77777777" w:rsidTr="00461081">
        <w:trPr>
          <w:trHeight w:val="930"/>
        </w:trPr>
        <w:tc>
          <w:tcPr>
            <w:tcW w:w="495" w:type="pct"/>
            <w:vAlign w:val="center"/>
            <w:hideMark/>
          </w:tcPr>
          <w:p w14:paraId="5FFCBBD6" w14:textId="260738D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lastRenderedPageBreak/>
              <w:t>Kataoka et al.</w:t>
            </w:r>
            <w:r w:rsidR="00A80AE3">
              <w:rPr>
                <w:sz w:val="18"/>
                <w:szCs w:val="18"/>
                <w:lang w:eastAsia="en-NZ"/>
              </w:rPr>
              <w:t xml:space="preserve"> (</w:t>
            </w:r>
            <w:r w:rsidRPr="00D57B2D">
              <w:rPr>
                <w:sz w:val="18"/>
                <w:szCs w:val="18"/>
                <w:lang w:eastAsia="en-NZ"/>
              </w:rPr>
              <w:t>2009</w:t>
            </w:r>
            <w:r w:rsidR="00A80AE3">
              <w:rPr>
                <w:sz w:val="18"/>
                <w:szCs w:val="18"/>
                <w:lang w:eastAsia="en-NZ"/>
              </w:rPr>
              <w:t>)</w:t>
            </w:r>
          </w:p>
        </w:tc>
        <w:tc>
          <w:tcPr>
            <w:tcW w:w="437" w:type="pct"/>
            <w:vAlign w:val="center"/>
            <w:hideMark/>
          </w:tcPr>
          <w:p w14:paraId="7DBEE3B8" w14:textId="4B0EAD52" w:rsidR="002C175B" w:rsidRPr="00D57B2D" w:rsidRDefault="00574283" w:rsidP="00162A58">
            <w:pPr>
              <w:pStyle w:val="BodyText"/>
              <w:spacing w:before="0" w:after="0" w:line="240" w:lineRule="auto"/>
              <w:rPr>
                <w:sz w:val="18"/>
                <w:szCs w:val="18"/>
                <w:lang w:eastAsia="en-NZ"/>
              </w:rPr>
            </w:pPr>
            <w:r>
              <w:rPr>
                <w:sz w:val="18"/>
                <w:szCs w:val="18"/>
                <w:lang w:eastAsia="en-NZ"/>
              </w:rPr>
              <w:t>Case-control</w:t>
            </w:r>
            <w:r w:rsidR="002C175B" w:rsidRPr="00D57B2D">
              <w:rPr>
                <w:sz w:val="18"/>
                <w:szCs w:val="18"/>
                <w:lang w:eastAsia="en-NZ"/>
              </w:rPr>
              <w:t xml:space="preserve"> </w:t>
            </w:r>
          </w:p>
        </w:tc>
        <w:tc>
          <w:tcPr>
            <w:tcW w:w="831" w:type="pct"/>
          </w:tcPr>
          <w:p w14:paraId="11AD9DDF" w14:textId="308DFC8C" w:rsidR="002C175B" w:rsidRPr="00D57B2D" w:rsidRDefault="00574283" w:rsidP="00162A58">
            <w:pPr>
              <w:pStyle w:val="BodyText"/>
              <w:spacing w:before="0" w:after="0" w:line="240" w:lineRule="auto"/>
              <w:jc w:val="left"/>
              <w:rPr>
                <w:sz w:val="18"/>
                <w:szCs w:val="18"/>
                <w:lang w:eastAsia="en-NZ"/>
              </w:rPr>
            </w:pPr>
            <w:r>
              <w:rPr>
                <w:sz w:val="18"/>
                <w:szCs w:val="18"/>
                <w:lang w:eastAsia="en-NZ"/>
              </w:rPr>
              <w:t>Mammography Screening Program, UK, 2002-2007</w:t>
            </w:r>
          </w:p>
        </w:tc>
        <w:tc>
          <w:tcPr>
            <w:tcW w:w="779" w:type="pct"/>
          </w:tcPr>
          <w:p w14:paraId="7DB751B4" w14:textId="60B5FC37"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(at screening, at menopause, at menarche, at first birth), BMI, smoking, alcohol, menopausal status, parity, breastfeeding ever, history of benign disease</w:t>
            </w:r>
          </w:p>
        </w:tc>
        <w:tc>
          <w:tcPr>
            <w:tcW w:w="373" w:type="pct"/>
            <w:vAlign w:val="center"/>
            <w:hideMark/>
          </w:tcPr>
          <w:p w14:paraId="1F330806" w14:textId="01282F9D"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746: NK</w:t>
            </w:r>
          </w:p>
        </w:tc>
        <w:tc>
          <w:tcPr>
            <w:tcW w:w="369" w:type="pct"/>
            <w:vAlign w:val="center"/>
            <w:hideMark/>
          </w:tcPr>
          <w:p w14:paraId="03C7A387"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37–79</w:t>
            </w:r>
          </w:p>
        </w:tc>
        <w:tc>
          <w:tcPr>
            <w:tcW w:w="382" w:type="pct"/>
            <w:vAlign w:val="center"/>
            <w:hideMark/>
          </w:tcPr>
          <w:p w14:paraId="1CD92140"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50DD585C" w14:textId="4C8E2D5E"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Sister–sister pairs and monozygotic twin pairs showed that </w:t>
            </w:r>
            <w:r w:rsidR="00162A58">
              <w:rPr>
                <w:sz w:val="18"/>
                <w:szCs w:val="18"/>
                <w:lang w:eastAsia="en-NZ"/>
              </w:rPr>
              <w:t>density</w:t>
            </w:r>
            <w:r w:rsidRPr="00D57B2D">
              <w:rPr>
                <w:sz w:val="18"/>
                <w:szCs w:val="18"/>
                <w:lang w:eastAsia="en-NZ"/>
              </w:rPr>
              <w:t xml:space="preserve"> had a strong heritable basis</w:t>
            </w:r>
          </w:p>
        </w:tc>
      </w:tr>
      <w:tr w:rsidR="00461081" w:rsidRPr="006F33EB" w14:paraId="2486D647" w14:textId="77777777" w:rsidTr="00461081">
        <w:trPr>
          <w:trHeight w:val="1160"/>
        </w:trPr>
        <w:tc>
          <w:tcPr>
            <w:tcW w:w="495" w:type="pct"/>
            <w:vAlign w:val="center"/>
            <w:hideMark/>
          </w:tcPr>
          <w:p w14:paraId="785C03A3" w14:textId="2365D539"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Chambo et al.</w:t>
            </w:r>
            <w:r w:rsidR="00A80AE3">
              <w:rPr>
                <w:sz w:val="18"/>
                <w:szCs w:val="18"/>
                <w:lang w:eastAsia="en-NZ"/>
              </w:rPr>
              <w:t xml:space="preserve"> (</w:t>
            </w:r>
            <w:r w:rsidRPr="00D57B2D">
              <w:rPr>
                <w:sz w:val="18"/>
                <w:szCs w:val="18"/>
                <w:lang w:eastAsia="en-NZ"/>
              </w:rPr>
              <w:t>2009</w:t>
            </w:r>
            <w:r w:rsidR="00A80AE3">
              <w:rPr>
                <w:sz w:val="18"/>
                <w:szCs w:val="18"/>
                <w:lang w:eastAsia="en-NZ"/>
              </w:rPr>
              <w:t>)</w:t>
            </w:r>
          </w:p>
        </w:tc>
        <w:tc>
          <w:tcPr>
            <w:tcW w:w="437" w:type="pct"/>
            <w:vAlign w:val="center"/>
            <w:hideMark/>
          </w:tcPr>
          <w:p w14:paraId="7D047F3E" w14:textId="4837572C" w:rsidR="002C175B" w:rsidRPr="00D57B2D" w:rsidRDefault="002A0B2F" w:rsidP="00162A58">
            <w:pPr>
              <w:pStyle w:val="BodyText"/>
              <w:spacing w:before="0" w:after="0" w:line="240" w:lineRule="auto"/>
              <w:rPr>
                <w:sz w:val="18"/>
                <w:szCs w:val="18"/>
                <w:lang w:eastAsia="en-NZ"/>
              </w:rPr>
            </w:pPr>
            <w:r>
              <w:rPr>
                <w:sz w:val="18"/>
                <w:szCs w:val="18"/>
                <w:lang w:eastAsia="en-NZ"/>
              </w:rPr>
              <w:t>Cross-sectional</w:t>
            </w:r>
            <w:r w:rsidR="002C175B" w:rsidRPr="00D57B2D">
              <w:rPr>
                <w:sz w:val="18"/>
                <w:szCs w:val="18"/>
                <w:lang w:eastAsia="en-NZ"/>
              </w:rPr>
              <w:t xml:space="preserve"> </w:t>
            </w:r>
          </w:p>
        </w:tc>
        <w:tc>
          <w:tcPr>
            <w:tcW w:w="831" w:type="pct"/>
          </w:tcPr>
          <w:p w14:paraId="04E9B3F3" w14:textId="2D6CF702" w:rsidR="002C175B" w:rsidRPr="00D57B2D" w:rsidRDefault="00574283" w:rsidP="00162A58">
            <w:pPr>
              <w:pStyle w:val="BodyText"/>
              <w:spacing w:before="0" w:after="0" w:line="240" w:lineRule="auto"/>
              <w:jc w:val="left"/>
              <w:rPr>
                <w:sz w:val="18"/>
                <w:szCs w:val="18"/>
                <w:lang w:eastAsia="en-NZ"/>
              </w:rPr>
            </w:pPr>
            <w:r>
              <w:rPr>
                <w:sz w:val="18"/>
                <w:szCs w:val="18"/>
                <w:lang w:eastAsia="en-NZ"/>
              </w:rPr>
              <w:t>Patients from Climacterium Sector and Diagnostic Section of the Department of Gynaecology, Federal de S</w:t>
            </w:r>
            <w:r>
              <w:rPr>
                <w:rFonts w:cstheme="majorHAnsi"/>
                <w:sz w:val="18"/>
                <w:szCs w:val="18"/>
                <w:lang w:eastAsia="en-NZ"/>
              </w:rPr>
              <w:t>ã</w:t>
            </w:r>
            <w:r>
              <w:rPr>
                <w:sz w:val="18"/>
                <w:szCs w:val="18"/>
                <w:lang w:eastAsia="en-NZ"/>
              </w:rPr>
              <w:t>o Paulo, Escola Paulista de Medicina, 200</w:t>
            </w:r>
            <w:r w:rsidR="002A0B2F">
              <w:rPr>
                <w:sz w:val="18"/>
                <w:szCs w:val="18"/>
                <w:lang w:eastAsia="en-NZ"/>
              </w:rPr>
              <w:t>6</w:t>
            </w:r>
          </w:p>
        </w:tc>
        <w:tc>
          <w:tcPr>
            <w:tcW w:w="779" w:type="pct"/>
          </w:tcPr>
          <w:p w14:paraId="621E5525" w14:textId="758CD605"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parity, BMI</w:t>
            </w:r>
          </w:p>
        </w:tc>
        <w:tc>
          <w:tcPr>
            <w:tcW w:w="373" w:type="pct"/>
            <w:vAlign w:val="center"/>
            <w:hideMark/>
          </w:tcPr>
          <w:p w14:paraId="3092779E" w14:textId="7CC66504"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123: NK</w:t>
            </w:r>
          </w:p>
        </w:tc>
        <w:tc>
          <w:tcPr>
            <w:tcW w:w="369" w:type="pct"/>
            <w:vAlign w:val="center"/>
            <w:hideMark/>
          </w:tcPr>
          <w:p w14:paraId="7E03B93E"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NK</w:t>
            </w:r>
          </w:p>
        </w:tc>
        <w:tc>
          <w:tcPr>
            <w:tcW w:w="382" w:type="pct"/>
            <w:vAlign w:val="center"/>
            <w:hideMark/>
          </w:tcPr>
          <w:p w14:paraId="6FE67F59" w14:textId="0966970F" w:rsidR="002C175B" w:rsidRPr="00D57B2D" w:rsidRDefault="00275D65" w:rsidP="00162A58">
            <w:pPr>
              <w:pStyle w:val="BodyText"/>
              <w:spacing w:before="0" w:after="0" w:line="240" w:lineRule="auto"/>
              <w:rPr>
                <w:sz w:val="18"/>
                <w:szCs w:val="18"/>
                <w:lang w:eastAsia="en-NZ"/>
              </w:rPr>
            </w:pPr>
            <w:r>
              <w:rPr>
                <w:sz w:val="18"/>
                <w:szCs w:val="18"/>
                <w:lang w:eastAsia="en-NZ"/>
              </w:rPr>
              <w:t>BIRADS</w:t>
            </w:r>
          </w:p>
        </w:tc>
        <w:tc>
          <w:tcPr>
            <w:tcW w:w="1333" w:type="pct"/>
            <w:vAlign w:val="center"/>
            <w:hideMark/>
          </w:tcPr>
          <w:p w14:paraId="78B07509" w14:textId="6B47D7E5"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Wild-type PROGINS and mutated CYP17 taken together were </w:t>
            </w:r>
            <w:r w:rsidR="00162A58">
              <w:rPr>
                <w:sz w:val="18"/>
                <w:szCs w:val="18"/>
                <w:lang w:eastAsia="en-NZ"/>
              </w:rPr>
              <w:t>associated with</w:t>
            </w:r>
            <w:r w:rsidRPr="00D57B2D">
              <w:rPr>
                <w:sz w:val="18"/>
                <w:szCs w:val="18"/>
                <w:lang w:eastAsia="en-NZ"/>
              </w:rPr>
              <w:t xml:space="preserve"> a 4.87 times higher chance of having dense breasts (</w:t>
            </w:r>
            <w:r w:rsidRPr="00D57B2D">
              <w:rPr>
                <w:i/>
                <w:iCs/>
                <w:sz w:val="18"/>
                <w:szCs w:val="18"/>
                <w:lang w:eastAsia="en-NZ"/>
              </w:rPr>
              <w:t>p</w:t>
            </w:r>
            <w:r w:rsidRPr="00D57B2D">
              <w:rPr>
                <w:sz w:val="18"/>
                <w:szCs w:val="18"/>
                <w:lang w:eastAsia="en-NZ"/>
              </w:rPr>
              <w:t xml:space="preserve"> = 0.030)</w:t>
            </w:r>
          </w:p>
        </w:tc>
      </w:tr>
      <w:tr w:rsidR="00461081" w:rsidRPr="006F33EB" w14:paraId="23925CCB" w14:textId="77777777" w:rsidTr="00461081">
        <w:trPr>
          <w:trHeight w:val="470"/>
        </w:trPr>
        <w:tc>
          <w:tcPr>
            <w:tcW w:w="495" w:type="pct"/>
            <w:vAlign w:val="center"/>
            <w:hideMark/>
          </w:tcPr>
          <w:p w14:paraId="63D72CF2" w14:textId="5DA604F6"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Woolcott et al.</w:t>
            </w:r>
            <w:r w:rsidR="00A80AE3">
              <w:rPr>
                <w:sz w:val="18"/>
                <w:szCs w:val="18"/>
                <w:lang w:eastAsia="en-NZ"/>
              </w:rPr>
              <w:t xml:space="preserve"> (</w:t>
            </w:r>
            <w:r w:rsidRPr="00D57B2D">
              <w:rPr>
                <w:sz w:val="18"/>
                <w:szCs w:val="18"/>
                <w:lang w:eastAsia="en-NZ"/>
              </w:rPr>
              <w:t>2009</w:t>
            </w:r>
            <w:r w:rsidR="00A80AE3">
              <w:rPr>
                <w:sz w:val="18"/>
                <w:szCs w:val="18"/>
                <w:lang w:eastAsia="en-NZ"/>
              </w:rPr>
              <w:t>)</w:t>
            </w:r>
          </w:p>
        </w:tc>
        <w:tc>
          <w:tcPr>
            <w:tcW w:w="437" w:type="pct"/>
            <w:vAlign w:val="center"/>
            <w:hideMark/>
          </w:tcPr>
          <w:p w14:paraId="50E420DF" w14:textId="0F3B7C9F" w:rsidR="002C175B" w:rsidRPr="00D57B2D" w:rsidRDefault="002A0B2F" w:rsidP="00162A58">
            <w:pPr>
              <w:pStyle w:val="BodyText"/>
              <w:spacing w:before="0" w:after="0" w:line="240" w:lineRule="auto"/>
              <w:rPr>
                <w:sz w:val="18"/>
                <w:szCs w:val="18"/>
                <w:lang w:eastAsia="en-NZ"/>
              </w:rPr>
            </w:pPr>
            <w:r>
              <w:rPr>
                <w:sz w:val="18"/>
                <w:szCs w:val="18"/>
                <w:lang w:eastAsia="en-NZ"/>
              </w:rPr>
              <w:t>Nested case-control</w:t>
            </w:r>
            <w:r w:rsidR="002C175B" w:rsidRPr="00D57B2D">
              <w:rPr>
                <w:sz w:val="18"/>
                <w:szCs w:val="18"/>
                <w:lang w:eastAsia="en-NZ"/>
              </w:rPr>
              <w:t xml:space="preserve"> </w:t>
            </w:r>
          </w:p>
        </w:tc>
        <w:tc>
          <w:tcPr>
            <w:tcW w:w="831" w:type="pct"/>
          </w:tcPr>
          <w:p w14:paraId="355EAF88" w14:textId="56D3B6B7" w:rsidR="002C175B" w:rsidRPr="00D57B2D" w:rsidRDefault="002A0B2F" w:rsidP="00162A58">
            <w:pPr>
              <w:pStyle w:val="BodyText"/>
              <w:spacing w:before="0" w:after="0" w:line="240" w:lineRule="auto"/>
              <w:jc w:val="left"/>
              <w:rPr>
                <w:sz w:val="18"/>
                <w:szCs w:val="18"/>
                <w:lang w:eastAsia="en-NZ"/>
              </w:rPr>
            </w:pPr>
            <w:r>
              <w:rPr>
                <w:sz w:val="18"/>
                <w:szCs w:val="18"/>
                <w:lang w:eastAsia="en-NZ"/>
              </w:rPr>
              <w:t>Multi-Ethnic Cohort, USA, 1993-1996</w:t>
            </w:r>
          </w:p>
        </w:tc>
        <w:tc>
          <w:tcPr>
            <w:tcW w:w="779" w:type="pct"/>
          </w:tcPr>
          <w:p w14:paraId="558B26C0" w14:textId="77777777" w:rsidR="002C175B" w:rsidRDefault="002C175B" w:rsidP="00162A58">
            <w:pPr>
              <w:pStyle w:val="BodyText"/>
              <w:spacing w:before="0" w:after="0" w:line="240" w:lineRule="auto"/>
              <w:jc w:val="left"/>
              <w:rPr>
                <w:sz w:val="18"/>
                <w:szCs w:val="18"/>
                <w:lang w:eastAsia="en-NZ"/>
              </w:rPr>
            </w:pPr>
            <w:r>
              <w:rPr>
                <w:sz w:val="18"/>
                <w:szCs w:val="18"/>
                <w:lang w:eastAsia="en-NZ"/>
              </w:rPr>
              <w:t>Age, race, BMI</w:t>
            </w:r>
          </w:p>
          <w:p w14:paraId="0697FB59" w14:textId="61948C72" w:rsidR="002C175B" w:rsidRPr="00D57B2D" w:rsidRDefault="002C175B" w:rsidP="00162A58">
            <w:pPr>
              <w:pStyle w:val="BodyText"/>
              <w:spacing w:before="0" w:after="0" w:line="240" w:lineRule="auto"/>
              <w:jc w:val="left"/>
              <w:rPr>
                <w:sz w:val="18"/>
                <w:szCs w:val="18"/>
                <w:lang w:eastAsia="en-NZ"/>
              </w:rPr>
            </w:pPr>
            <w:r>
              <w:rPr>
                <w:sz w:val="18"/>
                <w:szCs w:val="18"/>
                <w:lang w:eastAsia="en-NZ"/>
              </w:rPr>
              <w:t>Matched on: race, age group</w:t>
            </w:r>
          </w:p>
        </w:tc>
        <w:tc>
          <w:tcPr>
            <w:tcW w:w="373" w:type="pct"/>
            <w:vAlign w:val="center"/>
            <w:hideMark/>
          </w:tcPr>
          <w:p w14:paraId="5ACDE67F" w14:textId="40B54EAC"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361:464</w:t>
            </w:r>
          </w:p>
        </w:tc>
        <w:tc>
          <w:tcPr>
            <w:tcW w:w="369" w:type="pct"/>
            <w:vAlign w:val="center"/>
            <w:hideMark/>
          </w:tcPr>
          <w:p w14:paraId="28108E06"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45–75</w:t>
            </w:r>
          </w:p>
        </w:tc>
        <w:tc>
          <w:tcPr>
            <w:tcW w:w="382" w:type="pct"/>
            <w:vAlign w:val="center"/>
            <w:hideMark/>
          </w:tcPr>
          <w:p w14:paraId="1E2547A3"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Cumulus</w:t>
            </w:r>
          </w:p>
        </w:tc>
        <w:tc>
          <w:tcPr>
            <w:tcW w:w="1333" w:type="pct"/>
            <w:vAlign w:val="center"/>
            <w:hideMark/>
          </w:tcPr>
          <w:p w14:paraId="1739E852"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The polymorphism rs12443621 in TOX3 was associated with PD</w:t>
            </w:r>
          </w:p>
        </w:tc>
      </w:tr>
      <w:tr w:rsidR="00461081" w:rsidRPr="006F33EB" w14:paraId="7F89F1D6" w14:textId="77777777" w:rsidTr="00461081">
        <w:trPr>
          <w:trHeight w:val="700"/>
        </w:trPr>
        <w:tc>
          <w:tcPr>
            <w:tcW w:w="495" w:type="pct"/>
            <w:vAlign w:val="center"/>
            <w:hideMark/>
          </w:tcPr>
          <w:p w14:paraId="40FEAAC4" w14:textId="3E59F0B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Douglas et al.</w:t>
            </w:r>
            <w:r w:rsidR="00A80AE3">
              <w:rPr>
                <w:sz w:val="18"/>
                <w:szCs w:val="18"/>
                <w:lang w:eastAsia="en-NZ"/>
              </w:rPr>
              <w:t xml:space="preserve"> (</w:t>
            </w:r>
            <w:r w:rsidRPr="00D57B2D">
              <w:rPr>
                <w:sz w:val="18"/>
                <w:szCs w:val="18"/>
                <w:lang w:eastAsia="en-NZ"/>
              </w:rPr>
              <w:t>2008</w:t>
            </w:r>
            <w:r w:rsidR="00A80AE3">
              <w:rPr>
                <w:sz w:val="18"/>
                <w:szCs w:val="18"/>
                <w:lang w:eastAsia="en-NZ"/>
              </w:rPr>
              <w:t>)</w:t>
            </w:r>
          </w:p>
        </w:tc>
        <w:tc>
          <w:tcPr>
            <w:tcW w:w="437" w:type="pct"/>
            <w:vAlign w:val="center"/>
            <w:hideMark/>
          </w:tcPr>
          <w:p w14:paraId="04EA04F0" w14:textId="0BD17682"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Cohort </w:t>
            </w:r>
          </w:p>
        </w:tc>
        <w:tc>
          <w:tcPr>
            <w:tcW w:w="831" w:type="pct"/>
          </w:tcPr>
          <w:p w14:paraId="42B4ACBC" w14:textId="19B6907B" w:rsidR="002C175B" w:rsidRPr="00D57B2D" w:rsidRDefault="00CB2C20" w:rsidP="00162A58">
            <w:pPr>
              <w:pStyle w:val="BodyText"/>
              <w:spacing w:before="0" w:after="0" w:line="240" w:lineRule="auto"/>
              <w:jc w:val="left"/>
              <w:rPr>
                <w:sz w:val="18"/>
                <w:szCs w:val="18"/>
                <w:lang w:eastAsia="en-NZ"/>
              </w:rPr>
            </w:pPr>
            <w:r>
              <w:rPr>
                <w:sz w:val="18"/>
                <w:szCs w:val="18"/>
                <w:lang w:eastAsia="en-NZ"/>
              </w:rPr>
              <w:t>Sister-pairs Study, USA, 2005-2007</w:t>
            </w:r>
          </w:p>
        </w:tc>
        <w:tc>
          <w:tcPr>
            <w:tcW w:w="779" w:type="pct"/>
          </w:tcPr>
          <w:p w14:paraId="775AF1B7" w14:textId="7B504D86" w:rsidR="002C175B" w:rsidRPr="00D57B2D" w:rsidRDefault="002C175B" w:rsidP="00162A58">
            <w:pPr>
              <w:pStyle w:val="BodyText"/>
              <w:spacing w:before="0" w:after="0" w:line="240" w:lineRule="auto"/>
              <w:jc w:val="left"/>
              <w:rPr>
                <w:sz w:val="18"/>
                <w:szCs w:val="18"/>
                <w:lang w:eastAsia="en-NZ"/>
              </w:rPr>
            </w:pPr>
            <w:r>
              <w:rPr>
                <w:sz w:val="18"/>
                <w:szCs w:val="18"/>
                <w:lang w:eastAsia="en-NZ"/>
              </w:rPr>
              <w:t>Age (current, at menarche, at menopause), menopausal status, BMI</w:t>
            </w:r>
          </w:p>
        </w:tc>
        <w:tc>
          <w:tcPr>
            <w:tcW w:w="373" w:type="pct"/>
            <w:vAlign w:val="center"/>
            <w:hideMark/>
          </w:tcPr>
          <w:p w14:paraId="20CC1599" w14:textId="0F92372A"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550: 474</w:t>
            </w:r>
          </w:p>
        </w:tc>
        <w:tc>
          <w:tcPr>
            <w:tcW w:w="369" w:type="pct"/>
            <w:vAlign w:val="center"/>
            <w:hideMark/>
          </w:tcPr>
          <w:p w14:paraId="50656114"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40–88</w:t>
            </w:r>
          </w:p>
        </w:tc>
        <w:tc>
          <w:tcPr>
            <w:tcW w:w="382" w:type="pct"/>
            <w:vAlign w:val="center"/>
            <w:hideMark/>
          </w:tcPr>
          <w:p w14:paraId="5C4A1594" w14:textId="77777777"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CAM</w:t>
            </w:r>
          </w:p>
        </w:tc>
        <w:tc>
          <w:tcPr>
            <w:tcW w:w="1333" w:type="pct"/>
            <w:vAlign w:val="center"/>
            <w:hideMark/>
          </w:tcPr>
          <w:p w14:paraId="212ABC63" w14:textId="29DA9239" w:rsidR="002C175B" w:rsidRPr="00D57B2D" w:rsidRDefault="002C175B" w:rsidP="00162A58">
            <w:pPr>
              <w:pStyle w:val="BodyText"/>
              <w:spacing w:before="0" w:after="0" w:line="240" w:lineRule="auto"/>
              <w:rPr>
                <w:sz w:val="18"/>
                <w:szCs w:val="18"/>
                <w:lang w:eastAsia="en-NZ"/>
              </w:rPr>
            </w:pPr>
            <w:r w:rsidRPr="00D57B2D">
              <w:rPr>
                <w:sz w:val="18"/>
                <w:szCs w:val="18"/>
                <w:lang w:eastAsia="en-NZ"/>
              </w:rPr>
              <w:t xml:space="preserve">Genetic effects accounted for &gt;33% of the total variance of </w:t>
            </w:r>
            <w:r w:rsidR="00162A58">
              <w:rPr>
                <w:sz w:val="18"/>
                <w:szCs w:val="18"/>
                <w:lang w:eastAsia="en-NZ"/>
              </w:rPr>
              <w:t>density</w:t>
            </w:r>
          </w:p>
        </w:tc>
      </w:tr>
      <w:tr w:rsidR="00461081" w:rsidRPr="006F33EB" w14:paraId="133D932F" w14:textId="77777777" w:rsidTr="00461081">
        <w:trPr>
          <w:trHeight w:val="700"/>
        </w:trPr>
        <w:tc>
          <w:tcPr>
            <w:tcW w:w="495" w:type="pct"/>
            <w:vAlign w:val="center"/>
            <w:hideMark/>
          </w:tcPr>
          <w:p w14:paraId="6A0F90B5" w14:textId="17672B30" w:rsidR="002C175B" w:rsidRPr="0006344F" w:rsidRDefault="002C175B" w:rsidP="00162A58">
            <w:pPr>
              <w:rPr>
                <w:rFonts w:eastAsia="Times New Roman" w:cstheme="majorHAnsi"/>
                <w:sz w:val="18"/>
                <w:szCs w:val="18"/>
                <w:lang w:eastAsia="en-NZ"/>
              </w:rPr>
            </w:pPr>
            <w:r w:rsidRPr="0006344F">
              <w:rPr>
                <w:rFonts w:eastAsia="Times New Roman" w:cstheme="majorHAnsi"/>
                <w:sz w:val="18"/>
                <w:szCs w:val="18"/>
                <w:lang w:eastAsia="en-NZ"/>
              </w:rPr>
              <w:t>Tamimi et al.</w:t>
            </w:r>
            <w:r w:rsidR="00A80AE3">
              <w:rPr>
                <w:rFonts w:eastAsia="Times New Roman" w:cstheme="majorHAnsi"/>
                <w:sz w:val="18"/>
                <w:szCs w:val="18"/>
                <w:lang w:eastAsia="en-NZ"/>
              </w:rPr>
              <w:t xml:space="preserve"> (</w:t>
            </w:r>
            <w:r w:rsidRPr="0006344F">
              <w:rPr>
                <w:rFonts w:eastAsia="Times New Roman" w:cstheme="majorHAnsi"/>
                <w:sz w:val="18"/>
                <w:szCs w:val="18"/>
                <w:lang w:eastAsia="en-NZ"/>
              </w:rPr>
              <w:t>2008</w:t>
            </w:r>
            <w:r w:rsidR="00A80AE3">
              <w:rPr>
                <w:rFonts w:eastAsia="Times New Roman" w:cstheme="majorHAnsi"/>
                <w:sz w:val="18"/>
                <w:szCs w:val="18"/>
                <w:lang w:eastAsia="en-NZ"/>
              </w:rPr>
              <w:t>)</w:t>
            </w:r>
          </w:p>
        </w:tc>
        <w:tc>
          <w:tcPr>
            <w:tcW w:w="437" w:type="pct"/>
            <w:vAlign w:val="center"/>
            <w:hideMark/>
          </w:tcPr>
          <w:p w14:paraId="722F543B" w14:textId="623533AE" w:rsidR="002C175B" w:rsidRPr="0006344F" w:rsidRDefault="00CB2C20" w:rsidP="00162A58">
            <w:pPr>
              <w:rPr>
                <w:rFonts w:eastAsia="Times New Roman" w:cstheme="majorHAnsi"/>
                <w:sz w:val="18"/>
                <w:szCs w:val="18"/>
                <w:lang w:eastAsia="en-NZ"/>
              </w:rPr>
            </w:pPr>
            <w:r>
              <w:rPr>
                <w:rFonts w:eastAsia="Times New Roman" w:cstheme="majorHAnsi"/>
                <w:sz w:val="18"/>
                <w:szCs w:val="18"/>
                <w:lang w:eastAsia="en-NZ"/>
              </w:rPr>
              <w:t>Cross-sectional</w:t>
            </w:r>
            <w:r w:rsidR="002C175B" w:rsidRPr="0006344F">
              <w:rPr>
                <w:rFonts w:eastAsia="Times New Roman" w:cstheme="majorHAnsi"/>
                <w:sz w:val="18"/>
                <w:szCs w:val="18"/>
                <w:lang w:eastAsia="en-NZ"/>
              </w:rPr>
              <w:t xml:space="preserve"> </w:t>
            </w:r>
          </w:p>
        </w:tc>
        <w:tc>
          <w:tcPr>
            <w:tcW w:w="831" w:type="pct"/>
          </w:tcPr>
          <w:p w14:paraId="253E9B33" w14:textId="58FE8BA6" w:rsidR="002C175B" w:rsidRPr="0006344F" w:rsidRDefault="00CB2C20" w:rsidP="00162A58">
            <w:pPr>
              <w:rPr>
                <w:rFonts w:eastAsia="Times New Roman" w:cstheme="majorHAnsi"/>
                <w:sz w:val="18"/>
                <w:szCs w:val="18"/>
                <w:lang w:eastAsia="en-NZ"/>
              </w:rPr>
            </w:pPr>
            <w:r>
              <w:rPr>
                <w:rFonts w:eastAsia="Times New Roman" w:cstheme="majorHAnsi"/>
                <w:sz w:val="18"/>
                <w:szCs w:val="18"/>
                <w:lang w:eastAsia="en-NZ"/>
              </w:rPr>
              <w:t>Nurses’ Health Study, USA, 1989-1990</w:t>
            </w:r>
          </w:p>
        </w:tc>
        <w:tc>
          <w:tcPr>
            <w:tcW w:w="779" w:type="pct"/>
          </w:tcPr>
          <w:p w14:paraId="1E782B42" w14:textId="29FDAB03" w:rsidR="002C175B" w:rsidRPr="0006344F" w:rsidRDefault="002C175B" w:rsidP="00162A58">
            <w:pPr>
              <w:rPr>
                <w:rFonts w:eastAsia="Times New Roman" w:cstheme="majorHAnsi"/>
                <w:sz w:val="18"/>
                <w:szCs w:val="18"/>
                <w:lang w:eastAsia="en-NZ"/>
              </w:rPr>
            </w:pPr>
            <w:r>
              <w:rPr>
                <w:rFonts w:eastAsia="Times New Roman" w:cstheme="majorHAnsi"/>
                <w:sz w:val="18"/>
                <w:szCs w:val="18"/>
                <w:lang w:eastAsia="en-NZ"/>
              </w:rPr>
              <w:t>Age, BMI</w:t>
            </w:r>
          </w:p>
        </w:tc>
        <w:tc>
          <w:tcPr>
            <w:tcW w:w="373" w:type="pct"/>
            <w:vAlign w:val="center"/>
            <w:hideMark/>
          </w:tcPr>
          <w:p w14:paraId="1CBF4B87" w14:textId="76F7E0CE" w:rsidR="002C175B" w:rsidRPr="0006344F" w:rsidRDefault="002C175B" w:rsidP="00162A58">
            <w:pPr>
              <w:rPr>
                <w:rFonts w:eastAsia="Times New Roman" w:cstheme="majorHAnsi"/>
                <w:sz w:val="18"/>
                <w:szCs w:val="18"/>
                <w:lang w:eastAsia="en-NZ"/>
              </w:rPr>
            </w:pPr>
            <w:r w:rsidRPr="0006344F">
              <w:rPr>
                <w:rFonts w:eastAsia="Times New Roman" w:cstheme="majorHAnsi"/>
                <w:sz w:val="18"/>
                <w:szCs w:val="18"/>
                <w:lang w:eastAsia="en-NZ"/>
              </w:rPr>
              <w:t>1,121: NK</w:t>
            </w:r>
          </w:p>
        </w:tc>
        <w:tc>
          <w:tcPr>
            <w:tcW w:w="369" w:type="pct"/>
            <w:vAlign w:val="center"/>
            <w:hideMark/>
          </w:tcPr>
          <w:p w14:paraId="71C149B0" w14:textId="77777777" w:rsidR="002C175B" w:rsidRPr="0006344F" w:rsidRDefault="002C175B" w:rsidP="00162A58">
            <w:pPr>
              <w:rPr>
                <w:rFonts w:eastAsia="Times New Roman" w:cstheme="majorHAnsi"/>
                <w:sz w:val="18"/>
                <w:szCs w:val="18"/>
                <w:lang w:eastAsia="en-NZ"/>
              </w:rPr>
            </w:pPr>
            <w:r w:rsidRPr="0006344F">
              <w:rPr>
                <w:rFonts w:eastAsia="Times New Roman" w:cstheme="majorHAnsi"/>
                <w:sz w:val="18"/>
                <w:szCs w:val="18"/>
                <w:lang w:eastAsia="en-NZ"/>
              </w:rPr>
              <w:t>33–55</w:t>
            </w:r>
          </w:p>
        </w:tc>
        <w:tc>
          <w:tcPr>
            <w:tcW w:w="382" w:type="pct"/>
            <w:vAlign w:val="center"/>
            <w:hideMark/>
          </w:tcPr>
          <w:p w14:paraId="1F34E85D" w14:textId="77777777" w:rsidR="002C175B" w:rsidRPr="0006344F" w:rsidRDefault="002C175B" w:rsidP="00162A58">
            <w:pPr>
              <w:rPr>
                <w:rFonts w:eastAsia="Times New Roman" w:cstheme="majorHAnsi"/>
                <w:sz w:val="18"/>
                <w:szCs w:val="18"/>
                <w:lang w:eastAsia="en-NZ"/>
              </w:rPr>
            </w:pPr>
            <w:r w:rsidRPr="0006344F">
              <w:rPr>
                <w:rFonts w:eastAsia="Times New Roman" w:cstheme="majorHAnsi"/>
                <w:sz w:val="18"/>
                <w:szCs w:val="18"/>
                <w:lang w:eastAsia="en-NZ"/>
              </w:rPr>
              <w:t>Cumulus</w:t>
            </w:r>
          </w:p>
        </w:tc>
        <w:tc>
          <w:tcPr>
            <w:tcW w:w="1333" w:type="pct"/>
            <w:vAlign w:val="center"/>
            <w:hideMark/>
          </w:tcPr>
          <w:p w14:paraId="4BC30257" w14:textId="6A330A9E" w:rsidR="002C175B" w:rsidRPr="0006344F" w:rsidRDefault="002C175B" w:rsidP="00162A58">
            <w:pPr>
              <w:rPr>
                <w:rFonts w:eastAsia="Times New Roman" w:cstheme="majorHAnsi"/>
                <w:sz w:val="18"/>
                <w:szCs w:val="18"/>
                <w:lang w:eastAsia="en-NZ"/>
              </w:rPr>
            </w:pPr>
            <w:r w:rsidRPr="0006344F">
              <w:rPr>
                <w:rFonts w:eastAsia="Times New Roman" w:cstheme="majorHAnsi"/>
                <w:sz w:val="18"/>
                <w:szCs w:val="18"/>
                <w:lang w:eastAsia="en-NZ"/>
              </w:rPr>
              <w:t xml:space="preserve">No association between the 11 BC susceptibility loci and </w:t>
            </w:r>
            <w:r w:rsidR="00162A58">
              <w:rPr>
                <w:rFonts w:eastAsia="Times New Roman" w:cstheme="majorHAnsi"/>
                <w:sz w:val="18"/>
                <w:szCs w:val="18"/>
                <w:lang w:eastAsia="en-NZ"/>
              </w:rPr>
              <w:t>density</w:t>
            </w:r>
            <w:r w:rsidRPr="0006344F">
              <w:rPr>
                <w:rFonts w:eastAsia="Times New Roman" w:cstheme="majorHAnsi"/>
                <w:sz w:val="18"/>
                <w:szCs w:val="18"/>
                <w:lang w:eastAsia="en-NZ"/>
              </w:rPr>
              <w:t xml:space="preserve"> was seen</w:t>
            </w:r>
          </w:p>
        </w:tc>
      </w:tr>
      <w:tr w:rsidR="00461081" w:rsidRPr="006F33EB" w14:paraId="4130BB4B" w14:textId="77777777" w:rsidTr="00461081">
        <w:trPr>
          <w:trHeight w:val="930"/>
        </w:trPr>
        <w:tc>
          <w:tcPr>
            <w:tcW w:w="495" w:type="pct"/>
            <w:vAlign w:val="center"/>
            <w:hideMark/>
          </w:tcPr>
          <w:p w14:paraId="3C4421CE" w14:textId="46D974DB"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lastRenderedPageBreak/>
              <w:t>Diorio et al.</w:t>
            </w:r>
            <w:r w:rsidR="00A80AE3">
              <w:rPr>
                <w:rFonts w:eastAsia="Times New Roman" w:cstheme="majorHAnsi"/>
                <w:sz w:val="18"/>
                <w:szCs w:val="18"/>
                <w:lang w:eastAsia="en-NZ"/>
              </w:rPr>
              <w:t xml:space="preserve"> (</w:t>
            </w:r>
            <w:r w:rsidRPr="00D57B2D">
              <w:rPr>
                <w:rFonts w:eastAsia="Times New Roman" w:cstheme="majorHAnsi"/>
                <w:sz w:val="18"/>
                <w:szCs w:val="18"/>
                <w:lang w:eastAsia="en-NZ"/>
              </w:rPr>
              <w:t>2008</w:t>
            </w:r>
            <w:r w:rsidR="00A80AE3">
              <w:rPr>
                <w:rFonts w:eastAsia="Times New Roman" w:cstheme="majorHAnsi"/>
                <w:sz w:val="18"/>
                <w:szCs w:val="18"/>
                <w:lang w:eastAsia="en-NZ"/>
              </w:rPr>
              <w:t>)</w:t>
            </w:r>
          </w:p>
        </w:tc>
        <w:tc>
          <w:tcPr>
            <w:tcW w:w="437" w:type="pct"/>
            <w:vAlign w:val="center"/>
            <w:hideMark/>
          </w:tcPr>
          <w:p w14:paraId="1CD1AA5D" w14:textId="167251BB" w:rsidR="002C175B" w:rsidRPr="00D57B2D" w:rsidRDefault="00CB2C20" w:rsidP="00162A58">
            <w:pPr>
              <w:rPr>
                <w:rFonts w:eastAsia="Times New Roman" w:cstheme="majorHAnsi"/>
                <w:sz w:val="18"/>
                <w:szCs w:val="18"/>
                <w:lang w:eastAsia="en-NZ"/>
              </w:rPr>
            </w:pPr>
            <w:r>
              <w:rPr>
                <w:rFonts w:eastAsia="Times New Roman" w:cstheme="majorHAnsi"/>
                <w:sz w:val="18"/>
                <w:szCs w:val="18"/>
                <w:lang w:eastAsia="en-NZ"/>
              </w:rPr>
              <w:t>Cross-sectional</w:t>
            </w:r>
            <w:r w:rsidR="002C175B" w:rsidRPr="00D57B2D">
              <w:rPr>
                <w:rFonts w:eastAsia="Times New Roman" w:cstheme="majorHAnsi"/>
                <w:sz w:val="18"/>
                <w:szCs w:val="18"/>
                <w:lang w:eastAsia="en-NZ"/>
              </w:rPr>
              <w:t xml:space="preserve"> </w:t>
            </w:r>
          </w:p>
        </w:tc>
        <w:tc>
          <w:tcPr>
            <w:tcW w:w="831" w:type="pct"/>
          </w:tcPr>
          <w:p w14:paraId="179263ED" w14:textId="1006F3EA" w:rsidR="002C175B" w:rsidRPr="00D57B2D" w:rsidRDefault="00CB2C20" w:rsidP="00162A58">
            <w:pPr>
              <w:rPr>
                <w:rFonts w:eastAsia="Times New Roman" w:cstheme="majorHAnsi"/>
                <w:sz w:val="18"/>
                <w:szCs w:val="18"/>
                <w:lang w:eastAsia="en-NZ"/>
              </w:rPr>
            </w:pPr>
            <w:r>
              <w:rPr>
                <w:rFonts w:eastAsia="Times New Roman" w:cstheme="majorHAnsi"/>
                <w:sz w:val="18"/>
                <w:szCs w:val="18"/>
                <w:lang w:eastAsia="en-NZ"/>
              </w:rPr>
              <w:t>Mammography Screening Program, Canada, 2001</w:t>
            </w:r>
          </w:p>
        </w:tc>
        <w:tc>
          <w:tcPr>
            <w:tcW w:w="779" w:type="pct"/>
          </w:tcPr>
          <w:p w14:paraId="0AA41A77" w14:textId="7C28FAF8" w:rsidR="002C175B" w:rsidRPr="00D57B2D" w:rsidRDefault="002C175B" w:rsidP="00162A58">
            <w:pPr>
              <w:rPr>
                <w:rFonts w:eastAsia="Times New Roman" w:cstheme="majorHAnsi"/>
                <w:sz w:val="18"/>
                <w:szCs w:val="18"/>
                <w:lang w:eastAsia="en-NZ"/>
              </w:rPr>
            </w:pPr>
            <w:r>
              <w:rPr>
                <w:rFonts w:eastAsia="Times New Roman" w:cstheme="majorHAnsi"/>
                <w:sz w:val="18"/>
                <w:szCs w:val="18"/>
                <w:lang w:eastAsia="en-NZ"/>
              </w:rPr>
              <w:t>Age at screening, BMI, parity, smoking, previous biopsies</w:t>
            </w:r>
          </w:p>
        </w:tc>
        <w:tc>
          <w:tcPr>
            <w:tcW w:w="373" w:type="pct"/>
            <w:vAlign w:val="center"/>
            <w:hideMark/>
          </w:tcPr>
          <w:p w14:paraId="3281730D" w14:textId="4F1C1DDE"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741:46</w:t>
            </w:r>
          </w:p>
        </w:tc>
        <w:tc>
          <w:tcPr>
            <w:tcW w:w="369" w:type="pct"/>
            <w:vAlign w:val="center"/>
            <w:hideMark/>
          </w:tcPr>
          <w:p w14:paraId="2B277538"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Mean 46.8</w:t>
            </w:r>
          </w:p>
        </w:tc>
        <w:tc>
          <w:tcPr>
            <w:tcW w:w="382" w:type="pct"/>
            <w:vAlign w:val="center"/>
            <w:hideMark/>
          </w:tcPr>
          <w:p w14:paraId="23C8A15D"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Cumulus</w:t>
            </w:r>
          </w:p>
        </w:tc>
        <w:tc>
          <w:tcPr>
            <w:tcW w:w="1333" w:type="pct"/>
            <w:vAlign w:val="center"/>
            <w:hideMark/>
          </w:tcPr>
          <w:p w14:paraId="62E33337"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Women carrying increasing number of copies of the rare allele of IGF-I rs1520220 and rs6220 SNPs had increased PD</w:t>
            </w:r>
          </w:p>
        </w:tc>
      </w:tr>
      <w:tr w:rsidR="00461081" w:rsidRPr="006F33EB" w14:paraId="2A34B16A" w14:textId="77777777" w:rsidTr="00461081">
        <w:trPr>
          <w:trHeight w:val="700"/>
        </w:trPr>
        <w:tc>
          <w:tcPr>
            <w:tcW w:w="495" w:type="pct"/>
            <w:vAlign w:val="center"/>
            <w:hideMark/>
          </w:tcPr>
          <w:p w14:paraId="058DFED2" w14:textId="627D1BE6"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Verheus e al.</w:t>
            </w:r>
            <w:r w:rsidR="00A80AE3">
              <w:rPr>
                <w:rFonts w:eastAsia="Times New Roman" w:cstheme="majorHAnsi"/>
                <w:sz w:val="18"/>
                <w:szCs w:val="18"/>
                <w:lang w:eastAsia="en-NZ"/>
              </w:rPr>
              <w:t xml:space="preserve"> (</w:t>
            </w:r>
            <w:r w:rsidRPr="00D57B2D">
              <w:rPr>
                <w:rFonts w:eastAsia="Times New Roman" w:cstheme="majorHAnsi"/>
                <w:sz w:val="18"/>
                <w:szCs w:val="18"/>
                <w:lang w:eastAsia="en-NZ"/>
              </w:rPr>
              <w:t>2008</w:t>
            </w:r>
            <w:r w:rsidR="00A80AE3">
              <w:rPr>
                <w:rFonts w:eastAsia="Times New Roman" w:cstheme="majorHAnsi"/>
                <w:sz w:val="18"/>
                <w:szCs w:val="18"/>
                <w:lang w:eastAsia="en-NZ"/>
              </w:rPr>
              <w:t>)</w:t>
            </w:r>
          </w:p>
        </w:tc>
        <w:tc>
          <w:tcPr>
            <w:tcW w:w="437" w:type="pct"/>
            <w:vAlign w:val="center"/>
            <w:hideMark/>
          </w:tcPr>
          <w:p w14:paraId="33757836" w14:textId="29D601D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 xml:space="preserve">Cohort </w:t>
            </w:r>
          </w:p>
        </w:tc>
        <w:tc>
          <w:tcPr>
            <w:tcW w:w="831" w:type="pct"/>
          </w:tcPr>
          <w:p w14:paraId="191EE950" w14:textId="6523CF56" w:rsidR="002C175B" w:rsidRPr="00D57B2D" w:rsidRDefault="00FA798E" w:rsidP="00162A58">
            <w:pPr>
              <w:rPr>
                <w:rFonts w:eastAsia="Times New Roman" w:cstheme="majorHAnsi"/>
                <w:sz w:val="18"/>
                <w:szCs w:val="18"/>
                <w:lang w:eastAsia="en-NZ"/>
              </w:rPr>
            </w:pPr>
            <w:r>
              <w:rPr>
                <w:rFonts w:eastAsia="Times New Roman" w:cstheme="majorHAnsi"/>
                <w:sz w:val="18"/>
                <w:szCs w:val="18"/>
                <w:lang w:eastAsia="en-NZ"/>
              </w:rPr>
              <w:t>European Prospective Investigation into Cancer and Nutrition Study, 1993-1997</w:t>
            </w:r>
          </w:p>
        </w:tc>
        <w:tc>
          <w:tcPr>
            <w:tcW w:w="779" w:type="pct"/>
          </w:tcPr>
          <w:p w14:paraId="658B19A4" w14:textId="4715F247" w:rsidR="002C175B" w:rsidRPr="00D57B2D" w:rsidRDefault="002C175B" w:rsidP="00162A58">
            <w:pPr>
              <w:rPr>
                <w:rFonts w:eastAsia="Times New Roman" w:cstheme="majorHAnsi"/>
                <w:sz w:val="18"/>
                <w:szCs w:val="18"/>
                <w:lang w:eastAsia="en-NZ"/>
              </w:rPr>
            </w:pPr>
            <w:r>
              <w:rPr>
                <w:rFonts w:eastAsia="Times New Roman" w:cstheme="majorHAnsi"/>
                <w:sz w:val="18"/>
                <w:szCs w:val="18"/>
                <w:lang w:eastAsia="en-NZ"/>
              </w:rPr>
              <w:t>Age (current, at first birth), BMI, parity, HRT, smoking, oral contraceptive</w:t>
            </w:r>
          </w:p>
        </w:tc>
        <w:tc>
          <w:tcPr>
            <w:tcW w:w="373" w:type="pct"/>
            <w:vAlign w:val="center"/>
            <w:hideMark/>
          </w:tcPr>
          <w:p w14:paraId="3C9172C1" w14:textId="5497FB28"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656: 1,272</w:t>
            </w:r>
          </w:p>
        </w:tc>
        <w:tc>
          <w:tcPr>
            <w:tcW w:w="369" w:type="pct"/>
            <w:vAlign w:val="center"/>
            <w:hideMark/>
          </w:tcPr>
          <w:p w14:paraId="32EC265D"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50+</w:t>
            </w:r>
          </w:p>
        </w:tc>
        <w:tc>
          <w:tcPr>
            <w:tcW w:w="382" w:type="pct"/>
            <w:vAlign w:val="center"/>
            <w:hideMark/>
          </w:tcPr>
          <w:p w14:paraId="288885DE"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PD</w:t>
            </w:r>
          </w:p>
        </w:tc>
        <w:tc>
          <w:tcPr>
            <w:tcW w:w="1333" w:type="pct"/>
            <w:vAlign w:val="center"/>
            <w:hideMark/>
          </w:tcPr>
          <w:p w14:paraId="18846573" w14:textId="4DAF46F3"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 xml:space="preserve">Common genetic variations in the IGF-1 gene were not </w:t>
            </w:r>
            <w:r w:rsidR="00162A58">
              <w:rPr>
                <w:sz w:val="18"/>
                <w:szCs w:val="18"/>
                <w:lang w:eastAsia="en-NZ"/>
              </w:rPr>
              <w:t>associated with density</w:t>
            </w:r>
          </w:p>
        </w:tc>
      </w:tr>
      <w:tr w:rsidR="00461081" w:rsidRPr="006F33EB" w14:paraId="3C3DF100" w14:textId="77777777" w:rsidTr="00461081">
        <w:trPr>
          <w:trHeight w:val="1160"/>
        </w:trPr>
        <w:tc>
          <w:tcPr>
            <w:tcW w:w="495" w:type="pct"/>
            <w:vAlign w:val="center"/>
            <w:hideMark/>
          </w:tcPr>
          <w:p w14:paraId="4286F1AB" w14:textId="240DD678"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Vachon et al.</w:t>
            </w:r>
            <w:r w:rsidR="00A80AE3">
              <w:rPr>
                <w:rFonts w:eastAsia="Times New Roman" w:cstheme="majorHAnsi"/>
                <w:sz w:val="18"/>
                <w:szCs w:val="18"/>
                <w:lang w:eastAsia="en-NZ"/>
              </w:rPr>
              <w:t xml:space="preserve"> (</w:t>
            </w:r>
            <w:r w:rsidRPr="00D57B2D">
              <w:rPr>
                <w:rFonts w:eastAsia="Times New Roman" w:cstheme="majorHAnsi"/>
                <w:sz w:val="18"/>
                <w:szCs w:val="18"/>
                <w:lang w:eastAsia="en-NZ"/>
              </w:rPr>
              <w:t>2007</w:t>
            </w:r>
            <w:r w:rsidR="00A80AE3">
              <w:rPr>
                <w:rFonts w:eastAsia="Times New Roman" w:cstheme="majorHAnsi"/>
                <w:sz w:val="18"/>
                <w:szCs w:val="18"/>
                <w:lang w:eastAsia="en-NZ"/>
              </w:rPr>
              <w:t>)</w:t>
            </w:r>
          </w:p>
        </w:tc>
        <w:tc>
          <w:tcPr>
            <w:tcW w:w="437" w:type="pct"/>
            <w:vAlign w:val="center"/>
            <w:hideMark/>
          </w:tcPr>
          <w:p w14:paraId="4DF215DF" w14:textId="3C841C50" w:rsidR="002C175B" w:rsidRPr="00D57B2D" w:rsidRDefault="00FA798E" w:rsidP="00162A58">
            <w:pPr>
              <w:rPr>
                <w:rFonts w:eastAsia="Times New Roman" w:cstheme="majorHAnsi"/>
                <w:sz w:val="18"/>
                <w:szCs w:val="18"/>
                <w:lang w:eastAsia="en-NZ"/>
              </w:rPr>
            </w:pPr>
            <w:r>
              <w:rPr>
                <w:rFonts w:eastAsia="Times New Roman" w:cstheme="majorHAnsi"/>
                <w:sz w:val="18"/>
                <w:szCs w:val="18"/>
                <w:lang w:eastAsia="en-NZ"/>
              </w:rPr>
              <w:t>Cross-sectional</w:t>
            </w:r>
            <w:r w:rsidR="002C175B" w:rsidRPr="00D57B2D">
              <w:rPr>
                <w:rFonts w:eastAsia="Times New Roman" w:cstheme="majorHAnsi"/>
                <w:sz w:val="18"/>
                <w:szCs w:val="18"/>
                <w:lang w:eastAsia="en-NZ"/>
              </w:rPr>
              <w:t xml:space="preserve"> </w:t>
            </w:r>
          </w:p>
        </w:tc>
        <w:tc>
          <w:tcPr>
            <w:tcW w:w="831" w:type="pct"/>
          </w:tcPr>
          <w:p w14:paraId="031577AF" w14:textId="61825E3E" w:rsidR="002C175B" w:rsidRPr="00D57B2D" w:rsidRDefault="00FA798E" w:rsidP="00162A58">
            <w:pPr>
              <w:rPr>
                <w:rFonts w:eastAsia="Times New Roman" w:cstheme="majorHAnsi"/>
                <w:sz w:val="18"/>
                <w:szCs w:val="18"/>
                <w:lang w:eastAsia="en-NZ"/>
              </w:rPr>
            </w:pPr>
            <w:r>
              <w:rPr>
                <w:rFonts w:eastAsia="Times New Roman" w:cstheme="majorHAnsi"/>
                <w:sz w:val="18"/>
                <w:szCs w:val="18"/>
                <w:lang w:eastAsia="en-NZ"/>
              </w:rPr>
              <w:t>Multigenerational families ascertained though a breast cancer proband, USA, 1990-1996</w:t>
            </w:r>
          </w:p>
        </w:tc>
        <w:tc>
          <w:tcPr>
            <w:tcW w:w="779" w:type="pct"/>
          </w:tcPr>
          <w:p w14:paraId="1CA2859A" w14:textId="715BD51B" w:rsidR="002C175B" w:rsidRPr="00D57B2D" w:rsidRDefault="002C175B" w:rsidP="00162A58">
            <w:pPr>
              <w:rPr>
                <w:rFonts w:eastAsia="Times New Roman" w:cstheme="majorHAnsi"/>
                <w:sz w:val="18"/>
                <w:szCs w:val="18"/>
                <w:lang w:eastAsia="en-NZ"/>
              </w:rPr>
            </w:pPr>
            <w:r>
              <w:rPr>
                <w:rFonts w:eastAsia="Times New Roman" w:cstheme="majorHAnsi"/>
                <w:sz w:val="18"/>
                <w:szCs w:val="18"/>
                <w:lang w:eastAsia="en-NZ"/>
              </w:rPr>
              <w:t>Age</w:t>
            </w:r>
          </w:p>
        </w:tc>
        <w:tc>
          <w:tcPr>
            <w:tcW w:w="373" w:type="pct"/>
            <w:vAlign w:val="center"/>
            <w:hideMark/>
          </w:tcPr>
          <w:p w14:paraId="5B3DE34D" w14:textId="24639D9E"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583:306</w:t>
            </w:r>
          </w:p>
        </w:tc>
        <w:tc>
          <w:tcPr>
            <w:tcW w:w="369" w:type="pct"/>
            <w:vAlign w:val="center"/>
            <w:hideMark/>
          </w:tcPr>
          <w:p w14:paraId="7045F243"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46–70</w:t>
            </w:r>
          </w:p>
        </w:tc>
        <w:tc>
          <w:tcPr>
            <w:tcW w:w="382" w:type="pct"/>
            <w:vAlign w:val="center"/>
            <w:hideMark/>
          </w:tcPr>
          <w:p w14:paraId="466BE6C1"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Cumulus</w:t>
            </w:r>
          </w:p>
        </w:tc>
        <w:tc>
          <w:tcPr>
            <w:tcW w:w="1333" w:type="pct"/>
            <w:vAlign w:val="center"/>
            <w:hideMark/>
          </w:tcPr>
          <w:p w14:paraId="3480620A" w14:textId="24097E0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 xml:space="preserve">The maximum </w:t>
            </w:r>
            <w:r w:rsidR="00162A58">
              <w:rPr>
                <w:rFonts w:eastAsia="Times New Roman" w:cstheme="majorHAnsi"/>
                <w:sz w:val="18"/>
                <w:szCs w:val="18"/>
                <w:lang w:eastAsia="en-NZ"/>
              </w:rPr>
              <w:t>logarithm of odds</w:t>
            </w:r>
            <w:r w:rsidRPr="00D57B2D">
              <w:rPr>
                <w:rFonts w:eastAsia="Times New Roman" w:cstheme="majorHAnsi"/>
                <w:sz w:val="18"/>
                <w:szCs w:val="18"/>
                <w:lang w:eastAsia="en-NZ"/>
              </w:rPr>
              <w:t xml:space="preserve"> for linkage score from the </w:t>
            </w:r>
            <w:r w:rsidR="00162A58">
              <w:rPr>
                <w:rFonts w:eastAsia="Times New Roman" w:cstheme="majorHAnsi"/>
                <w:sz w:val="18"/>
                <w:szCs w:val="18"/>
                <w:lang w:eastAsia="en-NZ"/>
              </w:rPr>
              <w:t>genome wide scan</w:t>
            </w:r>
            <w:r w:rsidRPr="00D57B2D">
              <w:rPr>
                <w:rFonts w:eastAsia="Times New Roman" w:cstheme="majorHAnsi"/>
                <w:sz w:val="18"/>
                <w:szCs w:val="18"/>
                <w:lang w:eastAsia="en-NZ"/>
              </w:rPr>
              <w:t xml:space="preserve"> was on chromosome 5p (likely to account for up to 22% of variation in</w:t>
            </w:r>
            <w:r w:rsidR="00162A58">
              <w:rPr>
                <w:rFonts w:eastAsia="Times New Roman" w:cstheme="majorHAnsi"/>
                <w:sz w:val="18"/>
                <w:szCs w:val="18"/>
                <w:lang w:eastAsia="en-NZ"/>
              </w:rPr>
              <w:t xml:space="preserve"> density</w:t>
            </w:r>
            <w:r w:rsidRPr="00D57B2D">
              <w:rPr>
                <w:rFonts w:eastAsia="Times New Roman" w:cstheme="majorHAnsi"/>
                <w:sz w:val="18"/>
                <w:szCs w:val="18"/>
                <w:lang w:eastAsia="en-NZ"/>
              </w:rPr>
              <w:t>)</w:t>
            </w:r>
          </w:p>
        </w:tc>
      </w:tr>
      <w:tr w:rsidR="00461081" w:rsidRPr="006F33EB" w14:paraId="59A232DF" w14:textId="77777777" w:rsidTr="00461081">
        <w:trPr>
          <w:trHeight w:val="700"/>
        </w:trPr>
        <w:tc>
          <w:tcPr>
            <w:tcW w:w="495" w:type="pct"/>
            <w:vAlign w:val="center"/>
            <w:hideMark/>
          </w:tcPr>
          <w:p w14:paraId="2F535EE6" w14:textId="0D85EA66"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Stone et al.</w:t>
            </w:r>
            <w:r w:rsidR="00A80AE3">
              <w:rPr>
                <w:rFonts w:eastAsia="Times New Roman" w:cstheme="majorHAnsi"/>
                <w:sz w:val="18"/>
                <w:szCs w:val="18"/>
                <w:lang w:eastAsia="en-NZ"/>
              </w:rPr>
              <w:t xml:space="preserve"> (</w:t>
            </w:r>
            <w:r w:rsidRPr="00D57B2D">
              <w:rPr>
                <w:rFonts w:eastAsia="Times New Roman" w:cstheme="majorHAnsi"/>
                <w:sz w:val="18"/>
                <w:szCs w:val="18"/>
                <w:lang w:eastAsia="en-NZ"/>
              </w:rPr>
              <w:t>2007</w:t>
            </w:r>
            <w:r w:rsidR="00A80AE3">
              <w:rPr>
                <w:rFonts w:eastAsia="Times New Roman" w:cstheme="majorHAnsi"/>
                <w:sz w:val="18"/>
                <w:szCs w:val="18"/>
                <w:lang w:eastAsia="en-NZ"/>
              </w:rPr>
              <w:t>)</w:t>
            </w:r>
          </w:p>
        </w:tc>
        <w:tc>
          <w:tcPr>
            <w:tcW w:w="437" w:type="pct"/>
            <w:vAlign w:val="center"/>
            <w:hideMark/>
          </w:tcPr>
          <w:p w14:paraId="2C6C657D" w14:textId="5E757C56" w:rsidR="002C175B" w:rsidRPr="00D57B2D" w:rsidRDefault="00162A58" w:rsidP="00162A58">
            <w:pPr>
              <w:rPr>
                <w:rFonts w:eastAsia="Times New Roman" w:cstheme="majorHAnsi"/>
                <w:sz w:val="18"/>
                <w:szCs w:val="18"/>
                <w:lang w:eastAsia="en-NZ"/>
              </w:rPr>
            </w:pPr>
            <w:r>
              <w:rPr>
                <w:rFonts w:eastAsia="Times New Roman" w:cstheme="majorHAnsi"/>
                <w:sz w:val="18"/>
                <w:szCs w:val="18"/>
                <w:lang w:eastAsia="en-NZ"/>
              </w:rPr>
              <w:t>Cross-sectional</w:t>
            </w:r>
          </w:p>
        </w:tc>
        <w:tc>
          <w:tcPr>
            <w:tcW w:w="831" w:type="pct"/>
          </w:tcPr>
          <w:p w14:paraId="4C1957C7" w14:textId="09B126FD" w:rsidR="002C175B" w:rsidRPr="00D57B2D" w:rsidRDefault="00162A58" w:rsidP="00162A58">
            <w:pPr>
              <w:rPr>
                <w:rFonts w:eastAsia="Times New Roman" w:cstheme="majorHAnsi"/>
                <w:sz w:val="18"/>
                <w:szCs w:val="18"/>
                <w:lang w:eastAsia="en-NZ"/>
              </w:rPr>
            </w:pPr>
            <w:r>
              <w:rPr>
                <w:sz w:val="18"/>
                <w:szCs w:val="18"/>
                <w:lang w:eastAsia="en-NZ"/>
              </w:rPr>
              <w:t>Australian Twin and Sisters Mammographic Density Study</w:t>
            </w:r>
          </w:p>
        </w:tc>
        <w:tc>
          <w:tcPr>
            <w:tcW w:w="779" w:type="pct"/>
          </w:tcPr>
          <w:p w14:paraId="7969194A" w14:textId="4784DC48" w:rsidR="002C175B" w:rsidRPr="00D57B2D" w:rsidRDefault="002C175B" w:rsidP="00162A58">
            <w:pPr>
              <w:rPr>
                <w:rFonts w:eastAsia="Times New Roman" w:cstheme="majorHAnsi"/>
                <w:sz w:val="18"/>
                <w:szCs w:val="18"/>
                <w:lang w:eastAsia="en-NZ"/>
              </w:rPr>
            </w:pPr>
            <w:r>
              <w:rPr>
                <w:rFonts w:eastAsia="Times New Roman" w:cstheme="majorHAnsi"/>
                <w:sz w:val="18"/>
                <w:szCs w:val="18"/>
                <w:lang w:eastAsia="en-NZ"/>
              </w:rPr>
              <w:t>Age, BMI, parity, HRT, smoking, menopausal status</w:t>
            </w:r>
          </w:p>
        </w:tc>
        <w:tc>
          <w:tcPr>
            <w:tcW w:w="373" w:type="pct"/>
            <w:vAlign w:val="center"/>
            <w:hideMark/>
          </w:tcPr>
          <w:p w14:paraId="557E2E45" w14:textId="21EC1833"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457: 499</w:t>
            </w:r>
          </w:p>
        </w:tc>
        <w:tc>
          <w:tcPr>
            <w:tcW w:w="369" w:type="pct"/>
            <w:vAlign w:val="center"/>
            <w:hideMark/>
          </w:tcPr>
          <w:p w14:paraId="64C2004E"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40–70</w:t>
            </w:r>
          </w:p>
        </w:tc>
        <w:tc>
          <w:tcPr>
            <w:tcW w:w="382" w:type="pct"/>
            <w:vAlign w:val="center"/>
            <w:hideMark/>
          </w:tcPr>
          <w:p w14:paraId="0192981E"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CAM</w:t>
            </w:r>
          </w:p>
        </w:tc>
        <w:tc>
          <w:tcPr>
            <w:tcW w:w="1333" w:type="pct"/>
            <w:vAlign w:val="center"/>
            <w:hideMark/>
          </w:tcPr>
          <w:p w14:paraId="6FE259F6" w14:textId="39367328"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 xml:space="preserve">Each additional copy of the HSD3B1 Asn(367)Thr variant allele was </w:t>
            </w:r>
            <w:r w:rsidR="00162A58">
              <w:rPr>
                <w:sz w:val="18"/>
                <w:szCs w:val="18"/>
                <w:lang w:eastAsia="en-NZ"/>
              </w:rPr>
              <w:t>associated with</w:t>
            </w:r>
            <w:r w:rsidRPr="00D57B2D">
              <w:rPr>
                <w:rFonts w:eastAsia="Times New Roman" w:cstheme="majorHAnsi"/>
                <w:sz w:val="18"/>
                <w:szCs w:val="18"/>
                <w:lang w:eastAsia="en-NZ"/>
              </w:rPr>
              <w:t xml:space="preserve"> lower PD</w:t>
            </w:r>
          </w:p>
        </w:tc>
      </w:tr>
      <w:tr w:rsidR="00461081" w:rsidRPr="006F33EB" w14:paraId="1EAB4CE4" w14:textId="77777777" w:rsidTr="00461081">
        <w:trPr>
          <w:trHeight w:val="470"/>
        </w:trPr>
        <w:tc>
          <w:tcPr>
            <w:tcW w:w="495" w:type="pct"/>
            <w:vAlign w:val="center"/>
            <w:hideMark/>
          </w:tcPr>
          <w:p w14:paraId="3E8667CF" w14:textId="26AFA35E"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Olson et</w:t>
            </w:r>
            <w:r>
              <w:rPr>
                <w:rFonts w:eastAsia="Times New Roman" w:cstheme="majorHAnsi"/>
                <w:sz w:val="18"/>
                <w:szCs w:val="18"/>
                <w:lang w:eastAsia="en-NZ"/>
              </w:rPr>
              <w:t xml:space="preserve"> </w:t>
            </w:r>
            <w:r w:rsidRPr="00D57B2D">
              <w:rPr>
                <w:rFonts w:eastAsia="Times New Roman" w:cstheme="majorHAnsi"/>
                <w:sz w:val="18"/>
                <w:szCs w:val="18"/>
                <w:lang w:eastAsia="en-NZ"/>
              </w:rPr>
              <w:t>al</w:t>
            </w:r>
            <w:r>
              <w:rPr>
                <w:rFonts w:eastAsia="Times New Roman" w:cstheme="majorHAnsi"/>
                <w:sz w:val="18"/>
                <w:szCs w:val="18"/>
                <w:lang w:eastAsia="en-NZ"/>
              </w:rPr>
              <w:t>.</w:t>
            </w:r>
            <w:r w:rsidR="00A80AE3">
              <w:rPr>
                <w:rFonts w:eastAsia="Times New Roman" w:cstheme="majorHAnsi"/>
                <w:sz w:val="18"/>
                <w:szCs w:val="18"/>
                <w:lang w:eastAsia="en-NZ"/>
              </w:rPr>
              <w:t xml:space="preserve"> (</w:t>
            </w:r>
            <w:r w:rsidRPr="00D57B2D">
              <w:rPr>
                <w:rFonts w:eastAsia="Times New Roman" w:cstheme="majorHAnsi"/>
                <w:sz w:val="18"/>
                <w:szCs w:val="18"/>
                <w:lang w:eastAsia="en-NZ"/>
              </w:rPr>
              <w:t>2007</w:t>
            </w:r>
            <w:r w:rsidR="00A80AE3">
              <w:rPr>
                <w:rFonts w:eastAsia="Times New Roman" w:cstheme="majorHAnsi"/>
                <w:sz w:val="18"/>
                <w:szCs w:val="18"/>
                <w:lang w:eastAsia="en-NZ"/>
              </w:rPr>
              <w:t>)</w:t>
            </w:r>
          </w:p>
        </w:tc>
        <w:tc>
          <w:tcPr>
            <w:tcW w:w="437" w:type="pct"/>
            <w:vAlign w:val="center"/>
            <w:hideMark/>
          </w:tcPr>
          <w:p w14:paraId="45493F06" w14:textId="6E603692" w:rsidR="002C175B" w:rsidRPr="00D57B2D" w:rsidRDefault="00162A58" w:rsidP="00162A58">
            <w:pPr>
              <w:rPr>
                <w:rFonts w:eastAsia="Times New Roman" w:cstheme="majorHAnsi"/>
                <w:sz w:val="18"/>
                <w:szCs w:val="18"/>
                <w:lang w:eastAsia="en-NZ"/>
              </w:rPr>
            </w:pPr>
            <w:r>
              <w:rPr>
                <w:rFonts w:eastAsia="Times New Roman" w:cstheme="majorHAnsi"/>
                <w:sz w:val="18"/>
                <w:szCs w:val="18"/>
                <w:lang w:eastAsia="en-NZ"/>
              </w:rPr>
              <w:t>Cross-sectional</w:t>
            </w:r>
            <w:r w:rsidR="002C175B" w:rsidRPr="00D57B2D">
              <w:rPr>
                <w:rFonts w:eastAsia="Times New Roman" w:cstheme="majorHAnsi"/>
                <w:sz w:val="18"/>
                <w:szCs w:val="18"/>
                <w:lang w:eastAsia="en-NZ"/>
              </w:rPr>
              <w:t xml:space="preserve"> </w:t>
            </w:r>
          </w:p>
        </w:tc>
        <w:tc>
          <w:tcPr>
            <w:tcW w:w="831" w:type="pct"/>
          </w:tcPr>
          <w:p w14:paraId="2D77124F" w14:textId="202E3BEC" w:rsidR="002C175B" w:rsidRPr="00D57B2D" w:rsidRDefault="00162A58" w:rsidP="00162A58">
            <w:pPr>
              <w:rPr>
                <w:rFonts w:eastAsia="Times New Roman" w:cstheme="majorHAnsi"/>
                <w:sz w:val="18"/>
                <w:szCs w:val="18"/>
                <w:lang w:eastAsia="en-NZ"/>
              </w:rPr>
            </w:pPr>
            <w:r>
              <w:rPr>
                <w:rFonts w:eastAsia="Times New Roman" w:cstheme="majorHAnsi"/>
                <w:sz w:val="18"/>
                <w:szCs w:val="18"/>
                <w:lang w:eastAsia="en-NZ"/>
              </w:rPr>
              <w:t>The Mayo Clinic, USA</w:t>
            </w:r>
          </w:p>
        </w:tc>
        <w:tc>
          <w:tcPr>
            <w:tcW w:w="779" w:type="pct"/>
          </w:tcPr>
          <w:p w14:paraId="19FD2541" w14:textId="32083E7C" w:rsidR="002C175B" w:rsidRPr="00D57B2D" w:rsidRDefault="002C175B" w:rsidP="00162A58">
            <w:pPr>
              <w:rPr>
                <w:rFonts w:eastAsia="Times New Roman" w:cstheme="majorHAnsi"/>
                <w:sz w:val="18"/>
                <w:szCs w:val="18"/>
                <w:lang w:eastAsia="en-NZ"/>
              </w:rPr>
            </w:pPr>
            <w:r>
              <w:rPr>
                <w:rFonts w:eastAsia="Times New Roman" w:cstheme="majorHAnsi"/>
                <w:sz w:val="18"/>
                <w:szCs w:val="18"/>
                <w:lang w:eastAsia="en-NZ"/>
              </w:rPr>
              <w:t>Age, geographic location, BMI, menopausal status, parity</w:t>
            </w:r>
          </w:p>
        </w:tc>
        <w:tc>
          <w:tcPr>
            <w:tcW w:w="373" w:type="pct"/>
            <w:vAlign w:val="center"/>
            <w:hideMark/>
          </w:tcPr>
          <w:p w14:paraId="2603A651" w14:textId="4FFC3800"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550: 182</w:t>
            </w:r>
          </w:p>
        </w:tc>
        <w:tc>
          <w:tcPr>
            <w:tcW w:w="369" w:type="pct"/>
            <w:vAlign w:val="center"/>
            <w:hideMark/>
          </w:tcPr>
          <w:p w14:paraId="751042CC" w14:textId="202FA85F" w:rsidR="002C175B" w:rsidRPr="00D57B2D" w:rsidRDefault="00162A58" w:rsidP="00162A58">
            <w:pPr>
              <w:rPr>
                <w:rFonts w:eastAsia="Times New Roman" w:cstheme="majorHAnsi"/>
                <w:sz w:val="18"/>
                <w:szCs w:val="18"/>
                <w:lang w:eastAsia="en-NZ"/>
              </w:rPr>
            </w:pPr>
            <w:r>
              <w:rPr>
                <w:rFonts w:eastAsia="Times New Roman" w:cstheme="majorHAnsi"/>
                <w:sz w:val="18"/>
                <w:szCs w:val="18"/>
                <w:lang w:eastAsia="en-NZ"/>
              </w:rPr>
              <w:t>NK</w:t>
            </w:r>
          </w:p>
        </w:tc>
        <w:tc>
          <w:tcPr>
            <w:tcW w:w="382" w:type="pct"/>
            <w:vAlign w:val="center"/>
            <w:hideMark/>
          </w:tcPr>
          <w:p w14:paraId="0BDF6FFE"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Cumulus</w:t>
            </w:r>
          </w:p>
        </w:tc>
        <w:tc>
          <w:tcPr>
            <w:tcW w:w="1333" w:type="pct"/>
            <w:vAlign w:val="center"/>
            <w:hideMark/>
          </w:tcPr>
          <w:p w14:paraId="15D81BB3" w14:textId="37BBB3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 xml:space="preserve">CYP19 variants were not </w:t>
            </w:r>
            <w:r w:rsidR="00162A58">
              <w:rPr>
                <w:sz w:val="18"/>
                <w:szCs w:val="18"/>
                <w:lang w:eastAsia="en-NZ"/>
              </w:rPr>
              <w:t>associated with density</w:t>
            </w:r>
          </w:p>
        </w:tc>
      </w:tr>
      <w:tr w:rsidR="00461081" w:rsidRPr="006F33EB" w14:paraId="6ED651FA" w14:textId="77777777" w:rsidTr="00461081">
        <w:trPr>
          <w:trHeight w:val="930"/>
        </w:trPr>
        <w:tc>
          <w:tcPr>
            <w:tcW w:w="495" w:type="pct"/>
            <w:vAlign w:val="center"/>
            <w:hideMark/>
          </w:tcPr>
          <w:p w14:paraId="2CB17669" w14:textId="5891861A"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Tamimi et al</w:t>
            </w:r>
            <w:r w:rsidR="00A80AE3">
              <w:rPr>
                <w:rFonts w:eastAsia="Times New Roman" w:cstheme="majorHAnsi"/>
                <w:sz w:val="18"/>
                <w:szCs w:val="18"/>
                <w:lang w:eastAsia="en-NZ"/>
              </w:rPr>
              <w:t>. (</w:t>
            </w:r>
            <w:r w:rsidRPr="00D57B2D">
              <w:rPr>
                <w:rFonts w:eastAsia="Times New Roman" w:cstheme="majorHAnsi"/>
                <w:sz w:val="18"/>
                <w:szCs w:val="18"/>
                <w:lang w:eastAsia="en-NZ"/>
              </w:rPr>
              <w:t>2007</w:t>
            </w:r>
            <w:r w:rsidR="00A80AE3">
              <w:rPr>
                <w:rFonts w:eastAsia="Times New Roman" w:cstheme="majorHAnsi"/>
                <w:sz w:val="18"/>
                <w:szCs w:val="18"/>
                <w:lang w:eastAsia="en-NZ"/>
              </w:rPr>
              <w:t>)</w:t>
            </w:r>
          </w:p>
        </w:tc>
        <w:tc>
          <w:tcPr>
            <w:tcW w:w="437" w:type="pct"/>
            <w:vAlign w:val="center"/>
            <w:hideMark/>
          </w:tcPr>
          <w:p w14:paraId="2F185ABC" w14:textId="12FA2210" w:rsidR="002C175B" w:rsidRPr="00D57B2D" w:rsidRDefault="00162A58" w:rsidP="00162A58">
            <w:pPr>
              <w:rPr>
                <w:rFonts w:eastAsia="Times New Roman" w:cstheme="majorHAnsi"/>
                <w:sz w:val="18"/>
                <w:szCs w:val="18"/>
                <w:lang w:eastAsia="en-NZ"/>
              </w:rPr>
            </w:pPr>
            <w:r>
              <w:rPr>
                <w:rFonts w:eastAsia="Times New Roman" w:cstheme="majorHAnsi"/>
                <w:sz w:val="18"/>
                <w:szCs w:val="18"/>
                <w:lang w:eastAsia="en-NZ"/>
              </w:rPr>
              <w:t>Cross-sectional</w:t>
            </w:r>
            <w:r w:rsidR="002C175B" w:rsidRPr="00D57B2D">
              <w:rPr>
                <w:rFonts w:eastAsia="Times New Roman" w:cstheme="majorHAnsi"/>
                <w:sz w:val="18"/>
                <w:szCs w:val="18"/>
                <w:lang w:eastAsia="en-NZ"/>
              </w:rPr>
              <w:t xml:space="preserve"> </w:t>
            </w:r>
          </w:p>
        </w:tc>
        <w:tc>
          <w:tcPr>
            <w:tcW w:w="831" w:type="pct"/>
          </w:tcPr>
          <w:p w14:paraId="2476DA87" w14:textId="44DFE2AA" w:rsidR="002C175B" w:rsidRPr="00D57B2D" w:rsidRDefault="00162A58" w:rsidP="00162A58">
            <w:pPr>
              <w:rPr>
                <w:rFonts w:eastAsia="Times New Roman" w:cstheme="majorHAnsi"/>
                <w:sz w:val="18"/>
                <w:szCs w:val="18"/>
                <w:lang w:eastAsia="en-NZ"/>
              </w:rPr>
            </w:pPr>
            <w:r>
              <w:rPr>
                <w:rFonts w:eastAsia="Times New Roman" w:cstheme="majorHAnsi"/>
                <w:sz w:val="18"/>
                <w:szCs w:val="18"/>
                <w:lang w:eastAsia="en-NZ"/>
              </w:rPr>
              <w:t>Nurses’ Health Study, USA, 1998</w:t>
            </w:r>
          </w:p>
        </w:tc>
        <w:tc>
          <w:tcPr>
            <w:tcW w:w="779" w:type="pct"/>
          </w:tcPr>
          <w:p w14:paraId="2F9FEC0D" w14:textId="2C7C4080" w:rsidR="002C175B" w:rsidRPr="00D57B2D" w:rsidRDefault="002C175B" w:rsidP="00162A58">
            <w:pPr>
              <w:rPr>
                <w:rFonts w:eastAsia="Times New Roman" w:cstheme="majorHAnsi"/>
                <w:sz w:val="18"/>
                <w:szCs w:val="18"/>
                <w:lang w:eastAsia="en-NZ"/>
              </w:rPr>
            </w:pPr>
            <w:r>
              <w:rPr>
                <w:rFonts w:eastAsia="Times New Roman" w:cstheme="majorHAnsi"/>
                <w:sz w:val="18"/>
                <w:szCs w:val="18"/>
                <w:lang w:eastAsia="en-NZ"/>
              </w:rPr>
              <w:t>Age, BMI, alcohol, parity, family history, history of benign disease, menopausal status, HRT</w:t>
            </w:r>
          </w:p>
        </w:tc>
        <w:tc>
          <w:tcPr>
            <w:tcW w:w="373" w:type="pct"/>
            <w:vAlign w:val="center"/>
            <w:hideMark/>
          </w:tcPr>
          <w:p w14:paraId="545DA7CD" w14:textId="1F8AEC82"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1,121:21</w:t>
            </w:r>
          </w:p>
        </w:tc>
        <w:tc>
          <w:tcPr>
            <w:tcW w:w="369" w:type="pct"/>
            <w:vAlign w:val="center"/>
            <w:hideMark/>
          </w:tcPr>
          <w:p w14:paraId="27FB4495"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42–78</w:t>
            </w:r>
          </w:p>
        </w:tc>
        <w:tc>
          <w:tcPr>
            <w:tcW w:w="382" w:type="pct"/>
            <w:vAlign w:val="center"/>
            <w:hideMark/>
          </w:tcPr>
          <w:p w14:paraId="6D82CB30" w14:textId="77777777"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Cumulus</w:t>
            </w:r>
          </w:p>
        </w:tc>
        <w:tc>
          <w:tcPr>
            <w:tcW w:w="1333" w:type="pct"/>
            <w:vAlign w:val="center"/>
            <w:hideMark/>
          </w:tcPr>
          <w:p w14:paraId="4DB9E015" w14:textId="5DECB63E" w:rsidR="002C175B" w:rsidRPr="00D57B2D" w:rsidRDefault="002C175B" w:rsidP="00162A58">
            <w:pPr>
              <w:rPr>
                <w:rFonts w:eastAsia="Times New Roman" w:cstheme="majorHAnsi"/>
                <w:sz w:val="18"/>
                <w:szCs w:val="18"/>
                <w:lang w:eastAsia="en-NZ"/>
              </w:rPr>
            </w:pPr>
            <w:r w:rsidRPr="00D57B2D">
              <w:rPr>
                <w:rFonts w:eastAsia="Times New Roman" w:cstheme="majorHAnsi"/>
                <w:sz w:val="18"/>
                <w:szCs w:val="18"/>
                <w:lang w:eastAsia="en-NZ"/>
              </w:rPr>
              <w:t xml:space="preserve">Two haplotype-tagging SNPs in IGF1, rs1520220 and rs2946834 showed a strong association with </w:t>
            </w:r>
            <w:r w:rsidR="00162A58">
              <w:rPr>
                <w:rFonts w:eastAsia="Times New Roman" w:cstheme="majorHAnsi"/>
                <w:sz w:val="18"/>
                <w:szCs w:val="18"/>
                <w:lang w:eastAsia="en-NZ"/>
              </w:rPr>
              <w:t>density</w:t>
            </w:r>
          </w:p>
        </w:tc>
      </w:tr>
    </w:tbl>
    <w:p w14:paraId="1AF0A4CF" w14:textId="69CDF840" w:rsidR="00EB040B" w:rsidRDefault="002C175B">
      <w:pPr>
        <w:rPr>
          <w:shd w:val="clear" w:color="auto" w:fill="FFFFFF"/>
        </w:rPr>
        <w:sectPr w:rsidR="00EB040B" w:rsidSect="00EB040B">
          <w:pgSz w:w="16839" w:h="11907" w:orient="landscape" w:code="9"/>
          <w:pgMar w:top="1418" w:right="1418" w:bottom="1418" w:left="1418" w:header="964" w:footer="964" w:gutter="0"/>
          <w:cols w:space="708"/>
          <w:docGrid w:linePitch="360"/>
        </w:sectPr>
      </w:pPr>
      <w:r w:rsidRPr="003122C0">
        <w:rPr>
          <w:rStyle w:val="Emphasis"/>
          <w:rFonts w:asciiTheme="majorHAnsi" w:hAnsiTheme="majorHAnsi" w:cstheme="majorHAnsi"/>
          <w:sz w:val="18"/>
          <w:szCs w:val="20"/>
        </w:rPr>
        <w:t>Abbreviations</w:t>
      </w:r>
      <w:r w:rsidRPr="003122C0">
        <w:rPr>
          <w:rFonts w:asciiTheme="majorHAnsi" w:hAnsiTheme="majorHAnsi" w:cstheme="majorHAnsi"/>
          <w:sz w:val="18"/>
          <w:szCs w:val="20"/>
        </w:rPr>
        <w:t>:</w:t>
      </w:r>
      <w:r>
        <w:rPr>
          <w:rFonts w:asciiTheme="majorHAnsi" w:hAnsiTheme="majorHAnsi" w:cstheme="majorHAnsi"/>
          <w:sz w:val="18"/>
          <w:szCs w:val="20"/>
        </w:rPr>
        <w:t xml:space="preserve"> BC = breast cancer; </w:t>
      </w:r>
      <w:r w:rsidR="00162A58">
        <w:rPr>
          <w:rFonts w:asciiTheme="majorHAnsi" w:hAnsiTheme="majorHAnsi" w:cstheme="majorHAnsi"/>
          <w:sz w:val="18"/>
          <w:szCs w:val="20"/>
        </w:rPr>
        <w:t xml:space="preserve">HD = high density; </w:t>
      </w:r>
      <w:r>
        <w:rPr>
          <w:rFonts w:asciiTheme="majorHAnsi" w:hAnsiTheme="majorHAnsi" w:cstheme="majorHAnsi"/>
          <w:sz w:val="18"/>
          <w:szCs w:val="20"/>
        </w:rPr>
        <w:t>HRT = hormonal replacement therapy</w:t>
      </w:r>
      <w:r>
        <w:rPr>
          <w:rFonts w:asciiTheme="majorHAnsi" w:hAnsiTheme="majorHAnsi" w:cstheme="majorHAnsi"/>
          <w:color w:val="333333"/>
          <w:spacing w:val="2"/>
          <w:sz w:val="16"/>
          <w:szCs w:val="26"/>
          <w:shd w:val="clear" w:color="auto" w:fill="FCFCFC"/>
        </w:rPr>
        <w:t xml:space="preserve">; </w:t>
      </w:r>
      <w:r>
        <w:rPr>
          <w:rFonts w:asciiTheme="majorHAnsi" w:hAnsiTheme="majorHAnsi" w:cstheme="majorHAnsi"/>
          <w:sz w:val="18"/>
          <w:szCs w:val="20"/>
        </w:rPr>
        <w:t>PD = percent density</w:t>
      </w:r>
      <w:r w:rsidR="00BD3DB0">
        <w:rPr>
          <w:rFonts w:asciiTheme="majorHAnsi" w:hAnsiTheme="majorHAnsi" w:cstheme="majorHAnsi"/>
          <w:sz w:val="18"/>
          <w:szCs w:val="20"/>
        </w:rPr>
        <w:t>; SNP = single nucleotide polymorphism.</w:t>
      </w:r>
    </w:p>
    <w:p w14:paraId="7938342F" w14:textId="77777777" w:rsidR="00EB35FA" w:rsidRDefault="00EB35FA" w:rsidP="00EB35FA">
      <w:pPr>
        <w:pStyle w:val="BodyText"/>
        <w:rPr>
          <w:shd w:val="clear" w:color="auto" w:fill="FFFFFF"/>
        </w:rPr>
      </w:pPr>
      <w:r>
        <w:rPr>
          <w:shd w:val="clear" w:color="auto" w:fill="FFFFFF"/>
        </w:rPr>
        <w:lastRenderedPageBreak/>
        <w:t>Results from included</w:t>
      </w:r>
      <w:r w:rsidRPr="00477928">
        <w:rPr>
          <w:shd w:val="clear" w:color="auto" w:fill="FFFFFF"/>
        </w:rPr>
        <w:t xml:space="preserve"> studies are varied</w:t>
      </w:r>
      <w:r>
        <w:rPr>
          <w:shd w:val="clear" w:color="auto" w:fill="FFFFFF"/>
        </w:rPr>
        <w:t>;</w:t>
      </w:r>
      <w:r w:rsidRPr="00477928">
        <w:rPr>
          <w:shd w:val="clear" w:color="auto" w:fill="FFFFFF"/>
        </w:rPr>
        <w:t xml:space="preserve"> however</w:t>
      </w:r>
      <w:r>
        <w:rPr>
          <w:shd w:val="clear" w:color="auto" w:fill="FFFFFF"/>
        </w:rPr>
        <w:t>,</w:t>
      </w:r>
      <w:r w:rsidRPr="00477928">
        <w:rPr>
          <w:shd w:val="clear" w:color="auto" w:fill="FFFFFF"/>
        </w:rPr>
        <w:t xml:space="preserve"> some key findings were</w:t>
      </w:r>
      <w:r>
        <w:rPr>
          <w:shd w:val="clear" w:color="auto" w:fill="FFFFFF"/>
        </w:rPr>
        <w:t>:</w:t>
      </w:r>
    </w:p>
    <w:p w14:paraId="7C36ED06" w14:textId="77777777" w:rsidR="00EB35FA" w:rsidRDefault="00EB35FA" w:rsidP="00EB35FA">
      <w:pPr>
        <w:pStyle w:val="List-BulletLvl1"/>
        <w:rPr>
          <w:shd w:val="clear" w:color="auto" w:fill="FFFFFF"/>
        </w:rPr>
      </w:pPr>
      <w:r w:rsidRPr="00477928">
        <w:rPr>
          <w:shd w:val="clear" w:color="auto" w:fill="FFFFFF"/>
        </w:rPr>
        <w:t>genetic components of breast density variation are established before mid-life, and genetic effects accounted for &gt;33% of the total variance of breast density</w:t>
      </w:r>
    </w:p>
    <w:p w14:paraId="62300C6B" w14:textId="77777777" w:rsidR="00EB35FA" w:rsidRDefault="00EB35FA" w:rsidP="00EB35FA">
      <w:pPr>
        <w:pStyle w:val="List-BulletLvl1"/>
        <w:rPr>
          <w:shd w:val="clear" w:color="auto" w:fill="FFFFFF"/>
        </w:rPr>
      </w:pPr>
      <w:r>
        <w:rPr>
          <w:shd w:val="clear" w:color="auto" w:fill="FFFFFF"/>
        </w:rPr>
        <w:t>b</w:t>
      </w:r>
      <w:r w:rsidRPr="00477928">
        <w:rPr>
          <w:shd w:val="clear" w:color="auto" w:fill="FFFFFF"/>
        </w:rPr>
        <w:t>reast density and breast cancer have a shared genetic basis that is mediated through a large number of common variants</w:t>
      </w:r>
      <w:r>
        <w:rPr>
          <w:shd w:val="clear" w:color="auto" w:fill="FFFFFF"/>
        </w:rPr>
        <w:t>, and</w:t>
      </w:r>
    </w:p>
    <w:p w14:paraId="68594DD8" w14:textId="61A5F4DA" w:rsidR="00EB35FA" w:rsidRDefault="00EB35FA" w:rsidP="00EB35FA">
      <w:pPr>
        <w:pStyle w:val="List-BulletLvl1"/>
        <w:rPr>
          <w:shd w:val="clear" w:color="auto" w:fill="FFFFFF"/>
        </w:rPr>
      </w:pPr>
      <w:proofErr w:type="gramStart"/>
      <w:r>
        <w:rPr>
          <w:shd w:val="clear" w:color="auto" w:fill="FFFFFF"/>
        </w:rPr>
        <w:t>breast</w:t>
      </w:r>
      <w:proofErr w:type="gramEnd"/>
      <w:r>
        <w:rPr>
          <w:shd w:val="clear" w:color="auto" w:fill="FFFFFF"/>
        </w:rPr>
        <w:t xml:space="preserve"> density</w:t>
      </w:r>
      <w:r w:rsidRPr="00477928">
        <w:rPr>
          <w:shd w:val="clear" w:color="auto" w:fill="FFFFFF"/>
        </w:rPr>
        <w:t xml:space="preserve"> also appears to be highly heritable (Sung et al.</w:t>
      </w:r>
      <w:r w:rsidR="00BA4674">
        <w:rPr>
          <w:shd w:val="clear" w:color="auto" w:fill="FFFFFF"/>
        </w:rPr>
        <w:t>,</w:t>
      </w:r>
      <w:r w:rsidRPr="00477928">
        <w:rPr>
          <w:shd w:val="clear" w:color="auto" w:fill="FFFFFF"/>
        </w:rPr>
        <w:t xml:space="preserve"> 2010 and Kataoka</w:t>
      </w:r>
      <w:r w:rsidR="00F566A7">
        <w:rPr>
          <w:shd w:val="clear" w:color="auto" w:fill="FFFFFF"/>
        </w:rPr>
        <w:t xml:space="preserve"> et al.</w:t>
      </w:r>
      <w:r w:rsidRPr="00477928">
        <w:rPr>
          <w:shd w:val="clear" w:color="auto" w:fill="FFFFFF"/>
        </w:rPr>
        <w:t>, 2009).</w:t>
      </w:r>
      <w:r>
        <w:rPr>
          <w:shd w:val="clear" w:color="auto" w:fill="FFFFFF"/>
        </w:rPr>
        <w:t xml:space="preserve"> </w:t>
      </w:r>
    </w:p>
    <w:p w14:paraId="450C43AA" w14:textId="75414544" w:rsidR="00EB35FA" w:rsidRDefault="00EB35FA" w:rsidP="00EB35FA">
      <w:pPr>
        <w:pStyle w:val="BodyText"/>
        <w:rPr>
          <w:shd w:val="clear" w:color="auto" w:fill="FFFFFF"/>
        </w:rPr>
      </w:pPr>
      <w:r w:rsidRPr="00477928">
        <w:rPr>
          <w:shd w:val="clear" w:color="auto" w:fill="FFFFFF"/>
        </w:rPr>
        <w:t xml:space="preserve">While studies of common variants (polymorphisms) in candidate genes based on biological arguments identified some associations, these are small in number and therefore cannot be </w:t>
      </w:r>
      <w:r w:rsidR="0097476D">
        <w:rPr>
          <w:shd w:val="clear" w:color="auto" w:fill="FFFFFF"/>
        </w:rPr>
        <w:t>c</w:t>
      </w:r>
      <w:r w:rsidRPr="00477928">
        <w:rPr>
          <w:shd w:val="clear" w:color="auto" w:fill="FFFFFF"/>
        </w:rPr>
        <w:t>onsider</w:t>
      </w:r>
      <w:r w:rsidR="00852BD4">
        <w:rPr>
          <w:shd w:val="clear" w:color="auto" w:fill="FFFFFF"/>
        </w:rPr>
        <w:t>ed</w:t>
      </w:r>
      <w:r w:rsidRPr="00477928">
        <w:rPr>
          <w:shd w:val="clear" w:color="auto" w:fill="FFFFFF"/>
        </w:rPr>
        <w:t xml:space="preserve"> conclusive. Huo et al</w:t>
      </w:r>
      <w:r>
        <w:rPr>
          <w:shd w:val="clear" w:color="auto" w:fill="FFFFFF"/>
        </w:rPr>
        <w:t>. (2</w:t>
      </w:r>
      <w:r w:rsidRPr="00477928">
        <w:rPr>
          <w:shd w:val="clear" w:color="auto" w:fill="FFFFFF"/>
        </w:rPr>
        <w:t>01</w:t>
      </w:r>
      <w:r w:rsidR="00937448">
        <w:rPr>
          <w:shd w:val="clear" w:color="auto" w:fill="FFFFFF"/>
        </w:rPr>
        <w:t>4</w:t>
      </w:r>
      <w:r>
        <w:rPr>
          <w:shd w:val="clear" w:color="auto" w:fill="FFFFFF"/>
        </w:rPr>
        <w:t>)</w:t>
      </w:r>
      <w:r w:rsidRPr="00477928">
        <w:rPr>
          <w:shd w:val="clear" w:color="auto" w:fill="FFFFFF"/>
        </w:rPr>
        <w:t xml:space="preserve"> concluded</w:t>
      </w:r>
      <w:r>
        <w:rPr>
          <w:shd w:val="clear" w:color="auto" w:fill="FFFFFF"/>
        </w:rPr>
        <w:t xml:space="preserve"> that </w:t>
      </w:r>
      <w:r w:rsidRPr="00477928">
        <w:rPr>
          <w:shd w:val="clear" w:color="auto" w:fill="FFFFFF"/>
        </w:rPr>
        <w:t>around 10% of common SNPs</w:t>
      </w:r>
      <w:r>
        <w:rPr>
          <w:shd w:val="clear" w:color="auto" w:fill="FFFFFF"/>
        </w:rPr>
        <w:t xml:space="preserve"> </w:t>
      </w:r>
      <w:r w:rsidRPr="00477928">
        <w:rPr>
          <w:shd w:val="clear" w:color="auto" w:fill="FFFFFF"/>
        </w:rPr>
        <w:t xml:space="preserve">associated with breast cancer risk are also associated with the breast density measures that predict breast cancer risk, but to date these explain only a few percent of the variance. </w:t>
      </w:r>
    </w:p>
    <w:p w14:paraId="028CB5B1" w14:textId="1989C32B" w:rsidR="00EB35FA" w:rsidRDefault="00EB35FA" w:rsidP="00EB35FA">
      <w:pPr>
        <w:pStyle w:val="BodyText"/>
        <w:rPr>
          <w:shd w:val="clear" w:color="auto" w:fill="FFFFFF"/>
        </w:rPr>
      </w:pPr>
      <w:r w:rsidRPr="00FF0B5D">
        <w:t>Genomics</w:t>
      </w:r>
      <w:r>
        <w:rPr>
          <w:shd w:val="clear" w:color="auto" w:fill="FFFFFF"/>
        </w:rPr>
        <w:t xml:space="preserve"> is a rapidly evolving field. It is likely that more gene studies will help to provide stronger </w:t>
      </w:r>
      <w:r w:rsidR="0014679E">
        <w:rPr>
          <w:shd w:val="clear" w:color="auto" w:fill="FFFFFF"/>
        </w:rPr>
        <w:t xml:space="preserve">understanding about any links </w:t>
      </w:r>
      <w:r>
        <w:rPr>
          <w:shd w:val="clear" w:color="auto" w:fill="FFFFFF"/>
        </w:rPr>
        <w:t>between breast density and breast cancer risk. We know that b</w:t>
      </w:r>
      <w:r w:rsidRPr="00477928">
        <w:rPr>
          <w:shd w:val="clear" w:color="auto" w:fill="FFFFFF"/>
        </w:rPr>
        <w:t>reast density is likely to be affected by a number of genes that are largely unknown at the present time.</w:t>
      </w:r>
      <w:r>
        <w:rPr>
          <w:shd w:val="clear" w:color="auto" w:fill="FFFFFF"/>
        </w:rPr>
        <w:t xml:space="preserve"> Both inherited and somatic genomic variation for breast density will provide useful information for customising screening and treatment regimens for breast cancer (</w:t>
      </w:r>
      <w:r w:rsidRPr="00477928">
        <w:rPr>
          <w:shd w:val="clear" w:color="auto" w:fill="FFFFFF"/>
        </w:rPr>
        <w:t>Ellsworth</w:t>
      </w:r>
      <w:r w:rsidR="00627E27">
        <w:rPr>
          <w:shd w:val="clear" w:color="auto" w:fill="FFFFFF"/>
        </w:rPr>
        <w:t xml:space="preserve"> et al</w:t>
      </w:r>
      <w:r w:rsidRPr="00477928">
        <w:rPr>
          <w:shd w:val="clear" w:color="auto" w:fill="FFFFFF"/>
        </w:rPr>
        <w:t>, 2010)</w:t>
      </w:r>
      <w:r>
        <w:rPr>
          <w:shd w:val="clear" w:color="auto" w:fill="FFFFFF"/>
        </w:rPr>
        <w:t>.</w:t>
      </w:r>
    </w:p>
    <w:p w14:paraId="6B22EE1D" w14:textId="77777777" w:rsidR="00EB35FA" w:rsidRDefault="00EB35FA" w:rsidP="00EB35FA">
      <w:pPr>
        <w:pStyle w:val="NumberedHeading3"/>
      </w:pPr>
      <w:bookmarkStart w:id="76" w:name="_Toc507914434"/>
      <w:bookmarkStart w:id="77" w:name="_Toc507976159"/>
      <w:bookmarkStart w:id="78" w:name="_Toc518922209"/>
      <w:r>
        <w:t>Mammographic density phenotype</w:t>
      </w:r>
      <w:bookmarkEnd w:id="76"/>
      <w:bookmarkEnd w:id="77"/>
      <w:bookmarkEnd w:id="78"/>
    </w:p>
    <w:p w14:paraId="3615ABD3" w14:textId="726ECDCA" w:rsidR="00EB35FA" w:rsidRPr="00C524E2" w:rsidRDefault="00EB35FA" w:rsidP="00EB35FA">
      <w:pPr>
        <w:pStyle w:val="BodyText"/>
        <w:rPr>
          <w:shd w:val="clear" w:color="auto" w:fill="FFFFFF"/>
        </w:rPr>
      </w:pPr>
      <w:r w:rsidRPr="00C524E2">
        <w:rPr>
          <w:shd w:val="clear" w:color="auto" w:fill="FFFFFF"/>
        </w:rPr>
        <w:t xml:space="preserve">The breast density classification systems (described in section </w:t>
      </w:r>
      <w:r w:rsidR="006F33EB">
        <w:rPr>
          <w:shd w:val="clear" w:color="auto" w:fill="FFFFFF"/>
        </w:rPr>
        <w:t>3.1</w:t>
      </w:r>
      <w:r w:rsidRPr="00C524E2">
        <w:rPr>
          <w:shd w:val="clear" w:color="auto" w:fill="FFFFFF"/>
        </w:rPr>
        <w:t>) are subjective and vary</w:t>
      </w:r>
      <w:r>
        <w:rPr>
          <w:shd w:val="clear" w:color="auto" w:fill="FFFFFF"/>
        </w:rPr>
        <w:t xml:space="preserve">. For example, </w:t>
      </w:r>
      <w:r w:rsidRPr="00C524E2">
        <w:rPr>
          <w:shd w:val="clear" w:color="auto" w:fill="FFFFFF"/>
        </w:rPr>
        <w:t>Wolfe’s pattern use</w:t>
      </w:r>
      <w:r w:rsidR="008D405F">
        <w:rPr>
          <w:shd w:val="clear" w:color="auto" w:fill="FFFFFF"/>
        </w:rPr>
        <w:t>d</w:t>
      </w:r>
      <w:r w:rsidRPr="00C524E2">
        <w:rPr>
          <w:shd w:val="clear" w:color="auto" w:fill="FFFFFF"/>
        </w:rPr>
        <w:t xml:space="preserve"> four categories, </w:t>
      </w:r>
      <w:r w:rsidR="00275D65">
        <w:rPr>
          <w:shd w:val="clear" w:color="auto" w:fill="FFFFFF"/>
        </w:rPr>
        <w:t>BIRADS</w:t>
      </w:r>
      <w:r w:rsidRPr="00C524E2">
        <w:rPr>
          <w:shd w:val="clear" w:color="auto" w:fill="FFFFFF"/>
        </w:rPr>
        <w:t xml:space="preserve"> </w:t>
      </w:r>
      <w:r w:rsidR="00710D9D">
        <w:rPr>
          <w:shd w:val="clear" w:color="auto" w:fill="FFFFFF"/>
        </w:rPr>
        <w:t>(5</w:t>
      </w:r>
      <w:r w:rsidR="00710D9D" w:rsidRPr="00710D9D">
        <w:rPr>
          <w:shd w:val="clear" w:color="auto" w:fill="FFFFFF"/>
          <w:vertAlign w:val="superscript"/>
        </w:rPr>
        <w:t>th</w:t>
      </w:r>
      <w:r w:rsidR="00710D9D">
        <w:rPr>
          <w:shd w:val="clear" w:color="auto" w:fill="FFFFFF"/>
        </w:rPr>
        <w:t xml:space="preserve"> edition) </w:t>
      </w:r>
      <w:r w:rsidR="001513A3">
        <w:rPr>
          <w:shd w:val="clear" w:color="auto" w:fill="FFFFFF"/>
        </w:rPr>
        <w:t xml:space="preserve">also </w:t>
      </w:r>
      <w:r w:rsidRPr="00C524E2">
        <w:rPr>
          <w:shd w:val="clear" w:color="auto" w:fill="FFFFFF"/>
        </w:rPr>
        <w:t xml:space="preserve">uses </w:t>
      </w:r>
      <w:r w:rsidR="001513A3">
        <w:rPr>
          <w:shd w:val="clear" w:color="auto" w:fill="FFFFFF"/>
        </w:rPr>
        <w:t>four</w:t>
      </w:r>
      <w:r w:rsidRPr="00C524E2">
        <w:rPr>
          <w:shd w:val="clear" w:color="auto" w:fill="FFFFFF"/>
        </w:rPr>
        <w:t xml:space="preserve"> and </w:t>
      </w:r>
      <w:r w:rsidR="00893AA8">
        <w:rPr>
          <w:shd w:val="clear" w:color="auto" w:fill="FFFFFF"/>
        </w:rPr>
        <w:t>percent density</w:t>
      </w:r>
      <w:r w:rsidRPr="00C524E2">
        <w:rPr>
          <w:shd w:val="clear" w:color="auto" w:fill="FFFFFF"/>
        </w:rPr>
        <w:t xml:space="preserve"> provides a value between 0-100%. Computer-assisted methods have</w:t>
      </w:r>
      <w:r w:rsidR="00940F83">
        <w:rPr>
          <w:shd w:val="clear" w:color="auto" w:fill="FFFFFF"/>
        </w:rPr>
        <w:t xml:space="preserve"> also</w:t>
      </w:r>
      <w:r w:rsidRPr="00C524E2">
        <w:rPr>
          <w:shd w:val="clear" w:color="auto" w:fill="FFFFFF"/>
        </w:rPr>
        <w:t xml:space="preserve"> been developed, such as </w:t>
      </w:r>
      <w:r w:rsidRPr="00C524E2">
        <w:rPr>
          <w:i/>
          <w:iCs/>
          <w:shd w:val="clear" w:color="auto" w:fill="FFFFFF"/>
        </w:rPr>
        <w:t>Cumulus</w:t>
      </w:r>
      <w:r w:rsidR="00940F83">
        <w:rPr>
          <w:shd w:val="clear" w:color="auto" w:fill="FFFFFF"/>
        </w:rPr>
        <w:t>.</w:t>
      </w:r>
      <w:r w:rsidRPr="00C524E2">
        <w:rPr>
          <w:shd w:val="clear" w:color="auto" w:fill="FFFFFF"/>
        </w:rPr>
        <w:t xml:space="preserve"> </w:t>
      </w:r>
      <w:r w:rsidR="00940F83">
        <w:rPr>
          <w:shd w:val="clear" w:color="auto" w:fill="FFFFFF"/>
        </w:rPr>
        <w:t>T</w:t>
      </w:r>
      <w:r w:rsidRPr="00C524E2">
        <w:rPr>
          <w:shd w:val="clear" w:color="auto" w:fill="FFFFFF"/>
        </w:rPr>
        <w:t>hese programs assess breast density as the proportion of the area with dense breast tissue in relation to the whole breast area on a mammogram. These methods have served to date as the gold standard for assessing the percent density.</w:t>
      </w:r>
      <w:r w:rsidR="00695226">
        <w:rPr>
          <w:shd w:val="clear" w:color="auto" w:fill="FFFFFF"/>
        </w:rPr>
        <w:t xml:space="preserve"> </w:t>
      </w:r>
      <w:r w:rsidRPr="00C524E2">
        <w:rPr>
          <w:shd w:val="clear" w:color="auto" w:fill="FFFFFF"/>
        </w:rPr>
        <w:t xml:space="preserve">The </w:t>
      </w:r>
      <w:r w:rsidR="00695226">
        <w:rPr>
          <w:shd w:val="clear" w:color="auto" w:fill="FFFFFF"/>
        </w:rPr>
        <w:t>percent density</w:t>
      </w:r>
      <w:r w:rsidRPr="00C524E2">
        <w:rPr>
          <w:shd w:val="clear" w:color="auto" w:fill="FFFFFF"/>
        </w:rPr>
        <w:t xml:space="preserve"> is calculated by dividing the dense area by the total breast area (known as phenotypes</w:t>
      </w:r>
      <w:r w:rsidR="00695226">
        <w:rPr>
          <w:shd w:val="clear" w:color="auto" w:fill="FFFFFF"/>
        </w:rPr>
        <w:t xml:space="preserve">; </w:t>
      </w:r>
      <w:r w:rsidRPr="00C524E2">
        <w:rPr>
          <w:shd w:val="clear" w:color="auto" w:fill="FFFFFF"/>
        </w:rPr>
        <w:t xml:space="preserve">Rauh et al., 2012). </w:t>
      </w:r>
      <w:r w:rsidR="00695226" w:rsidRPr="00C524E2">
        <w:rPr>
          <w:shd w:val="clear" w:color="auto" w:fill="FFFFFF"/>
        </w:rPr>
        <w:t>Computerised systems now also provide other measures: the total breast area, the non</w:t>
      </w:r>
      <w:r w:rsidR="00695226">
        <w:rPr>
          <w:shd w:val="clear" w:color="auto" w:fill="FFFFFF"/>
        </w:rPr>
        <w:t>-</w:t>
      </w:r>
      <w:r w:rsidR="00695226" w:rsidRPr="00C524E2">
        <w:rPr>
          <w:shd w:val="clear" w:color="auto" w:fill="FFFFFF"/>
        </w:rPr>
        <w:t xml:space="preserve">dense area and the dense area. </w:t>
      </w:r>
      <w:r w:rsidRPr="00C524E2">
        <w:rPr>
          <w:shd w:val="clear" w:color="auto" w:fill="FFFFFF"/>
        </w:rPr>
        <w:t xml:space="preserve">It has been hypothesised that the absolute dense area is an indicator of breast cancer risk </w:t>
      </w:r>
      <w:r w:rsidR="00CE738F" w:rsidRPr="00C524E2">
        <w:rPr>
          <w:shd w:val="clear" w:color="auto" w:fill="FFFFFF"/>
        </w:rPr>
        <w:t>because</w:t>
      </w:r>
      <w:r w:rsidRPr="00C524E2">
        <w:rPr>
          <w:shd w:val="clear" w:color="auto" w:fill="FFFFFF"/>
        </w:rPr>
        <w:t xml:space="preserve"> a higher amount of dense breast tissue could directly correlate to a higher probability of one of the cells within the dense area </w:t>
      </w:r>
      <w:r w:rsidR="00695226">
        <w:rPr>
          <w:shd w:val="clear" w:color="auto" w:fill="FFFFFF"/>
        </w:rPr>
        <w:t>progressing</w:t>
      </w:r>
      <w:r w:rsidRPr="00C524E2">
        <w:rPr>
          <w:shd w:val="clear" w:color="auto" w:fill="FFFFFF"/>
        </w:rPr>
        <w:t xml:space="preserve"> to a malignant cell. </w:t>
      </w:r>
    </w:p>
    <w:p w14:paraId="786D8D99" w14:textId="2BB5B28B" w:rsidR="00EB35FA" w:rsidRDefault="00EB35FA" w:rsidP="00EB35FA">
      <w:pPr>
        <w:pStyle w:val="BodyText"/>
        <w:rPr>
          <w:shd w:val="clear" w:color="auto" w:fill="FFFFFF"/>
        </w:rPr>
      </w:pPr>
      <w:r w:rsidRPr="00C524E2">
        <w:rPr>
          <w:shd w:val="clear" w:color="auto" w:fill="FFFFFF"/>
        </w:rPr>
        <w:t>Pettersson et al.</w:t>
      </w:r>
      <w:r>
        <w:rPr>
          <w:shd w:val="clear" w:color="auto" w:fill="FFFFFF"/>
        </w:rPr>
        <w:t xml:space="preserve"> (2</w:t>
      </w:r>
      <w:r w:rsidRPr="00C524E2">
        <w:rPr>
          <w:shd w:val="clear" w:color="auto" w:fill="FFFFFF"/>
        </w:rPr>
        <w:t>014</w:t>
      </w:r>
      <w:r>
        <w:rPr>
          <w:shd w:val="clear" w:color="auto" w:fill="FFFFFF"/>
        </w:rPr>
        <w:t>)</w:t>
      </w:r>
      <w:r w:rsidRPr="00C524E2">
        <w:rPr>
          <w:shd w:val="clear" w:color="auto" w:fill="FFFFFF"/>
        </w:rPr>
        <w:t xml:space="preserve"> conducted a meta-analysis of 13 case–control studies that examined the associations between mammographic density phenotypes and risk of breast cancer</w:t>
      </w:r>
      <w:r w:rsidR="00695226">
        <w:rPr>
          <w:shd w:val="clear" w:color="auto" w:fill="FFFFFF"/>
        </w:rPr>
        <w:t>,</w:t>
      </w:r>
      <w:r>
        <w:rPr>
          <w:shd w:val="clear" w:color="auto" w:fill="FFFFFF"/>
        </w:rPr>
        <w:t xml:space="preserve"> </w:t>
      </w:r>
      <w:r w:rsidRPr="00C524E2">
        <w:rPr>
          <w:shd w:val="clear" w:color="auto" w:fill="FFFFFF"/>
        </w:rPr>
        <w:t xml:space="preserve">providing results from logistic regressions for associations between one standard deviation (SD) increments in mammographic density phenotypes and breast cancer risk. They used random-effects models to calculate pooled </w:t>
      </w:r>
      <w:r w:rsidR="00761B6F">
        <w:rPr>
          <w:shd w:val="clear" w:color="auto" w:fill="FFFFFF"/>
        </w:rPr>
        <w:t>OR</w:t>
      </w:r>
      <w:r w:rsidRPr="00C524E2">
        <w:rPr>
          <w:shd w:val="clear" w:color="auto" w:fill="FFFFFF"/>
        </w:rPr>
        <w:t xml:space="preserve"> and 95%CI. </w:t>
      </w:r>
      <w:r>
        <w:rPr>
          <w:shd w:val="clear" w:color="auto" w:fill="FFFFFF"/>
        </w:rPr>
        <w:t xml:space="preserve">Table </w:t>
      </w:r>
      <w:r w:rsidR="003D60DC">
        <w:rPr>
          <w:shd w:val="clear" w:color="auto" w:fill="FFFFFF"/>
        </w:rPr>
        <w:t>1</w:t>
      </w:r>
      <w:r w:rsidR="006465B1">
        <w:rPr>
          <w:shd w:val="clear" w:color="auto" w:fill="FFFFFF"/>
        </w:rPr>
        <w:t>4</w:t>
      </w:r>
      <w:r w:rsidR="00C14D92">
        <w:rPr>
          <w:shd w:val="clear" w:color="auto" w:fill="FFFFFF"/>
        </w:rPr>
        <w:t xml:space="preserve"> (below) </w:t>
      </w:r>
      <w:r>
        <w:rPr>
          <w:shd w:val="clear" w:color="auto" w:fill="FFFFFF"/>
        </w:rPr>
        <w:t xml:space="preserve">shows the summary </w:t>
      </w:r>
      <w:r w:rsidR="00761B6F">
        <w:rPr>
          <w:shd w:val="clear" w:color="auto" w:fill="FFFFFF"/>
        </w:rPr>
        <w:t>OR</w:t>
      </w:r>
      <w:r w:rsidRPr="00C524E2">
        <w:rPr>
          <w:shd w:val="clear" w:color="auto" w:fill="FFFFFF"/>
        </w:rPr>
        <w:t xml:space="preserve"> when pooling estimates were adjusted for age, </w:t>
      </w:r>
      <w:r>
        <w:rPr>
          <w:shd w:val="clear" w:color="auto" w:fill="FFFFFF"/>
        </w:rPr>
        <w:t>BMI</w:t>
      </w:r>
      <w:r w:rsidRPr="00C524E2">
        <w:rPr>
          <w:shd w:val="clear" w:color="auto" w:fill="FFFFFF"/>
        </w:rPr>
        <w:t>, and parity</w:t>
      </w:r>
      <w:r>
        <w:rPr>
          <w:shd w:val="clear" w:color="auto" w:fill="FFFFFF"/>
        </w:rPr>
        <w:t>.</w:t>
      </w:r>
    </w:p>
    <w:p w14:paraId="1DDE1F85" w14:textId="38BB7E3F" w:rsidR="00EF54FD" w:rsidRDefault="003D60DC" w:rsidP="00BD0238">
      <w:pPr>
        <w:pStyle w:val="Caption"/>
        <w:rPr>
          <w:shd w:val="clear" w:color="auto" w:fill="FFFFFF"/>
        </w:rPr>
      </w:pPr>
      <w:r>
        <w:rPr>
          <w:shd w:val="clear" w:color="auto" w:fill="FFFFFF"/>
        </w:rPr>
        <w:t>Table 1</w:t>
      </w:r>
      <w:r w:rsidR="006465B1">
        <w:rPr>
          <w:shd w:val="clear" w:color="auto" w:fill="FFFFFF"/>
        </w:rPr>
        <w:t>4</w:t>
      </w:r>
      <w:r w:rsidR="00EB35FA" w:rsidRPr="00C524E2">
        <w:rPr>
          <w:shd w:val="clear" w:color="auto" w:fill="FFFFFF"/>
        </w:rPr>
        <w:t>. Summary</w:t>
      </w:r>
      <w:r w:rsidR="00695226">
        <w:rPr>
          <w:shd w:val="clear" w:color="auto" w:fill="FFFFFF"/>
        </w:rPr>
        <w:t xml:space="preserve"> of</w:t>
      </w:r>
      <w:r w:rsidR="00EB35FA" w:rsidRPr="00C524E2">
        <w:rPr>
          <w:shd w:val="clear" w:color="auto" w:fill="FFFFFF"/>
        </w:rPr>
        <w:t xml:space="preserve"> odd</w:t>
      </w:r>
      <w:r w:rsidR="00695226">
        <w:rPr>
          <w:shd w:val="clear" w:color="auto" w:fill="FFFFFF"/>
        </w:rPr>
        <w:t>s</w:t>
      </w:r>
      <w:r w:rsidR="00EB35FA" w:rsidRPr="00C524E2">
        <w:rPr>
          <w:shd w:val="clear" w:color="auto" w:fill="FFFFFF"/>
        </w:rPr>
        <w:t xml:space="preserve"> ratio</w:t>
      </w:r>
      <w:r w:rsidR="00695226">
        <w:rPr>
          <w:shd w:val="clear" w:color="auto" w:fill="FFFFFF"/>
        </w:rPr>
        <w:t>s for</w:t>
      </w:r>
      <w:r w:rsidR="00EB35FA">
        <w:rPr>
          <w:shd w:val="clear" w:color="auto" w:fill="FFFFFF"/>
        </w:rPr>
        <w:t xml:space="preserve"> pre</w:t>
      </w:r>
      <w:r w:rsidR="00695226">
        <w:rPr>
          <w:shd w:val="clear" w:color="auto" w:fill="FFFFFF"/>
        </w:rPr>
        <w:t>-</w:t>
      </w:r>
      <w:r w:rsidR="00EB35FA">
        <w:rPr>
          <w:shd w:val="clear" w:color="auto" w:fill="FFFFFF"/>
        </w:rPr>
        <w:t xml:space="preserve"> and post-menopausal women</w:t>
      </w:r>
      <w:r w:rsidR="00695226">
        <w:rPr>
          <w:shd w:val="clear" w:color="auto" w:fill="FFFFFF"/>
        </w:rPr>
        <w:t>, by density phenotypes</w:t>
      </w:r>
    </w:p>
    <w:tbl>
      <w:tblPr>
        <w:tblStyle w:val="ACGreen-BasicTable"/>
        <w:tblW w:w="0" w:type="auto"/>
        <w:tblCellMar>
          <w:top w:w="0" w:type="dxa"/>
          <w:bottom w:w="0" w:type="dxa"/>
        </w:tblCellMar>
        <w:tblLook w:val="04A0" w:firstRow="1" w:lastRow="0" w:firstColumn="1" w:lastColumn="0" w:noHBand="0" w:noVBand="1"/>
        <w:tblDescription w:val="For Premenopausal women (n = 1,776 case patients; n = 2,834 control subjects), the Absolute dense area was 1.37 (95%CI = 1.29 to 1.47), the Absolute non-dense area was 0.78 (95%CI, 0.71 to 0.86), and the Percentage dense area was 1.52 (95%CI, 1.39 to 1.66).&#10;&#10;For Postmenopausal women (n = 6,643 case patients; n = 11,187 control subjects), the Absolute dense area was 1.38 (95%CI = 1.31 to 1.44), the Absolute non-dense area was 0.79 (95%CI, 0.73 to 0.85), the Percentage dense area was 1.53 (95%CI, 1.44 to 1.64).&#10;"/>
      </w:tblPr>
      <w:tblGrid>
        <w:gridCol w:w="2254"/>
        <w:gridCol w:w="2249"/>
        <w:gridCol w:w="2249"/>
        <w:gridCol w:w="2252"/>
      </w:tblGrid>
      <w:tr w:rsidR="00345CCE" w:rsidRPr="00345CCE" w14:paraId="092EA1D6" w14:textId="77777777" w:rsidTr="00C14D92">
        <w:trPr>
          <w:cnfStyle w:val="100000000000" w:firstRow="1" w:lastRow="0" w:firstColumn="0" w:lastColumn="0" w:oddVBand="0" w:evenVBand="0" w:oddHBand="0" w:evenHBand="0" w:firstRowFirstColumn="0" w:firstRowLastColumn="0" w:lastRowFirstColumn="0" w:lastRowLastColumn="0"/>
        </w:trPr>
        <w:tc>
          <w:tcPr>
            <w:tcW w:w="2265" w:type="dxa"/>
            <w:vAlign w:val="center"/>
          </w:tcPr>
          <w:p w14:paraId="6D6BEB62" w14:textId="77777777" w:rsidR="00EF54FD" w:rsidRPr="00345CCE" w:rsidRDefault="00EF54FD" w:rsidP="00C14D92">
            <w:pPr>
              <w:pStyle w:val="BodyText"/>
              <w:spacing w:before="0" w:after="0" w:line="240" w:lineRule="auto"/>
              <w:jc w:val="center"/>
              <w:rPr>
                <w:rFonts w:cstheme="majorHAnsi"/>
                <w:color w:val="auto"/>
                <w:sz w:val="18"/>
                <w:szCs w:val="18"/>
                <w:shd w:val="clear" w:color="auto" w:fill="FFFFFF"/>
              </w:rPr>
            </w:pPr>
          </w:p>
        </w:tc>
        <w:tc>
          <w:tcPr>
            <w:tcW w:w="2265" w:type="dxa"/>
            <w:vAlign w:val="center"/>
          </w:tcPr>
          <w:p w14:paraId="60320609" w14:textId="77777777" w:rsidR="00EF54FD" w:rsidRPr="00345CCE" w:rsidRDefault="00EF54FD" w:rsidP="00C14D92">
            <w:pPr>
              <w:pStyle w:val="BodyText"/>
              <w:spacing w:before="0" w:after="0" w:line="240" w:lineRule="auto"/>
              <w:jc w:val="center"/>
              <w:rPr>
                <w:rFonts w:cstheme="majorHAnsi"/>
                <w:color w:val="auto"/>
                <w:sz w:val="18"/>
                <w:szCs w:val="18"/>
                <w:shd w:val="clear" w:color="auto" w:fill="FFFFFF"/>
              </w:rPr>
            </w:pPr>
            <w:r w:rsidRPr="00345CCE">
              <w:rPr>
                <w:rFonts w:cstheme="majorHAnsi"/>
                <w:color w:val="auto"/>
                <w:sz w:val="18"/>
                <w:szCs w:val="18"/>
              </w:rPr>
              <w:t>Absolute dense area</w:t>
            </w:r>
          </w:p>
        </w:tc>
        <w:tc>
          <w:tcPr>
            <w:tcW w:w="2265" w:type="dxa"/>
            <w:vAlign w:val="center"/>
          </w:tcPr>
          <w:p w14:paraId="7A1E75C9" w14:textId="77777777" w:rsidR="00EF54FD" w:rsidRPr="00345CCE" w:rsidRDefault="00EF54FD" w:rsidP="00C14D92">
            <w:pPr>
              <w:pStyle w:val="BodyText"/>
              <w:spacing w:before="0" w:after="0" w:line="240" w:lineRule="auto"/>
              <w:jc w:val="center"/>
              <w:rPr>
                <w:rFonts w:cstheme="majorHAnsi"/>
                <w:color w:val="auto"/>
                <w:sz w:val="18"/>
                <w:szCs w:val="18"/>
                <w:shd w:val="clear" w:color="auto" w:fill="FFFFFF"/>
              </w:rPr>
            </w:pPr>
            <w:r w:rsidRPr="00345CCE">
              <w:rPr>
                <w:rFonts w:cstheme="majorHAnsi"/>
                <w:color w:val="auto"/>
                <w:sz w:val="18"/>
                <w:szCs w:val="18"/>
              </w:rPr>
              <w:t>Absolute non-dense area</w:t>
            </w:r>
          </w:p>
        </w:tc>
        <w:tc>
          <w:tcPr>
            <w:tcW w:w="2266" w:type="dxa"/>
            <w:vAlign w:val="center"/>
          </w:tcPr>
          <w:p w14:paraId="7D999D25" w14:textId="77777777" w:rsidR="00EF54FD" w:rsidRPr="00345CCE" w:rsidRDefault="00EF54FD" w:rsidP="00C14D92">
            <w:pPr>
              <w:pStyle w:val="BodyText"/>
              <w:spacing w:before="0" w:after="0" w:line="240" w:lineRule="auto"/>
              <w:jc w:val="center"/>
              <w:rPr>
                <w:rFonts w:cstheme="majorHAnsi"/>
                <w:color w:val="auto"/>
                <w:sz w:val="18"/>
                <w:szCs w:val="18"/>
                <w:shd w:val="clear" w:color="auto" w:fill="FFFFFF"/>
              </w:rPr>
            </w:pPr>
            <w:r w:rsidRPr="00345CCE">
              <w:rPr>
                <w:rFonts w:cstheme="majorHAnsi"/>
                <w:color w:val="auto"/>
                <w:sz w:val="18"/>
                <w:szCs w:val="18"/>
              </w:rPr>
              <w:t>Percentage dense area</w:t>
            </w:r>
          </w:p>
        </w:tc>
      </w:tr>
      <w:tr w:rsidR="00EF54FD" w:rsidRPr="00EF54FD" w14:paraId="4CB994A9" w14:textId="77777777" w:rsidTr="00C14D92">
        <w:tc>
          <w:tcPr>
            <w:tcW w:w="2265" w:type="dxa"/>
            <w:vAlign w:val="center"/>
          </w:tcPr>
          <w:p w14:paraId="5D0338ED" w14:textId="3B44F3EF" w:rsidR="00EF54FD" w:rsidRPr="0097476D" w:rsidRDefault="00CE738F" w:rsidP="00C14D92">
            <w:pPr>
              <w:pStyle w:val="BodyText"/>
              <w:spacing w:before="0" w:after="0" w:line="240" w:lineRule="auto"/>
              <w:jc w:val="center"/>
              <w:rPr>
                <w:rFonts w:cstheme="majorHAnsi"/>
                <w:sz w:val="18"/>
                <w:szCs w:val="18"/>
                <w:shd w:val="clear" w:color="auto" w:fill="FFFFFF"/>
              </w:rPr>
            </w:pPr>
            <w:r>
              <w:rPr>
                <w:rFonts w:cstheme="majorHAnsi"/>
                <w:sz w:val="18"/>
                <w:szCs w:val="18"/>
              </w:rPr>
              <w:t>P</w:t>
            </w:r>
            <w:r w:rsidR="00EF54FD" w:rsidRPr="0097476D">
              <w:rPr>
                <w:rFonts w:cstheme="majorHAnsi"/>
                <w:sz w:val="18"/>
                <w:szCs w:val="18"/>
              </w:rPr>
              <w:t>remenopausal women (</w:t>
            </w:r>
            <w:r w:rsidR="00EF54FD" w:rsidRPr="00472649">
              <w:rPr>
                <w:rFonts w:cstheme="majorHAnsi"/>
                <w:i/>
                <w:sz w:val="18"/>
                <w:szCs w:val="18"/>
              </w:rPr>
              <w:t>n</w:t>
            </w:r>
            <w:r w:rsidR="00EF54FD" w:rsidRPr="0097476D">
              <w:rPr>
                <w:rFonts w:cstheme="majorHAnsi"/>
                <w:sz w:val="18"/>
                <w:szCs w:val="18"/>
              </w:rPr>
              <w:t xml:space="preserve"> = 1</w:t>
            </w:r>
            <w:r w:rsidR="00472649">
              <w:rPr>
                <w:rFonts w:cstheme="majorHAnsi"/>
                <w:sz w:val="18"/>
                <w:szCs w:val="18"/>
              </w:rPr>
              <w:t>,</w:t>
            </w:r>
            <w:r w:rsidR="00EF54FD" w:rsidRPr="0097476D">
              <w:rPr>
                <w:rFonts w:cstheme="majorHAnsi"/>
                <w:sz w:val="18"/>
                <w:szCs w:val="18"/>
              </w:rPr>
              <w:t xml:space="preserve">776 case patients; </w:t>
            </w:r>
            <w:r w:rsidR="00EF54FD" w:rsidRPr="00472649">
              <w:rPr>
                <w:rFonts w:cstheme="majorHAnsi"/>
                <w:i/>
                <w:sz w:val="18"/>
                <w:szCs w:val="18"/>
              </w:rPr>
              <w:t>n</w:t>
            </w:r>
            <w:r w:rsidR="00EF54FD" w:rsidRPr="0097476D">
              <w:rPr>
                <w:rFonts w:cstheme="majorHAnsi"/>
                <w:sz w:val="18"/>
                <w:szCs w:val="18"/>
              </w:rPr>
              <w:t xml:space="preserve"> = 2</w:t>
            </w:r>
            <w:r w:rsidR="00472649">
              <w:rPr>
                <w:rFonts w:cstheme="majorHAnsi"/>
                <w:sz w:val="18"/>
                <w:szCs w:val="18"/>
              </w:rPr>
              <w:t>,</w:t>
            </w:r>
            <w:r w:rsidR="00EF54FD" w:rsidRPr="0097476D">
              <w:rPr>
                <w:rFonts w:cstheme="majorHAnsi"/>
                <w:sz w:val="18"/>
                <w:szCs w:val="18"/>
              </w:rPr>
              <w:t>834 control subjects)</w:t>
            </w:r>
          </w:p>
        </w:tc>
        <w:tc>
          <w:tcPr>
            <w:tcW w:w="2265" w:type="dxa"/>
            <w:vAlign w:val="center"/>
          </w:tcPr>
          <w:p w14:paraId="5FABC00D" w14:textId="77777777" w:rsidR="00EF54FD" w:rsidRPr="0097476D" w:rsidRDefault="00EF54FD" w:rsidP="00C14D92">
            <w:pPr>
              <w:pStyle w:val="BodyText"/>
              <w:spacing w:before="0" w:after="0" w:line="240" w:lineRule="auto"/>
              <w:jc w:val="center"/>
              <w:rPr>
                <w:rFonts w:cstheme="majorHAnsi"/>
                <w:sz w:val="18"/>
                <w:szCs w:val="18"/>
                <w:shd w:val="clear" w:color="auto" w:fill="FFFFFF"/>
              </w:rPr>
            </w:pPr>
            <w:r w:rsidRPr="0097476D">
              <w:rPr>
                <w:rFonts w:cstheme="majorHAnsi"/>
                <w:sz w:val="18"/>
                <w:szCs w:val="18"/>
              </w:rPr>
              <w:t>1.37 (95%CI = 1.29 to 1.47)</w:t>
            </w:r>
          </w:p>
        </w:tc>
        <w:tc>
          <w:tcPr>
            <w:tcW w:w="2265" w:type="dxa"/>
            <w:vAlign w:val="center"/>
          </w:tcPr>
          <w:p w14:paraId="5AF39866" w14:textId="27DDFB3F" w:rsidR="00EF54FD" w:rsidRPr="0097476D" w:rsidRDefault="00EF54FD" w:rsidP="00C14D92">
            <w:pPr>
              <w:pStyle w:val="BodyText"/>
              <w:spacing w:before="0" w:after="0" w:line="240" w:lineRule="auto"/>
              <w:jc w:val="center"/>
              <w:rPr>
                <w:rFonts w:cstheme="majorHAnsi"/>
                <w:sz w:val="18"/>
                <w:szCs w:val="18"/>
                <w:shd w:val="clear" w:color="auto" w:fill="FFFFFF"/>
              </w:rPr>
            </w:pPr>
            <w:r w:rsidRPr="0097476D">
              <w:rPr>
                <w:rFonts w:cstheme="majorHAnsi"/>
                <w:sz w:val="18"/>
                <w:szCs w:val="18"/>
              </w:rPr>
              <w:t>0.78 (95%CI</w:t>
            </w:r>
            <w:r w:rsidR="00472649">
              <w:rPr>
                <w:rFonts w:cstheme="majorHAnsi"/>
                <w:sz w:val="18"/>
                <w:szCs w:val="18"/>
              </w:rPr>
              <w:t>,</w:t>
            </w:r>
            <w:r w:rsidRPr="0097476D">
              <w:rPr>
                <w:rFonts w:cstheme="majorHAnsi"/>
                <w:sz w:val="18"/>
                <w:szCs w:val="18"/>
              </w:rPr>
              <w:t xml:space="preserve"> 0.71 to 0.86)</w:t>
            </w:r>
          </w:p>
        </w:tc>
        <w:tc>
          <w:tcPr>
            <w:tcW w:w="2266" w:type="dxa"/>
            <w:vAlign w:val="center"/>
          </w:tcPr>
          <w:p w14:paraId="4E2A6D8D" w14:textId="4920C05C" w:rsidR="00EF54FD" w:rsidRPr="0097476D" w:rsidRDefault="00EF54FD" w:rsidP="00C14D92">
            <w:pPr>
              <w:pStyle w:val="BodyText"/>
              <w:spacing w:before="0" w:after="0" w:line="240" w:lineRule="auto"/>
              <w:jc w:val="center"/>
              <w:rPr>
                <w:rFonts w:cstheme="majorHAnsi"/>
                <w:sz w:val="18"/>
                <w:szCs w:val="18"/>
                <w:shd w:val="clear" w:color="auto" w:fill="FFFFFF"/>
              </w:rPr>
            </w:pPr>
            <w:r w:rsidRPr="0097476D">
              <w:rPr>
                <w:rFonts w:cstheme="majorHAnsi"/>
                <w:sz w:val="18"/>
                <w:szCs w:val="18"/>
              </w:rPr>
              <w:t>1.52 (95%CI</w:t>
            </w:r>
            <w:r w:rsidR="00472649">
              <w:rPr>
                <w:rFonts w:cstheme="majorHAnsi"/>
                <w:sz w:val="18"/>
                <w:szCs w:val="18"/>
              </w:rPr>
              <w:t>,</w:t>
            </w:r>
            <w:r w:rsidRPr="0097476D">
              <w:rPr>
                <w:rFonts w:cstheme="majorHAnsi"/>
                <w:sz w:val="18"/>
                <w:szCs w:val="18"/>
              </w:rPr>
              <w:t xml:space="preserve"> 1.39 to 1.66)</w:t>
            </w:r>
          </w:p>
        </w:tc>
      </w:tr>
      <w:tr w:rsidR="00EF54FD" w:rsidRPr="00EF54FD" w14:paraId="23F7DF12" w14:textId="77777777" w:rsidTr="00C14D92">
        <w:tc>
          <w:tcPr>
            <w:tcW w:w="2265" w:type="dxa"/>
            <w:vAlign w:val="center"/>
          </w:tcPr>
          <w:p w14:paraId="0688FA74" w14:textId="70B40E48" w:rsidR="00EF54FD" w:rsidRPr="0097476D" w:rsidRDefault="00CE738F" w:rsidP="00C14D92">
            <w:pPr>
              <w:pStyle w:val="BodyText"/>
              <w:spacing w:before="0" w:after="0" w:line="240" w:lineRule="auto"/>
              <w:jc w:val="center"/>
              <w:rPr>
                <w:rFonts w:cstheme="majorHAnsi"/>
                <w:sz w:val="18"/>
                <w:szCs w:val="18"/>
                <w:shd w:val="clear" w:color="auto" w:fill="FFFFFF"/>
              </w:rPr>
            </w:pPr>
            <w:r>
              <w:rPr>
                <w:rFonts w:cstheme="majorHAnsi"/>
                <w:sz w:val="18"/>
                <w:szCs w:val="18"/>
              </w:rPr>
              <w:t>P</w:t>
            </w:r>
            <w:r w:rsidR="00EF54FD" w:rsidRPr="0097476D">
              <w:rPr>
                <w:rFonts w:cstheme="majorHAnsi"/>
                <w:sz w:val="18"/>
                <w:szCs w:val="18"/>
              </w:rPr>
              <w:t>ostmenopausal women (</w:t>
            </w:r>
            <w:r w:rsidR="00EF54FD" w:rsidRPr="00472649">
              <w:rPr>
                <w:rFonts w:cstheme="majorHAnsi"/>
                <w:i/>
                <w:sz w:val="18"/>
                <w:szCs w:val="18"/>
              </w:rPr>
              <w:t>n</w:t>
            </w:r>
            <w:r w:rsidR="00EF54FD" w:rsidRPr="0097476D">
              <w:rPr>
                <w:rFonts w:cstheme="majorHAnsi"/>
                <w:sz w:val="18"/>
                <w:szCs w:val="18"/>
              </w:rPr>
              <w:t xml:space="preserve"> = 6</w:t>
            </w:r>
            <w:r w:rsidR="00472649">
              <w:rPr>
                <w:rFonts w:cstheme="majorHAnsi"/>
                <w:sz w:val="18"/>
                <w:szCs w:val="18"/>
              </w:rPr>
              <w:t>,</w:t>
            </w:r>
            <w:r w:rsidR="00EF54FD" w:rsidRPr="0097476D">
              <w:rPr>
                <w:rFonts w:cstheme="majorHAnsi"/>
                <w:sz w:val="18"/>
                <w:szCs w:val="18"/>
              </w:rPr>
              <w:t xml:space="preserve">643 case patients; </w:t>
            </w:r>
            <w:r w:rsidR="00EF54FD" w:rsidRPr="00472649">
              <w:rPr>
                <w:rFonts w:cstheme="majorHAnsi"/>
                <w:i/>
                <w:sz w:val="18"/>
                <w:szCs w:val="18"/>
              </w:rPr>
              <w:t>n</w:t>
            </w:r>
            <w:r w:rsidR="00EF54FD" w:rsidRPr="0097476D">
              <w:rPr>
                <w:rFonts w:cstheme="majorHAnsi"/>
                <w:sz w:val="18"/>
                <w:szCs w:val="18"/>
              </w:rPr>
              <w:t xml:space="preserve"> = 11</w:t>
            </w:r>
            <w:r w:rsidR="00472649">
              <w:rPr>
                <w:rFonts w:cstheme="majorHAnsi"/>
                <w:sz w:val="18"/>
                <w:szCs w:val="18"/>
              </w:rPr>
              <w:t>,</w:t>
            </w:r>
            <w:r w:rsidR="00EF54FD" w:rsidRPr="0097476D">
              <w:rPr>
                <w:rFonts w:cstheme="majorHAnsi"/>
                <w:sz w:val="18"/>
                <w:szCs w:val="18"/>
              </w:rPr>
              <w:t>187 control subjects)</w:t>
            </w:r>
          </w:p>
        </w:tc>
        <w:tc>
          <w:tcPr>
            <w:tcW w:w="2265" w:type="dxa"/>
            <w:vAlign w:val="center"/>
          </w:tcPr>
          <w:p w14:paraId="4FFCEC90" w14:textId="77777777" w:rsidR="00EF54FD" w:rsidRPr="0097476D" w:rsidRDefault="00EF54FD" w:rsidP="00C14D92">
            <w:pPr>
              <w:pStyle w:val="BodyText"/>
              <w:spacing w:before="0" w:after="0" w:line="240" w:lineRule="auto"/>
              <w:jc w:val="center"/>
              <w:rPr>
                <w:rFonts w:cstheme="majorHAnsi"/>
                <w:sz w:val="18"/>
                <w:szCs w:val="18"/>
                <w:shd w:val="clear" w:color="auto" w:fill="FFFFFF"/>
              </w:rPr>
            </w:pPr>
            <w:r w:rsidRPr="0097476D">
              <w:rPr>
                <w:rFonts w:cstheme="majorHAnsi"/>
                <w:sz w:val="18"/>
                <w:szCs w:val="18"/>
              </w:rPr>
              <w:t>1.38 (95%CI = 1.31 to 1.44)</w:t>
            </w:r>
          </w:p>
        </w:tc>
        <w:tc>
          <w:tcPr>
            <w:tcW w:w="2265" w:type="dxa"/>
            <w:vAlign w:val="center"/>
          </w:tcPr>
          <w:p w14:paraId="350C2189" w14:textId="26F20233" w:rsidR="00EF54FD" w:rsidRPr="0097476D" w:rsidRDefault="00EF54FD" w:rsidP="00C14D92">
            <w:pPr>
              <w:pStyle w:val="BodyText"/>
              <w:spacing w:before="0" w:after="0" w:line="240" w:lineRule="auto"/>
              <w:jc w:val="center"/>
              <w:rPr>
                <w:rFonts w:cstheme="majorHAnsi"/>
                <w:sz w:val="18"/>
                <w:szCs w:val="18"/>
                <w:shd w:val="clear" w:color="auto" w:fill="FFFFFF"/>
              </w:rPr>
            </w:pPr>
            <w:r w:rsidRPr="0097476D">
              <w:rPr>
                <w:rFonts w:cstheme="majorHAnsi"/>
                <w:sz w:val="18"/>
                <w:szCs w:val="18"/>
              </w:rPr>
              <w:t>0.79 (95%CI</w:t>
            </w:r>
            <w:r w:rsidR="00472649">
              <w:rPr>
                <w:rFonts w:cstheme="majorHAnsi"/>
                <w:sz w:val="18"/>
                <w:szCs w:val="18"/>
              </w:rPr>
              <w:t xml:space="preserve">, </w:t>
            </w:r>
            <w:r w:rsidRPr="0097476D">
              <w:rPr>
                <w:rFonts w:cstheme="majorHAnsi"/>
                <w:sz w:val="18"/>
                <w:szCs w:val="18"/>
              </w:rPr>
              <w:t>0.73 to 0.85)</w:t>
            </w:r>
          </w:p>
        </w:tc>
        <w:tc>
          <w:tcPr>
            <w:tcW w:w="2266" w:type="dxa"/>
            <w:vAlign w:val="center"/>
          </w:tcPr>
          <w:p w14:paraId="2D6F5AB7" w14:textId="5C36CD9F" w:rsidR="00EF54FD" w:rsidRPr="0097476D" w:rsidRDefault="00EF54FD" w:rsidP="00C14D92">
            <w:pPr>
              <w:pStyle w:val="BodyText"/>
              <w:spacing w:before="0" w:after="0" w:line="240" w:lineRule="auto"/>
              <w:jc w:val="center"/>
              <w:rPr>
                <w:rFonts w:cstheme="majorHAnsi"/>
                <w:sz w:val="18"/>
                <w:szCs w:val="18"/>
                <w:shd w:val="clear" w:color="auto" w:fill="FFFFFF"/>
              </w:rPr>
            </w:pPr>
            <w:r w:rsidRPr="0097476D">
              <w:rPr>
                <w:rFonts w:cstheme="majorHAnsi"/>
                <w:sz w:val="18"/>
                <w:szCs w:val="18"/>
              </w:rPr>
              <w:t>1.53 (95%CI</w:t>
            </w:r>
            <w:r w:rsidR="00472649">
              <w:rPr>
                <w:rFonts w:cstheme="majorHAnsi"/>
                <w:sz w:val="18"/>
                <w:szCs w:val="18"/>
              </w:rPr>
              <w:t>,</w:t>
            </w:r>
            <w:r w:rsidRPr="0097476D">
              <w:rPr>
                <w:rFonts w:cstheme="majorHAnsi"/>
                <w:sz w:val="18"/>
                <w:szCs w:val="18"/>
              </w:rPr>
              <w:t xml:space="preserve"> 1.44 to 1.64)</w:t>
            </w:r>
          </w:p>
        </w:tc>
      </w:tr>
    </w:tbl>
    <w:p w14:paraId="6C4CE7F0" w14:textId="0478F2A0" w:rsidR="00845B0A" w:rsidRDefault="00EB35FA" w:rsidP="00EB35FA">
      <w:pPr>
        <w:pStyle w:val="BodyText"/>
        <w:rPr>
          <w:shd w:val="clear" w:color="auto" w:fill="FFFFFF"/>
        </w:rPr>
      </w:pPr>
      <w:r>
        <w:rPr>
          <w:shd w:val="clear" w:color="auto" w:fill="FFFFFF"/>
        </w:rPr>
        <w:lastRenderedPageBreak/>
        <w:t>T</w:t>
      </w:r>
      <w:r w:rsidRPr="00C524E2">
        <w:rPr>
          <w:shd w:val="clear" w:color="auto" w:fill="FFFFFF"/>
        </w:rPr>
        <w:t>he results suggest that percent dense area is a stronger breast cancer risk factor than absolute dense area. Absolute non</w:t>
      </w:r>
      <w:r>
        <w:rPr>
          <w:shd w:val="clear" w:color="auto" w:fill="FFFFFF"/>
        </w:rPr>
        <w:t>-</w:t>
      </w:r>
      <w:r w:rsidRPr="00C524E2">
        <w:rPr>
          <w:shd w:val="clear" w:color="auto" w:fill="FFFFFF"/>
        </w:rPr>
        <w:t>dense area was inversely associated with breast cancer risk, but it is unclear whether the association is independent of absolute dense area.</w:t>
      </w:r>
      <w:r w:rsidR="0080586B">
        <w:rPr>
          <w:shd w:val="clear" w:color="auto" w:fill="FFFFFF"/>
        </w:rPr>
        <w:t xml:space="preserve"> </w:t>
      </w:r>
    </w:p>
    <w:p w14:paraId="77357F0A" w14:textId="6EE63FB7" w:rsidR="00EB35FA" w:rsidRDefault="0080586B" w:rsidP="00EB35FA">
      <w:pPr>
        <w:pStyle w:val="BodyText"/>
        <w:rPr>
          <w:shd w:val="clear" w:color="auto" w:fill="FFFFFF"/>
        </w:rPr>
      </w:pPr>
      <w:r>
        <w:rPr>
          <w:shd w:val="clear" w:color="auto" w:fill="FFFFFF"/>
        </w:rPr>
        <w:t xml:space="preserve">A pair of nested case-control studies by Krishnan and colleagues (Krishnan et al., 2016, 2017) also addressed the association between different mammographic density phenotypes and breast cancer risk. Using samples sourced from the Melbourne Collaborative Cohort Study, they found that </w:t>
      </w:r>
      <w:r w:rsidR="00D16DD7">
        <w:rPr>
          <w:shd w:val="clear" w:color="auto" w:fill="FFFFFF"/>
        </w:rPr>
        <w:t>both percent breast density and absolute dense area were significantly associated with breast cancer risk</w:t>
      </w:r>
      <w:r w:rsidR="00EC7302">
        <w:rPr>
          <w:shd w:val="clear" w:color="auto" w:fill="FFFFFF"/>
        </w:rPr>
        <w:t>, to a similar degree</w:t>
      </w:r>
      <w:r w:rsidR="00D16DD7">
        <w:rPr>
          <w:shd w:val="clear" w:color="auto" w:fill="FFFFFF"/>
        </w:rPr>
        <w:t xml:space="preserve"> (with odds of cancer increasing by approximately 1.2 times for each standard deviation increase in breast density). </w:t>
      </w:r>
      <w:r w:rsidR="00893AA8">
        <w:rPr>
          <w:shd w:val="clear" w:color="auto" w:fill="FFFFFF"/>
        </w:rPr>
        <w:t>Percent density</w:t>
      </w:r>
      <w:r w:rsidR="00D16DD7">
        <w:rPr>
          <w:shd w:val="clear" w:color="auto" w:fill="FFFFFF"/>
        </w:rPr>
        <w:t xml:space="preserve"> and absolute density were also found to have similar levels of associations with risk of large tumours (OR ~ 1.6 per 1 SD increase in density) and positive lymph node involvement (OR ~ 1.8 per 1 SD increase in density). Non-dense area was not found to be significantly related to breast cancer risk, risk of large tumours, or risk of node-positive tumours. These results differ to those found in the study by Pettersson et al. (2014),</w:t>
      </w:r>
      <w:r w:rsidR="000D6012">
        <w:rPr>
          <w:shd w:val="clear" w:color="auto" w:fill="FFFFFF"/>
        </w:rPr>
        <w:t xml:space="preserve"> in that they suggest that both percent density and absolute dense area are significant predictors of risk. R</w:t>
      </w:r>
      <w:r w:rsidR="00D16DD7">
        <w:rPr>
          <w:shd w:val="clear" w:color="auto" w:fill="FFFFFF"/>
        </w:rPr>
        <w:t>esults from meta-analyses are often more reliable than results generated from single case-control studies</w:t>
      </w:r>
      <w:r w:rsidR="000D6012">
        <w:rPr>
          <w:shd w:val="clear" w:color="auto" w:fill="FFFFFF"/>
        </w:rPr>
        <w:t>, so f</w:t>
      </w:r>
      <w:r w:rsidR="00D16DD7">
        <w:rPr>
          <w:shd w:val="clear" w:color="auto" w:fill="FFFFFF"/>
        </w:rPr>
        <w:t>urther evidence is required to validate Krishnan and colleagues’ findings.</w:t>
      </w:r>
      <w:r w:rsidR="00016FEF">
        <w:rPr>
          <w:shd w:val="clear" w:color="auto" w:fill="FFFFFF"/>
        </w:rPr>
        <w:t xml:space="preserve"> Further information on the findings from Krishnan et al. (2016) are discussed in section 3.3 on masking.</w:t>
      </w:r>
    </w:p>
    <w:p w14:paraId="1655698E" w14:textId="05404AB6" w:rsidR="00592B08" w:rsidRDefault="000D6012" w:rsidP="00EB35FA">
      <w:pPr>
        <w:pStyle w:val="BodyText"/>
        <w:rPr>
          <w:shd w:val="clear" w:color="auto" w:fill="FFFFFF"/>
        </w:rPr>
      </w:pPr>
      <w:r>
        <w:rPr>
          <w:shd w:val="clear" w:color="auto" w:fill="FFFFFF"/>
        </w:rPr>
        <w:t xml:space="preserve">One potential way of reconciling </w:t>
      </w:r>
      <w:r w:rsidR="009E1F6F">
        <w:rPr>
          <w:shd w:val="clear" w:color="auto" w:fill="FFFFFF"/>
        </w:rPr>
        <w:t>the mixed findings regarding the best choice of density phenotype or measurement approach is to combine multiple approaches when estimating risk</w:t>
      </w:r>
      <w:r>
        <w:rPr>
          <w:shd w:val="clear" w:color="auto" w:fill="FFFFFF"/>
        </w:rPr>
        <w:t xml:space="preserve">. One recent </w:t>
      </w:r>
      <w:r w:rsidR="00EB112D">
        <w:rPr>
          <w:shd w:val="clear" w:color="auto" w:fill="FFFFFF"/>
        </w:rPr>
        <w:t xml:space="preserve">nested </w:t>
      </w:r>
      <w:r>
        <w:rPr>
          <w:shd w:val="clear" w:color="auto" w:fill="FFFFFF"/>
        </w:rPr>
        <w:t xml:space="preserve">case-control study was identified that assessed this possibility by exploring the independent contribution of </w:t>
      </w:r>
      <w:r w:rsidR="00275D65">
        <w:rPr>
          <w:shd w:val="clear" w:color="auto" w:fill="FFFFFF"/>
        </w:rPr>
        <w:t>BIRADS</w:t>
      </w:r>
      <w:r w:rsidR="009E1F6F">
        <w:rPr>
          <w:shd w:val="clear" w:color="auto" w:fill="FFFFFF"/>
        </w:rPr>
        <w:t xml:space="preserve"> </w:t>
      </w:r>
      <w:r>
        <w:rPr>
          <w:shd w:val="clear" w:color="auto" w:fill="FFFFFF"/>
        </w:rPr>
        <w:t>density</w:t>
      </w:r>
      <w:r w:rsidR="009E1F6F">
        <w:rPr>
          <w:shd w:val="clear" w:color="auto" w:fill="FFFFFF"/>
        </w:rPr>
        <w:t xml:space="preserve"> classifications</w:t>
      </w:r>
      <w:r>
        <w:rPr>
          <w:shd w:val="clear" w:color="auto" w:fill="FFFFFF"/>
        </w:rPr>
        <w:t xml:space="preserve"> and absolute dense </w:t>
      </w:r>
      <w:r w:rsidR="009E1F6F">
        <w:rPr>
          <w:shd w:val="clear" w:color="auto" w:fill="FFFFFF"/>
        </w:rPr>
        <w:t>volume (measured using Volpara)</w:t>
      </w:r>
      <w:r>
        <w:rPr>
          <w:shd w:val="clear" w:color="auto" w:fill="FFFFFF"/>
        </w:rPr>
        <w:t xml:space="preserve"> to the prediction of breast cancer (Kerlikowske et al., 2017). </w:t>
      </w:r>
      <w:r w:rsidR="009E1F6F">
        <w:rPr>
          <w:shd w:val="clear" w:color="auto" w:fill="FFFFFF"/>
        </w:rPr>
        <w:t xml:space="preserve">In total, 1,720 women with invasive cancer and 3,686 </w:t>
      </w:r>
      <w:r w:rsidR="00EB112D">
        <w:rPr>
          <w:shd w:val="clear" w:color="auto" w:fill="FFFFFF"/>
        </w:rPr>
        <w:t xml:space="preserve">age-matched </w:t>
      </w:r>
      <w:r w:rsidR="009E1F6F">
        <w:rPr>
          <w:shd w:val="clear" w:color="auto" w:fill="FFFFFF"/>
        </w:rPr>
        <w:t xml:space="preserve">controls were sourced from two prospective breast imaging cohorts (the San Francisco Mammography Registry and the Vermont Breast Cancer Surveillance System). </w:t>
      </w:r>
      <w:r w:rsidR="00EB112D">
        <w:rPr>
          <w:shd w:val="clear" w:color="auto" w:fill="FFFFFF"/>
        </w:rPr>
        <w:t xml:space="preserve">Results found that using both </w:t>
      </w:r>
      <w:r w:rsidR="00275D65">
        <w:rPr>
          <w:shd w:val="clear" w:color="auto" w:fill="FFFFFF"/>
        </w:rPr>
        <w:t>BIRADS</w:t>
      </w:r>
      <w:r w:rsidR="00EB112D">
        <w:rPr>
          <w:shd w:val="clear" w:color="auto" w:fill="FFFFFF"/>
        </w:rPr>
        <w:t xml:space="preserve"> classifications and absolute dense volume in risk models significantly increased their predictive accuracy (</w:t>
      </w:r>
      <w:r w:rsidR="00EB112D">
        <w:rPr>
          <w:i/>
          <w:shd w:val="clear" w:color="auto" w:fill="FFFFFF"/>
        </w:rPr>
        <w:t>p</w:t>
      </w:r>
      <w:r w:rsidR="00EB112D">
        <w:rPr>
          <w:shd w:val="clear" w:color="auto" w:fill="FFFFFF"/>
        </w:rPr>
        <w:t xml:space="preserve"> &lt;.001).</w:t>
      </w:r>
    </w:p>
    <w:p w14:paraId="258A96A3" w14:textId="090F4BD4" w:rsidR="00EC7302" w:rsidRDefault="00BF4A0E" w:rsidP="00EB35FA">
      <w:pPr>
        <w:pStyle w:val="BodyText"/>
        <w:rPr>
          <w:shd w:val="clear" w:color="auto" w:fill="FFFFFF"/>
        </w:rPr>
      </w:pPr>
      <w:r>
        <w:rPr>
          <w:shd w:val="clear" w:color="auto" w:fill="FFFFFF"/>
        </w:rPr>
        <w:t>Table 1</w:t>
      </w:r>
      <w:r w:rsidR="006465B1">
        <w:rPr>
          <w:shd w:val="clear" w:color="auto" w:fill="FFFFFF"/>
        </w:rPr>
        <w:t>5</w:t>
      </w:r>
      <w:r>
        <w:rPr>
          <w:shd w:val="clear" w:color="auto" w:fill="FFFFFF"/>
        </w:rPr>
        <w:t xml:space="preserve"> </w:t>
      </w:r>
      <w:r w:rsidR="006465B1">
        <w:rPr>
          <w:shd w:val="clear" w:color="auto" w:fill="FFFFFF"/>
        </w:rPr>
        <w:t>(overleaf)</w:t>
      </w:r>
      <w:r>
        <w:rPr>
          <w:shd w:val="clear" w:color="auto" w:fill="FFFFFF"/>
        </w:rPr>
        <w:t xml:space="preserve"> shows the odds ratios for different combinations of </w:t>
      </w:r>
      <w:r w:rsidR="00275D65">
        <w:rPr>
          <w:shd w:val="clear" w:color="auto" w:fill="FFFFFF"/>
        </w:rPr>
        <w:t>BIRADS</w:t>
      </w:r>
      <w:r>
        <w:rPr>
          <w:shd w:val="clear" w:color="auto" w:fill="FFFFFF"/>
        </w:rPr>
        <w:t xml:space="preserve"> and dense breast volume, after controlling for a number of confound</w:t>
      </w:r>
      <w:r w:rsidR="0014679E">
        <w:rPr>
          <w:shd w:val="clear" w:color="auto" w:fill="FFFFFF"/>
        </w:rPr>
        <w:t>er</w:t>
      </w:r>
      <w:r>
        <w:rPr>
          <w:shd w:val="clear" w:color="auto" w:fill="FFFFFF"/>
        </w:rPr>
        <w:t xml:space="preserve">s. Women categorised as </w:t>
      </w:r>
      <w:r w:rsidR="00275D65">
        <w:rPr>
          <w:shd w:val="clear" w:color="auto" w:fill="FFFFFF"/>
        </w:rPr>
        <w:t>BIRADS</w:t>
      </w:r>
      <w:r>
        <w:rPr>
          <w:shd w:val="clear" w:color="auto" w:fill="FFFFFF"/>
        </w:rPr>
        <w:t xml:space="preserve"> 2 and with second-quartile dense breast volume were used as the reference group; odds ratios that differ significantly from the reference group have been bolded.</w:t>
      </w:r>
      <w:r w:rsidR="00592B08">
        <w:rPr>
          <w:shd w:val="clear" w:color="auto" w:fill="FFFFFF"/>
        </w:rPr>
        <w:t xml:space="preserve"> The odds of women with heterogeneously or extremely dense breasts and third- or fourth-quartile dense breast volume developing cancer was 1.43 to 2.56 times higher than the reference group, but women with heterogeneously or extremely dense breasts and first- or second-quartile dense breast volume did not have significantly different risk to the comparison group. This indicates a moderating effect of dense breast volume on the risk associated with the different </w:t>
      </w:r>
      <w:r w:rsidR="00275D65">
        <w:rPr>
          <w:shd w:val="clear" w:color="auto" w:fill="FFFFFF"/>
        </w:rPr>
        <w:t>BIRADS</w:t>
      </w:r>
      <w:r w:rsidR="00592B08">
        <w:rPr>
          <w:shd w:val="clear" w:color="auto" w:fill="FFFFFF"/>
        </w:rPr>
        <w:t xml:space="preserve"> categories. The authors concluded that combining information about dense breast volume with </w:t>
      </w:r>
      <w:r w:rsidR="00275D65">
        <w:rPr>
          <w:shd w:val="clear" w:color="auto" w:fill="FFFFFF"/>
        </w:rPr>
        <w:t>BIRADS</w:t>
      </w:r>
      <w:r w:rsidR="00592B08">
        <w:rPr>
          <w:shd w:val="clear" w:color="auto" w:fill="FFFFFF"/>
        </w:rPr>
        <w:t xml:space="preserve"> categorisation may provide more accurate risk stratification for clinical decision-making.</w:t>
      </w:r>
    </w:p>
    <w:p w14:paraId="1B12FA79" w14:textId="77777777" w:rsidR="00EC7302" w:rsidRDefault="00EC7302">
      <w:pPr>
        <w:rPr>
          <w:shd w:val="clear" w:color="auto" w:fill="FFFFFF"/>
        </w:rPr>
      </w:pPr>
      <w:r>
        <w:rPr>
          <w:shd w:val="clear" w:color="auto" w:fill="FFFFFF"/>
        </w:rPr>
        <w:br w:type="page"/>
      </w:r>
    </w:p>
    <w:p w14:paraId="4CEF0280" w14:textId="70DCC9EB" w:rsidR="00BF4A0E" w:rsidRDefault="00BF4A0E" w:rsidP="00BF4A0E">
      <w:pPr>
        <w:pStyle w:val="Caption"/>
        <w:rPr>
          <w:shd w:val="clear" w:color="auto" w:fill="FFFFFF"/>
        </w:rPr>
      </w:pPr>
      <w:r>
        <w:rPr>
          <w:shd w:val="clear" w:color="auto" w:fill="FFFFFF"/>
        </w:rPr>
        <w:lastRenderedPageBreak/>
        <w:t>Table 1</w:t>
      </w:r>
      <w:r w:rsidR="006465B1">
        <w:rPr>
          <w:shd w:val="clear" w:color="auto" w:fill="FFFFFF"/>
        </w:rPr>
        <w:t>5</w:t>
      </w:r>
      <w:r w:rsidRPr="00C524E2">
        <w:rPr>
          <w:shd w:val="clear" w:color="auto" w:fill="FFFFFF"/>
        </w:rPr>
        <w:t xml:space="preserve">. </w:t>
      </w:r>
      <w:r>
        <w:rPr>
          <w:shd w:val="clear" w:color="auto" w:fill="FFFFFF"/>
        </w:rPr>
        <w:t xml:space="preserve">Odds ratios by </w:t>
      </w:r>
      <w:r w:rsidR="00275D65">
        <w:rPr>
          <w:shd w:val="clear" w:color="auto" w:fill="FFFFFF"/>
        </w:rPr>
        <w:t>BIRADS</w:t>
      </w:r>
      <w:r>
        <w:rPr>
          <w:shd w:val="clear" w:color="auto" w:fill="FFFFFF"/>
        </w:rPr>
        <w:t xml:space="preserve"> classification and absolute dense volume (Kerlikowske et al., 2017)</w:t>
      </w:r>
    </w:p>
    <w:tbl>
      <w:tblPr>
        <w:tblStyle w:val="ListTable4-Accent61"/>
        <w:tblW w:w="0" w:type="auto"/>
        <w:tblBorders>
          <w:top w:val="single" w:sz="4" w:space="0" w:color="77B800" w:themeColor="accent6"/>
          <w:left w:val="single" w:sz="4" w:space="0" w:color="77B800" w:themeColor="accent6"/>
          <w:bottom w:val="single" w:sz="4" w:space="0" w:color="77B800" w:themeColor="accent6"/>
          <w:right w:val="single" w:sz="4" w:space="0" w:color="77B800" w:themeColor="accent6"/>
          <w:insideH w:val="single" w:sz="4" w:space="0" w:color="77B800" w:themeColor="accent6"/>
          <w:insideV w:val="single" w:sz="4" w:space="0" w:color="77B800" w:themeColor="accent6"/>
        </w:tblBorders>
        <w:tblLook w:val="04A0" w:firstRow="1" w:lastRow="0" w:firstColumn="1" w:lastColumn="0" w:noHBand="0" w:noVBand="1"/>
        <w:tblDescription w:val="Dense breast volume Quartile 1 &#10;BI-RADS 1 OR (95%CI)*: 0.63 (0.45-0.89) &#10;BI-RADS 2 OR (95%CI)*: 0.94 (0.72-1.21) &#10;BI-RADS 3 OR (95%CI)*: 1.03 (0.71-1.49) &#10;BI-RADS 4 OR (95%CI)*: 1.53 (0.75-3.09)&#10;&#10;Dense breast volume Quartile 2 &#10;BI-RADS 1 OR (95%CI)*: 0.60 (0.43-0.84) &#10;BI-RADS 2 OR (95%CI)*: 1.00 (reference) &#10;BI-RADS 3 OR (95%CI)*: 1.25 (0.92-1.69) &#10;BI-RADS 4 OR (95%CI)*: 1.50 (0.82-2.73)&#10;&#10;Dense breast volume Quartile 3 &#10;BI-RADS 1 OR (95%CI)*: 0.70 (0.49-0.99) &#10;BI-RADS 2 OR (95%CI)*: 0.98 (0.76-1.27) &#10;BI-RADS 3 OR (95%CI)*: 1.43 (1.09-1.89) &#10;BI-RADS 4 OR (95%CI)*: 2.87 (1.84-4.47)&#10;&#10;Dense breast volume Quartile 4 &#10;BI-RADS 1 OR (95%CI)*:  0.87 (0.54-1.41) &#10;BI-RADS 2 OR (95%CI)*: 1.15 (0.87-1.53) &#10;BI-RADS 3 OR (95%CI)*: 1.67 (1.31-2.12) &#10;BI-RADS 4 OR (95%CI)*: 2.56 (1.87-3.52)&#10;"/>
      </w:tblPr>
      <w:tblGrid>
        <w:gridCol w:w="1812"/>
        <w:gridCol w:w="1812"/>
        <w:gridCol w:w="1812"/>
        <w:gridCol w:w="1812"/>
        <w:gridCol w:w="1813"/>
      </w:tblGrid>
      <w:tr w:rsidR="00345CCE" w:rsidRPr="00345CCE" w14:paraId="6131774A" w14:textId="77777777" w:rsidTr="00B87E4A">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12" w:type="dxa"/>
            <w:tcBorders>
              <w:top w:val="none" w:sz="0" w:space="0" w:color="auto"/>
              <w:left w:val="none" w:sz="0" w:space="0" w:color="auto"/>
              <w:bottom w:val="none" w:sz="0" w:space="0" w:color="auto"/>
            </w:tcBorders>
            <w:shd w:val="clear" w:color="auto" w:fill="77B800" w:themeFill="background2"/>
            <w:vAlign w:val="center"/>
          </w:tcPr>
          <w:p w14:paraId="5E737984" w14:textId="59629B06" w:rsidR="00044E8C" w:rsidRPr="00345CCE" w:rsidRDefault="00044E8C" w:rsidP="00BF4A0E">
            <w:pPr>
              <w:pStyle w:val="BodyText"/>
              <w:spacing w:before="0" w:after="0"/>
              <w:jc w:val="center"/>
              <w:rPr>
                <w:rFonts w:asciiTheme="majorHAnsi" w:hAnsiTheme="majorHAnsi" w:cstheme="majorHAnsi"/>
                <w:color w:val="auto"/>
                <w:shd w:val="clear" w:color="auto" w:fill="FFFFFF"/>
              </w:rPr>
            </w:pPr>
            <w:r w:rsidRPr="00345CCE">
              <w:rPr>
                <w:rFonts w:asciiTheme="majorHAnsi" w:eastAsia="Times New Roman" w:hAnsiTheme="majorHAnsi" w:cstheme="majorHAnsi"/>
                <w:color w:val="auto"/>
                <w:sz w:val="18"/>
                <w:szCs w:val="20"/>
                <w:lang w:eastAsia="en-NZ"/>
              </w:rPr>
              <w:t>Dense breast volume</w:t>
            </w:r>
          </w:p>
        </w:tc>
        <w:tc>
          <w:tcPr>
            <w:tcW w:w="1812" w:type="dxa"/>
            <w:tcBorders>
              <w:top w:val="none" w:sz="0" w:space="0" w:color="auto"/>
              <w:bottom w:val="none" w:sz="0" w:space="0" w:color="auto"/>
            </w:tcBorders>
            <w:vAlign w:val="center"/>
          </w:tcPr>
          <w:p w14:paraId="1199040B" w14:textId="34203829" w:rsidR="00044E8C" w:rsidRPr="00345CCE" w:rsidRDefault="00275D65"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8"/>
                <w:szCs w:val="20"/>
                <w:lang w:eastAsia="en-NZ"/>
              </w:rPr>
            </w:pPr>
            <w:r>
              <w:rPr>
                <w:rFonts w:asciiTheme="majorHAnsi" w:eastAsia="Times New Roman" w:hAnsiTheme="majorHAnsi" w:cstheme="majorHAnsi"/>
                <w:color w:val="auto"/>
                <w:sz w:val="18"/>
                <w:szCs w:val="20"/>
                <w:lang w:eastAsia="en-NZ"/>
              </w:rPr>
              <w:t>BIRADS</w:t>
            </w:r>
            <w:r w:rsidR="00044E8C" w:rsidRPr="00345CCE">
              <w:rPr>
                <w:rFonts w:asciiTheme="majorHAnsi" w:eastAsia="Times New Roman" w:hAnsiTheme="majorHAnsi" w:cstheme="majorHAnsi"/>
                <w:color w:val="auto"/>
                <w:sz w:val="18"/>
                <w:szCs w:val="20"/>
                <w:lang w:eastAsia="en-NZ"/>
              </w:rPr>
              <w:t xml:space="preserve"> 1</w:t>
            </w:r>
          </w:p>
          <w:p w14:paraId="0F09A4CF" w14:textId="53AB7DA8" w:rsidR="00044E8C" w:rsidRPr="00345CCE" w:rsidRDefault="00920BB9"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color w:val="auto"/>
                <w:sz w:val="18"/>
                <w:szCs w:val="20"/>
                <w:lang w:eastAsia="en-NZ"/>
              </w:rPr>
            </w:pPr>
            <w:r w:rsidRPr="00345CCE">
              <w:rPr>
                <w:rFonts w:asciiTheme="majorHAnsi" w:eastAsia="Times New Roman" w:hAnsiTheme="majorHAnsi" w:cstheme="majorHAnsi"/>
                <w:b w:val="0"/>
                <w:bCs w:val="0"/>
                <w:i/>
                <w:color w:val="auto"/>
                <w:sz w:val="18"/>
                <w:szCs w:val="20"/>
                <w:lang w:eastAsia="en-NZ"/>
              </w:rPr>
              <w:t>OR</w:t>
            </w:r>
            <w:r w:rsidR="00044E8C" w:rsidRPr="00345CCE">
              <w:rPr>
                <w:rFonts w:asciiTheme="majorHAnsi" w:eastAsia="Times New Roman" w:hAnsiTheme="majorHAnsi" w:cstheme="majorHAnsi"/>
                <w:b w:val="0"/>
                <w:bCs w:val="0"/>
                <w:i/>
                <w:color w:val="auto"/>
                <w:sz w:val="18"/>
                <w:szCs w:val="20"/>
                <w:lang w:eastAsia="en-NZ"/>
              </w:rPr>
              <w:t xml:space="preserve"> (</w:t>
            </w:r>
            <w:r w:rsidRPr="00345CCE">
              <w:rPr>
                <w:rFonts w:asciiTheme="majorHAnsi" w:eastAsia="Times New Roman" w:hAnsiTheme="majorHAnsi" w:cstheme="majorHAnsi"/>
                <w:b w:val="0"/>
                <w:bCs w:val="0"/>
                <w:i/>
                <w:color w:val="auto"/>
                <w:sz w:val="18"/>
                <w:szCs w:val="20"/>
                <w:lang w:eastAsia="en-NZ"/>
              </w:rPr>
              <w:t>95%CI</w:t>
            </w:r>
            <w:r w:rsidR="00044E8C" w:rsidRPr="00345CCE">
              <w:rPr>
                <w:rFonts w:asciiTheme="majorHAnsi" w:eastAsia="Times New Roman" w:hAnsiTheme="majorHAnsi" w:cstheme="majorHAnsi"/>
                <w:b w:val="0"/>
                <w:bCs w:val="0"/>
                <w:i/>
                <w:color w:val="auto"/>
                <w:sz w:val="18"/>
                <w:szCs w:val="20"/>
                <w:lang w:eastAsia="en-NZ"/>
              </w:rPr>
              <w:t>)</w:t>
            </w:r>
            <w:r w:rsidR="00BF4A0E" w:rsidRPr="00345CCE">
              <w:rPr>
                <w:rFonts w:asciiTheme="majorHAnsi" w:eastAsia="Times New Roman" w:hAnsiTheme="majorHAnsi" w:cstheme="majorHAnsi"/>
                <w:b w:val="0"/>
                <w:bCs w:val="0"/>
                <w:i/>
                <w:color w:val="auto"/>
                <w:sz w:val="18"/>
                <w:szCs w:val="20"/>
                <w:lang w:eastAsia="en-NZ"/>
              </w:rPr>
              <w:t>*</w:t>
            </w:r>
          </w:p>
        </w:tc>
        <w:tc>
          <w:tcPr>
            <w:tcW w:w="1812" w:type="dxa"/>
            <w:tcBorders>
              <w:top w:val="none" w:sz="0" w:space="0" w:color="auto"/>
              <w:bottom w:val="none" w:sz="0" w:space="0" w:color="auto"/>
            </w:tcBorders>
            <w:vAlign w:val="center"/>
          </w:tcPr>
          <w:p w14:paraId="187A0954" w14:textId="3E118261" w:rsidR="00044E8C" w:rsidRPr="00345CCE" w:rsidRDefault="00275D65"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8"/>
                <w:szCs w:val="20"/>
                <w:lang w:eastAsia="en-NZ"/>
              </w:rPr>
            </w:pPr>
            <w:r>
              <w:rPr>
                <w:rFonts w:asciiTheme="majorHAnsi" w:eastAsia="Times New Roman" w:hAnsiTheme="majorHAnsi" w:cstheme="majorHAnsi"/>
                <w:color w:val="auto"/>
                <w:sz w:val="18"/>
                <w:szCs w:val="20"/>
                <w:lang w:eastAsia="en-NZ"/>
              </w:rPr>
              <w:t>BIRADS</w:t>
            </w:r>
            <w:r w:rsidR="00044E8C" w:rsidRPr="00345CCE">
              <w:rPr>
                <w:rFonts w:asciiTheme="majorHAnsi" w:eastAsia="Times New Roman" w:hAnsiTheme="majorHAnsi" w:cstheme="majorHAnsi"/>
                <w:color w:val="auto"/>
                <w:sz w:val="18"/>
                <w:szCs w:val="20"/>
                <w:lang w:eastAsia="en-NZ"/>
              </w:rPr>
              <w:t xml:space="preserve"> 2</w:t>
            </w:r>
          </w:p>
          <w:p w14:paraId="0004433D" w14:textId="75007663" w:rsidR="00044E8C" w:rsidRPr="00345CCE" w:rsidRDefault="00920BB9"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i/>
                <w:color w:val="auto"/>
                <w:shd w:val="clear" w:color="auto" w:fill="FFFFFF"/>
              </w:rPr>
            </w:pPr>
            <w:r w:rsidRPr="00345CCE">
              <w:rPr>
                <w:rFonts w:asciiTheme="majorHAnsi" w:eastAsia="Times New Roman" w:hAnsiTheme="majorHAnsi" w:cstheme="majorHAnsi"/>
                <w:b w:val="0"/>
                <w:bCs w:val="0"/>
                <w:i/>
                <w:color w:val="auto"/>
                <w:sz w:val="18"/>
                <w:szCs w:val="20"/>
                <w:lang w:eastAsia="en-NZ"/>
              </w:rPr>
              <w:t>OR (95%CI)</w:t>
            </w:r>
            <w:r w:rsidR="00BF4A0E" w:rsidRPr="00345CCE">
              <w:rPr>
                <w:rFonts w:asciiTheme="majorHAnsi" w:eastAsia="Times New Roman" w:hAnsiTheme="majorHAnsi" w:cstheme="majorHAnsi"/>
                <w:b w:val="0"/>
                <w:bCs w:val="0"/>
                <w:i/>
                <w:color w:val="auto"/>
                <w:sz w:val="18"/>
                <w:szCs w:val="20"/>
                <w:lang w:eastAsia="en-NZ"/>
              </w:rPr>
              <w:t>*</w:t>
            </w:r>
          </w:p>
        </w:tc>
        <w:tc>
          <w:tcPr>
            <w:tcW w:w="1812" w:type="dxa"/>
            <w:tcBorders>
              <w:top w:val="none" w:sz="0" w:space="0" w:color="auto"/>
              <w:bottom w:val="none" w:sz="0" w:space="0" w:color="auto"/>
            </w:tcBorders>
          </w:tcPr>
          <w:p w14:paraId="3D270701" w14:textId="2ACFC10D" w:rsidR="00044E8C" w:rsidRPr="00345CCE" w:rsidRDefault="00275D65"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8"/>
                <w:szCs w:val="20"/>
                <w:lang w:eastAsia="en-NZ"/>
              </w:rPr>
            </w:pPr>
            <w:r>
              <w:rPr>
                <w:rFonts w:asciiTheme="majorHAnsi" w:eastAsia="Times New Roman" w:hAnsiTheme="majorHAnsi" w:cstheme="majorHAnsi"/>
                <w:color w:val="auto"/>
                <w:sz w:val="18"/>
                <w:szCs w:val="20"/>
                <w:lang w:eastAsia="en-NZ"/>
              </w:rPr>
              <w:t>BIRADS</w:t>
            </w:r>
            <w:r w:rsidR="00044E8C" w:rsidRPr="00345CCE">
              <w:rPr>
                <w:rFonts w:asciiTheme="majorHAnsi" w:eastAsia="Times New Roman" w:hAnsiTheme="majorHAnsi" w:cstheme="majorHAnsi"/>
                <w:color w:val="auto"/>
                <w:sz w:val="18"/>
                <w:szCs w:val="20"/>
                <w:lang w:eastAsia="en-NZ"/>
              </w:rPr>
              <w:t xml:space="preserve"> 3</w:t>
            </w:r>
          </w:p>
          <w:p w14:paraId="3E942AD1" w14:textId="2DCAA46F" w:rsidR="00044E8C" w:rsidRPr="00345CCE" w:rsidRDefault="00920BB9"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i/>
                <w:color w:val="auto"/>
                <w:shd w:val="clear" w:color="auto" w:fill="FFFFFF"/>
              </w:rPr>
            </w:pPr>
            <w:r w:rsidRPr="00345CCE">
              <w:rPr>
                <w:rFonts w:asciiTheme="majorHAnsi" w:eastAsia="Times New Roman" w:hAnsiTheme="majorHAnsi" w:cstheme="majorHAnsi"/>
                <w:b w:val="0"/>
                <w:bCs w:val="0"/>
                <w:i/>
                <w:color w:val="auto"/>
                <w:sz w:val="18"/>
                <w:szCs w:val="20"/>
                <w:lang w:eastAsia="en-NZ"/>
              </w:rPr>
              <w:t>OR (95%CI)</w:t>
            </w:r>
            <w:r w:rsidR="00BF4A0E" w:rsidRPr="00345CCE">
              <w:rPr>
                <w:rFonts w:asciiTheme="majorHAnsi" w:eastAsia="Times New Roman" w:hAnsiTheme="majorHAnsi" w:cstheme="majorHAnsi"/>
                <w:b w:val="0"/>
                <w:bCs w:val="0"/>
                <w:i/>
                <w:color w:val="auto"/>
                <w:sz w:val="18"/>
                <w:szCs w:val="20"/>
                <w:lang w:eastAsia="en-NZ"/>
              </w:rPr>
              <w:t>*</w:t>
            </w:r>
          </w:p>
        </w:tc>
        <w:tc>
          <w:tcPr>
            <w:tcW w:w="1813" w:type="dxa"/>
            <w:tcBorders>
              <w:top w:val="none" w:sz="0" w:space="0" w:color="auto"/>
              <w:bottom w:val="none" w:sz="0" w:space="0" w:color="auto"/>
              <w:right w:val="none" w:sz="0" w:space="0" w:color="auto"/>
            </w:tcBorders>
          </w:tcPr>
          <w:p w14:paraId="6921811F" w14:textId="1ECDB1D7" w:rsidR="00044E8C" w:rsidRPr="00345CCE" w:rsidRDefault="00275D65"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8"/>
                <w:szCs w:val="20"/>
                <w:lang w:eastAsia="en-NZ"/>
              </w:rPr>
            </w:pPr>
            <w:r>
              <w:rPr>
                <w:rFonts w:asciiTheme="majorHAnsi" w:eastAsia="Times New Roman" w:hAnsiTheme="majorHAnsi" w:cstheme="majorHAnsi"/>
                <w:color w:val="auto"/>
                <w:sz w:val="18"/>
                <w:szCs w:val="20"/>
                <w:lang w:eastAsia="en-NZ"/>
              </w:rPr>
              <w:t>BIRADS</w:t>
            </w:r>
            <w:r w:rsidR="00044E8C" w:rsidRPr="00345CCE">
              <w:rPr>
                <w:rFonts w:asciiTheme="majorHAnsi" w:eastAsia="Times New Roman" w:hAnsiTheme="majorHAnsi" w:cstheme="majorHAnsi"/>
                <w:color w:val="auto"/>
                <w:sz w:val="18"/>
                <w:szCs w:val="20"/>
                <w:lang w:eastAsia="en-NZ"/>
              </w:rPr>
              <w:t xml:space="preserve"> </w:t>
            </w:r>
            <w:r w:rsidR="00920BB9" w:rsidRPr="00345CCE">
              <w:rPr>
                <w:rFonts w:asciiTheme="majorHAnsi" w:eastAsia="Times New Roman" w:hAnsiTheme="majorHAnsi" w:cstheme="majorHAnsi"/>
                <w:color w:val="auto"/>
                <w:sz w:val="18"/>
                <w:szCs w:val="20"/>
                <w:lang w:eastAsia="en-NZ"/>
              </w:rPr>
              <w:t>4</w:t>
            </w:r>
          </w:p>
          <w:p w14:paraId="553B5B7C" w14:textId="52130287" w:rsidR="00044E8C" w:rsidRPr="00345CCE" w:rsidRDefault="00920BB9" w:rsidP="00BF4A0E">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i/>
                <w:color w:val="auto"/>
                <w:shd w:val="clear" w:color="auto" w:fill="FFFFFF"/>
              </w:rPr>
            </w:pPr>
            <w:r w:rsidRPr="00345CCE">
              <w:rPr>
                <w:rFonts w:asciiTheme="majorHAnsi" w:eastAsia="Times New Roman" w:hAnsiTheme="majorHAnsi" w:cstheme="majorHAnsi"/>
                <w:b w:val="0"/>
                <w:bCs w:val="0"/>
                <w:i/>
                <w:color w:val="auto"/>
                <w:sz w:val="18"/>
                <w:szCs w:val="20"/>
                <w:lang w:eastAsia="en-NZ"/>
              </w:rPr>
              <w:t>OR (95%CI)</w:t>
            </w:r>
            <w:r w:rsidR="00BF4A0E" w:rsidRPr="00345CCE">
              <w:rPr>
                <w:rFonts w:asciiTheme="majorHAnsi" w:eastAsia="Times New Roman" w:hAnsiTheme="majorHAnsi" w:cstheme="majorHAnsi"/>
                <w:b w:val="0"/>
                <w:bCs w:val="0"/>
                <w:i/>
                <w:color w:val="auto"/>
                <w:sz w:val="18"/>
                <w:szCs w:val="20"/>
                <w:lang w:eastAsia="en-NZ"/>
              </w:rPr>
              <w:t>*</w:t>
            </w:r>
          </w:p>
        </w:tc>
      </w:tr>
      <w:tr w:rsidR="00920BB9" w14:paraId="5BBDB5D2" w14:textId="77777777" w:rsidTr="00B8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14:paraId="41BA4A85" w14:textId="3D7CB109" w:rsidR="00920BB9" w:rsidRPr="00687A52" w:rsidRDefault="00920BB9" w:rsidP="00BF4A0E">
            <w:pPr>
              <w:pStyle w:val="BodyText"/>
              <w:jc w:val="center"/>
              <w:rPr>
                <w:shd w:val="clear" w:color="auto" w:fill="FFFFFF"/>
              </w:rPr>
            </w:pPr>
            <w:r w:rsidRPr="00687A52">
              <w:rPr>
                <w:rFonts w:cstheme="majorHAnsi"/>
                <w:sz w:val="18"/>
                <w:szCs w:val="18"/>
              </w:rPr>
              <w:t>Quartile 1</w:t>
            </w:r>
          </w:p>
        </w:tc>
        <w:tc>
          <w:tcPr>
            <w:tcW w:w="1812" w:type="dxa"/>
            <w:shd w:val="clear" w:color="auto" w:fill="FFFFFF" w:themeFill="background1"/>
          </w:tcPr>
          <w:p w14:paraId="22C994BA" w14:textId="076133DA"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b/>
                <w:sz w:val="18"/>
                <w:szCs w:val="18"/>
              </w:rPr>
              <w:t>0.63</w:t>
            </w:r>
            <w:r w:rsidRPr="00BF4A0E">
              <w:rPr>
                <w:rFonts w:cstheme="majorHAnsi"/>
                <w:sz w:val="18"/>
                <w:szCs w:val="18"/>
              </w:rPr>
              <w:t xml:space="preserve"> (0.45-0.89)</w:t>
            </w:r>
          </w:p>
        </w:tc>
        <w:tc>
          <w:tcPr>
            <w:tcW w:w="1812" w:type="dxa"/>
            <w:shd w:val="clear" w:color="auto" w:fill="FFFFFF" w:themeFill="background1"/>
          </w:tcPr>
          <w:p w14:paraId="2A5B7731" w14:textId="4BAB3DC1"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sz w:val="18"/>
                <w:szCs w:val="18"/>
              </w:rPr>
              <w:t>0.94 (0.72-1.21)</w:t>
            </w:r>
          </w:p>
        </w:tc>
        <w:tc>
          <w:tcPr>
            <w:tcW w:w="1812" w:type="dxa"/>
            <w:shd w:val="clear" w:color="auto" w:fill="FFFFFF" w:themeFill="background1"/>
          </w:tcPr>
          <w:p w14:paraId="11F8618E" w14:textId="3E519F44"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sz w:val="18"/>
                <w:szCs w:val="18"/>
              </w:rPr>
              <w:t>1.03 (0.71-1.49)</w:t>
            </w:r>
          </w:p>
        </w:tc>
        <w:tc>
          <w:tcPr>
            <w:tcW w:w="1813" w:type="dxa"/>
            <w:shd w:val="clear" w:color="auto" w:fill="FFFFFF" w:themeFill="background1"/>
          </w:tcPr>
          <w:p w14:paraId="00C33465" w14:textId="50D07455"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sz w:val="18"/>
                <w:szCs w:val="18"/>
              </w:rPr>
              <w:t>1.53 (0.75-3.09)</w:t>
            </w:r>
          </w:p>
        </w:tc>
      </w:tr>
      <w:tr w:rsidR="00920BB9" w14:paraId="586154F1" w14:textId="77777777" w:rsidTr="00B87E4A">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14:paraId="17F51CCC" w14:textId="53AD0147" w:rsidR="00920BB9" w:rsidRPr="00687A52" w:rsidRDefault="00920BB9" w:rsidP="00BF4A0E">
            <w:pPr>
              <w:pStyle w:val="BodyText"/>
              <w:jc w:val="center"/>
              <w:rPr>
                <w:shd w:val="clear" w:color="auto" w:fill="FFFFFF"/>
              </w:rPr>
            </w:pPr>
            <w:r w:rsidRPr="00687A52">
              <w:rPr>
                <w:rFonts w:cstheme="majorHAnsi"/>
                <w:sz w:val="18"/>
                <w:szCs w:val="18"/>
              </w:rPr>
              <w:t>Quartile 2</w:t>
            </w:r>
          </w:p>
        </w:tc>
        <w:tc>
          <w:tcPr>
            <w:tcW w:w="1812" w:type="dxa"/>
            <w:shd w:val="clear" w:color="auto" w:fill="FFFFFF" w:themeFill="background1"/>
          </w:tcPr>
          <w:p w14:paraId="315E8571" w14:textId="00CCE938"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b/>
                <w:sz w:val="18"/>
                <w:szCs w:val="18"/>
              </w:rPr>
              <w:t>0.60</w:t>
            </w:r>
            <w:r w:rsidRPr="00BF4A0E">
              <w:rPr>
                <w:rFonts w:cstheme="majorHAnsi"/>
                <w:sz w:val="18"/>
                <w:szCs w:val="18"/>
              </w:rPr>
              <w:t xml:space="preserve"> (0.43-0.84)</w:t>
            </w:r>
          </w:p>
        </w:tc>
        <w:tc>
          <w:tcPr>
            <w:tcW w:w="1812" w:type="dxa"/>
            <w:shd w:val="clear" w:color="auto" w:fill="FFFFFF" w:themeFill="background1"/>
          </w:tcPr>
          <w:p w14:paraId="123216E5" w14:textId="3844E0EB"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sz w:val="18"/>
                <w:szCs w:val="18"/>
              </w:rPr>
              <w:t>1.00 (</w:t>
            </w:r>
            <w:r w:rsidRPr="00BF4A0E">
              <w:rPr>
                <w:rFonts w:cstheme="majorHAnsi"/>
                <w:b/>
                <w:sz w:val="18"/>
                <w:szCs w:val="18"/>
              </w:rPr>
              <w:t>reference</w:t>
            </w:r>
            <w:r w:rsidRPr="00BF4A0E">
              <w:rPr>
                <w:rFonts w:cstheme="majorHAnsi"/>
                <w:sz w:val="18"/>
                <w:szCs w:val="18"/>
              </w:rPr>
              <w:t>)</w:t>
            </w:r>
          </w:p>
        </w:tc>
        <w:tc>
          <w:tcPr>
            <w:tcW w:w="1812" w:type="dxa"/>
            <w:shd w:val="clear" w:color="auto" w:fill="FFFFFF" w:themeFill="background1"/>
          </w:tcPr>
          <w:p w14:paraId="26A516AD" w14:textId="09FAD24A"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sz w:val="18"/>
                <w:szCs w:val="18"/>
              </w:rPr>
              <w:t>1.25 (0.92-1.69)</w:t>
            </w:r>
          </w:p>
        </w:tc>
        <w:tc>
          <w:tcPr>
            <w:tcW w:w="1813" w:type="dxa"/>
            <w:shd w:val="clear" w:color="auto" w:fill="FFFFFF" w:themeFill="background1"/>
          </w:tcPr>
          <w:p w14:paraId="2663A944" w14:textId="542F0D1E"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sz w:val="18"/>
                <w:szCs w:val="18"/>
              </w:rPr>
              <w:t>1.50 (0.82-2.73)</w:t>
            </w:r>
          </w:p>
        </w:tc>
      </w:tr>
      <w:tr w:rsidR="00920BB9" w14:paraId="016865FE" w14:textId="77777777" w:rsidTr="00B87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14:paraId="29048715" w14:textId="1B442539" w:rsidR="00920BB9" w:rsidRPr="00687A52" w:rsidRDefault="00920BB9" w:rsidP="00BF4A0E">
            <w:pPr>
              <w:pStyle w:val="BodyText"/>
              <w:jc w:val="center"/>
              <w:rPr>
                <w:shd w:val="clear" w:color="auto" w:fill="FFFFFF"/>
              </w:rPr>
            </w:pPr>
            <w:r w:rsidRPr="00687A52">
              <w:rPr>
                <w:rFonts w:cstheme="majorHAnsi"/>
                <w:sz w:val="18"/>
                <w:szCs w:val="18"/>
              </w:rPr>
              <w:t>Quartile 3</w:t>
            </w:r>
          </w:p>
        </w:tc>
        <w:tc>
          <w:tcPr>
            <w:tcW w:w="1812" w:type="dxa"/>
            <w:shd w:val="clear" w:color="auto" w:fill="FFFFFF" w:themeFill="background1"/>
          </w:tcPr>
          <w:p w14:paraId="2DBEE8D4" w14:textId="5347EAB4"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b/>
                <w:sz w:val="18"/>
                <w:szCs w:val="18"/>
              </w:rPr>
              <w:t>0.70</w:t>
            </w:r>
            <w:r w:rsidRPr="00BF4A0E">
              <w:rPr>
                <w:rFonts w:cstheme="majorHAnsi"/>
                <w:sz w:val="18"/>
                <w:szCs w:val="18"/>
              </w:rPr>
              <w:t xml:space="preserve"> (0.49-0.99)</w:t>
            </w:r>
          </w:p>
        </w:tc>
        <w:tc>
          <w:tcPr>
            <w:tcW w:w="1812" w:type="dxa"/>
            <w:shd w:val="clear" w:color="auto" w:fill="FFFFFF" w:themeFill="background1"/>
          </w:tcPr>
          <w:p w14:paraId="0FF6C956" w14:textId="4138C6AB"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sz w:val="18"/>
                <w:szCs w:val="18"/>
              </w:rPr>
              <w:t>0.98 (0.76-1.27)</w:t>
            </w:r>
          </w:p>
        </w:tc>
        <w:tc>
          <w:tcPr>
            <w:tcW w:w="1812" w:type="dxa"/>
            <w:shd w:val="clear" w:color="auto" w:fill="FFFFFF" w:themeFill="background1"/>
          </w:tcPr>
          <w:p w14:paraId="0996A430" w14:textId="4E7B09CD"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b/>
                <w:sz w:val="18"/>
                <w:szCs w:val="18"/>
              </w:rPr>
              <w:t>1.43</w:t>
            </w:r>
            <w:r w:rsidRPr="00BF4A0E">
              <w:rPr>
                <w:rFonts w:cstheme="majorHAnsi"/>
                <w:sz w:val="18"/>
                <w:szCs w:val="18"/>
              </w:rPr>
              <w:t xml:space="preserve"> (1.09-1.89)</w:t>
            </w:r>
          </w:p>
        </w:tc>
        <w:tc>
          <w:tcPr>
            <w:tcW w:w="1813" w:type="dxa"/>
            <w:shd w:val="clear" w:color="auto" w:fill="FFFFFF" w:themeFill="background1"/>
          </w:tcPr>
          <w:p w14:paraId="732584E6" w14:textId="3A986D6E" w:rsidR="00920BB9" w:rsidRPr="00BF4A0E" w:rsidRDefault="00920BB9" w:rsidP="00BF4A0E">
            <w:pPr>
              <w:pStyle w:val="BodyText"/>
              <w:jc w:val="center"/>
              <w:cnfStyle w:val="000000100000" w:firstRow="0" w:lastRow="0" w:firstColumn="0" w:lastColumn="0" w:oddVBand="0" w:evenVBand="0" w:oddHBand="1" w:evenHBand="0" w:firstRowFirstColumn="0" w:firstRowLastColumn="0" w:lastRowFirstColumn="0" w:lastRowLastColumn="0"/>
              <w:rPr>
                <w:sz w:val="18"/>
                <w:szCs w:val="18"/>
                <w:shd w:val="clear" w:color="auto" w:fill="FFFFFF"/>
              </w:rPr>
            </w:pPr>
            <w:r w:rsidRPr="00BF4A0E">
              <w:rPr>
                <w:rFonts w:cstheme="majorHAnsi"/>
                <w:b/>
                <w:sz w:val="18"/>
                <w:szCs w:val="18"/>
              </w:rPr>
              <w:t>2.87</w:t>
            </w:r>
            <w:r w:rsidRPr="00BF4A0E">
              <w:rPr>
                <w:rFonts w:cstheme="majorHAnsi"/>
                <w:sz w:val="18"/>
                <w:szCs w:val="18"/>
              </w:rPr>
              <w:t xml:space="preserve"> (1.</w:t>
            </w:r>
            <w:r w:rsidR="00BF4A0E" w:rsidRPr="00BF4A0E">
              <w:rPr>
                <w:rFonts w:cstheme="majorHAnsi"/>
                <w:sz w:val="18"/>
                <w:szCs w:val="18"/>
              </w:rPr>
              <w:t>84</w:t>
            </w:r>
            <w:r w:rsidRPr="00BF4A0E">
              <w:rPr>
                <w:rFonts w:cstheme="majorHAnsi"/>
                <w:sz w:val="18"/>
                <w:szCs w:val="18"/>
              </w:rPr>
              <w:t>-</w:t>
            </w:r>
            <w:r w:rsidR="00BF4A0E" w:rsidRPr="00BF4A0E">
              <w:rPr>
                <w:rFonts w:cstheme="majorHAnsi"/>
                <w:sz w:val="18"/>
                <w:szCs w:val="18"/>
              </w:rPr>
              <w:t>4.47</w:t>
            </w:r>
            <w:r w:rsidRPr="00BF4A0E">
              <w:rPr>
                <w:rFonts w:cstheme="majorHAnsi"/>
                <w:sz w:val="18"/>
                <w:szCs w:val="18"/>
              </w:rPr>
              <w:t>)</w:t>
            </w:r>
          </w:p>
        </w:tc>
      </w:tr>
      <w:tr w:rsidR="00920BB9" w14:paraId="002C8F4E" w14:textId="77777777" w:rsidTr="00B87E4A">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14:paraId="1D1D6D42" w14:textId="6F2CE913" w:rsidR="00920BB9" w:rsidRPr="00687A52" w:rsidRDefault="00920BB9" w:rsidP="00BF4A0E">
            <w:pPr>
              <w:pStyle w:val="BodyText"/>
              <w:jc w:val="center"/>
              <w:rPr>
                <w:shd w:val="clear" w:color="auto" w:fill="FFFFFF"/>
              </w:rPr>
            </w:pPr>
            <w:r w:rsidRPr="00687A52">
              <w:rPr>
                <w:rFonts w:cstheme="majorHAnsi"/>
                <w:sz w:val="18"/>
                <w:szCs w:val="18"/>
              </w:rPr>
              <w:t>Quartile 4</w:t>
            </w:r>
          </w:p>
        </w:tc>
        <w:tc>
          <w:tcPr>
            <w:tcW w:w="1812" w:type="dxa"/>
            <w:shd w:val="clear" w:color="auto" w:fill="FFFFFF" w:themeFill="background1"/>
          </w:tcPr>
          <w:p w14:paraId="0CF5485C" w14:textId="04C6C0E7"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sz w:val="18"/>
                <w:szCs w:val="18"/>
              </w:rPr>
              <w:t>0.87 (0.54-1.41)</w:t>
            </w:r>
          </w:p>
        </w:tc>
        <w:tc>
          <w:tcPr>
            <w:tcW w:w="1812" w:type="dxa"/>
            <w:shd w:val="clear" w:color="auto" w:fill="FFFFFF" w:themeFill="background1"/>
          </w:tcPr>
          <w:p w14:paraId="38E5A60F" w14:textId="37973608"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sz w:val="18"/>
                <w:szCs w:val="18"/>
              </w:rPr>
              <w:t>1.15 (0.87-1.53)</w:t>
            </w:r>
          </w:p>
        </w:tc>
        <w:tc>
          <w:tcPr>
            <w:tcW w:w="1812" w:type="dxa"/>
            <w:shd w:val="clear" w:color="auto" w:fill="FFFFFF" w:themeFill="background1"/>
          </w:tcPr>
          <w:p w14:paraId="5D206B38" w14:textId="2FFDABFF" w:rsidR="00920BB9" w:rsidRPr="00BF4A0E" w:rsidRDefault="00920BB9"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b/>
                <w:sz w:val="18"/>
                <w:szCs w:val="18"/>
              </w:rPr>
              <w:t>1.67</w:t>
            </w:r>
            <w:r w:rsidRPr="00BF4A0E">
              <w:rPr>
                <w:rFonts w:cstheme="majorHAnsi"/>
                <w:sz w:val="18"/>
                <w:szCs w:val="18"/>
              </w:rPr>
              <w:t xml:space="preserve"> (1.31-2.12)</w:t>
            </w:r>
          </w:p>
        </w:tc>
        <w:tc>
          <w:tcPr>
            <w:tcW w:w="1813" w:type="dxa"/>
            <w:shd w:val="clear" w:color="auto" w:fill="FFFFFF" w:themeFill="background1"/>
          </w:tcPr>
          <w:p w14:paraId="3FBE3CBA" w14:textId="51C2C036" w:rsidR="00920BB9" w:rsidRPr="00BF4A0E" w:rsidRDefault="00BF4A0E" w:rsidP="00BF4A0E">
            <w:pPr>
              <w:pStyle w:val="BodyText"/>
              <w:jc w:val="center"/>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BF4A0E">
              <w:rPr>
                <w:rFonts w:cstheme="majorHAnsi"/>
                <w:b/>
                <w:sz w:val="18"/>
                <w:szCs w:val="18"/>
              </w:rPr>
              <w:t>2.56</w:t>
            </w:r>
            <w:r w:rsidR="00920BB9" w:rsidRPr="00BF4A0E">
              <w:rPr>
                <w:rFonts w:cstheme="majorHAnsi"/>
                <w:sz w:val="18"/>
                <w:szCs w:val="18"/>
              </w:rPr>
              <w:t xml:space="preserve"> (1.</w:t>
            </w:r>
            <w:r w:rsidRPr="00BF4A0E">
              <w:rPr>
                <w:rFonts w:cstheme="majorHAnsi"/>
                <w:sz w:val="18"/>
                <w:szCs w:val="18"/>
              </w:rPr>
              <w:t>87</w:t>
            </w:r>
            <w:r w:rsidR="00920BB9" w:rsidRPr="00BF4A0E">
              <w:rPr>
                <w:rFonts w:cstheme="majorHAnsi"/>
                <w:sz w:val="18"/>
                <w:szCs w:val="18"/>
              </w:rPr>
              <w:t>-</w:t>
            </w:r>
            <w:r w:rsidRPr="00BF4A0E">
              <w:rPr>
                <w:rFonts w:cstheme="majorHAnsi"/>
                <w:sz w:val="18"/>
                <w:szCs w:val="18"/>
              </w:rPr>
              <w:t>3.5</w:t>
            </w:r>
            <w:r w:rsidR="00920BB9" w:rsidRPr="00BF4A0E">
              <w:rPr>
                <w:rFonts w:cstheme="majorHAnsi"/>
                <w:sz w:val="18"/>
                <w:szCs w:val="18"/>
              </w:rPr>
              <w:t>2)</w:t>
            </w:r>
          </w:p>
        </w:tc>
      </w:tr>
    </w:tbl>
    <w:p w14:paraId="18A6D4A6" w14:textId="3EE3B29E" w:rsidR="00EB112D" w:rsidRPr="00BF4A0E" w:rsidRDefault="00BF4A0E" w:rsidP="00EB35FA">
      <w:pPr>
        <w:pStyle w:val="BodyText"/>
        <w:rPr>
          <w:rFonts w:asciiTheme="majorHAnsi" w:hAnsiTheme="majorHAnsi" w:cstheme="majorHAnsi"/>
          <w:sz w:val="16"/>
          <w:szCs w:val="16"/>
          <w:shd w:val="clear" w:color="auto" w:fill="FFFFFF"/>
        </w:rPr>
      </w:pPr>
      <w:r w:rsidRPr="00BF4A0E">
        <w:rPr>
          <w:rFonts w:asciiTheme="majorHAnsi" w:hAnsiTheme="majorHAnsi" w:cstheme="majorHAnsi"/>
          <w:sz w:val="16"/>
          <w:szCs w:val="16"/>
          <w:shd w:val="clear" w:color="auto" w:fill="FFFFFF"/>
        </w:rPr>
        <w:t>*Odds ratios calculated after controlling for age, BMI, family history of breast cancer, history of breast biopsy, and race/ethnicity</w:t>
      </w:r>
    </w:p>
    <w:p w14:paraId="68BC39E0" w14:textId="77777777" w:rsidR="00EB35FA" w:rsidRDefault="00EB35FA" w:rsidP="00627E27">
      <w:pPr>
        <w:pStyle w:val="NumberedHeading3"/>
      </w:pPr>
      <w:bookmarkStart w:id="79" w:name="_Toc507914435"/>
      <w:bookmarkStart w:id="80" w:name="_Toc507976160"/>
      <w:bookmarkStart w:id="81" w:name="_Toc518922210"/>
      <w:r>
        <w:t>Summary</w:t>
      </w:r>
      <w:bookmarkEnd w:id="79"/>
      <w:bookmarkEnd w:id="80"/>
      <w:bookmarkEnd w:id="81"/>
      <w:r>
        <w:t xml:space="preserve"> </w:t>
      </w:r>
    </w:p>
    <w:p w14:paraId="180536B2" w14:textId="7FB84C2B" w:rsidR="00EB35FA" w:rsidRPr="00EB35FA" w:rsidRDefault="00EB35FA" w:rsidP="00D2202B">
      <w:pPr>
        <w:pStyle w:val="BodyText"/>
      </w:pPr>
      <w:r w:rsidRPr="00EB35FA">
        <w:t xml:space="preserve">There is now extensive evidence that increased breast density is a strong risk factor for breast cancer and is associated with large relative and attributable risks for the disease. </w:t>
      </w:r>
      <w:r w:rsidR="00567981">
        <w:t xml:space="preserve">Taking methodological limitations into account, compared with other known risk factors, having extremely dense breast tissue appears to place a women at intermediate risk of breast cancer. </w:t>
      </w:r>
      <w:r w:rsidRPr="00EB35FA">
        <w:t xml:space="preserve">Further research is needed to improve measurement of breast density, understanding of the genetics and biological basis of the association of breast density with breast cancer risk, and the clinical significance of change in breast density. </w:t>
      </w:r>
      <w:r w:rsidR="008D405F" w:rsidRPr="00EB35FA">
        <w:t>Prospects</w:t>
      </w:r>
      <w:r w:rsidRPr="00EB35FA">
        <w:t xml:space="preserve"> for the application of breast density include improvements in mammographic screening, risk prediction in individuals, breast cancer prevention research, and clinical decision making.</w:t>
      </w:r>
    </w:p>
    <w:p w14:paraId="1B1008DB" w14:textId="77777777" w:rsidR="003A536A" w:rsidRDefault="003A536A" w:rsidP="003A536A">
      <w:pPr>
        <w:pStyle w:val="NumberedHeading2"/>
      </w:pPr>
      <w:bookmarkStart w:id="82" w:name="_Toc518922211"/>
      <w:r>
        <w:t>Masking</w:t>
      </w:r>
      <w:bookmarkEnd w:id="82"/>
    </w:p>
    <w:p w14:paraId="51308A41" w14:textId="4D819F47" w:rsidR="003A536A" w:rsidRDefault="003A536A" w:rsidP="003A536A">
      <w:pPr>
        <w:pStyle w:val="BodyText"/>
      </w:pPr>
      <w:r>
        <w:t>Breast density reflects the ratio of fibroglandular (dense) to adipose (fatty) tissue in the breast. The sensitivity of mammography is reduced for women with more dense breasts because cancers can be hidden by the radiopaque fibroglandular tissue.</w:t>
      </w:r>
      <w:r w:rsidRPr="007C22B4">
        <w:t xml:space="preserve"> </w:t>
      </w:r>
      <w:r w:rsidR="00962040" w:rsidRPr="00EE2F5C">
        <w:t xml:space="preserve">Masking occurs when surrounding breast tissue obscures a cancer. The cancer is thus </w:t>
      </w:r>
      <w:r w:rsidR="0014679E">
        <w:t xml:space="preserve">difficult to discern </w:t>
      </w:r>
      <w:r w:rsidR="00962040" w:rsidRPr="00EE2F5C">
        <w:t xml:space="preserve">mammographically, limiting the sensitivity of </w:t>
      </w:r>
      <w:r w:rsidR="0014679E">
        <w:t>mammography as a</w:t>
      </w:r>
      <w:r w:rsidR="0014679E" w:rsidRPr="00EE2F5C">
        <w:t xml:space="preserve"> </w:t>
      </w:r>
      <w:r w:rsidR="00962040" w:rsidRPr="00EE2F5C">
        <w:t>screening</w:t>
      </w:r>
      <w:r w:rsidR="0014679E">
        <w:t xml:space="preserve"> or diagnostic</w:t>
      </w:r>
      <w:r w:rsidR="00962040" w:rsidRPr="00EE2F5C">
        <w:t xml:space="preserve"> test</w:t>
      </w:r>
      <w:r w:rsidR="0014679E">
        <w:t xml:space="preserve"> in women with more dense breasts</w:t>
      </w:r>
      <w:r>
        <w:t xml:space="preserve"> (Wang, et al., 2014).</w:t>
      </w:r>
    </w:p>
    <w:p w14:paraId="4E34D181" w14:textId="43719089" w:rsidR="003A536A" w:rsidRDefault="00BF58D7" w:rsidP="003A536A">
      <w:pPr>
        <w:pStyle w:val="BodyText"/>
        <w:rPr>
          <w:color w:val="000000"/>
          <w:shd w:val="clear" w:color="auto" w:fill="FFFFFF"/>
        </w:rPr>
      </w:pPr>
      <w:r>
        <w:rPr>
          <w:color w:val="000000"/>
          <w:shd w:val="clear" w:color="auto" w:fill="FFFFFF"/>
        </w:rPr>
        <w:t xml:space="preserve">Whereas the overall level of breast cancer risk associated with breast density relates to the effect of cumulative exposure to breast density over the lifetime, masking relates to the impact of breast density on the day of the mammogram. </w:t>
      </w:r>
      <w:r w:rsidR="003A536A">
        <w:rPr>
          <w:color w:val="000000"/>
          <w:shd w:val="clear" w:color="auto" w:fill="FFFFFF"/>
        </w:rPr>
        <w:t xml:space="preserve">Although breast density relates to masking, the relationship between the risk of masking and density on cancer detection is likely to be more complex than a simple dependence on the amount of fibroglandular tissue (Hooland et al., 2017). </w:t>
      </w:r>
      <w:r w:rsidR="003A536A" w:rsidRPr="00E40197">
        <w:t>The distribution of dense tissue may also play a role</w:t>
      </w:r>
      <w:r w:rsidR="003A536A">
        <w:t>. D</w:t>
      </w:r>
      <w:r w:rsidR="003A536A" w:rsidRPr="00E40197">
        <w:t>istribution of radio</w:t>
      </w:r>
      <w:r w:rsidR="003A536A">
        <w:t>paque</w:t>
      </w:r>
      <w:r w:rsidR="003A536A" w:rsidRPr="00E40197">
        <w:t xml:space="preserve"> tissue within the breast is spatially autocorrelated, with high-density areas clustering in the central regions of the breast regardless of the average level of density across the whole breast. In general, the clusters of high density and low density tend to be located roughly in the same regions </w:t>
      </w:r>
      <w:r w:rsidR="00F75735">
        <w:t>in the left and right breast for the same woman</w:t>
      </w:r>
      <w:r w:rsidR="003A536A" w:rsidRPr="00E40197">
        <w:t xml:space="preserve"> and among different women</w:t>
      </w:r>
      <w:r w:rsidR="003A536A">
        <w:rPr>
          <w:color w:val="000000"/>
          <w:shd w:val="clear" w:color="auto" w:fill="FFFFFF"/>
        </w:rPr>
        <w:t xml:space="preserve"> (</w:t>
      </w:r>
      <w:r w:rsidR="003A536A" w:rsidRPr="00E40197">
        <w:t>Pereira et al., 2009).</w:t>
      </w:r>
      <w:r w:rsidR="003A536A">
        <w:rPr>
          <w:color w:val="000000"/>
          <w:shd w:val="clear" w:color="auto" w:fill="FFFFFF"/>
        </w:rPr>
        <w:t xml:space="preserve"> The importance of distribution is reflected in the new </w:t>
      </w:r>
      <w:r w:rsidR="00275D65">
        <w:rPr>
          <w:color w:val="000000"/>
          <w:shd w:val="clear" w:color="auto" w:fill="FFFFFF"/>
        </w:rPr>
        <w:t>BIRADS</w:t>
      </w:r>
      <w:r w:rsidR="003A536A">
        <w:rPr>
          <w:color w:val="000000"/>
          <w:shd w:val="clear" w:color="auto" w:fill="FFFFFF"/>
        </w:rPr>
        <w:t xml:space="preserve"> definition, which no longer considers the total amount of fibroglandular tissue within the breast, but rather the densest area (He et al., 2015). </w:t>
      </w:r>
    </w:p>
    <w:p w14:paraId="5B561F4C" w14:textId="3F033212" w:rsidR="003A536A" w:rsidRDefault="003A536A" w:rsidP="003A536A">
      <w:pPr>
        <w:pStyle w:val="BodyText"/>
        <w:rPr>
          <w:color w:val="000000"/>
          <w:shd w:val="clear" w:color="auto" w:fill="FFFFFF"/>
        </w:rPr>
      </w:pPr>
      <w:r w:rsidRPr="00FF1163">
        <w:t xml:space="preserve">Our inclusion criteria for considering </w:t>
      </w:r>
      <w:r>
        <w:t>the</w:t>
      </w:r>
      <w:r w:rsidRPr="00FF1163">
        <w:t xml:space="preserve"> degree </w:t>
      </w:r>
      <w:r>
        <w:t xml:space="preserve">to which </w:t>
      </w:r>
      <w:r w:rsidRPr="00FF1163">
        <w:t>breast density masks breast cancer in modern digital mammography was systematic reviews</w:t>
      </w:r>
      <w:r w:rsidR="00D0447D">
        <w:t>, narrative reviews</w:t>
      </w:r>
      <w:r w:rsidR="00245968">
        <w:t>, RCTS, and prospective cohort or case-control studies</w:t>
      </w:r>
      <w:r w:rsidRPr="00FF1163">
        <w:t xml:space="preserve">. </w:t>
      </w:r>
      <w:r w:rsidR="00B6040D">
        <w:t>No RCTs o</w:t>
      </w:r>
      <w:r w:rsidR="00632675">
        <w:t>r</w:t>
      </w:r>
      <w:r>
        <w:t xml:space="preserve"> systematic reviews</w:t>
      </w:r>
      <w:r w:rsidRPr="00FF1163">
        <w:t xml:space="preserve"> specifically focusing on </w:t>
      </w:r>
      <w:r>
        <w:t xml:space="preserve">the </w:t>
      </w:r>
      <w:r>
        <w:lastRenderedPageBreak/>
        <w:t xml:space="preserve">relationship between breast density and </w:t>
      </w:r>
      <w:r w:rsidRPr="00FF1163">
        <w:t>masking</w:t>
      </w:r>
      <w:r>
        <w:t xml:space="preserve"> (or masking more broadly) </w:t>
      </w:r>
      <w:r w:rsidRPr="00FF1163">
        <w:t>were found</w:t>
      </w:r>
      <w:r>
        <w:t>. In addition, n</w:t>
      </w:r>
      <w:r w:rsidRPr="00313177">
        <w:t xml:space="preserve">o studies provided quantification or measurement of masking due to breast density. </w:t>
      </w:r>
      <w:r>
        <w:rPr>
          <w:color w:val="000000"/>
          <w:shd w:val="clear" w:color="auto" w:fill="FFFFFF"/>
        </w:rPr>
        <w:t xml:space="preserve">How the risk of masking should be quantified is an open question. </w:t>
      </w:r>
      <w:r w:rsidR="00D23723">
        <w:rPr>
          <w:color w:val="000000"/>
          <w:shd w:val="clear" w:color="auto" w:fill="FFFFFF"/>
        </w:rPr>
        <w:t>No studies were identified which investigated the relationship between masking and age.</w:t>
      </w:r>
    </w:p>
    <w:p w14:paraId="11FB93DC" w14:textId="77777777" w:rsidR="003A536A" w:rsidRDefault="003A536A" w:rsidP="003A536A">
      <w:pPr>
        <w:pStyle w:val="BodyText"/>
      </w:pPr>
      <w:r w:rsidRPr="00313177">
        <w:t xml:space="preserve">The identification of mammographic density as a risk factor mainly took place in the predigital era, and most of the studies demonstrating the effect of density on breast cancer risk and masking pertain to measures from film/screen mammography, predate this review. There is a current need to demonstrate and validate measures of breast composition from digital mammography which are equally strongly associated with breast cancer risk </w:t>
      </w:r>
      <w:r w:rsidR="0069391A">
        <w:t xml:space="preserve">and masking </w:t>
      </w:r>
      <w:r w:rsidRPr="00313177">
        <w:t>(Duffy, 2018).</w:t>
      </w:r>
    </w:p>
    <w:p w14:paraId="7B640BF3" w14:textId="040000B2" w:rsidR="003A536A" w:rsidRDefault="003A536A" w:rsidP="003A536A">
      <w:pPr>
        <w:pStyle w:val="BodyText"/>
      </w:pPr>
      <w:r w:rsidRPr="00313177">
        <w:t>What the search undertaken in this review did find</w:t>
      </w:r>
      <w:r>
        <w:t xml:space="preserve"> were </w:t>
      </w:r>
      <w:r w:rsidRPr="00313177">
        <w:t xml:space="preserve">studies </w:t>
      </w:r>
      <w:r>
        <w:t>discussing masking and CDR</w:t>
      </w:r>
      <w:r w:rsidR="00D0447D">
        <w:t>,</w:t>
      </w:r>
      <w:r>
        <w:t xml:space="preserve"> and studies </w:t>
      </w:r>
      <w:r w:rsidRPr="00313177">
        <w:t xml:space="preserve">evaluating </w:t>
      </w:r>
      <w:r w:rsidR="00962232" w:rsidRPr="0044553E">
        <w:t>supplementa</w:t>
      </w:r>
      <w:r w:rsidR="00962232">
        <w:t>l</w:t>
      </w:r>
      <w:r w:rsidRPr="00313177">
        <w:t xml:space="preserve"> </w:t>
      </w:r>
      <w:r w:rsidR="00F500AD">
        <w:t>testing</w:t>
      </w:r>
      <w:r w:rsidR="00F500AD" w:rsidRPr="00313177">
        <w:t xml:space="preserve"> </w:t>
      </w:r>
      <w:r w:rsidRPr="00313177">
        <w:t xml:space="preserve">as a method </w:t>
      </w:r>
      <w:r w:rsidR="00D0447D">
        <w:t>of reducing</w:t>
      </w:r>
      <w:r w:rsidRPr="00313177">
        <w:t xml:space="preserve"> the masking effect of breast density</w:t>
      </w:r>
      <w:r w:rsidR="00D23723">
        <w:t xml:space="preserve">. </w:t>
      </w:r>
      <w:r w:rsidRPr="00313177">
        <w:t>The</w:t>
      </w:r>
      <w:r>
        <w:t xml:space="preserve"> results of these studies are presented in section 3.4. </w:t>
      </w:r>
    </w:p>
    <w:p w14:paraId="482B6FD9" w14:textId="2EC7106A" w:rsidR="00BD439F" w:rsidRPr="00BD439F" w:rsidRDefault="00BD439F" w:rsidP="00BD439F">
      <w:pPr>
        <w:pStyle w:val="BodyText"/>
      </w:pPr>
      <w:r w:rsidRPr="00BD439F">
        <w:t xml:space="preserve">We identified </w:t>
      </w:r>
      <w:r w:rsidR="00202000">
        <w:t>no</w:t>
      </w:r>
      <w:r w:rsidRPr="00BD439F">
        <w:t xml:space="preserve"> systematic reviews</w:t>
      </w:r>
      <w:r w:rsidR="00202000">
        <w:t xml:space="preserve"> or RCTs; however, we did identify</w:t>
      </w:r>
      <w:r w:rsidRPr="00BD439F">
        <w:t xml:space="preserve"> </w:t>
      </w:r>
      <w:r w:rsidR="00202000">
        <w:t>three</w:t>
      </w:r>
      <w:r w:rsidRPr="00BD439F">
        <w:t xml:space="preserve"> narrative literature reviews (covering 149 articles) and </w:t>
      </w:r>
      <w:r w:rsidR="00202000">
        <w:t>six</w:t>
      </w:r>
      <w:r w:rsidRPr="00BD439F">
        <w:t xml:space="preserve"> </w:t>
      </w:r>
      <w:r w:rsidR="00202000">
        <w:t xml:space="preserve">prospective </w:t>
      </w:r>
      <w:r w:rsidRPr="00BD439F">
        <w:t>cohort</w:t>
      </w:r>
      <w:r w:rsidR="00202000">
        <w:t xml:space="preserve"> or case-control</w:t>
      </w:r>
      <w:r w:rsidRPr="00BD439F">
        <w:t xml:space="preserve"> stud</w:t>
      </w:r>
      <w:r w:rsidR="00202000">
        <w:t>ies</w:t>
      </w:r>
      <w:r w:rsidRPr="00BD439F">
        <w:t xml:space="preserve"> which reported on </w:t>
      </w:r>
      <w:r w:rsidR="001513A3">
        <w:t>the masking effect of breast density</w:t>
      </w:r>
      <w:r w:rsidRPr="00BD439F">
        <w:t>.</w:t>
      </w:r>
    </w:p>
    <w:p w14:paraId="456EBA5D" w14:textId="77777777" w:rsidR="00BD439F" w:rsidRPr="00BD439F" w:rsidRDefault="00BD439F" w:rsidP="00D9440D">
      <w:pPr>
        <w:pStyle w:val="Heading3"/>
        <w:ind w:firstLine="720"/>
      </w:pPr>
      <w:bookmarkStart w:id="83" w:name="_Toc518922212"/>
      <w:r w:rsidRPr="00BD439F">
        <w:t>Narrative literature reviews</w:t>
      </w:r>
      <w:bookmarkEnd w:id="83"/>
    </w:p>
    <w:p w14:paraId="43F05628" w14:textId="1C5089E2" w:rsidR="00BD439F" w:rsidRPr="00BD439F" w:rsidRDefault="00D9440D" w:rsidP="00D9440D">
      <w:pPr>
        <w:pStyle w:val="BodyText"/>
        <w:ind w:left="720"/>
      </w:pPr>
      <w:r>
        <w:t xml:space="preserve">Three </w:t>
      </w:r>
      <w:r w:rsidR="00C26979">
        <w:t>reviews</w:t>
      </w:r>
      <w:r>
        <w:t xml:space="preserve">: </w:t>
      </w:r>
      <w:r w:rsidR="00BD439F" w:rsidRPr="00BD439F">
        <w:t>Patterson and Roubidox</w:t>
      </w:r>
      <w:r>
        <w:t xml:space="preserve"> (</w:t>
      </w:r>
      <w:r w:rsidR="00BD439F" w:rsidRPr="00BD439F">
        <w:t>2014</w:t>
      </w:r>
      <w:r>
        <w:t>)</w:t>
      </w:r>
      <w:r w:rsidR="00BD439F" w:rsidRPr="00BD439F">
        <w:t xml:space="preserve">; Destounis et al. </w:t>
      </w:r>
      <w:r>
        <w:t>(</w:t>
      </w:r>
      <w:r w:rsidR="00BD439F" w:rsidRPr="00BD439F">
        <w:t>2017</w:t>
      </w:r>
      <w:r w:rsidR="00601CC8">
        <w:t>a</w:t>
      </w:r>
      <w:r>
        <w:t>)</w:t>
      </w:r>
      <w:r w:rsidR="00BD439F" w:rsidRPr="00BD439F">
        <w:t>; Lourenco and Mainiero</w:t>
      </w:r>
      <w:r>
        <w:t xml:space="preserve"> (</w:t>
      </w:r>
      <w:r w:rsidR="00BD439F" w:rsidRPr="00BD439F">
        <w:t>2016</w:t>
      </w:r>
      <w:r>
        <w:t>)</w:t>
      </w:r>
    </w:p>
    <w:p w14:paraId="7626043C" w14:textId="5678F781" w:rsidR="00BD439F" w:rsidRPr="00BD439F" w:rsidRDefault="000D353F" w:rsidP="00D9440D">
      <w:pPr>
        <w:pStyle w:val="Heading3"/>
        <w:ind w:firstLine="720"/>
      </w:pPr>
      <w:bookmarkStart w:id="84" w:name="_Toc518922213"/>
      <w:r>
        <w:t>Prospective</w:t>
      </w:r>
      <w:r w:rsidR="003908AD">
        <w:t xml:space="preserve"> cohort or case-control</w:t>
      </w:r>
      <w:r w:rsidR="00BD439F" w:rsidRPr="00BD439F">
        <w:t xml:space="preserve"> </w:t>
      </w:r>
      <w:r w:rsidR="003908AD">
        <w:t>s</w:t>
      </w:r>
      <w:r w:rsidR="00BD439F" w:rsidRPr="00BD439F">
        <w:t>tudies</w:t>
      </w:r>
      <w:bookmarkEnd w:id="84"/>
    </w:p>
    <w:p w14:paraId="2B7D6B7B" w14:textId="38DD81B8" w:rsidR="00BD439F" w:rsidRPr="00BD439F" w:rsidRDefault="003908AD" w:rsidP="00D9440D">
      <w:pPr>
        <w:pStyle w:val="BodyText"/>
        <w:ind w:left="720"/>
      </w:pPr>
      <w:r>
        <w:t>Six</w:t>
      </w:r>
      <w:r w:rsidR="00D9440D">
        <w:t xml:space="preserve"> stud</w:t>
      </w:r>
      <w:r>
        <w:t>ies</w:t>
      </w:r>
      <w:r w:rsidR="00D9440D">
        <w:t xml:space="preserve">: </w:t>
      </w:r>
      <w:r>
        <w:t xml:space="preserve">Buchberger et al. (2018); </w:t>
      </w:r>
      <w:r w:rsidR="00BD439F" w:rsidRPr="00BD439F">
        <w:t>Duffy</w:t>
      </w:r>
      <w:r w:rsidR="00D9440D">
        <w:t xml:space="preserve"> (</w:t>
      </w:r>
      <w:r w:rsidR="00BD439F" w:rsidRPr="00BD439F">
        <w:t>2018</w:t>
      </w:r>
      <w:r w:rsidR="00D9440D">
        <w:t>)</w:t>
      </w:r>
      <w:r>
        <w:t>; Krishnan et al. (2016); Krishnan et al. (2017); van der Waal et al. (2017); Weigel et al. (2017)</w:t>
      </w:r>
    </w:p>
    <w:p w14:paraId="662187BB" w14:textId="53E9572B" w:rsidR="000D4C2F" w:rsidRDefault="00BD439F" w:rsidP="00F75735">
      <w:pPr>
        <w:pStyle w:val="BodyText"/>
      </w:pPr>
      <w:r>
        <w:t>There are a number of studies that propose an association between breast density, breast cancer and masking however, these are of limited quality and provide weak evidence for this association.</w:t>
      </w:r>
    </w:p>
    <w:p w14:paraId="5049E4A3"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13484B">
        <w:rPr>
          <w:b/>
        </w:rPr>
        <w:t>Key findings</w:t>
      </w:r>
      <w:r>
        <w:rPr>
          <w:b/>
        </w:rPr>
        <w:t xml:space="preserve"> about breast density and masking</w:t>
      </w:r>
    </w:p>
    <w:p w14:paraId="3DD529AA"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The proportion of women aged over 40 years who have dense breasts is estimated to be between 30-60%. T</w:t>
      </w:r>
      <w:r w:rsidRPr="00072844">
        <w:t>his is inversely proportional with age</w:t>
      </w:r>
      <w:r>
        <w:t xml:space="preserve">: </w:t>
      </w:r>
      <w:r w:rsidRPr="00072844">
        <w:t>a higher proportion of women in their 40s hav</w:t>
      </w:r>
      <w:r>
        <w:t>e</w:t>
      </w:r>
      <w:r w:rsidRPr="00072844">
        <w:t xml:space="preserve"> more dense breast</w:t>
      </w:r>
      <w:r>
        <w:t>s</w:t>
      </w:r>
      <w:r w:rsidRPr="00072844">
        <w:t xml:space="preserve"> compared to those in their 70</w:t>
      </w:r>
      <w:r>
        <w:t>s.</w:t>
      </w:r>
    </w:p>
    <w:p w14:paraId="35AC408A"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It is well accepted that m</w:t>
      </w:r>
      <w:r w:rsidRPr="007D184A">
        <w:t xml:space="preserve">ammography is the primary screening tool for breast cancer and has been shown in multiple </w:t>
      </w:r>
      <w:r>
        <w:t xml:space="preserve">RCTs </w:t>
      </w:r>
      <w:r w:rsidRPr="007D184A">
        <w:t xml:space="preserve">to reduce the </w:t>
      </w:r>
      <w:r>
        <w:t xml:space="preserve">death rate from breast cancer. </w:t>
      </w:r>
      <w:r w:rsidRPr="007D184A">
        <w:t>However, even in the best circumstances, mammography may miss up to 20 percen</w:t>
      </w:r>
      <w:r>
        <w:t xml:space="preserve">t of breast cancers. The </w:t>
      </w:r>
      <w:r w:rsidRPr="00B35245">
        <w:t xml:space="preserve">sensitivity </w:t>
      </w:r>
      <w:r>
        <w:t xml:space="preserve">of mammography </w:t>
      </w:r>
      <w:r w:rsidRPr="00B35245">
        <w:t>reduces</w:t>
      </w:r>
      <w:r>
        <w:t xml:space="preserve"> further</w:t>
      </w:r>
      <w:r w:rsidRPr="00B35245">
        <w:t xml:space="preserve"> with increasing breast density, resulting in the potential for masking of cancer</w:t>
      </w:r>
      <w:r>
        <w:t xml:space="preserve"> and non-</w:t>
      </w:r>
      <w:r w:rsidRPr="00D95867">
        <w:t>detection</w:t>
      </w:r>
      <w:r>
        <w:t>; current evidence suggests that the sensitivity of mammography reduces from around 85-90% for women with average density to around 60-65% for women with dense breasts,</w:t>
      </w:r>
    </w:p>
    <w:p w14:paraId="55B6A587" w14:textId="04FB86D5"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The increased risk of interval cancer attributed to masking cannot easily be separated from the potentially rapid growth of tumours in dense tissue, although there is preliminary evidence that higher density is related to increased risk of interval cancers after controlling for fast-growing tumours. One study found lower rates of mortality reduction from screening for women with dense breasts compared to those with fatty breasts, although this difference was not</w:t>
      </w:r>
      <w:r w:rsidRPr="000D4C2F">
        <w:t xml:space="preserve"> </w:t>
      </w:r>
      <w:r>
        <w:t>significant.</w:t>
      </w:r>
    </w:p>
    <w:p w14:paraId="13620331" w14:textId="77BDA19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The number of studies specifically assessing the masking effect of breast density (eg, reduced sensitivity and higher interval cancer rates) is relatively small, and further evidence is needed to gain a clear understanding of this relationship. That said, the growing recognition of the likely </w:t>
      </w:r>
      <w:r>
        <w:lastRenderedPageBreak/>
        <w:t>negative impact of breast density on the performance of mammography screening has resulted in an increasing focus on the potential of</w:t>
      </w:r>
      <w:r w:rsidRPr="00313177">
        <w:t xml:space="preserve"> </w:t>
      </w:r>
      <w:r w:rsidRPr="0044553E">
        <w:t>supplementa</w:t>
      </w:r>
      <w:r>
        <w:t>l</w:t>
      </w:r>
      <w:r w:rsidRPr="00313177">
        <w:t xml:space="preserve"> </w:t>
      </w:r>
      <w:r>
        <w:t>testing</w:t>
      </w:r>
      <w:r w:rsidRPr="00313177">
        <w:t xml:space="preserve"> as a method t</w:t>
      </w:r>
      <w:r>
        <w:t>hat could</w:t>
      </w:r>
      <w:r w:rsidRPr="00313177">
        <w:t xml:space="preserve"> reduce the masking effect of breast density</w:t>
      </w:r>
      <w:r>
        <w:t>.</w:t>
      </w:r>
    </w:p>
    <w:p w14:paraId="7A8D5E03" w14:textId="52A7B95B" w:rsidR="003A536A" w:rsidRDefault="003A536A" w:rsidP="003A536A">
      <w:pPr>
        <w:pStyle w:val="NumberedHeading3"/>
      </w:pPr>
      <w:bookmarkStart w:id="85" w:name="_Toc507914437"/>
      <w:bookmarkStart w:id="86" w:name="_Toc507976162"/>
      <w:bookmarkStart w:id="87" w:name="_Toc518922214"/>
      <w:r>
        <w:t>Sensitivity, cancer detection</w:t>
      </w:r>
      <w:r w:rsidRPr="0055692D">
        <w:t xml:space="preserve"> and </w:t>
      </w:r>
      <w:r>
        <w:t>m</w:t>
      </w:r>
      <w:r w:rsidRPr="0055692D">
        <w:t>asking</w:t>
      </w:r>
      <w:bookmarkEnd w:id="85"/>
      <w:bookmarkEnd w:id="86"/>
      <w:bookmarkEnd w:id="87"/>
    </w:p>
    <w:p w14:paraId="1C5C8151" w14:textId="348DD81F" w:rsidR="003A536A" w:rsidRDefault="003A536A" w:rsidP="003A536A">
      <w:pPr>
        <w:pStyle w:val="BodyText"/>
      </w:pPr>
      <w:r>
        <w:t>Breast screening, particularly with FFDM has demonstrated effectiveness at reducing cancer mortality by detecting breast cancers when they are smaller, node negative and of a lower stage and grade (all of which are associated with improved patient outcomes</w:t>
      </w:r>
      <w:r w:rsidR="00D0447D">
        <w:t xml:space="preserve">; </w:t>
      </w:r>
      <w:r>
        <w:t xml:space="preserve">Wang et al., 2014). However, the ability of </w:t>
      </w:r>
      <w:r w:rsidR="00D0447D">
        <w:t>mammography</w:t>
      </w:r>
      <w:r>
        <w:t xml:space="preserve"> to detect early cancers is reduced when women have more dense breasts. T</w:t>
      </w:r>
      <w:r w:rsidRPr="00E40197">
        <w:t xml:space="preserve">he </w:t>
      </w:r>
      <w:r w:rsidR="00761B6F">
        <w:t>CDR</w:t>
      </w:r>
      <w:r w:rsidRPr="00E40197">
        <w:t xml:space="preserve"> for screening mammography (with FFDM) averages 4.3 per 1000 screening examinations. The sensitivity in women with fatty breasts (using </w:t>
      </w:r>
      <w:r w:rsidR="00275D65">
        <w:t>BIRADS</w:t>
      </w:r>
      <w:r w:rsidR="00627E27">
        <w:t xml:space="preserve"> 1</w:t>
      </w:r>
      <w:r w:rsidRPr="00E40197">
        <w:t>) is approximately 98% compared with a much lower sensitivity in women with more dense breasts which ranges from 30</w:t>
      </w:r>
      <w:r w:rsidR="00D0447D">
        <w:t xml:space="preserve"> to </w:t>
      </w:r>
      <w:r w:rsidRPr="00E40197">
        <w:t>69% (Lourenco and Mainiero, 2016; Patterson, 2014). These studies did not report specificity</w:t>
      </w:r>
      <w:r>
        <w:t>;</w:t>
      </w:r>
      <w:r w:rsidRPr="00E40197">
        <w:t xml:space="preserve"> however</w:t>
      </w:r>
      <w:r>
        <w:t>,</w:t>
      </w:r>
      <w:r w:rsidRPr="00E40197">
        <w:t xml:space="preserve"> other studies have shown that this decreases from around 95% for fatty breasts </w:t>
      </w:r>
      <w:r>
        <w:t>(</w:t>
      </w:r>
      <w:r w:rsidR="00275D65">
        <w:t>BIRADS</w:t>
      </w:r>
      <w:r>
        <w:t xml:space="preserve"> 1) </w:t>
      </w:r>
      <w:r w:rsidRPr="00E40197">
        <w:t>to a range of 50-70% for extremely dense breasts</w:t>
      </w:r>
      <w:r>
        <w:t xml:space="preserve"> (</w:t>
      </w:r>
      <w:r w:rsidR="00275D65">
        <w:t>BIRADS</w:t>
      </w:r>
      <w:r>
        <w:t xml:space="preserve"> 4</w:t>
      </w:r>
      <w:r w:rsidR="007A6ACF">
        <w:t xml:space="preserve">; </w:t>
      </w:r>
      <w:r w:rsidRPr="00E40197">
        <w:t>Wanders, 2017</w:t>
      </w:r>
      <w:r>
        <w:t xml:space="preserve">; </w:t>
      </w:r>
      <w:r w:rsidRPr="00E40197">
        <w:t>Devolli-Disha, 2009)</w:t>
      </w:r>
      <w:r w:rsidR="00D23723">
        <w:t xml:space="preserve">. </w:t>
      </w:r>
    </w:p>
    <w:p w14:paraId="76656E34" w14:textId="6CFC7360" w:rsidR="00D9440D" w:rsidRPr="00F75735" w:rsidRDefault="003A536A" w:rsidP="0019714D">
      <w:pPr>
        <w:pStyle w:val="BodyText"/>
        <w:spacing w:line="280" w:lineRule="atLeast"/>
      </w:pPr>
      <w:r>
        <w:t xml:space="preserve">Figure </w:t>
      </w:r>
      <w:r w:rsidR="00962040">
        <w:t xml:space="preserve">3 </w:t>
      </w:r>
      <w:r>
        <w:t>(</w:t>
      </w:r>
      <w:r w:rsidR="005F395C">
        <w:t>below</w:t>
      </w:r>
      <w:r>
        <w:t>) has been modified from a 2017 study (Destounis</w:t>
      </w:r>
      <w:r w:rsidR="00643D65">
        <w:t xml:space="preserve"> et al.</w:t>
      </w:r>
      <w:r>
        <w:t>, 2017</w:t>
      </w:r>
      <w:r w:rsidR="00601CC8">
        <w:t>a</w:t>
      </w:r>
      <w:r>
        <w:t xml:space="preserve">). It </w:t>
      </w:r>
      <w:r w:rsidRPr="00C90BA7">
        <w:t>demonstrate</w:t>
      </w:r>
      <w:r>
        <w:t>s</w:t>
      </w:r>
      <w:r w:rsidRPr="00C90BA7">
        <w:t xml:space="preserve"> the loss of breast cancer detection sensitivity as</w:t>
      </w:r>
      <w:r>
        <w:t xml:space="preserve"> breast density</w:t>
      </w:r>
      <w:r w:rsidRPr="00C90BA7">
        <w:t xml:space="preserve"> increases. This study included a large cohort of women (~250</w:t>
      </w:r>
      <w:proofErr w:type="gramStart"/>
      <w:r w:rsidRPr="00C90BA7">
        <w:t>,0000</w:t>
      </w:r>
      <w:proofErr w:type="gramEnd"/>
      <w:r w:rsidRPr="00C90BA7">
        <w:t>) undergoing screening mammography</w:t>
      </w:r>
      <w:r>
        <w:t>. Breast density w</w:t>
      </w:r>
      <w:r w:rsidRPr="00C90BA7">
        <w:t xml:space="preserve">as measured </w:t>
      </w:r>
      <w:r w:rsidR="00EA2A29">
        <w:t xml:space="preserve">using both </w:t>
      </w:r>
      <w:r w:rsidR="003B6BD1">
        <w:t xml:space="preserve">visual </w:t>
      </w:r>
      <w:r w:rsidR="00275D65">
        <w:t>BIRADS</w:t>
      </w:r>
      <w:r w:rsidR="003B6BD1">
        <w:t xml:space="preserve"> and</w:t>
      </w:r>
      <w:r w:rsidRPr="00C90BA7">
        <w:t xml:space="preserve"> an automated volumetric analysis algorithm</w:t>
      </w:r>
      <w:r w:rsidR="0049067F">
        <w:t xml:space="preserve"> that graded density using categories analogous to the </w:t>
      </w:r>
      <w:r w:rsidR="00275D65">
        <w:t>BIRADS</w:t>
      </w:r>
      <w:r w:rsidR="0049067F">
        <w:t xml:space="preserve"> categories</w:t>
      </w:r>
      <w:r w:rsidRPr="00C90BA7">
        <w:t>.</w:t>
      </w:r>
      <w:r>
        <w:t xml:space="preserve"> </w:t>
      </w:r>
      <w:r w:rsidR="003B6BD1">
        <w:t xml:space="preserve">Figure 3 shows the results found for automated density </w:t>
      </w:r>
      <w:r w:rsidR="0049067F">
        <w:t>grades</w:t>
      </w:r>
      <w:r w:rsidR="003B6BD1">
        <w:t>, and</w:t>
      </w:r>
      <w:r>
        <w:t xml:space="preserve"> clearly depicts that </w:t>
      </w:r>
      <w:r w:rsidRPr="00A33CBC">
        <w:t xml:space="preserve">as breast density increases there is a decrease in the sensitivity of mammograms to detect cancers. </w:t>
      </w:r>
      <w:r w:rsidR="003B6BD1">
        <w:t xml:space="preserve">The decrease in sensitivity was </w:t>
      </w:r>
      <w:r w:rsidR="00AD2E96">
        <w:t>more pronounced</w:t>
      </w:r>
      <w:r w:rsidR="003B6BD1">
        <w:t xml:space="preserve"> for automated density </w:t>
      </w:r>
      <w:r w:rsidR="0049067F">
        <w:t>grades 1 to 4</w:t>
      </w:r>
      <w:r w:rsidR="003B6BD1">
        <w:t xml:space="preserve"> (95%, </w:t>
      </w:r>
      <w:r w:rsidR="0049067F">
        <w:t xml:space="preserve">89%, 83%, 65%) than for the visual </w:t>
      </w:r>
      <w:r w:rsidR="00275D65">
        <w:t>BIRADS</w:t>
      </w:r>
      <w:r w:rsidR="0049067F">
        <w:t xml:space="preserve"> grades 1 to 4 (</w:t>
      </w:r>
      <w:r w:rsidR="00F34BE9">
        <w:t>82%, 90%, 84%, 66%).</w:t>
      </w:r>
      <w:r w:rsidR="0049067F">
        <w:t xml:space="preserve"> </w:t>
      </w:r>
    </w:p>
    <w:p w14:paraId="75A8CA9E" w14:textId="18849E10" w:rsidR="00962040" w:rsidRDefault="00962040" w:rsidP="0019714D">
      <w:pPr>
        <w:pStyle w:val="BodyText"/>
        <w:spacing w:line="280" w:lineRule="atLeast"/>
      </w:pPr>
      <w:r w:rsidRPr="003D60DC">
        <w:rPr>
          <w:b/>
          <w:bCs/>
          <w:color w:val="36424A" w:themeColor="accent1"/>
          <w:sz w:val="18"/>
          <w:szCs w:val="18"/>
        </w:rPr>
        <w:t xml:space="preserve">Figure </w:t>
      </w:r>
      <w:r>
        <w:rPr>
          <w:b/>
          <w:bCs/>
          <w:color w:val="36424A" w:themeColor="accent1"/>
          <w:sz w:val="18"/>
          <w:szCs w:val="18"/>
        </w:rPr>
        <w:t>3</w:t>
      </w:r>
      <w:r w:rsidRPr="003D60DC">
        <w:rPr>
          <w:b/>
          <w:bCs/>
          <w:color w:val="36424A" w:themeColor="accent1"/>
          <w:sz w:val="18"/>
          <w:szCs w:val="18"/>
        </w:rPr>
        <w:t>: Relationship between breast density and</w:t>
      </w:r>
      <w:r w:rsidR="00F34BE9">
        <w:rPr>
          <w:b/>
          <w:bCs/>
          <w:color w:val="36424A" w:themeColor="accent1"/>
          <w:sz w:val="18"/>
          <w:szCs w:val="18"/>
        </w:rPr>
        <w:t xml:space="preserve"> mammographic</w:t>
      </w:r>
      <w:r w:rsidRPr="003D60DC">
        <w:rPr>
          <w:b/>
          <w:bCs/>
          <w:color w:val="36424A" w:themeColor="accent1"/>
          <w:sz w:val="18"/>
          <w:szCs w:val="18"/>
        </w:rPr>
        <w:t xml:space="preserve"> sensitivity</w:t>
      </w:r>
      <w:r w:rsidR="00F34BE9">
        <w:rPr>
          <w:b/>
          <w:bCs/>
          <w:color w:val="36424A" w:themeColor="accent1"/>
          <w:sz w:val="18"/>
          <w:szCs w:val="18"/>
        </w:rPr>
        <w:t xml:space="preserve"> (Destounis et al., 2017</w:t>
      </w:r>
      <w:r w:rsidR="00601CC8">
        <w:rPr>
          <w:b/>
          <w:bCs/>
          <w:color w:val="36424A" w:themeColor="accent1"/>
          <w:sz w:val="18"/>
          <w:szCs w:val="18"/>
        </w:rPr>
        <w:t>a</w:t>
      </w:r>
      <w:r w:rsidR="00F34BE9">
        <w:rPr>
          <w:b/>
          <w:bCs/>
          <w:color w:val="36424A" w:themeColor="accent1"/>
          <w:sz w:val="18"/>
          <w:szCs w:val="18"/>
        </w:rPr>
        <w:t>)</w:t>
      </w:r>
    </w:p>
    <w:p w14:paraId="6771FB11" w14:textId="60A7C345" w:rsidR="003D60DC" w:rsidRPr="003D60DC" w:rsidRDefault="0019714D" w:rsidP="0019714D">
      <w:pPr>
        <w:pStyle w:val="BodyText"/>
        <w:spacing w:line="280" w:lineRule="atLeast"/>
        <w:rPr>
          <w:b/>
          <w:bCs/>
          <w:color w:val="36424A" w:themeColor="accent1"/>
          <w:sz w:val="18"/>
          <w:szCs w:val="18"/>
        </w:rPr>
      </w:pPr>
      <w:r w:rsidRPr="003D60DC">
        <w:rPr>
          <w:b/>
          <w:bCs/>
          <w:noProof/>
          <w:color w:val="36424A" w:themeColor="accent1"/>
          <w:sz w:val="18"/>
          <w:szCs w:val="18"/>
          <w:lang w:val="en-AU" w:eastAsia="en-AU"/>
        </w:rPr>
        <w:drawing>
          <wp:inline distT="0" distB="0" distL="0" distR="0" wp14:anchorId="1EFB1E03" wp14:editId="22BB1ACE">
            <wp:extent cx="5435600" cy="2959100"/>
            <wp:effectExtent l="0" t="0" r="0" b="0"/>
            <wp:docPr id="8" name="Picture 8" descr="Figure 3: Relationship between breast density and mammographic sensitivity (Destounis et al., 2017a)&#10;&#10;Sensitivity (%) against Volumeric Breast Density (%). &#10;&#10;y=-0.0205x+1.015&#10;R^2 = 0.959&#10;&#10;BIRADS Classification : A, B, C, D&#10;&#10;at 4.5% Volumeric Breast Density, Sensitivity was approximately 0.9%&#10;&#10;at 7.5% Volumeric Breast Density, Sensitivity was approximately 0.9%&#10;&#10;at 15.5% Volumeric Breast Density, Sensitivity was approximately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5" t="6532" r="802" b="3939"/>
                    <a:stretch/>
                  </pic:blipFill>
                  <pic:spPr bwMode="auto">
                    <a:xfrm>
                      <a:off x="0" y="0"/>
                      <a:ext cx="5435600" cy="2959100"/>
                    </a:xfrm>
                    <a:prstGeom prst="rect">
                      <a:avLst/>
                    </a:prstGeom>
                    <a:noFill/>
                    <a:ln>
                      <a:noFill/>
                    </a:ln>
                    <a:extLst>
                      <a:ext uri="{53640926-AAD7-44D8-BBD7-CCE9431645EC}">
                        <a14:shadowObscured xmlns:a14="http://schemas.microsoft.com/office/drawing/2010/main"/>
                      </a:ext>
                    </a:extLst>
                  </pic:spPr>
                </pic:pic>
              </a:graphicData>
            </a:graphic>
          </wp:inline>
        </w:drawing>
      </w:r>
    </w:p>
    <w:p w14:paraId="7F59D4C1" w14:textId="631A3E78" w:rsidR="00A37999" w:rsidRDefault="00A37999" w:rsidP="0019714D">
      <w:pPr>
        <w:pStyle w:val="BodyText"/>
        <w:spacing w:line="280" w:lineRule="atLeast"/>
      </w:pPr>
      <w:r>
        <w:t xml:space="preserve">Further </w:t>
      </w:r>
      <w:r w:rsidR="00B360AF">
        <w:t xml:space="preserve">prospective or </w:t>
      </w:r>
      <w:r>
        <w:t xml:space="preserve">case-control studies were identified that evaluated the decrease in the performance of mammographic screening as a result of breast density. Buchberger et al. (2018) assessed the masking effect of breast density using a sample of 66,680 women who underwent both mammography and ultrasound screening between June 2008 and May 2010 in Helsinki, </w:t>
      </w:r>
      <w:r>
        <w:lastRenderedPageBreak/>
        <w:t xml:space="preserve">Finland. They found that sensitivity </w:t>
      </w:r>
      <w:r w:rsidR="00C26B47">
        <w:t xml:space="preserve">of </w:t>
      </w:r>
      <w:r w:rsidR="005F395C">
        <w:t>FFDM (?)</w:t>
      </w:r>
      <w:r w:rsidR="00C26B47">
        <w:t xml:space="preserve"> </w:t>
      </w:r>
      <w:r>
        <w:t>w</w:t>
      </w:r>
      <w:r w:rsidR="00C26B47">
        <w:t>as</w:t>
      </w:r>
      <w:r>
        <w:t xml:space="preserve"> significantly lower for women categorised as </w:t>
      </w:r>
      <w:r w:rsidR="00275D65">
        <w:t>BIRADS</w:t>
      </w:r>
      <w:r>
        <w:t xml:space="preserve"> 3 or 4 (</w:t>
      </w:r>
      <w:r w:rsidR="00C26B47">
        <w:rPr>
          <w:i/>
        </w:rPr>
        <w:t xml:space="preserve">n </w:t>
      </w:r>
      <w:r w:rsidR="00C26B47">
        <w:t xml:space="preserve">= 31,918; 61.5%, 95%CI 51.0-71.2%) compared with women categorised as </w:t>
      </w:r>
      <w:r w:rsidR="00275D65">
        <w:t>BIRADS</w:t>
      </w:r>
      <w:r w:rsidR="00C26B47">
        <w:t xml:space="preserve"> 1 or 2 (</w:t>
      </w:r>
      <w:r w:rsidR="00C26B47">
        <w:rPr>
          <w:i/>
        </w:rPr>
        <w:t xml:space="preserve">n </w:t>
      </w:r>
      <w:r w:rsidR="00C26B47">
        <w:t>= 34,762; 86.6%, 95%CI 81.2-91.0%),</w:t>
      </w:r>
      <w:r w:rsidR="00E565FF">
        <w:t xml:space="preserve"> </w:t>
      </w:r>
      <w:r w:rsidR="00C26B47">
        <w:t>although PPV</w:t>
      </w:r>
      <w:r w:rsidR="00C26B47" w:rsidRPr="00522F1A">
        <w:rPr>
          <w:vertAlign w:val="subscript"/>
        </w:rPr>
        <w:t>1</w:t>
      </w:r>
      <w:r w:rsidR="00C26B47">
        <w:t xml:space="preserve"> (11.3% and 13.3%), PPV</w:t>
      </w:r>
      <w:r w:rsidR="00C26B47" w:rsidRPr="00522F1A">
        <w:rPr>
          <w:vertAlign w:val="subscript"/>
        </w:rPr>
        <w:t>2</w:t>
      </w:r>
      <w:r w:rsidR="00C26B47">
        <w:t xml:space="preserve"> (33.5% and 32.6%), and PPV</w:t>
      </w:r>
      <w:r w:rsidR="00C26B47" w:rsidRPr="00522F1A">
        <w:rPr>
          <w:vertAlign w:val="subscript"/>
        </w:rPr>
        <w:t>3</w:t>
      </w:r>
      <w:r w:rsidR="00C26B47">
        <w:t xml:space="preserve"> (56.5% and 52.7%) rates were not significantly different between women with less or more dense breasts, respectively. Similar results were found for mammography plus ultrasound, although sensitivity rates were significantly higher for mammography plus ultrasound compared with mammography alone; further discussion on the utility of supplemental </w:t>
      </w:r>
      <w:r w:rsidR="007C3AE7">
        <w:t xml:space="preserve">imaging </w:t>
      </w:r>
      <w:r w:rsidR="00C26B47">
        <w:t>for women with denser breasts can be found in the following section.</w:t>
      </w:r>
      <w:r w:rsidR="00E565FF">
        <w:t xml:space="preserve"> Overall, this study provides further evidence for the negative impact of breast density on successfully detecting cancers using a large retrospective sample. Contrary to previous studies, breast density did not have a significant impact on any PPV rate in this study, although this could be because of the use of a less extreme comparison group (i.e., combining categories 1/2 and 3/4, rather than comparing categories 1 and 4).</w:t>
      </w:r>
    </w:p>
    <w:p w14:paraId="3776CBD1" w14:textId="1D88B171" w:rsidR="00B360AF" w:rsidRDefault="00B360AF" w:rsidP="00754A23">
      <w:pPr>
        <w:pStyle w:val="BodyText"/>
      </w:pPr>
      <w:r>
        <w:t xml:space="preserve">A prospective study of 25,576 women who underwent routine biennial mammographic screening in Germany also provided evidence for the negative impact of breast density on screening performance (Weigel et al., 2017). </w:t>
      </w:r>
      <w:r w:rsidR="002C3AAB">
        <w:t>Breast density was classified according to the American College of Radiology (4</w:t>
      </w:r>
      <w:r w:rsidR="002C3AAB" w:rsidRPr="00522F1A">
        <w:rPr>
          <w:vertAlign w:val="superscript"/>
        </w:rPr>
        <w:t>th</w:t>
      </w:r>
      <w:r w:rsidR="002C3AAB">
        <w:t xml:space="preserve"> edition; ACR), which categorises density into four groups using quartile ranges of percent dense tissue</w:t>
      </w:r>
      <w:r w:rsidR="00E01044">
        <w:t>,</w:t>
      </w:r>
      <w:r w:rsidR="002C3AAB">
        <w:t xml:space="preserve"> ranging from entirely fatty to extremely dense. The study found that the sensitivity of mammography screening decreased as breast density increased (100%, 83.9%, 72.9% and 50% for ACR 1-4, respectively), with the difference between ACR 4 and all other categories being statistically significant (</w:t>
      </w:r>
      <w:r w:rsidR="002C3AAB">
        <w:rPr>
          <w:i/>
        </w:rPr>
        <w:t xml:space="preserve">p </w:t>
      </w:r>
      <w:r w:rsidR="002C3AAB">
        <w:t>&lt;.001). The study also found that interval cancer rates per 1,000 women screened increased as breast density increased (0, 1.56, 2.54 and 3.15 for ACR 1-4, respectively), although only the difference between ACR 1 and 4 was statistically significant (</w:t>
      </w:r>
      <w:r w:rsidR="002C3AAB">
        <w:rPr>
          <w:i/>
        </w:rPr>
        <w:t xml:space="preserve">p </w:t>
      </w:r>
      <w:r w:rsidR="002C3AAB">
        <w:t xml:space="preserve">&lt;.001). </w:t>
      </w:r>
    </w:p>
    <w:p w14:paraId="1249D0D6" w14:textId="379ED2D7" w:rsidR="006C551D" w:rsidRDefault="006C551D" w:rsidP="00754A23">
      <w:pPr>
        <w:pStyle w:val="BodyText"/>
      </w:pPr>
      <w:r>
        <w:t>One recent nested case-control study specifically explored the masking effect of breast density by evaluating rates of interval cancer by density levels (Krishnan et al., 2016). The premise of this study was that the risk of interval cancer reflects the risk of masking, as it relates to the risk of the tumour not being detected at initial screening</w:t>
      </w:r>
      <w:r w:rsidR="005F395C">
        <w:t xml:space="preserve"> (i.e., a missed cancer/false negative)</w:t>
      </w:r>
      <w:r>
        <w:t xml:space="preserve">. </w:t>
      </w:r>
      <w:r w:rsidR="006F488A">
        <w:t xml:space="preserve">The sample for the study was sourced from the Melbourne </w:t>
      </w:r>
      <w:r w:rsidR="0080586B">
        <w:t>C</w:t>
      </w:r>
      <w:r w:rsidR="006F488A">
        <w:t xml:space="preserve">ollaborative </w:t>
      </w:r>
      <w:r w:rsidR="0080586B">
        <w:t>C</w:t>
      </w:r>
      <w:r w:rsidR="006F488A">
        <w:t xml:space="preserve">ohort </w:t>
      </w:r>
      <w:r w:rsidR="0080586B">
        <w:t>S</w:t>
      </w:r>
      <w:r w:rsidR="006F488A">
        <w:t xml:space="preserve">tudy, a prospective cohort study of 41,514 people, including 20,444 women who had attended BreastScreen Victoria at least once. The final sample included 244 screen-detected cases matched to 700 controls, and 148 interval cancer cases matched to 446 controls. Results showed that the risk of breast cancer was best predicted by BMI in combination with absolute dense area or </w:t>
      </w:r>
      <w:r w:rsidR="00893AA8">
        <w:t>percent density</w:t>
      </w:r>
      <w:r w:rsidR="006F488A">
        <w:t xml:space="preserve">, but that the risk of masking (i.e., the risk of interval cancers) was best predicted by the </w:t>
      </w:r>
      <w:r w:rsidR="00893AA8">
        <w:t>percent density</w:t>
      </w:r>
      <w:r w:rsidR="006F488A">
        <w:t xml:space="preserve"> alone</w:t>
      </w:r>
      <w:r w:rsidR="0096600E">
        <w:t xml:space="preserve">, with higher density predicting greater risk of masking. Analyses were replicated by tumour size to control for the possibility of fast-growing tumours causing the higher interval cancer rates; results were not significantly different by tumour size. </w:t>
      </w:r>
      <w:r w:rsidR="000B5398">
        <w:t xml:space="preserve">An update </w:t>
      </w:r>
      <w:r w:rsidR="0080586B">
        <w:t>to</w:t>
      </w:r>
      <w:r w:rsidR="000B5398">
        <w:t xml:space="preserve"> this study (Krishnan et al., 2017) confirmed that the association between </w:t>
      </w:r>
      <w:r w:rsidR="00893AA8">
        <w:t>percent density</w:t>
      </w:r>
      <w:r w:rsidR="000B5398">
        <w:t xml:space="preserve"> and risk of masking did not significantly differ by tumour characteristics (including tumour size and nodal status), although results did indicate that </w:t>
      </w:r>
      <w:r w:rsidR="0080586B">
        <w:t>the risk of tumours with poorer prognosis (</w:t>
      </w:r>
      <w:r w:rsidR="00CC24AA">
        <w:t>eg,</w:t>
      </w:r>
      <w:r w:rsidR="0080586B">
        <w:t xml:space="preserve"> larger or node-positive tumours) increased with increasing breast density. Together, these studies provide further support to the link between breast density and interval cancers (and therefore masking). They also suggest that the prediction of breast cancer risk (including specific types of breast cancer) and of masking risk may be associated with different risk factors (</w:t>
      </w:r>
      <w:r w:rsidR="00CC24AA">
        <w:t>eg,</w:t>
      </w:r>
      <w:r w:rsidR="0080586B">
        <w:t xml:space="preserve"> BMI), and therefore require different responses.</w:t>
      </w:r>
    </w:p>
    <w:p w14:paraId="62C924AE" w14:textId="613DCA17" w:rsidR="00E01044" w:rsidRDefault="00CB5D13" w:rsidP="00754A23">
      <w:pPr>
        <w:pStyle w:val="BodyText"/>
      </w:pPr>
      <w:r>
        <w:t xml:space="preserve">The potential danger of the masking effect of breast density was highlighted </w:t>
      </w:r>
      <w:r w:rsidR="005F395C">
        <w:t>in</w:t>
      </w:r>
      <w:r>
        <w:t xml:space="preserve"> </w:t>
      </w:r>
      <w:r w:rsidR="000B22B9">
        <w:t xml:space="preserve">a study that evaluated the impact of breast density on mortality reduction from a Dutch national screening programme (van der Waal et al., 2017). This study matched </w:t>
      </w:r>
      <w:r w:rsidR="00F54F43">
        <w:t>333</w:t>
      </w:r>
      <w:r w:rsidR="000B22B9">
        <w:t xml:space="preserve"> women who died from breast </w:t>
      </w:r>
      <w:r w:rsidR="000B22B9">
        <w:lastRenderedPageBreak/>
        <w:t>cancer between 1975 and 2008 with 1,</w:t>
      </w:r>
      <w:r w:rsidR="00F54F43">
        <w:t>665</w:t>
      </w:r>
      <w:r w:rsidR="000B22B9">
        <w:t xml:space="preserve"> cancer-free controls (five controls for each case</w:t>
      </w:r>
      <w:r w:rsidR="007E2715">
        <w:t>).</w:t>
      </w:r>
      <w:r w:rsidR="00E01044">
        <w:t xml:space="preserve"> </w:t>
      </w:r>
      <w:r w:rsidR="007E2715">
        <w:t>Importantly,</w:t>
      </w:r>
      <w:r w:rsidR="00E01044">
        <w:t xml:space="preserve"> controls were not matched on age or any other characteristic</w:t>
      </w:r>
      <w:r w:rsidR="007E2715">
        <w:t>; given that the sample was obtained from a routine screening population, it is likely that some women in both the case and control groups had additional risk factors other than breast density, however this was not explicitly reported</w:t>
      </w:r>
      <w:r w:rsidR="000B22B9">
        <w:t>. Mammographic density was visually assessed using a dichotomised Wolfe scale (fatty versus dense breasts), from screen-film mammograms.</w:t>
      </w:r>
      <w:r w:rsidR="007E2715">
        <w:t xml:space="preserve"> M</w:t>
      </w:r>
      <w:r w:rsidR="00E01044">
        <w:t xml:space="preserve">ammogram data was only available for a subgroup of controls who had been recalled for additional testing or who had been diagnosed with breast cancer, so breast density was estimated for most of the controls using log-binomial modelling. </w:t>
      </w:r>
    </w:p>
    <w:p w14:paraId="6B47942D" w14:textId="2B9E346B" w:rsidR="00CB5D13" w:rsidRPr="006F488A" w:rsidRDefault="000B22B9" w:rsidP="00754A23">
      <w:pPr>
        <w:pStyle w:val="BodyText"/>
      </w:pPr>
      <w:r>
        <w:t xml:space="preserve">Results </w:t>
      </w:r>
      <w:r w:rsidR="00E01044">
        <w:t xml:space="preserve">from van der Waal et al. </w:t>
      </w:r>
      <w:r>
        <w:t xml:space="preserve">showed that women with dense breasts accounted for a greater proportion of interval cancer cases and false-positive recalls than women with fatty breasts. Sensitivity was also found to be lower for women with dense breasts (57.8%) compared with fatty breasts (75.7%). </w:t>
      </w:r>
      <w:r w:rsidR="00F54F43">
        <w:t>Perhaps most importantly, the mortality reduction from mammography screening attendance was found to be lower for women with dense breasts (OR = 0.87, 95%CI 0.52-1.45) than for women with fatty breasts (OR = 0.59, 95%CI 0.44-0.79), although this difference was not statistically significant</w:t>
      </w:r>
      <w:r w:rsidR="007E2715">
        <w:t xml:space="preserve"> (</w:t>
      </w:r>
      <w:r w:rsidR="007E2715">
        <w:rPr>
          <w:i/>
        </w:rPr>
        <w:t>p</w:t>
      </w:r>
      <w:r w:rsidR="007E2715">
        <w:t>&gt;.05)</w:t>
      </w:r>
      <w:r w:rsidR="00F54F43">
        <w:t xml:space="preserve">. The authors concluded that high breast density results in poorer mammography screening performance and could be associated with a smaller mortality reduction from screening. </w:t>
      </w:r>
      <w:r w:rsidR="0070770F">
        <w:t xml:space="preserve">That said, the lack of matched controls and the fact that breast density was estimated for a large proportion of the control group means that the results from this study should be interpreted with caution. </w:t>
      </w:r>
      <w:r w:rsidR="00F54F43">
        <w:t xml:space="preserve">More research is needed to further explore the link between breast density and screening harms, including the necessity of risk-stratified screening or supplemental </w:t>
      </w:r>
      <w:r w:rsidR="00403BDB">
        <w:t xml:space="preserve">testing </w:t>
      </w:r>
      <w:r w:rsidR="00F54F43">
        <w:t xml:space="preserve">(discussed further below). </w:t>
      </w:r>
    </w:p>
    <w:p w14:paraId="467359D2" w14:textId="3E18759A" w:rsidR="00754A23" w:rsidRDefault="0070770F" w:rsidP="00754A23">
      <w:pPr>
        <w:pStyle w:val="BodyText"/>
      </w:pPr>
      <w:r>
        <w:t xml:space="preserve">Although </w:t>
      </w:r>
      <w:r w:rsidR="006465B1">
        <w:t>further</w:t>
      </w:r>
      <w:r>
        <w:t xml:space="preserve"> research is needed to precisely identify the impact of breast density on screening performance, the overall findings from the studies outlined above indicate that</w:t>
      </w:r>
      <w:r w:rsidR="00D42BE7">
        <w:t xml:space="preserve"> high breast density</w:t>
      </w:r>
      <w:r w:rsidR="00D42BE7" w:rsidRPr="00C07B07">
        <w:t xml:space="preserve"> is associated with </w:t>
      </w:r>
      <w:r w:rsidR="005F395C">
        <w:t xml:space="preserve">lower cancer detection with mammography </w:t>
      </w:r>
      <w:r w:rsidR="00D42BE7" w:rsidRPr="00C07B07">
        <w:t xml:space="preserve">and </w:t>
      </w:r>
      <w:r w:rsidR="005F395C">
        <w:t xml:space="preserve">an increase in </w:t>
      </w:r>
      <w:r w:rsidR="00D42BE7" w:rsidRPr="00C07B07">
        <w:t>diagnosed interval cancers</w:t>
      </w:r>
      <w:r w:rsidR="00754A23">
        <w:t xml:space="preserve">. </w:t>
      </w:r>
      <w:r w:rsidR="003D60DC">
        <w:rPr>
          <w:shd w:val="clear" w:color="auto" w:fill="FFFFFF"/>
        </w:rPr>
        <w:t xml:space="preserve">The </w:t>
      </w:r>
      <w:r w:rsidR="003D60DC" w:rsidRPr="00313177">
        <w:rPr>
          <w:shd w:val="clear" w:color="auto" w:fill="FFFFFF"/>
        </w:rPr>
        <w:t>underlying cause</w:t>
      </w:r>
      <w:r w:rsidR="003D60DC">
        <w:rPr>
          <w:shd w:val="clear" w:color="auto" w:fill="FFFFFF"/>
        </w:rPr>
        <w:t>s</w:t>
      </w:r>
      <w:r w:rsidR="003D60DC" w:rsidRPr="00313177">
        <w:rPr>
          <w:shd w:val="clear" w:color="auto" w:fill="FFFFFF"/>
        </w:rPr>
        <w:t xml:space="preserve"> of the link between high breast density and breast cancer risk are thought </w:t>
      </w:r>
      <w:r w:rsidR="003A536A" w:rsidRPr="00313177">
        <w:rPr>
          <w:shd w:val="clear" w:color="auto" w:fill="FFFFFF"/>
        </w:rPr>
        <w:t>to be numerous</w:t>
      </w:r>
      <w:r>
        <w:rPr>
          <w:shd w:val="clear" w:color="auto" w:fill="FFFFFF"/>
        </w:rPr>
        <w:t>, however one primary explanation for</w:t>
      </w:r>
      <w:r w:rsidR="003A536A" w:rsidRPr="00313177">
        <w:rPr>
          <w:shd w:val="clear" w:color="auto" w:fill="FFFFFF"/>
        </w:rPr>
        <w:t xml:space="preserve"> an increase in breast cancer incidence with</w:t>
      </w:r>
      <w:r>
        <w:rPr>
          <w:shd w:val="clear" w:color="auto" w:fill="FFFFFF"/>
        </w:rPr>
        <w:t xml:space="preserve"> increase</w:t>
      </w:r>
      <w:r w:rsidR="00567981">
        <w:rPr>
          <w:shd w:val="clear" w:color="auto" w:fill="FFFFFF"/>
        </w:rPr>
        <w:t>d</w:t>
      </w:r>
      <w:r>
        <w:rPr>
          <w:shd w:val="clear" w:color="auto" w:fill="FFFFFF"/>
        </w:rPr>
        <w:t xml:space="preserve"> breast density</w:t>
      </w:r>
      <w:r w:rsidR="003A536A" w:rsidRPr="00313177">
        <w:rPr>
          <w:shd w:val="clear" w:color="auto" w:fill="FFFFFF"/>
        </w:rPr>
        <w:t xml:space="preserve"> </w:t>
      </w:r>
      <w:r>
        <w:rPr>
          <w:shd w:val="clear" w:color="auto" w:fill="FFFFFF"/>
        </w:rPr>
        <w:t>is</w:t>
      </w:r>
      <w:r w:rsidR="003A536A" w:rsidRPr="00313177">
        <w:rPr>
          <w:shd w:val="clear" w:color="auto" w:fill="FFFFFF"/>
        </w:rPr>
        <w:t xml:space="preserve"> </w:t>
      </w:r>
      <w:r w:rsidR="008D405F" w:rsidRPr="00313177">
        <w:rPr>
          <w:shd w:val="clear" w:color="auto" w:fill="FFFFFF"/>
        </w:rPr>
        <w:t>because of</w:t>
      </w:r>
      <w:r w:rsidR="003A536A" w:rsidRPr="00313177">
        <w:rPr>
          <w:shd w:val="clear" w:color="auto" w:fill="FFFFFF"/>
        </w:rPr>
        <w:t xml:space="preserve"> a ‘masking bias’ that ma</w:t>
      </w:r>
      <w:r>
        <w:rPr>
          <w:shd w:val="clear" w:color="auto" w:fill="FFFFFF"/>
        </w:rPr>
        <w:t>k</w:t>
      </w:r>
      <w:r w:rsidR="003A536A" w:rsidRPr="00313177">
        <w:rPr>
          <w:shd w:val="clear" w:color="auto" w:fill="FFFFFF"/>
        </w:rPr>
        <w:t>e</w:t>
      </w:r>
      <w:r>
        <w:rPr>
          <w:shd w:val="clear" w:color="auto" w:fill="FFFFFF"/>
        </w:rPr>
        <w:t>s</w:t>
      </w:r>
      <w:r w:rsidR="003A536A" w:rsidRPr="00313177">
        <w:rPr>
          <w:shd w:val="clear" w:color="auto" w:fill="FFFFFF"/>
        </w:rPr>
        <w:t xml:space="preserve"> mammographic screening less sensitive to cancer detection</w:t>
      </w:r>
      <w:r w:rsidR="003A536A">
        <w:rPr>
          <w:shd w:val="clear" w:color="auto" w:fill="FFFFFF"/>
        </w:rPr>
        <w:t xml:space="preserve"> (</w:t>
      </w:r>
      <w:r w:rsidR="003A536A" w:rsidRPr="00643D65">
        <w:rPr>
          <w:shd w:val="clear" w:color="auto" w:fill="FFFFFF"/>
        </w:rPr>
        <w:t>McCormack, 2006</w:t>
      </w:r>
      <w:r>
        <w:rPr>
          <w:shd w:val="clear" w:color="auto" w:fill="FFFFFF"/>
        </w:rPr>
        <w:t>; Krishnan et al., 2016</w:t>
      </w:r>
      <w:r w:rsidR="003A536A" w:rsidRPr="00643D65">
        <w:rPr>
          <w:shd w:val="clear" w:color="auto" w:fill="FFFFFF"/>
        </w:rPr>
        <w:t>)</w:t>
      </w:r>
      <w:r w:rsidR="003A536A">
        <w:rPr>
          <w:shd w:val="clear" w:color="auto" w:fill="FFFFFF"/>
        </w:rPr>
        <w:t xml:space="preserve">. </w:t>
      </w:r>
      <w:r>
        <w:rPr>
          <w:shd w:val="clear" w:color="auto" w:fill="FFFFFF"/>
        </w:rPr>
        <w:t xml:space="preserve">For example, </w:t>
      </w:r>
      <w:r>
        <w:t>i</w:t>
      </w:r>
      <w:r w:rsidR="00754A23" w:rsidRPr="00C07B07">
        <w:t xml:space="preserve">n </w:t>
      </w:r>
      <w:r>
        <w:t>one</w:t>
      </w:r>
      <w:r w:rsidR="00754A23" w:rsidRPr="00C07B07">
        <w:t xml:space="preserve"> nested case–control study, Van Gils et al.</w:t>
      </w:r>
      <w:r w:rsidR="00754A23">
        <w:t xml:space="preserve"> (1998)</w:t>
      </w:r>
      <w:r w:rsidR="00754A23" w:rsidRPr="00C07B07">
        <w:t xml:space="preserve"> studied 359 cases and 922 </w:t>
      </w:r>
      <w:r w:rsidR="00754A23">
        <w:t>abnormalities referred for further assessment</w:t>
      </w:r>
      <w:r w:rsidR="00754A23" w:rsidRPr="00C07B07">
        <w:t>, identiﬁed i</w:t>
      </w:r>
      <w:r w:rsidR="00754A23">
        <w:t>n a breast cancer screening</w:t>
      </w:r>
      <w:r w:rsidR="00754A23" w:rsidRPr="00C07B07">
        <w:t xml:space="preserve">. </w:t>
      </w:r>
      <w:r w:rsidR="00754A23">
        <w:t>W</w:t>
      </w:r>
      <w:r w:rsidR="00754A23" w:rsidRPr="00C07B07">
        <w:t xml:space="preserve">omen with dense breasts </w:t>
      </w:r>
      <w:r w:rsidR="00754A23">
        <w:t xml:space="preserve">had 1.4 times the odds of developing breast cancer </w:t>
      </w:r>
      <w:r w:rsidR="00754A23" w:rsidRPr="00C07B07">
        <w:t xml:space="preserve">compared to those with </w:t>
      </w:r>
      <w:r w:rsidR="00754A23">
        <w:t>less dense</w:t>
      </w:r>
      <w:r w:rsidR="00754A23" w:rsidRPr="00C07B07">
        <w:t xml:space="preserve"> breasts (</w:t>
      </w:r>
      <w:r w:rsidR="00754A23">
        <w:t xml:space="preserve">95%CI </w:t>
      </w:r>
      <w:r w:rsidR="00754A23" w:rsidRPr="00C07B07">
        <w:t>0.7</w:t>
      </w:r>
      <w:r w:rsidR="00754A23">
        <w:t xml:space="preserve"> to </w:t>
      </w:r>
      <w:r w:rsidR="00754A23" w:rsidRPr="00C07B07">
        <w:t xml:space="preserve">6.2). After a 3–4-year period the </w:t>
      </w:r>
      <w:r w:rsidR="00754A23">
        <w:t xml:space="preserve">odds ratio increased to 3.3 (95%CI </w:t>
      </w:r>
      <w:r w:rsidR="00754A23" w:rsidRPr="00C07B07">
        <w:t>1.5</w:t>
      </w:r>
      <w:r w:rsidR="00754A23">
        <w:t xml:space="preserve"> to </w:t>
      </w:r>
      <w:r w:rsidR="00754A23" w:rsidRPr="00C07B07">
        <w:t>7.1</w:t>
      </w:r>
      <w:r w:rsidR="00754A23">
        <w:t>), before decreasing back down to 1.2 times the odds</w:t>
      </w:r>
      <w:r w:rsidR="00754A23" w:rsidRPr="00C07B07">
        <w:t xml:space="preserve"> </w:t>
      </w:r>
      <w:r w:rsidR="00754A23">
        <w:t>(95%CI</w:t>
      </w:r>
      <w:r w:rsidR="00754A23" w:rsidRPr="00C07B07">
        <w:t xml:space="preserve"> 0.6</w:t>
      </w:r>
      <w:r w:rsidR="00754A23">
        <w:t xml:space="preserve"> to </w:t>
      </w:r>
      <w:r w:rsidR="00754A23" w:rsidRPr="00C07B07">
        <w:t>2.7)</w:t>
      </w:r>
      <w:r w:rsidR="00754A23">
        <w:t xml:space="preserve"> after 5 or more years</w:t>
      </w:r>
      <w:r w:rsidR="00754A23" w:rsidRPr="00C07B07">
        <w:t xml:space="preserve">. </w:t>
      </w:r>
      <w:r w:rsidR="00754A23">
        <w:t xml:space="preserve">Overall, interval cancers were only more frequent in patients with more dense breasts in the first eight years of the screening programme. </w:t>
      </w:r>
      <w:r w:rsidR="00754A23" w:rsidRPr="00C07B07">
        <w:t>Th</w:t>
      </w:r>
      <w:r w:rsidR="00754A23">
        <w:t xml:space="preserve">is </w:t>
      </w:r>
      <w:r w:rsidR="00754A23" w:rsidRPr="00C07B07">
        <w:t xml:space="preserve">rise and decline in risk </w:t>
      </w:r>
      <w:r w:rsidR="00754A23">
        <w:t xml:space="preserve">aligns </w:t>
      </w:r>
      <w:r w:rsidR="00754A23" w:rsidRPr="00C07B07">
        <w:t>with the masking hypothesis.</w:t>
      </w:r>
      <w:r w:rsidR="00754A23">
        <w:t xml:space="preserve"> That is, t</w:t>
      </w:r>
      <w:r w:rsidR="00754A23" w:rsidRPr="00D5101B">
        <w:t xml:space="preserve">umours in dense breasts may be concealed at the </w:t>
      </w:r>
      <w:r w:rsidR="00754A23">
        <w:t xml:space="preserve">first </w:t>
      </w:r>
      <w:r w:rsidR="00754A23" w:rsidRPr="00D5101B">
        <w:t>examination but manifest themselves in later years</w:t>
      </w:r>
      <w:r w:rsidR="00754A23">
        <w:t>,</w:t>
      </w:r>
      <w:r w:rsidR="00754A23" w:rsidRPr="00D5101B">
        <w:t xml:space="preserve"> </w:t>
      </w:r>
      <w:r w:rsidR="00754A23">
        <w:t xml:space="preserve">artificially </w:t>
      </w:r>
      <w:r w:rsidR="00754A23" w:rsidRPr="00D5101B">
        <w:t>suggesting an increase in breast cancer incidence</w:t>
      </w:r>
      <w:r w:rsidR="00754A23">
        <w:t xml:space="preserve"> among women with more dense breasts.</w:t>
      </w:r>
      <w:r w:rsidR="00754A23" w:rsidRPr="00C07B07">
        <w:t xml:space="preserve"> </w:t>
      </w:r>
    </w:p>
    <w:p w14:paraId="1AB9BC21" w14:textId="7F123D34" w:rsidR="003A536A" w:rsidRPr="00252C48" w:rsidRDefault="0070770F" w:rsidP="003A536A">
      <w:pPr>
        <w:pStyle w:val="BodyText"/>
      </w:pPr>
      <w:r>
        <w:rPr>
          <w:shd w:val="clear" w:color="auto" w:fill="FFFFFF"/>
        </w:rPr>
        <w:t>More recent</w:t>
      </w:r>
      <w:r w:rsidR="003A536A" w:rsidRPr="00313177">
        <w:rPr>
          <w:shd w:val="clear" w:color="auto" w:fill="FFFFFF"/>
        </w:rPr>
        <w:t xml:space="preserve"> studies, however, have shown that there is increased risk for at least 7–10 years following a screening examination, indicating that ‘masking bias’ is only one of the mechanisms linking breast density to an increased cancer risk</w:t>
      </w:r>
      <w:r w:rsidR="003A536A">
        <w:rPr>
          <w:shd w:val="clear" w:color="auto" w:fill="FFFFFF"/>
        </w:rPr>
        <w:t xml:space="preserve"> (Boyd et al., 2007; </w:t>
      </w:r>
      <w:r w:rsidR="003A536A" w:rsidRPr="00B6040D">
        <w:rPr>
          <w:shd w:val="clear" w:color="auto" w:fill="FFFFFF"/>
        </w:rPr>
        <w:t>Vachon et al., 2007)</w:t>
      </w:r>
      <w:r w:rsidR="003A536A" w:rsidRPr="00313177">
        <w:rPr>
          <w:shd w:val="clear" w:color="auto" w:fill="FFFFFF"/>
        </w:rPr>
        <w:t xml:space="preserve">. In addition, the increased radiation dose </w:t>
      </w:r>
      <w:r w:rsidR="00643D65">
        <w:rPr>
          <w:shd w:val="clear" w:color="auto" w:fill="FFFFFF"/>
        </w:rPr>
        <w:t>needed</w:t>
      </w:r>
      <w:r w:rsidR="003A536A">
        <w:rPr>
          <w:shd w:val="clear" w:color="auto" w:fill="FFFFFF"/>
        </w:rPr>
        <w:t xml:space="preserve"> to acquire acceptable mammographic images</w:t>
      </w:r>
      <w:r w:rsidR="003A536A" w:rsidRPr="00313177">
        <w:rPr>
          <w:shd w:val="clear" w:color="auto" w:fill="FFFFFF"/>
        </w:rPr>
        <w:t xml:space="preserve"> in dense breasts and cumulative lifetime exposure from screening indicates that there may be a less favourable benefit to harm ratio associated with </w:t>
      </w:r>
      <w:r w:rsidR="003A536A">
        <w:rPr>
          <w:shd w:val="clear" w:color="auto" w:fill="FFFFFF"/>
        </w:rPr>
        <w:t xml:space="preserve">mammographic </w:t>
      </w:r>
      <w:r w:rsidR="003A536A" w:rsidRPr="00313177">
        <w:rPr>
          <w:shd w:val="clear" w:color="auto" w:fill="FFFFFF"/>
        </w:rPr>
        <w:t>screening of women with dense breasts, particularly in younger women (Duffy, 2018)</w:t>
      </w:r>
      <w:r w:rsidR="003A536A">
        <w:rPr>
          <w:shd w:val="clear" w:color="auto" w:fill="FFFFFF"/>
        </w:rPr>
        <w:t xml:space="preserve"> compared to older women with less dense breasts.</w:t>
      </w:r>
      <w:r w:rsidR="003A536A" w:rsidRPr="00313177">
        <w:t xml:space="preserve"> </w:t>
      </w:r>
    </w:p>
    <w:p w14:paraId="6273089D" w14:textId="77777777" w:rsidR="00962040" w:rsidRDefault="003A536A" w:rsidP="003A536A">
      <w:pPr>
        <w:pStyle w:val="BodyText"/>
      </w:pPr>
      <w:r>
        <w:lastRenderedPageBreak/>
        <w:t xml:space="preserve">As discussed in section 3.2, women with </w:t>
      </w:r>
      <w:r w:rsidRPr="00B83BD2">
        <w:t>mammographic</w:t>
      </w:r>
      <w:r>
        <w:t xml:space="preserve"> density of 75% or more of the breast have been shown to have an increased risk of breast cancer (independent of other risk factors), either detected by screening or less than 12 months after a negative screening mammogram (interval cancer). This risk persists even after accounting for masking of cancers with certain screening modalities (Patterson and </w:t>
      </w:r>
      <w:r w:rsidRPr="00982187">
        <w:t>Roubidoux</w:t>
      </w:r>
      <w:r>
        <w:t xml:space="preserve">, 2014). But, we do not know to what extent the increased risk of interval cancer is due to masking of cancer from dense tissue or to rapid growth of tumours in dense tissue. </w:t>
      </w:r>
    </w:p>
    <w:p w14:paraId="141FCE86" w14:textId="57D1A791" w:rsidR="003A536A" w:rsidRDefault="00EE2F5C" w:rsidP="003A536A">
      <w:pPr>
        <w:pStyle w:val="BodyText"/>
      </w:pPr>
      <w:r w:rsidRPr="00EE2F5C">
        <w:t>There are various reasons why interval cancers are not detected by screening</w:t>
      </w:r>
      <w:r w:rsidR="0070770F">
        <w:t>,</w:t>
      </w:r>
      <w:r w:rsidRPr="00EE2F5C">
        <w:t xml:space="preserve"> and masking is only one of them. </w:t>
      </w:r>
      <w:r w:rsidR="0070770F">
        <w:t>For example, s</w:t>
      </w:r>
      <w:r w:rsidRPr="00EE2F5C">
        <w:t>ome</w:t>
      </w:r>
      <w:r w:rsidR="0070770F">
        <w:t xml:space="preserve"> fast-growing</w:t>
      </w:r>
      <w:r w:rsidRPr="00EE2F5C">
        <w:t xml:space="preserve"> cancers may be not detected by screening because </w:t>
      </w:r>
      <w:r w:rsidR="0070770F">
        <w:t>they develop during the screening interval</w:t>
      </w:r>
      <w:r w:rsidR="00567981">
        <w:t xml:space="preserve"> or they are occult on FFMD</w:t>
      </w:r>
      <w:r w:rsidR="00B30F96">
        <w:t xml:space="preserve">. </w:t>
      </w:r>
      <w:r w:rsidR="005A7822">
        <w:t>Despite the current mixed findings relating to the association between breast density and interval cancers</w:t>
      </w:r>
      <w:r w:rsidRPr="00EE2F5C">
        <w:t xml:space="preserve">, </w:t>
      </w:r>
      <w:r w:rsidR="005A7822">
        <w:t xml:space="preserve">the evidence does suggest that </w:t>
      </w:r>
      <w:r w:rsidRPr="00EE2F5C">
        <w:t>mammographic sensitivity is diminished</w:t>
      </w:r>
      <w:r w:rsidR="00962040">
        <w:t xml:space="preserve"> </w:t>
      </w:r>
      <w:r w:rsidRPr="00EE2F5C">
        <w:t>in</w:t>
      </w:r>
      <w:r w:rsidR="00962040">
        <w:t xml:space="preserve"> women with more</w:t>
      </w:r>
      <w:r w:rsidRPr="00EE2F5C">
        <w:t xml:space="preserve"> dense breasts</w:t>
      </w:r>
      <w:r w:rsidR="005A7822">
        <w:t xml:space="preserve"> (Destounis et al., 2017a; Weigel et al., 2017)</w:t>
      </w:r>
      <w:r w:rsidRPr="00EE2F5C">
        <w:t xml:space="preserve">. This is a major contributor to the drive for </w:t>
      </w:r>
      <w:r>
        <w:t xml:space="preserve">supplemental </w:t>
      </w:r>
      <w:r w:rsidR="00F500AD">
        <w:t>testing</w:t>
      </w:r>
      <w:r>
        <w:t xml:space="preserve"> </w:t>
      </w:r>
      <w:r w:rsidRPr="00EE2F5C">
        <w:t>to be used in conjunction with mammography.</w:t>
      </w:r>
      <w:r w:rsidR="00BB2B6B">
        <w:rPr>
          <w:rFonts w:ascii="Franklin Gothic Book" w:hAnsi="Franklin Gothic Book"/>
          <w:color w:val="323232"/>
          <w:shd w:val="clear" w:color="auto" w:fill="FFFFFF"/>
        </w:rPr>
        <w:t xml:space="preserve"> </w:t>
      </w:r>
    </w:p>
    <w:p w14:paraId="2342B9BB" w14:textId="6EE14179" w:rsidR="003A536A" w:rsidRPr="0055692D" w:rsidRDefault="003A536A" w:rsidP="003A536A">
      <w:pPr>
        <w:pStyle w:val="NumberedHeading2"/>
      </w:pPr>
      <w:bookmarkStart w:id="88" w:name="_Toc518922215"/>
      <w:r>
        <w:t>The role of s</w:t>
      </w:r>
      <w:r w:rsidRPr="0055692D">
        <w:t>upplementa</w:t>
      </w:r>
      <w:r>
        <w:t>l</w:t>
      </w:r>
      <w:r w:rsidRPr="0055692D">
        <w:t xml:space="preserve"> </w:t>
      </w:r>
      <w:bookmarkEnd w:id="88"/>
      <w:r w:rsidR="007C3AE7">
        <w:t xml:space="preserve">testing </w:t>
      </w:r>
    </w:p>
    <w:p w14:paraId="00F67A0C" w14:textId="0C2B6E69" w:rsidR="003A536A" w:rsidRDefault="005A7822" w:rsidP="003A536A">
      <w:pPr>
        <w:pStyle w:val="BodyText"/>
      </w:pPr>
      <w:r>
        <w:t>Taken together, the h</w:t>
      </w:r>
      <w:r w:rsidR="003A536A">
        <w:t>igher risk of cancer</w:t>
      </w:r>
      <w:r w:rsidR="004A324A">
        <w:t xml:space="preserve"> </w:t>
      </w:r>
      <w:r w:rsidR="003A536A">
        <w:t xml:space="preserve">and </w:t>
      </w:r>
      <w:r>
        <w:t xml:space="preserve">lower rates of sensitivity for FFDM for women with dense breasts indicate that </w:t>
      </w:r>
      <w:r w:rsidR="003A536A">
        <w:t xml:space="preserve">supplemental </w:t>
      </w:r>
      <w:r w:rsidR="00403BDB">
        <w:t xml:space="preserve">testing </w:t>
      </w:r>
      <w:r>
        <w:t>may be beneficial for</w:t>
      </w:r>
      <w:r w:rsidR="003A536A">
        <w:t xml:space="preserve"> </w:t>
      </w:r>
      <w:r>
        <w:t>this population</w:t>
      </w:r>
      <w:r w:rsidR="003A536A">
        <w:t xml:space="preserve">. </w:t>
      </w:r>
      <w:r w:rsidR="003433B4" w:rsidRPr="000B0DE7">
        <w:t>The m</w:t>
      </w:r>
      <w:r w:rsidR="003433B4">
        <w:t>o</w:t>
      </w:r>
      <w:r w:rsidR="003433B4" w:rsidRPr="000B0DE7">
        <w:t>st widely offered supplementa</w:t>
      </w:r>
      <w:r w:rsidR="003433B4">
        <w:t>l</w:t>
      </w:r>
      <w:r w:rsidR="003433B4" w:rsidRPr="000B0DE7">
        <w:t xml:space="preserve"> t</w:t>
      </w:r>
      <w:r w:rsidR="003433B4">
        <w:t>est is whole-breast ultrasound but other screening modalities exist and are used (including MRI, DBT</w:t>
      </w:r>
      <w:r w:rsidR="003433B4" w:rsidRPr="00CE738F">
        <w:t>, optical mammography</w:t>
      </w:r>
      <w:r w:rsidR="003433B4">
        <w:t xml:space="preserve"> and MBI). There is strong evidence that supplemental </w:t>
      </w:r>
      <w:r w:rsidR="00403BDB">
        <w:t xml:space="preserve">testing </w:t>
      </w:r>
      <w:r w:rsidR="003433B4">
        <w:t>detects more cancers than FFDM alone but that</w:t>
      </w:r>
      <w:r>
        <w:t>,</w:t>
      </w:r>
      <w:r w:rsidR="003433B4">
        <w:t xml:space="preserve"> depending on the test used, false positives and recall rates are increased. </w:t>
      </w:r>
      <w:r w:rsidR="003A536A">
        <w:t>Currently there is no consensus on which screening modality</w:t>
      </w:r>
      <w:r w:rsidR="003433B4">
        <w:t xml:space="preserve"> </w:t>
      </w:r>
      <w:r w:rsidR="003A536A">
        <w:t xml:space="preserve">should be recommended as either a primary screening </w:t>
      </w:r>
      <w:r w:rsidR="003433B4">
        <w:t xml:space="preserve">test </w:t>
      </w:r>
      <w:r w:rsidR="003A536A">
        <w:t>or an adjunct screen to FFDM</w:t>
      </w:r>
      <w:r w:rsidR="00340D45">
        <w:t xml:space="preserve"> for women whose only risk factor is </w:t>
      </w:r>
      <w:r w:rsidR="00D70CB7">
        <w:t xml:space="preserve">high breast </w:t>
      </w:r>
      <w:r w:rsidR="00340D45">
        <w:t>density</w:t>
      </w:r>
      <w:r w:rsidR="003A536A">
        <w:t>.</w:t>
      </w:r>
      <w:r w:rsidR="004A324A">
        <w:t xml:space="preserve"> </w:t>
      </w:r>
      <w:r w:rsidR="003433B4" w:rsidRPr="00EC7659">
        <w:t xml:space="preserve">No guidelines have been established in Australia or other jurisdictions as to which screening modality </w:t>
      </w:r>
      <w:r w:rsidR="003433B4">
        <w:t>women</w:t>
      </w:r>
      <w:r w:rsidR="003433B4" w:rsidRPr="00EC7659">
        <w:t xml:space="preserve"> should undergo</w:t>
      </w:r>
      <w:r w:rsidR="00403BDB">
        <w:t>.</w:t>
      </w:r>
      <w:r w:rsidR="003433B4">
        <w:t xml:space="preserve"> </w:t>
      </w:r>
      <w:r w:rsidR="004A324A">
        <w:t>Th</w:t>
      </w:r>
      <w:r w:rsidR="003433B4">
        <w:t xml:space="preserve">is is because </w:t>
      </w:r>
      <w:r w:rsidR="00F500AD">
        <w:t xml:space="preserve">supplemental testing is a relatively new strategy that was introduced after the recent introduction of breast density notification. As such, </w:t>
      </w:r>
      <w:r w:rsidR="003433B4">
        <w:t xml:space="preserve">there is </w:t>
      </w:r>
      <w:r w:rsidR="004A324A">
        <w:t xml:space="preserve">limited research that specifically reports on improved long-term cancer-related health outcomes for women with more dense breasts </w:t>
      </w:r>
      <w:r w:rsidR="003433B4">
        <w:t xml:space="preserve">and </w:t>
      </w:r>
      <w:r w:rsidR="004A324A">
        <w:t xml:space="preserve">who undergo supplemental </w:t>
      </w:r>
      <w:r w:rsidR="00403BDB">
        <w:t xml:space="preserve">imaging </w:t>
      </w:r>
      <w:r w:rsidR="004A324A">
        <w:t xml:space="preserve">(if those women have no other </w:t>
      </w:r>
      <w:r w:rsidR="00D85465">
        <w:t xml:space="preserve">moderate or strong </w:t>
      </w:r>
      <w:r w:rsidR="004A324A">
        <w:t>risk factors for breast cancer).</w:t>
      </w:r>
      <w:r w:rsidR="003433B4" w:rsidRPr="003433B4">
        <w:t xml:space="preserve"> </w:t>
      </w:r>
      <w:r w:rsidR="003433B4">
        <w:t>C</w:t>
      </w:r>
      <w:r w:rsidR="003433B4" w:rsidRPr="00EC7659">
        <w:t xml:space="preserve">ontroversy remains as to the optimal supplemental </w:t>
      </w:r>
      <w:r w:rsidR="00403BDB">
        <w:t xml:space="preserve">testing </w:t>
      </w:r>
      <w:r w:rsidR="003433B4" w:rsidRPr="00EC7659">
        <w:t xml:space="preserve">modality to complement </w:t>
      </w:r>
      <w:r w:rsidR="003433B4">
        <w:t xml:space="preserve">FFDM </w:t>
      </w:r>
      <w:r w:rsidR="003433B4" w:rsidRPr="00EC7659">
        <w:t>as each imaging modality has variable beneﬁts and limitations</w:t>
      </w:r>
      <w:r w:rsidR="003433B4">
        <w:t xml:space="preserve">. </w:t>
      </w:r>
      <w:r w:rsidR="001F5435">
        <w:t>These b</w:t>
      </w:r>
      <w:r w:rsidR="004A324A">
        <w:t>enefits and limitations are described in Table 1</w:t>
      </w:r>
      <w:r w:rsidR="006465B1">
        <w:t>6</w:t>
      </w:r>
      <w:r w:rsidR="004A324A">
        <w:t xml:space="preserve"> (page </w:t>
      </w:r>
      <w:r w:rsidR="006465B1">
        <w:t>78</w:t>
      </w:r>
      <w:r w:rsidR="003A536A">
        <w:t>)</w:t>
      </w:r>
      <w:r w:rsidR="003A536A" w:rsidRPr="00EC7659">
        <w:t xml:space="preserve">. </w:t>
      </w:r>
    </w:p>
    <w:p w14:paraId="0AB4DD01" w14:textId="0B2B77AD" w:rsidR="00C00DD8" w:rsidRPr="00C00DD8" w:rsidRDefault="00C00DD8" w:rsidP="00C00DD8">
      <w:pPr>
        <w:pStyle w:val="BodyText"/>
      </w:pPr>
      <w:r w:rsidRPr="00C00DD8">
        <w:t xml:space="preserve">Our inclusion criteria for the role of supplemental </w:t>
      </w:r>
      <w:r w:rsidR="00403BDB">
        <w:t xml:space="preserve">imaging </w:t>
      </w:r>
      <w:r w:rsidRPr="00C00DD8">
        <w:t>was systematic reviews</w:t>
      </w:r>
      <w:r w:rsidR="001F5435">
        <w:t>, narrative reviews</w:t>
      </w:r>
      <w:r w:rsidRPr="00C00DD8">
        <w:t xml:space="preserve"> and RCTs. We identified </w:t>
      </w:r>
      <w:r w:rsidR="00D9440D">
        <w:t xml:space="preserve">seven </w:t>
      </w:r>
      <w:r w:rsidRPr="00C00DD8">
        <w:t xml:space="preserve">systematic reviews (100 articles) and </w:t>
      </w:r>
      <w:r w:rsidR="00403BDB">
        <w:t>seven</w:t>
      </w:r>
      <w:r w:rsidR="00D9440D">
        <w:t xml:space="preserve"> </w:t>
      </w:r>
      <w:r w:rsidRPr="00C00DD8">
        <w:t xml:space="preserve">narrative literature reviews (covering </w:t>
      </w:r>
      <w:r w:rsidR="00403BDB">
        <w:t>410</w:t>
      </w:r>
      <w:r w:rsidRPr="00C00DD8">
        <w:t xml:space="preserve"> articles).</w:t>
      </w:r>
    </w:p>
    <w:p w14:paraId="578F1D25" w14:textId="77777777" w:rsidR="00C00DD8" w:rsidRPr="00C00DD8" w:rsidRDefault="00C00DD8" w:rsidP="00D9440D">
      <w:pPr>
        <w:pStyle w:val="BodyText"/>
        <w:ind w:left="720"/>
        <w:rPr>
          <w:b/>
          <w:color w:val="36424A" w:themeColor="accent1"/>
        </w:rPr>
      </w:pPr>
      <w:r w:rsidRPr="00C00DD8">
        <w:rPr>
          <w:b/>
          <w:color w:val="36424A" w:themeColor="accent1"/>
        </w:rPr>
        <w:t>Systematic reviews</w:t>
      </w:r>
    </w:p>
    <w:p w14:paraId="285DF91C" w14:textId="430AA587" w:rsidR="00C00DD8" w:rsidRPr="00C00DD8" w:rsidRDefault="00D9440D" w:rsidP="00D9440D">
      <w:pPr>
        <w:pStyle w:val="BodyText"/>
        <w:ind w:left="720"/>
      </w:pPr>
      <w:r>
        <w:t xml:space="preserve">Seven reviews: </w:t>
      </w:r>
      <w:r w:rsidR="00C00DD8" w:rsidRPr="00C00DD8">
        <w:t xml:space="preserve">Houssami &amp; Turner </w:t>
      </w:r>
      <w:r w:rsidR="00C26979">
        <w:t>(</w:t>
      </w:r>
      <w:r w:rsidR="00C00DD8" w:rsidRPr="00C00DD8">
        <w:t>2016</w:t>
      </w:r>
      <w:r w:rsidR="00C26979">
        <w:t>)</w:t>
      </w:r>
      <w:r w:rsidR="00C00DD8" w:rsidRPr="00C00DD8">
        <w:t>; Coop et al.</w:t>
      </w:r>
      <w:r w:rsidR="00C26979">
        <w:t xml:space="preserve"> (</w:t>
      </w:r>
      <w:r w:rsidR="00C00DD8" w:rsidRPr="00C00DD8">
        <w:t>2016</w:t>
      </w:r>
      <w:r w:rsidR="00C26979">
        <w:t>)</w:t>
      </w:r>
      <w:r w:rsidR="00C00DD8" w:rsidRPr="00C00DD8">
        <w:t xml:space="preserve">; Sari et al. </w:t>
      </w:r>
      <w:r w:rsidR="00C26979">
        <w:t>(</w:t>
      </w:r>
      <w:r w:rsidR="00C00DD8" w:rsidRPr="00C00DD8">
        <w:t>2013</w:t>
      </w:r>
      <w:r w:rsidR="00C26979">
        <w:t>)</w:t>
      </w:r>
      <w:r w:rsidR="00C00DD8" w:rsidRPr="00C00DD8">
        <w:t xml:space="preserve">; Melnikow et al. </w:t>
      </w:r>
      <w:r w:rsidR="00C26979">
        <w:t>(</w:t>
      </w:r>
      <w:r w:rsidR="00C00DD8" w:rsidRPr="00C00DD8">
        <w:t>201</w:t>
      </w:r>
      <w:r w:rsidR="003A38BF">
        <w:t>6</w:t>
      </w:r>
      <w:r w:rsidR="00C26979">
        <w:t>)</w:t>
      </w:r>
      <w:r w:rsidR="003A38BF">
        <w:t>;</w:t>
      </w:r>
      <w:r w:rsidR="00C00DD8" w:rsidRPr="00C00DD8">
        <w:t xml:space="preserve"> Gartlehner et al. </w:t>
      </w:r>
      <w:r w:rsidR="00C26979">
        <w:t>(</w:t>
      </w:r>
      <w:r w:rsidR="00C00DD8" w:rsidRPr="00C00DD8">
        <w:t>2013</w:t>
      </w:r>
      <w:r w:rsidR="00C26979">
        <w:t>)</w:t>
      </w:r>
      <w:r w:rsidR="00C00DD8" w:rsidRPr="00C00DD8">
        <w:t xml:space="preserve">; Scheel et al. </w:t>
      </w:r>
      <w:r w:rsidR="00C26979">
        <w:t>(</w:t>
      </w:r>
      <w:r w:rsidR="00C00DD8" w:rsidRPr="00C00DD8">
        <w:t>2015</w:t>
      </w:r>
      <w:r w:rsidR="00C26979">
        <w:t>)</w:t>
      </w:r>
      <w:r w:rsidR="00C00DD8" w:rsidRPr="00C00DD8">
        <w:t xml:space="preserve">; Nelson et al. </w:t>
      </w:r>
      <w:r w:rsidR="00C26979">
        <w:t>(</w:t>
      </w:r>
      <w:r w:rsidR="00C00DD8" w:rsidRPr="00C00DD8">
        <w:t>2016</w:t>
      </w:r>
      <w:r w:rsidR="00C26979">
        <w:t>)</w:t>
      </w:r>
    </w:p>
    <w:p w14:paraId="38673446" w14:textId="77777777" w:rsidR="00FC7D1C" w:rsidRDefault="00FC7D1C" w:rsidP="00D9440D">
      <w:pPr>
        <w:pStyle w:val="BodyText"/>
        <w:ind w:left="720"/>
        <w:rPr>
          <w:b/>
          <w:color w:val="36424A" w:themeColor="accent1"/>
        </w:rPr>
      </w:pPr>
    </w:p>
    <w:p w14:paraId="382A6F1B" w14:textId="715DD953" w:rsidR="00C00DD8" w:rsidRPr="00C00DD8" w:rsidRDefault="00C00DD8" w:rsidP="00D9440D">
      <w:pPr>
        <w:pStyle w:val="BodyText"/>
        <w:ind w:left="720"/>
        <w:rPr>
          <w:b/>
          <w:color w:val="36424A" w:themeColor="accent1"/>
        </w:rPr>
      </w:pPr>
      <w:r w:rsidRPr="00C00DD8">
        <w:rPr>
          <w:b/>
          <w:color w:val="36424A" w:themeColor="accent1"/>
        </w:rPr>
        <w:t>Narrative literature reviews</w:t>
      </w:r>
    </w:p>
    <w:p w14:paraId="4EF520AC" w14:textId="440CD749" w:rsidR="00C00DD8" w:rsidRPr="00C00DD8" w:rsidRDefault="00D9440D" w:rsidP="00D9440D">
      <w:pPr>
        <w:pStyle w:val="BodyText"/>
        <w:ind w:left="720"/>
      </w:pPr>
      <w:r>
        <w:t>S</w:t>
      </w:r>
      <w:r w:rsidR="00182593">
        <w:t>even</w:t>
      </w:r>
      <w:r>
        <w:t xml:space="preserve"> reviews: </w:t>
      </w:r>
      <w:r w:rsidR="00C00DD8" w:rsidRPr="00C00DD8">
        <w:t xml:space="preserve">Holbrook </w:t>
      </w:r>
      <w:r w:rsidR="00140C25">
        <w:t>&amp; Newel</w:t>
      </w:r>
      <w:r w:rsidR="00C00DD8" w:rsidRPr="00C00DD8">
        <w:t xml:space="preserve"> </w:t>
      </w:r>
      <w:r w:rsidR="00C26979">
        <w:t>(</w:t>
      </w:r>
      <w:r w:rsidR="00C00DD8" w:rsidRPr="00C00DD8">
        <w:t>2015</w:t>
      </w:r>
      <w:r w:rsidR="00C26979">
        <w:t>)</w:t>
      </w:r>
      <w:r w:rsidR="00C00DD8" w:rsidRPr="00C00DD8">
        <w:t>; Jalalian et al</w:t>
      </w:r>
      <w:r w:rsidR="000B595A">
        <w:t>.</w:t>
      </w:r>
      <w:r w:rsidR="00C00DD8" w:rsidRPr="00C00DD8">
        <w:t xml:space="preserve"> </w:t>
      </w:r>
      <w:r w:rsidR="00C26979">
        <w:t>(</w:t>
      </w:r>
      <w:r w:rsidR="00C00DD8" w:rsidRPr="00C00DD8">
        <w:t>2013</w:t>
      </w:r>
      <w:r w:rsidR="00C26979">
        <w:t>)</w:t>
      </w:r>
      <w:r w:rsidR="00C00DD8" w:rsidRPr="00C00DD8">
        <w:t xml:space="preserve">; Hruska </w:t>
      </w:r>
      <w:r w:rsidR="00C26979">
        <w:t>(</w:t>
      </w:r>
      <w:r w:rsidR="00C00DD8" w:rsidRPr="00C00DD8">
        <w:t>2017</w:t>
      </w:r>
      <w:r w:rsidR="00C26979">
        <w:t>)</w:t>
      </w:r>
      <w:r w:rsidR="00C00DD8" w:rsidRPr="00C00DD8">
        <w:t xml:space="preserve">; Lourenco and Mainiero </w:t>
      </w:r>
      <w:r w:rsidR="00C26979">
        <w:t>(</w:t>
      </w:r>
      <w:r w:rsidR="00C00DD8" w:rsidRPr="00C00DD8">
        <w:t>2016</w:t>
      </w:r>
      <w:r w:rsidR="00C26979">
        <w:t>)</w:t>
      </w:r>
      <w:r w:rsidR="00C00DD8" w:rsidRPr="00C00DD8">
        <w:t xml:space="preserve">; Ravet et al. </w:t>
      </w:r>
      <w:r w:rsidR="00C26979">
        <w:t>(</w:t>
      </w:r>
      <w:r w:rsidR="00C00DD8" w:rsidRPr="00C00DD8">
        <w:t>2010</w:t>
      </w:r>
      <w:r w:rsidR="00C26979">
        <w:t>)</w:t>
      </w:r>
      <w:r w:rsidR="00C00DD8" w:rsidRPr="00C00DD8">
        <w:t xml:space="preserve">; O’Flynn et al. </w:t>
      </w:r>
      <w:r w:rsidR="00C26979">
        <w:t>(</w:t>
      </w:r>
      <w:r w:rsidR="00C00DD8" w:rsidRPr="00C00DD8">
        <w:t>2015</w:t>
      </w:r>
      <w:r w:rsidR="00C26979">
        <w:t>)</w:t>
      </w:r>
      <w:r w:rsidR="00C00DD8" w:rsidRPr="00C00DD8">
        <w:t xml:space="preserve">; Burkett and Hanemann </w:t>
      </w:r>
      <w:r w:rsidR="00C26979">
        <w:t>(</w:t>
      </w:r>
      <w:r w:rsidR="00C00DD8" w:rsidRPr="00C00DD8">
        <w:t>2016</w:t>
      </w:r>
      <w:r w:rsidR="00C26979">
        <w:t>)</w:t>
      </w:r>
      <w:r w:rsidR="00182593">
        <w:t>; Berg and Mendelson (2014)</w:t>
      </w:r>
    </w:p>
    <w:p w14:paraId="7C51EFBE" w14:textId="67A5F7BB" w:rsidR="00F7103D" w:rsidRDefault="00F7103D" w:rsidP="00D9440D">
      <w:pPr>
        <w:pStyle w:val="BodyText"/>
        <w:ind w:left="720"/>
        <w:rPr>
          <w:b/>
          <w:color w:val="36424A" w:themeColor="accent1"/>
        </w:rPr>
      </w:pPr>
      <w:r>
        <w:rPr>
          <w:b/>
          <w:color w:val="36424A" w:themeColor="accent1"/>
        </w:rPr>
        <w:t>Randomised Controlled trials</w:t>
      </w:r>
    </w:p>
    <w:p w14:paraId="651DB96B" w14:textId="3B0E131C" w:rsidR="00F7103D" w:rsidRPr="00F7103D" w:rsidRDefault="00F7103D" w:rsidP="00D9440D">
      <w:pPr>
        <w:pStyle w:val="BodyText"/>
        <w:ind w:left="720"/>
      </w:pPr>
      <w:r w:rsidRPr="00F7103D">
        <w:lastRenderedPageBreak/>
        <w:t xml:space="preserve">One study: Ohuchi et al. </w:t>
      </w:r>
      <w:r w:rsidR="00C26979">
        <w:t>(</w:t>
      </w:r>
      <w:r w:rsidRPr="00F7103D">
        <w:t>2016</w:t>
      </w:r>
      <w:r w:rsidR="00C26979">
        <w:t>)</w:t>
      </w:r>
    </w:p>
    <w:p w14:paraId="2CF3335D" w14:textId="5CE29A9A" w:rsidR="00C00DD8" w:rsidRPr="00C00DD8" w:rsidRDefault="00C00DD8" w:rsidP="00D9440D">
      <w:pPr>
        <w:pStyle w:val="BodyText"/>
        <w:ind w:left="720"/>
        <w:rPr>
          <w:b/>
          <w:color w:val="36424A" w:themeColor="accent1"/>
        </w:rPr>
      </w:pPr>
      <w:r w:rsidRPr="00C00DD8">
        <w:rPr>
          <w:b/>
          <w:color w:val="36424A" w:themeColor="accent1"/>
        </w:rPr>
        <w:t xml:space="preserve">Prospective Studies </w:t>
      </w:r>
    </w:p>
    <w:p w14:paraId="09063834" w14:textId="0A3F688A" w:rsidR="00C00DD8" w:rsidRPr="00C00DD8" w:rsidRDefault="00D9440D" w:rsidP="00D9440D">
      <w:pPr>
        <w:pStyle w:val="BodyText"/>
        <w:ind w:left="720"/>
      </w:pPr>
      <w:r>
        <w:t xml:space="preserve">One study: </w:t>
      </w:r>
      <w:r w:rsidR="00C00DD8" w:rsidRPr="00C00DD8">
        <w:t xml:space="preserve">Berg et al. </w:t>
      </w:r>
      <w:r w:rsidR="00C26979">
        <w:t>(</w:t>
      </w:r>
      <w:r w:rsidR="00C00DD8" w:rsidRPr="00C00DD8">
        <w:t>2012</w:t>
      </w:r>
      <w:r w:rsidR="00C26979">
        <w:t>)</w:t>
      </w:r>
    </w:p>
    <w:p w14:paraId="4EA6C5F5" w14:textId="77777777" w:rsidR="00C00DD8" w:rsidRDefault="00C00DD8" w:rsidP="00C00DD8">
      <w:pPr>
        <w:pStyle w:val="BodyText"/>
        <w:ind w:left="720"/>
      </w:pPr>
      <w:r w:rsidRPr="00E44152">
        <w:rPr>
          <w:i/>
        </w:rPr>
        <w:t xml:space="preserve">NB </w:t>
      </w:r>
      <w:r w:rsidRPr="00E44152">
        <w:t xml:space="preserve">Additional articles reporting on the </w:t>
      </w:r>
      <w:r>
        <w:t>ASTOUND</w:t>
      </w:r>
      <w:r w:rsidRPr="00E44152">
        <w:t xml:space="preserve"> and </w:t>
      </w:r>
      <w:r>
        <w:t>J-START</w:t>
      </w:r>
      <w:r w:rsidRPr="00E44152">
        <w:t xml:space="preserve"> trials are also discussed in the systematic and literature reviews.</w:t>
      </w:r>
    </w:p>
    <w:p w14:paraId="32FBACA0" w14:textId="1EE1311B" w:rsidR="003A536A" w:rsidRDefault="00C00DD8" w:rsidP="00A73E92">
      <w:pPr>
        <w:pStyle w:val="BodyText"/>
      </w:pPr>
      <w:r>
        <w:t>Most of the literature in this area focuses on ultrasoun</w:t>
      </w:r>
      <w:r w:rsidR="009948B0">
        <w:t xml:space="preserve">d and there is strong evidence </w:t>
      </w:r>
      <w:r>
        <w:t xml:space="preserve">for its use as a supplemental </w:t>
      </w:r>
      <w:r w:rsidR="003A7445">
        <w:t>testing</w:t>
      </w:r>
      <w:r>
        <w:t xml:space="preserve"> tool, providing significantly improved rates of cancer de</w:t>
      </w:r>
      <w:r w:rsidR="009948B0">
        <w:t>tection tha</w:t>
      </w:r>
      <w:r w:rsidR="0042743C">
        <w:t>n</w:t>
      </w:r>
      <w:r w:rsidR="009948B0">
        <w:t xml:space="preserve"> mammography alone (systematic review and prospective studies)</w:t>
      </w:r>
      <w:r w:rsidR="001F5435">
        <w:t>,</w:t>
      </w:r>
      <w:r w:rsidR="00BC26CA">
        <w:t xml:space="preserve"> however there is no evidence that supplemental </w:t>
      </w:r>
      <w:r w:rsidR="007C3AE7">
        <w:t xml:space="preserve">imaging </w:t>
      </w:r>
      <w:r w:rsidR="00BC26CA">
        <w:t>reduces mortality</w:t>
      </w:r>
      <w:r w:rsidR="009948B0">
        <w:t xml:space="preserve">. There is some evidence </w:t>
      </w:r>
      <w:r w:rsidR="001F5435">
        <w:t>that</w:t>
      </w:r>
      <w:r w:rsidR="009948B0">
        <w:t xml:space="preserve"> the use of MRI, DBT and MBI as</w:t>
      </w:r>
      <w:r w:rsidR="00BC26CA">
        <w:t xml:space="preserve"> supplementary </w:t>
      </w:r>
      <w:r w:rsidR="007C3AE7">
        <w:t xml:space="preserve">testing </w:t>
      </w:r>
      <w:r w:rsidR="00BC26CA">
        <w:t>method</w:t>
      </w:r>
      <w:r w:rsidR="00172C87">
        <w:t>s</w:t>
      </w:r>
      <w:r w:rsidR="00BC26CA">
        <w:t xml:space="preserve"> provides better cancer detection rates</w:t>
      </w:r>
      <w:r w:rsidR="009948B0">
        <w:t xml:space="preserve"> however, more rigorous </w:t>
      </w:r>
      <w:r w:rsidR="00BC26CA">
        <w:t>studies</w:t>
      </w:r>
      <w:r w:rsidR="009948B0">
        <w:t xml:space="preserve"> are needed</w:t>
      </w:r>
      <w:r w:rsidR="003433B4">
        <w:t xml:space="preserve"> to describe the impact of these </w:t>
      </w:r>
      <w:r w:rsidR="007C3AE7">
        <w:t xml:space="preserve">testing </w:t>
      </w:r>
      <w:r w:rsidR="003433B4">
        <w:t>methods on reduction in cancer mortality</w:t>
      </w:r>
      <w:r w:rsidR="009948B0">
        <w:t>.</w:t>
      </w:r>
    </w:p>
    <w:p w14:paraId="29E94688"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D95867">
        <w:rPr>
          <w:b/>
        </w:rPr>
        <w:t>Key findings</w:t>
      </w:r>
      <w:r>
        <w:rPr>
          <w:b/>
        </w:rPr>
        <w:t xml:space="preserve"> about the role of supplemental testing</w:t>
      </w:r>
    </w:p>
    <w:p w14:paraId="75439C48"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7D184A">
        <w:t xml:space="preserve">Approximately one-half of women undergoing screening </w:t>
      </w:r>
      <w:r>
        <w:t>mammography have dense breasts. As discussed in previous sections, there is evidence to suggest that increased breast density is associated with higher breast cancer risk and a decrease in mammography performance. This suggests that supplemental imaging could be beneficial for women with dense breasts; however, t</w:t>
      </w:r>
      <w:r w:rsidRPr="007D184A">
        <w:t>here</w:t>
      </w:r>
      <w:r>
        <w:t xml:space="preserve"> is no direct, robust evidence that supplemental</w:t>
      </w:r>
      <w:r w:rsidRPr="007D184A">
        <w:t xml:space="preserve"> </w:t>
      </w:r>
      <w:r>
        <w:t>imaging</w:t>
      </w:r>
      <w:r w:rsidRPr="007D184A">
        <w:t xml:space="preserve"> </w:t>
      </w:r>
      <w:r>
        <w:t>reduces</w:t>
      </w:r>
      <w:r w:rsidRPr="007D184A">
        <w:t xml:space="preserve"> mortality from breast cancer</w:t>
      </w:r>
      <w:r>
        <w:t>.</w:t>
      </w:r>
    </w:p>
    <w:p w14:paraId="3DCF5DEF"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Furthermore, there are a number of potential harms associated with supplemental testing following a negative mammography, including increased</w:t>
      </w:r>
      <w:r w:rsidRPr="007D184A">
        <w:t xml:space="preserve"> false-positive screening results</w:t>
      </w:r>
      <w:r>
        <w:t xml:space="preserve">, recall rates and unnecessary breast biopsies, and potential increases in screening-related </w:t>
      </w:r>
      <w:r w:rsidRPr="007D184A">
        <w:t>anxiety</w:t>
      </w:r>
      <w:r>
        <w:t>. These potential harms become more pertinent when one considers the variability of breast density classification. The classification of breast density for individual women has been found to vary between readers, and across time due to several factors, including age and weight changes. It is therefore possible to receive incorrect or outdated information about breast density, which could unduly influence clinical or personal decision-making regarding screening.</w:t>
      </w:r>
    </w:p>
    <w:p w14:paraId="57536354" w14:textId="77777777" w:rsid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7D184A">
        <w:t xml:space="preserve">Evidence and expert consensus remains unclear as to the risk-benefit balance of supplemental </w:t>
      </w:r>
      <w:r>
        <w:t xml:space="preserve">testing using DBT, ultrasound, MRI, and MBI for women whose </w:t>
      </w:r>
      <w:r w:rsidRPr="00522F1A">
        <w:rPr>
          <w:u w:val="single"/>
        </w:rPr>
        <w:t>only</w:t>
      </w:r>
      <w:r>
        <w:t xml:space="preserve"> risk factor is high mammographic density and who have an average lifetime risk of developing breast cancer. Each of these adjunct modalities has advantages and disadvantages related to factors such as accuracy, cost, radiation dose, acceptability, and availability. Not surprisingly, there is therefore no one measure that is best at overcoming the masking issues seen with mammography for women with more dense breasts. For this reason, there are also no guidelines or consensus established in Australia or other jurisdictions as to which screening modality women should undergo if they have the denser breasts (as the only risk factor.</w:t>
      </w:r>
    </w:p>
    <w:p w14:paraId="4025A90F" w14:textId="6F51BFB5" w:rsidR="000D4C2F" w:rsidRPr="000D4C2F" w:rsidRDefault="000D4C2F" w:rsidP="000D4C2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3D79B2">
        <w:t>The Connecticut Experiment suggest</w:t>
      </w:r>
      <w:r>
        <w:t>ed</w:t>
      </w:r>
      <w:r w:rsidRPr="003D79B2">
        <w:t xml:space="preserve"> that supplementary screening with ultrasound benefits all women through improved CDR (even those with fatty breasts</w:t>
      </w:r>
      <w:r>
        <w:t>)</w:t>
      </w:r>
      <w:r w:rsidRPr="003D79B2">
        <w:t xml:space="preserve">. </w:t>
      </w:r>
      <w:r>
        <w:t>T</w:t>
      </w:r>
      <w:r w:rsidRPr="003D79B2">
        <w:t>here are still</w:t>
      </w:r>
      <w:r>
        <w:t xml:space="preserve"> gaps regarding</w:t>
      </w:r>
    </w:p>
    <w:p w14:paraId="58430B34" w14:textId="7D790C02" w:rsidR="00771F76" w:rsidRDefault="00BE1AE7" w:rsidP="00771F76">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if </w:t>
      </w:r>
      <w:r w:rsidR="00FC7D1C">
        <w:t xml:space="preserve">women with more dense breasts benefit more from different screening strategies </w:t>
      </w:r>
      <w:r w:rsidR="00771F76">
        <w:t>compared to women with less dense breasts, or if their screening-related clinical outcomes differ.</w:t>
      </w:r>
    </w:p>
    <w:p w14:paraId="4A8C6719" w14:textId="7C261EC8" w:rsidR="00771F76" w:rsidRDefault="00771F76" w:rsidP="00771F76">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highlight w:val="yellow"/>
        </w:rPr>
      </w:pPr>
      <w:r w:rsidRPr="007D184A">
        <w:t>Some cancers are mammographically occult and can be detected only by other</w:t>
      </w:r>
      <w:r>
        <w:t xml:space="preserve"> (non-mammography based)</w:t>
      </w:r>
      <w:r w:rsidRPr="007D184A">
        <w:t xml:space="preserve"> breast imaging. Whether performing supplemental </w:t>
      </w:r>
      <w:r>
        <w:t>testing</w:t>
      </w:r>
      <w:r w:rsidRPr="007D184A">
        <w:t xml:space="preserve"> to identify </w:t>
      </w:r>
      <w:r>
        <w:t>m</w:t>
      </w:r>
      <w:r w:rsidRPr="007D184A">
        <w:t xml:space="preserve">ammographically occult cancers provides more benefit </w:t>
      </w:r>
      <w:r>
        <w:t xml:space="preserve">in terms of reduced cancer mortality </w:t>
      </w:r>
      <w:r w:rsidRPr="007D184A">
        <w:t>than harm is not established</w:t>
      </w:r>
      <w:r>
        <w:t>.</w:t>
      </w:r>
    </w:p>
    <w:p w14:paraId="5271761C" w14:textId="0AD977BB" w:rsidR="003A536A" w:rsidRDefault="00962232" w:rsidP="003A536A">
      <w:pPr>
        <w:pStyle w:val="NumberedHeading3"/>
      </w:pPr>
      <w:bookmarkStart w:id="89" w:name="_Toc507914439"/>
      <w:bookmarkStart w:id="90" w:name="_Toc507976164"/>
      <w:bookmarkStart w:id="91" w:name="_Toc518922216"/>
      <w:r>
        <w:lastRenderedPageBreak/>
        <w:t>S</w:t>
      </w:r>
      <w:r w:rsidRPr="0044553E">
        <w:t>upplementa</w:t>
      </w:r>
      <w:r>
        <w:t>l</w:t>
      </w:r>
      <w:r w:rsidR="003A536A">
        <w:t xml:space="preserve"> imaging modalities</w:t>
      </w:r>
      <w:bookmarkEnd w:id="89"/>
      <w:bookmarkEnd w:id="90"/>
      <w:bookmarkEnd w:id="91"/>
    </w:p>
    <w:p w14:paraId="65CCF360" w14:textId="62A6E457" w:rsidR="003A536A" w:rsidRDefault="003A536A" w:rsidP="003A536A">
      <w:pPr>
        <w:pStyle w:val="BodyText"/>
      </w:pPr>
      <w:r>
        <w:t xml:space="preserve">Brief descriptions of the following </w:t>
      </w:r>
      <w:r w:rsidR="00962232" w:rsidRPr="0044553E">
        <w:t>supplementa</w:t>
      </w:r>
      <w:r w:rsidR="00962232">
        <w:t>l</w:t>
      </w:r>
      <w:r>
        <w:t xml:space="preserve"> imaging modalities are provided before evidence of sensitivity and specificity </w:t>
      </w:r>
      <w:r w:rsidR="00A768DD">
        <w:t xml:space="preserve">relating to breast density </w:t>
      </w:r>
      <w:r>
        <w:t>is provided:</w:t>
      </w:r>
    </w:p>
    <w:p w14:paraId="02A1969A" w14:textId="77777777" w:rsidR="003A536A" w:rsidRDefault="003A536A" w:rsidP="003A536A">
      <w:pPr>
        <w:pStyle w:val="List-BulletLvl1"/>
      </w:pPr>
      <w:r>
        <w:t>DBT</w:t>
      </w:r>
      <w:r w:rsidR="00761B6F">
        <w:t xml:space="preserve"> (tomosynthesis)</w:t>
      </w:r>
    </w:p>
    <w:p w14:paraId="0C1B3491" w14:textId="77777777" w:rsidR="003A536A" w:rsidRDefault="003A536A" w:rsidP="003A536A">
      <w:pPr>
        <w:pStyle w:val="List-BulletLvl1"/>
      </w:pPr>
      <w:r>
        <w:t>MRI</w:t>
      </w:r>
    </w:p>
    <w:p w14:paraId="6E0BAA5A" w14:textId="77777777" w:rsidR="00CE738F" w:rsidRDefault="003A536A" w:rsidP="003A536A">
      <w:pPr>
        <w:pStyle w:val="List-BulletLvl1"/>
      </w:pPr>
      <w:r>
        <w:t>MBI</w:t>
      </w:r>
    </w:p>
    <w:p w14:paraId="0ABC4F03" w14:textId="52DA77F1" w:rsidR="003A536A" w:rsidRDefault="00CE738F" w:rsidP="003A536A">
      <w:pPr>
        <w:pStyle w:val="List-BulletLvl1"/>
      </w:pPr>
      <w:r>
        <w:t>Optical mammography</w:t>
      </w:r>
      <w:r w:rsidR="009A6327">
        <w:t>, and</w:t>
      </w:r>
    </w:p>
    <w:p w14:paraId="752FD043" w14:textId="22383DC8" w:rsidR="003A536A" w:rsidRDefault="003A536A" w:rsidP="003A536A">
      <w:pPr>
        <w:pStyle w:val="List-BulletLvl1"/>
      </w:pPr>
      <w:r>
        <w:t>Ultrasonography</w:t>
      </w:r>
      <w:r w:rsidR="009A6327">
        <w:t>.</w:t>
      </w:r>
    </w:p>
    <w:p w14:paraId="46559566" w14:textId="6B1DB908" w:rsidR="003A536A" w:rsidRPr="00E44152" w:rsidRDefault="00761B6F" w:rsidP="003A536A">
      <w:pPr>
        <w:pStyle w:val="BodyText"/>
      </w:pPr>
      <w:r>
        <w:rPr>
          <w:b/>
        </w:rPr>
        <w:t xml:space="preserve">DBT </w:t>
      </w:r>
      <w:r w:rsidR="003A536A" w:rsidRPr="00E44152">
        <w:t>is a</w:t>
      </w:r>
      <w:r w:rsidR="003A536A">
        <w:t xml:space="preserve"> mammographic </w:t>
      </w:r>
      <w:r w:rsidR="003A536A" w:rsidRPr="00E44152">
        <w:t xml:space="preserve">imaging technology that can be used to detect, </w:t>
      </w:r>
      <w:r w:rsidR="003A536A" w:rsidRPr="009C6D35">
        <w:t>assess</w:t>
      </w:r>
      <w:r w:rsidR="003A536A" w:rsidRPr="00E44152">
        <w:t xml:space="preserve"> and diagnose breast cancer. DBT records between 11 and 25 low-dose images of a compressed breast </w:t>
      </w:r>
      <w:r w:rsidR="003A536A">
        <w:t>(</w:t>
      </w:r>
      <w:r w:rsidR="003A536A" w:rsidRPr="00E44152">
        <w:t xml:space="preserve">depending on the imaging </w:t>
      </w:r>
      <w:r w:rsidR="009F6139">
        <w:t>unit</w:t>
      </w:r>
      <w:r w:rsidR="009F6139" w:rsidRPr="00E44152">
        <w:t xml:space="preserve"> </w:t>
      </w:r>
      <w:r w:rsidR="003A536A" w:rsidRPr="00E44152">
        <w:t>used</w:t>
      </w:r>
      <w:r w:rsidR="003A536A">
        <w:t>)</w:t>
      </w:r>
      <w:r w:rsidR="003A536A" w:rsidRPr="00E44152">
        <w:t xml:space="preserve">. These images are reconstructed in 1mm </w:t>
      </w:r>
      <w:r w:rsidR="009F6139">
        <w:t xml:space="preserve">(or more) </w:t>
      </w:r>
      <w:r w:rsidR="003A536A" w:rsidRPr="00E44152">
        <w:t xml:space="preserve">parallel slices to form a three-dimensional image of the breast. Radiologists then analyse the images to determine the presence of suspected abnormalities or to further investigate an area identified as suspicious on a digital mammogram. The thin cross-sectional images created by DBT minimise the masking effects of breast tissue overlap, which can improve margin visibility for soft tissue tumours and increase lesion conspicuity. This potentially increases screening sensitivity (especially for women with dense breasts) as abnormalities are easier to see. </w:t>
      </w:r>
    </w:p>
    <w:p w14:paraId="5C515520" w14:textId="77777777" w:rsidR="003A536A" w:rsidRDefault="003A536A" w:rsidP="003A536A">
      <w:pPr>
        <w:pStyle w:val="BodyText"/>
      </w:pPr>
      <w:r w:rsidRPr="00487B0B">
        <w:rPr>
          <w:b/>
        </w:rPr>
        <w:t>MRI</w:t>
      </w:r>
      <w:r>
        <w:t xml:space="preserve"> is a non-invasive medical test that uses magnetic fields to produce detailed </w:t>
      </w:r>
      <w:r w:rsidRPr="00DE51A4">
        <w:t>cross-sectional images of</w:t>
      </w:r>
      <w:r>
        <w:t xml:space="preserve"> tissue structures. </w:t>
      </w:r>
      <w:r w:rsidRPr="0085064A">
        <w:t xml:space="preserve">MRI creates images of the breast by measuring changes in the movement of protons in fat and water with the application of changing magnetic fields and by utilizing the differences in tissue relaxation characteristics. </w:t>
      </w:r>
      <w:r>
        <w:t xml:space="preserve">The contrast between different types of breast tissues </w:t>
      </w:r>
      <w:r w:rsidRPr="0085064A">
        <w:t xml:space="preserve">(fat, glandular tissue, lesions, etc.) </w:t>
      </w:r>
      <w:r>
        <w:t xml:space="preserve">depends on </w:t>
      </w:r>
      <w:r w:rsidRPr="0085064A">
        <w:t xml:space="preserve">the mobility and </w:t>
      </w:r>
      <w:r>
        <w:t xml:space="preserve">the magnetic environment </w:t>
      </w:r>
      <w:r w:rsidRPr="0085064A">
        <w:t>of the hydrogen atoms in water and fat</w:t>
      </w:r>
      <w:r>
        <w:t xml:space="preserve">, which contribute to the signal intensity (brightness) of the breast image. </w:t>
      </w:r>
      <w:r w:rsidRPr="0085064A">
        <w:t>In the breast, this results in images showing predominantly parenchyma and fat, and lesions</w:t>
      </w:r>
      <w:r>
        <w:t xml:space="preserve"> (</w:t>
      </w:r>
      <w:r w:rsidRPr="0085064A">
        <w:t>if they are present</w:t>
      </w:r>
      <w:r>
        <w:t>).</w:t>
      </w:r>
      <w:r w:rsidRPr="00BA15B9">
        <w:t xml:space="preserve"> </w:t>
      </w:r>
      <w:r>
        <w:t xml:space="preserve">In high-risk populations, screening with both MRI and mammography annually improves the sensitivity of screening but decreases specificity relative to screening with mammography alone. </w:t>
      </w:r>
    </w:p>
    <w:p w14:paraId="373B9C1F" w14:textId="452C6C16" w:rsidR="003A536A" w:rsidRDefault="003A536A" w:rsidP="003A536A">
      <w:pPr>
        <w:pStyle w:val="BodyText"/>
      </w:pPr>
      <w:r>
        <w:t>Research in high-risk woman has indicated that MRI is limited in its ability to identify non-invasive breast cancer (</w:t>
      </w:r>
      <w:r w:rsidR="00CC24AA">
        <w:t>eg,</w:t>
      </w:r>
      <w:r w:rsidR="00761B6F">
        <w:t xml:space="preserve"> </w:t>
      </w:r>
      <w:r>
        <w:t>DCIS</w:t>
      </w:r>
      <w:r w:rsidR="001F5435">
        <w:t xml:space="preserve">; </w:t>
      </w:r>
      <w:r w:rsidR="00C149C8" w:rsidRPr="00C149C8">
        <w:t>Health Quality Ontario, 2016</w:t>
      </w:r>
      <w:r w:rsidR="00C32212">
        <w:t>)</w:t>
      </w:r>
      <w:r w:rsidR="00761B6F">
        <w:t>.</w:t>
      </w:r>
      <w:r>
        <w:t xml:space="preserve"> </w:t>
      </w:r>
      <w:proofErr w:type="gramStart"/>
      <w:r>
        <w:t>and</w:t>
      </w:r>
      <w:proofErr w:type="gramEnd"/>
      <w:r>
        <w:t xml:space="preserve"> could therefore be used as an adjunct to, rather than a replacement for, mammography. The benefits and harms of adjunct screening </w:t>
      </w:r>
      <w:r w:rsidR="00EE47EE">
        <w:t xml:space="preserve">with </w:t>
      </w:r>
      <w:r>
        <w:t xml:space="preserve">MRI among women at less than high risk for breast cancer (including those whose only risk factor is more dense breasts), however, are unclear. </w:t>
      </w:r>
    </w:p>
    <w:p w14:paraId="2B1B90EF" w14:textId="51153841" w:rsidR="00F7103D" w:rsidRDefault="00F7103D" w:rsidP="00F7103D">
      <w:pPr>
        <w:pStyle w:val="BodyText"/>
      </w:pPr>
      <w:r w:rsidRPr="00727169">
        <w:rPr>
          <w:b/>
          <w:bCs/>
        </w:rPr>
        <w:t>MBI</w:t>
      </w:r>
      <w:r w:rsidRPr="00727169">
        <w:t xml:space="preserve"> is a nuclear imaging technique which is also known as breast-specific gamma imaging (BSGI), or breast scintigraphy. MBI can detect cancer because of metabolic differences between the lesions and normal breast tissue in their uptake of an injection of a single-photon emitting radiopharmaceutical, </w:t>
      </w:r>
      <w:r w:rsidRPr="00727169">
        <w:rPr>
          <w:vertAlign w:val="superscript"/>
        </w:rPr>
        <w:t>99m</w:t>
      </w:r>
      <w:r w:rsidRPr="00727169">
        <w:t xml:space="preserve">Tc-sestamibi, which emits 140-keV gamma rays. These rays can be detected using a gamma ray camera. Because MBI relies on metabolic rather than physical differences between lesions and breast tissue, it could be of benefit to women with dense breasts and a high chance of masking (Lourenco and Mainiero, 2016; Holbrook </w:t>
      </w:r>
      <w:r w:rsidR="00140C25">
        <w:t>&amp; Newel</w:t>
      </w:r>
      <w:r w:rsidRPr="00727169">
        <w:t>, 2015).</w:t>
      </w:r>
    </w:p>
    <w:p w14:paraId="491D85B5" w14:textId="67DDD49B" w:rsidR="003A536A" w:rsidRDefault="003A536A" w:rsidP="003A536A">
      <w:pPr>
        <w:pStyle w:val="BodyText"/>
      </w:pPr>
      <w:r w:rsidRPr="00487B0B">
        <w:rPr>
          <w:b/>
        </w:rPr>
        <w:t>Ultrasonography</w:t>
      </w:r>
      <w:r w:rsidRPr="00FA1F38">
        <w:t xml:space="preserve"> is used in the assessment and diagnosis of breast cancer</w:t>
      </w:r>
      <w:r>
        <w:t xml:space="preserve"> and </w:t>
      </w:r>
      <w:r w:rsidRPr="00FA1F38">
        <w:t>has</w:t>
      </w:r>
      <w:r>
        <w:t xml:space="preserve"> traditionally been performed by a health practitioner moving a hand-held device (called a transducer) over the breast. Ultrasonography uses high-frequency soundwaves that ‘echo’ as they pass through various types of tissue. These echoes are used to create an image called a sonogram, which depicts the internal structures inside the body. Ultrasonography is a popular imaging technique because it is </w:t>
      </w:r>
      <w:r>
        <w:lastRenderedPageBreak/>
        <w:t xml:space="preserve">comfortable for </w:t>
      </w:r>
      <w:r w:rsidR="00AB7545">
        <w:t>women</w:t>
      </w:r>
      <w:r>
        <w:t>, widely available at a relatively low cost, and does not involve the use of ionising radiation or contrasting agents</w:t>
      </w:r>
      <w:r w:rsidR="00554208">
        <w:t xml:space="preserve"> (Geisel et al., 2018)</w:t>
      </w:r>
      <w:r>
        <w:t xml:space="preserve">. </w:t>
      </w:r>
      <w:r w:rsidRPr="00487B0B">
        <w:t>Ultrasonography</w:t>
      </w:r>
      <w:r>
        <w:rPr>
          <w:b/>
        </w:rPr>
        <w:t xml:space="preserve"> </w:t>
      </w:r>
      <w:r>
        <w:t>can</w:t>
      </w:r>
      <w:r w:rsidRPr="00FB0954">
        <w:t xml:space="preserve"> distinguish benign from</w:t>
      </w:r>
      <w:r>
        <w:t xml:space="preserve"> </w:t>
      </w:r>
      <w:r w:rsidRPr="00FB0954">
        <w:t>malignant lesions because it can differentiate between cysts and solid tumours and thus lowers the number of unknown mammographic ﬁnding</w:t>
      </w:r>
      <w:r>
        <w:t xml:space="preserve">s. </w:t>
      </w:r>
      <w:r w:rsidR="009F6139">
        <w:t>Accuracy of ultrasound is highly dependent on operator experience and expertise.</w:t>
      </w:r>
    </w:p>
    <w:p w14:paraId="0C9F5E87" w14:textId="4FB4AF89" w:rsidR="003A536A" w:rsidRDefault="003A536A" w:rsidP="003A536A">
      <w:pPr>
        <w:pStyle w:val="BodyText"/>
      </w:pPr>
      <w:r>
        <w:t xml:space="preserve">Of the supplemental </w:t>
      </w:r>
      <w:r w:rsidR="003A7445">
        <w:t>testing</w:t>
      </w:r>
      <w:r>
        <w:t xml:space="preserve"> modalities, MRI is reported to have the highest sensitivity for detecting breast cancer in women across all risk categories </w:t>
      </w:r>
      <w:r>
        <w:fldChar w:fldCharType="begin"/>
      </w:r>
      <w:r>
        <w:instrText xml:space="preserve"> ADDIN ZOTERO_ITEM CSL_CITATION {"citationID":"10gjkr65ld","properties":{"formattedCitation":"(Freer, 2015)","plainCitation":"(Freer, 2015)"},"citationItems":[{"id":16,"uris":["http://zotero.org/users/local/2fBHA0Hy/items/A8BPII34"],"uri":["http://zotero.org/users/local/2fBHA0Hy/items/A8BPII34"],"itemData":{"id":16,"type":"article-journal","title":"Mammographic breast density: impact on breast cancer risk and implications for screening","container-title":"Radiographics : a review publication of the Radiological Society of North America, Inc","page":"302-315","volume":"35","issue":"2","abstract":"Mammographic breast density is rapidly becoming a hot topic in both the medical literature and the lay press. In the United States, recent legislative changes in 19 states now require radiologists to notify patients regarding breast density as well as the possible need for supplemental screening. Federal legislation regarding breast density notification has been introduced, and its passage is likely on the horizon. An understanding of the context, scientific evidence, and controversies surrounding the topic of breast density as a risk factor for breast cancer is critical for radiologists. The current state of evidence is presented regarding supplemental screening for women with dense breasts, including the use of digital breast tomosynthesis, whole-breast ultrasonography, and gadolinium-enhanced magnetic resonance imaging. A review of current practice guidelines and additional sources of information will improve radiologists' understanding of the relevant subject of breast density and enable them to respond appropriately to questions from patients, clinicians, and the media.Copyright (©)RSNA, 2015.","DOI":"10.1148/rg.352140106","ISSN":"1527-1323","shortTitle":"Mammographic breast density: impact on breast cancer risk and implications for screening","author":[{"family":"Freer","given":"P. E."}],"issued":{"date-parts":[["2015"]]}}}],"schema":"https://github.com/citation-style-language/schema/raw/master/csl-citation.json"} </w:instrText>
      </w:r>
      <w:r>
        <w:fldChar w:fldCharType="separate"/>
      </w:r>
      <w:r w:rsidRPr="00136763">
        <w:rPr>
          <w:rFonts w:ascii="Cambria" w:hAnsi="Cambria"/>
        </w:rPr>
        <w:t>(Freer, 2015)</w:t>
      </w:r>
      <w:r>
        <w:fldChar w:fldCharType="end"/>
      </w:r>
      <w:r>
        <w:t>; however, as an adjunct screening modality in women of average risk or women whose only risk factor is mammographic density, it is limited by cost, access, and exclusion criteria such as claustrophobia</w:t>
      </w:r>
      <w:r w:rsidR="009F6139">
        <w:t>, renal compromise,</w:t>
      </w:r>
      <w:r>
        <w:t xml:space="preserve"> and pacemakers, in addition to concerns about increasing false positives. In comparison, ultrasound is available at the time of mammography, does not use ionising radiation, </w:t>
      </w:r>
      <w:proofErr w:type="gramStart"/>
      <w:r>
        <w:t>is</w:t>
      </w:r>
      <w:proofErr w:type="gramEnd"/>
      <w:r>
        <w:t xml:space="preserve"> </w:t>
      </w:r>
      <w:r w:rsidR="009F6139">
        <w:t xml:space="preserve">generally better </w:t>
      </w:r>
      <w:r>
        <w:t>tolerate</w:t>
      </w:r>
      <w:r w:rsidR="009F6139">
        <w:t>d by a wide range of women</w:t>
      </w:r>
      <w:r>
        <w:t>. Both</w:t>
      </w:r>
      <w:r w:rsidR="009F6139">
        <w:t xml:space="preserve"> MRI and ultrasound</w:t>
      </w:r>
      <w:r>
        <w:t xml:space="preserve"> </w:t>
      </w:r>
      <w:r w:rsidR="001F5435">
        <w:t>have been found to have</w:t>
      </w:r>
      <w:r w:rsidRPr="00EE59BD">
        <w:t xml:space="preserve"> decreased speciﬁcity</w:t>
      </w:r>
      <w:r w:rsidR="001F5435">
        <w:t xml:space="preserve"> compared to mammography</w:t>
      </w:r>
      <w:r w:rsidRPr="00EE59BD">
        <w:t xml:space="preserve"> (</w:t>
      </w:r>
      <w:r>
        <w:t xml:space="preserve">MRI </w:t>
      </w:r>
      <w:r w:rsidRPr="00EE59BD">
        <w:t xml:space="preserve">71%-77% </w:t>
      </w:r>
      <w:r w:rsidR="001F5435">
        <w:t>and</w:t>
      </w:r>
      <w:r w:rsidRPr="00EE59BD">
        <w:t xml:space="preserve"> </w:t>
      </w:r>
      <w:r>
        <w:t xml:space="preserve">ultrasound 81%-95%) </w:t>
      </w:r>
      <w:r w:rsidRPr="00EE59BD">
        <w:t>and a resultant</w:t>
      </w:r>
      <w:r>
        <w:t xml:space="preserve"> </w:t>
      </w:r>
      <w:r w:rsidRPr="00EE59BD">
        <w:t>increase</w:t>
      </w:r>
      <w:r>
        <w:t xml:space="preserve"> in false positive examinations</w:t>
      </w:r>
      <w:r w:rsidR="009F6139">
        <w:t>, potentially requiring these women to undergo further and ultimately unnecessary imaging/diagnostic work-up</w:t>
      </w:r>
      <w:r>
        <w:t xml:space="preserve"> (Lourenco and Mainiero, 2016). </w:t>
      </w:r>
      <w:r w:rsidRPr="008D2EF6">
        <w:t>Ta</w:t>
      </w:r>
      <w:r w:rsidR="003D60DC" w:rsidRPr="008D2EF6">
        <w:t>ble 1</w:t>
      </w:r>
      <w:r w:rsidR="006465B1">
        <w:t>6</w:t>
      </w:r>
      <w:r w:rsidR="001609EC">
        <w:t xml:space="preserve"> (</w:t>
      </w:r>
      <w:r w:rsidR="00727169">
        <w:t>below</w:t>
      </w:r>
      <w:r w:rsidR="001609EC">
        <w:t>)</w:t>
      </w:r>
      <w:r w:rsidRPr="008D2EF6">
        <w:t xml:space="preserve"> </w:t>
      </w:r>
      <w:r w:rsidR="009F6139">
        <w:t xml:space="preserve">summarises </w:t>
      </w:r>
      <w:r>
        <w:t xml:space="preserve">advantages and disadvantages of the different </w:t>
      </w:r>
      <w:r w:rsidR="00962232" w:rsidRPr="0044553E">
        <w:t>supplementa</w:t>
      </w:r>
      <w:r w:rsidR="00962232">
        <w:t>l</w:t>
      </w:r>
      <w:r>
        <w:t xml:space="preserve"> </w:t>
      </w:r>
      <w:r w:rsidR="003A7445">
        <w:t>testing</w:t>
      </w:r>
      <w:r>
        <w:t xml:space="preserve"> modalities. Trade-offs occur in relation to cost, radiation dose, availability and screening performance. </w:t>
      </w:r>
    </w:p>
    <w:p w14:paraId="58FA187D" w14:textId="25A864E7" w:rsidR="00C149C8" w:rsidRDefault="00C149C8" w:rsidP="00FF61D8">
      <w:pPr>
        <w:pStyle w:val="Caption"/>
        <w:spacing w:after="0" w:line="240" w:lineRule="auto"/>
      </w:pPr>
      <w:r w:rsidRPr="003D60DC">
        <w:t xml:space="preserve">Table </w:t>
      </w:r>
      <w:r w:rsidR="003D60DC" w:rsidRPr="003D60DC">
        <w:t>1</w:t>
      </w:r>
      <w:r w:rsidR="006465B1">
        <w:t>6</w:t>
      </w:r>
      <w:r w:rsidRPr="003D60DC">
        <w:t>.</w:t>
      </w:r>
      <w:r w:rsidRPr="00E67E54">
        <w:t xml:space="preserve"> Advantage</w:t>
      </w:r>
      <w:r w:rsidR="009F6139">
        <w:t>s</w:t>
      </w:r>
      <w:r w:rsidRPr="00E67E54">
        <w:t xml:space="preserve"> and disadvantages of the most commonly</w:t>
      </w:r>
      <w:r w:rsidR="00A36F4E">
        <w:t>-</w:t>
      </w:r>
      <w:r w:rsidRPr="00E67E54">
        <w:t xml:space="preserve">used </w:t>
      </w:r>
      <w:r w:rsidR="00962232" w:rsidRPr="0044553E">
        <w:t>supplementa</w:t>
      </w:r>
      <w:r w:rsidR="00962232">
        <w:t>l</w:t>
      </w:r>
      <w:r w:rsidRPr="00E67E54">
        <w:t xml:space="preserve"> </w:t>
      </w:r>
      <w:r w:rsidR="007C3AE7">
        <w:t xml:space="preserve">imaging </w:t>
      </w:r>
      <w:r>
        <w:t>modalities</w:t>
      </w:r>
    </w:p>
    <w:tbl>
      <w:tblPr>
        <w:tblStyle w:val="ACGreen-BasicTable"/>
        <w:tblW w:w="0" w:type="auto"/>
        <w:tblLook w:val="04A0" w:firstRow="1" w:lastRow="0" w:firstColumn="1" w:lastColumn="0" w:noHBand="0" w:noVBand="1"/>
        <w:tblDescription w:val="The table sets out four imaging modalities: DBT, MRI, MBI and Ultrasonography, and presents advantages and disadvantages for each modality.&#10;Imaging modality: DBT&#10;Advantages&#10;• Improved cancer detection compared to FFDM alone&#10;• Reduced false-positives and recalls compared to FFDM alone&#10;• Can be obtained in a single compression at the same time as  FFDM&#10;• Is becoming widely available&#10;• Could be adopted as a primary screening modality • &#10;Disadvantages&#10;• Additional ionizing radiation when added to FFDM (approximately double the dose, although newer synthesised DM techniques result in a decreased dose)&#10;• Additional out-of-pocket costs if funders do not cover it&#10;&#10;Imaging modality: MRI&#10;Advantages&#10;• Highest sensitivity for detecting additional cancers&#10;• No ionizing radiation &#10;Disadvantages&#10;• Not widely available&#10;• Requires intravenous gadolinium injection (although less allergenic than other iodine-based contrasting agents)&#10;• Increased false-positives&#10;• Increased benign biopsies&#10;• Additional out-of-pocket costs if funders do not cover it&#10;• Limited ability to identify non-invasive breast cancer&#10;• Relatively cost and time intensive&#10;• Requires experienced radiologists to conduct screening&#10;• Can be issues with claustrophobia&#10;&#10;Imaging modality: MBI &#10;&#10;Advantages&#10;• Improved cancer detection compared to FFDM&#10;• Potentially improved specificity&#10;• Improved ability to detect sub-centimetre lesions • &#10;Disadvantages&#10;Not widely available&#10;• Requires intravenous radioactive tracer injection&#10;• Additional ionizing radiation&#10;• Relatively time-intensive&#10;&#10;&#10;Imaging modality: Ultrasonography &#10;Advantages&#10;• Widely available&#10;• Improved cancer detection when used as an adjunct screening test with FFDM &#10;• No ionizing radiation &#10;Disadvantages&#10;• Highly operator-dependent&#10;• Increased false-positives&#10;• Increased benign biopsies&#10;• Additional out-of-pocket costs if funders do not cover it&#10;"/>
      </w:tblPr>
      <w:tblGrid>
        <w:gridCol w:w="1370"/>
        <w:gridCol w:w="3811"/>
        <w:gridCol w:w="3823"/>
      </w:tblGrid>
      <w:tr w:rsidR="00345CCE" w:rsidRPr="00345CCE" w14:paraId="5890C333" w14:textId="77777777" w:rsidTr="00FF61D8">
        <w:trPr>
          <w:cnfStyle w:val="100000000000" w:firstRow="1" w:lastRow="0" w:firstColumn="0" w:lastColumn="0" w:oddVBand="0" w:evenVBand="0" w:oddHBand="0" w:evenHBand="0" w:firstRowFirstColumn="0" w:firstRowLastColumn="0" w:lastRowFirstColumn="0" w:lastRowLastColumn="0"/>
        </w:trPr>
        <w:tc>
          <w:tcPr>
            <w:tcW w:w="1134" w:type="dxa"/>
          </w:tcPr>
          <w:p w14:paraId="6F4EDE9A" w14:textId="17058F98" w:rsidR="00FF61D8" w:rsidRPr="00345CCE" w:rsidRDefault="00FF61D8" w:rsidP="00FF61D8">
            <w:pPr>
              <w:rPr>
                <w:color w:val="auto"/>
              </w:rPr>
            </w:pPr>
            <w:r w:rsidRPr="00345CCE">
              <w:rPr>
                <w:color w:val="auto"/>
                <w:sz w:val="18"/>
                <w:szCs w:val="18"/>
              </w:rPr>
              <w:t>Imaging modality</w:t>
            </w:r>
          </w:p>
        </w:tc>
        <w:tc>
          <w:tcPr>
            <w:tcW w:w="3997" w:type="dxa"/>
          </w:tcPr>
          <w:p w14:paraId="3FBEAEC2" w14:textId="4B626DEB" w:rsidR="00FF61D8" w:rsidRPr="00345CCE" w:rsidRDefault="00FF61D8" w:rsidP="00FF61D8">
            <w:pPr>
              <w:rPr>
                <w:color w:val="auto"/>
              </w:rPr>
            </w:pPr>
            <w:r w:rsidRPr="00345CCE">
              <w:rPr>
                <w:color w:val="auto"/>
                <w:sz w:val="18"/>
                <w:szCs w:val="18"/>
              </w:rPr>
              <w:t>Advantages</w:t>
            </w:r>
          </w:p>
        </w:tc>
        <w:tc>
          <w:tcPr>
            <w:tcW w:w="3997" w:type="dxa"/>
          </w:tcPr>
          <w:p w14:paraId="11432936" w14:textId="1A1FB6F3" w:rsidR="00FF61D8" w:rsidRPr="00345CCE" w:rsidRDefault="00FF61D8" w:rsidP="00FF61D8">
            <w:pPr>
              <w:rPr>
                <w:color w:val="auto"/>
              </w:rPr>
            </w:pPr>
            <w:r w:rsidRPr="00345CCE">
              <w:rPr>
                <w:color w:val="auto"/>
                <w:sz w:val="18"/>
                <w:szCs w:val="18"/>
              </w:rPr>
              <w:t>Disadvantages</w:t>
            </w:r>
          </w:p>
        </w:tc>
      </w:tr>
      <w:tr w:rsidR="00FF61D8" w14:paraId="0E844164" w14:textId="77777777" w:rsidTr="00FF61D8">
        <w:tc>
          <w:tcPr>
            <w:tcW w:w="1134" w:type="dxa"/>
          </w:tcPr>
          <w:p w14:paraId="449D596A" w14:textId="257A7F30" w:rsidR="00FF61D8" w:rsidRDefault="00FF61D8" w:rsidP="00FF61D8">
            <w:r>
              <w:rPr>
                <w:rFonts w:cstheme="majorHAnsi"/>
                <w:b/>
                <w:sz w:val="18"/>
                <w:szCs w:val="18"/>
              </w:rPr>
              <w:t>DBT</w:t>
            </w:r>
          </w:p>
        </w:tc>
        <w:tc>
          <w:tcPr>
            <w:tcW w:w="3997" w:type="dxa"/>
          </w:tcPr>
          <w:p w14:paraId="676E2E0D" w14:textId="77777777" w:rsidR="00FF61D8" w:rsidRPr="00B10CFA" w:rsidRDefault="00FF61D8" w:rsidP="00FF61D8">
            <w:pPr>
              <w:pStyle w:val="ListParagraph"/>
              <w:numPr>
                <w:ilvl w:val="0"/>
                <w:numId w:val="13"/>
              </w:numPr>
              <w:autoSpaceDE w:val="0"/>
              <w:autoSpaceDN w:val="0"/>
              <w:adjustRightInd w:val="0"/>
              <w:spacing w:before="0" w:after="0"/>
              <w:rPr>
                <w:rFonts w:cstheme="majorHAnsi"/>
                <w:sz w:val="18"/>
                <w:szCs w:val="18"/>
              </w:rPr>
            </w:pPr>
            <w:r w:rsidRPr="00B10CFA">
              <w:rPr>
                <w:rFonts w:cstheme="majorHAnsi"/>
                <w:sz w:val="18"/>
                <w:szCs w:val="18"/>
              </w:rPr>
              <w:t>Improved cancer detection</w:t>
            </w:r>
            <w:r>
              <w:rPr>
                <w:rFonts w:cstheme="majorHAnsi"/>
                <w:sz w:val="18"/>
                <w:szCs w:val="18"/>
              </w:rPr>
              <w:t xml:space="preserve"> compared to FFDM alone</w:t>
            </w:r>
          </w:p>
          <w:p w14:paraId="08E98BDB" w14:textId="77777777" w:rsidR="00FF61D8" w:rsidRPr="00B10CFA" w:rsidRDefault="00FF61D8" w:rsidP="00FF61D8">
            <w:pPr>
              <w:pStyle w:val="ListParagraph"/>
              <w:numPr>
                <w:ilvl w:val="0"/>
                <w:numId w:val="13"/>
              </w:numPr>
              <w:autoSpaceDE w:val="0"/>
              <w:autoSpaceDN w:val="0"/>
              <w:adjustRightInd w:val="0"/>
              <w:spacing w:before="0" w:after="0"/>
              <w:rPr>
                <w:rFonts w:cstheme="majorHAnsi"/>
                <w:sz w:val="18"/>
                <w:szCs w:val="18"/>
              </w:rPr>
            </w:pPr>
            <w:r w:rsidRPr="00B10CFA">
              <w:rPr>
                <w:rFonts w:cstheme="majorHAnsi"/>
                <w:sz w:val="18"/>
                <w:szCs w:val="18"/>
              </w:rPr>
              <w:t>Reduced false-positives</w:t>
            </w:r>
            <w:r>
              <w:rPr>
                <w:rFonts w:cstheme="majorHAnsi"/>
                <w:sz w:val="18"/>
                <w:szCs w:val="18"/>
              </w:rPr>
              <w:t xml:space="preserve"> and recalls compared to FFDM alone</w:t>
            </w:r>
          </w:p>
          <w:p w14:paraId="02A70FF4" w14:textId="77777777" w:rsidR="00FF61D8" w:rsidRPr="00B10CFA" w:rsidRDefault="00FF61D8" w:rsidP="00FF61D8">
            <w:pPr>
              <w:pStyle w:val="ListParagraph"/>
              <w:numPr>
                <w:ilvl w:val="0"/>
                <w:numId w:val="13"/>
              </w:numPr>
              <w:autoSpaceDE w:val="0"/>
              <w:autoSpaceDN w:val="0"/>
              <w:adjustRightInd w:val="0"/>
              <w:spacing w:before="0" w:after="0"/>
              <w:rPr>
                <w:rFonts w:cstheme="majorHAnsi"/>
                <w:sz w:val="18"/>
                <w:szCs w:val="18"/>
              </w:rPr>
            </w:pPr>
            <w:r>
              <w:rPr>
                <w:rFonts w:cstheme="majorHAnsi"/>
                <w:sz w:val="18"/>
                <w:szCs w:val="18"/>
              </w:rPr>
              <w:t>Can be o</w:t>
            </w:r>
            <w:r w:rsidRPr="00B10CFA">
              <w:rPr>
                <w:rFonts w:cstheme="majorHAnsi"/>
                <w:sz w:val="18"/>
                <w:szCs w:val="18"/>
              </w:rPr>
              <w:t xml:space="preserve">btained </w:t>
            </w:r>
            <w:r>
              <w:rPr>
                <w:rFonts w:cstheme="majorHAnsi"/>
                <w:sz w:val="18"/>
                <w:szCs w:val="18"/>
              </w:rPr>
              <w:t>in a single compression at the same time as FFDM</w:t>
            </w:r>
          </w:p>
          <w:p w14:paraId="5E1BAA61" w14:textId="69702D72" w:rsidR="00FF61D8" w:rsidRDefault="00FF61D8" w:rsidP="00FF61D8">
            <w:pPr>
              <w:pStyle w:val="ListParagraph"/>
              <w:numPr>
                <w:ilvl w:val="0"/>
                <w:numId w:val="13"/>
              </w:numPr>
              <w:autoSpaceDE w:val="0"/>
              <w:autoSpaceDN w:val="0"/>
              <w:adjustRightInd w:val="0"/>
              <w:spacing w:before="0" w:after="0"/>
              <w:rPr>
                <w:rFonts w:cstheme="majorHAnsi"/>
                <w:sz w:val="18"/>
                <w:szCs w:val="18"/>
              </w:rPr>
            </w:pPr>
            <w:r>
              <w:rPr>
                <w:rFonts w:cstheme="majorHAnsi"/>
                <w:sz w:val="18"/>
                <w:szCs w:val="18"/>
              </w:rPr>
              <w:t>Is becoming w</w:t>
            </w:r>
            <w:r w:rsidRPr="00B10CFA">
              <w:rPr>
                <w:rFonts w:cstheme="majorHAnsi"/>
                <w:sz w:val="18"/>
                <w:szCs w:val="18"/>
              </w:rPr>
              <w:t>idely available</w:t>
            </w:r>
          </w:p>
          <w:p w14:paraId="637C01D6" w14:textId="6664218E" w:rsidR="00FF61D8" w:rsidRPr="00FF61D8" w:rsidRDefault="00FF61D8" w:rsidP="00FF61D8">
            <w:pPr>
              <w:pStyle w:val="ListParagraph"/>
              <w:numPr>
                <w:ilvl w:val="0"/>
                <w:numId w:val="13"/>
              </w:numPr>
              <w:autoSpaceDE w:val="0"/>
              <w:autoSpaceDN w:val="0"/>
              <w:adjustRightInd w:val="0"/>
              <w:spacing w:before="0" w:after="0"/>
              <w:rPr>
                <w:rFonts w:cstheme="majorHAnsi"/>
                <w:sz w:val="18"/>
                <w:szCs w:val="18"/>
              </w:rPr>
            </w:pPr>
            <w:r w:rsidRPr="00FF61D8">
              <w:rPr>
                <w:rFonts w:cstheme="majorHAnsi"/>
                <w:sz w:val="18"/>
                <w:szCs w:val="18"/>
              </w:rPr>
              <w:t>Could be adopted as a primary screening modality</w:t>
            </w:r>
          </w:p>
        </w:tc>
        <w:tc>
          <w:tcPr>
            <w:tcW w:w="3997" w:type="dxa"/>
          </w:tcPr>
          <w:p w14:paraId="2A683F05" w14:textId="77777777" w:rsidR="00FF61D8" w:rsidRPr="00B10CFA" w:rsidRDefault="00FF61D8" w:rsidP="00FF61D8">
            <w:pPr>
              <w:pStyle w:val="ListParagraph"/>
              <w:numPr>
                <w:ilvl w:val="0"/>
                <w:numId w:val="13"/>
              </w:numPr>
              <w:autoSpaceDE w:val="0"/>
              <w:autoSpaceDN w:val="0"/>
              <w:adjustRightInd w:val="0"/>
              <w:spacing w:before="0" w:after="0"/>
              <w:rPr>
                <w:rFonts w:cstheme="majorHAnsi"/>
                <w:sz w:val="18"/>
                <w:szCs w:val="18"/>
              </w:rPr>
            </w:pPr>
            <w:r w:rsidRPr="00B10CFA">
              <w:rPr>
                <w:rFonts w:cstheme="majorHAnsi"/>
                <w:sz w:val="18"/>
                <w:szCs w:val="18"/>
              </w:rPr>
              <w:t xml:space="preserve">Additional ionizing radiation when added to </w:t>
            </w:r>
            <w:r>
              <w:rPr>
                <w:rFonts w:cstheme="majorHAnsi"/>
                <w:sz w:val="18"/>
                <w:szCs w:val="18"/>
              </w:rPr>
              <w:t>FFDM (approximately double the dose, although newer synthesised DM techniques result in a decreased dose)</w:t>
            </w:r>
          </w:p>
          <w:p w14:paraId="7C467502" w14:textId="77777777" w:rsidR="00FF61D8" w:rsidRDefault="00FF61D8" w:rsidP="00FF61D8">
            <w:pPr>
              <w:pStyle w:val="ListParagraph"/>
              <w:numPr>
                <w:ilvl w:val="0"/>
                <w:numId w:val="13"/>
              </w:numPr>
              <w:autoSpaceDE w:val="0"/>
              <w:autoSpaceDN w:val="0"/>
              <w:adjustRightInd w:val="0"/>
              <w:spacing w:before="0" w:after="0"/>
              <w:rPr>
                <w:rFonts w:cstheme="majorHAnsi"/>
                <w:sz w:val="18"/>
                <w:szCs w:val="18"/>
              </w:rPr>
            </w:pPr>
            <w:r w:rsidRPr="00B10CFA">
              <w:rPr>
                <w:rFonts w:cstheme="majorHAnsi"/>
                <w:sz w:val="18"/>
                <w:szCs w:val="18"/>
              </w:rPr>
              <w:t xml:space="preserve">Additional out-of-pocket costs if </w:t>
            </w:r>
            <w:r>
              <w:rPr>
                <w:rFonts w:cstheme="majorHAnsi"/>
                <w:sz w:val="18"/>
                <w:szCs w:val="18"/>
              </w:rPr>
              <w:t>funders</w:t>
            </w:r>
            <w:r w:rsidRPr="00B10CFA">
              <w:rPr>
                <w:rFonts w:cstheme="majorHAnsi"/>
                <w:sz w:val="18"/>
                <w:szCs w:val="18"/>
              </w:rPr>
              <w:t xml:space="preserve"> do not cover it</w:t>
            </w:r>
          </w:p>
          <w:p w14:paraId="275F4FC7" w14:textId="77777777" w:rsidR="00FF61D8" w:rsidRDefault="00FF61D8" w:rsidP="00FF61D8"/>
        </w:tc>
      </w:tr>
      <w:tr w:rsidR="00FF61D8" w14:paraId="1A7EC0F8" w14:textId="77777777" w:rsidTr="00FF61D8">
        <w:tc>
          <w:tcPr>
            <w:tcW w:w="1134" w:type="dxa"/>
          </w:tcPr>
          <w:p w14:paraId="02CD405F" w14:textId="203BF035" w:rsidR="00FF61D8" w:rsidRDefault="00FF61D8" w:rsidP="00FF61D8">
            <w:r w:rsidRPr="00B10CFA">
              <w:rPr>
                <w:rFonts w:cstheme="majorHAnsi"/>
                <w:b/>
                <w:sz w:val="18"/>
                <w:szCs w:val="18"/>
              </w:rPr>
              <w:t>MRI</w:t>
            </w:r>
          </w:p>
        </w:tc>
        <w:tc>
          <w:tcPr>
            <w:tcW w:w="3997" w:type="dxa"/>
          </w:tcPr>
          <w:p w14:paraId="0AC6A3EF" w14:textId="77777777"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Highest sensitivity for detecting additional cancers</w:t>
            </w:r>
          </w:p>
          <w:p w14:paraId="172B21FB" w14:textId="64A78C85" w:rsidR="00FF61D8" w:rsidRP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FF61D8">
              <w:rPr>
                <w:rFonts w:cstheme="majorHAnsi"/>
                <w:sz w:val="18"/>
                <w:szCs w:val="18"/>
              </w:rPr>
              <w:t>No ionizing radiation</w:t>
            </w:r>
          </w:p>
        </w:tc>
        <w:tc>
          <w:tcPr>
            <w:tcW w:w="3997" w:type="dxa"/>
          </w:tcPr>
          <w:p w14:paraId="748CC343" w14:textId="77777777" w:rsidR="00FF61D8" w:rsidRPr="00B10CFA"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Not widely available</w:t>
            </w:r>
          </w:p>
          <w:p w14:paraId="572BC90A" w14:textId="77777777" w:rsidR="00FF61D8" w:rsidRPr="00B10CFA"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Requires intravenous gadolinium injection</w:t>
            </w:r>
            <w:r>
              <w:rPr>
                <w:rFonts w:cstheme="majorHAnsi"/>
                <w:sz w:val="18"/>
                <w:szCs w:val="18"/>
              </w:rPr>
              <w:t xml:space="preserve"> (although less allergenic than other iodine-based contrasting agents)</w:t>
            </w:r>
          </w:p>
          <w:p w14:paraId="45CC6D75" w14:textId="77777777" w:rsidR="00FF61D8" w:rsidRPr="00B10CFA"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Increased false-positives</w:t>
            </w:r>
          </w:p>
          <w:p w14:paraId="4E8FFFC3" w14:textId="77777777" w:rsidR="00FF61D8" w:rsidRPr="00B10CFA"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Increased benign biopsies</w:t>
            </w:r>
          </w:p>
          <w:p w14:paraId="0553C904" w14:textId="77777777"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 xml:space="preserve">Additional out-of-pocket costs if </w:t>
            </w:r>
            <w:r>
              <w:rPr>
                <w:rFonts w:cstheme="majorHAnsi"/>
                <w:sz w:val="18"/>
                <w:szCs w:val="18"/>
              </w:rPr>
              <w:t>funders</w:t>
            </w:r>
            <w:r w:rsidRPr="00B10CFA">
              <w:rPr>
                <w:rFonts w:cstheme="majorHAnsi"/>
                <w:sz w:val="18"/>
                <w:szCs w:val="18"/>
              </w:rPr>
              <w:t xml:space="preserve"> do not cover it</w:t>
            </w:r>
          </w:p>
          <w:p w14:paraId="7A534483" w14:textId="33355B06"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Pr>
                <w:rFonts w:cstheme="majorHAnsi"/>
                <w:sz w:val="18"/>
                <w:szCs w:val="18"/>
              </w:rPr>
              <w:t>Limited ability to identify non-invasive cancer</w:t>
            </w:r>
          </w:p>
          <w:p w14:paraId="67786048" w14:textId="77777777"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Pr>
                <w:rFonts w:cstheme="majorHAnsi"/>
                <w:sz w:val="18"/>
                <w:szCs w:val="18"/>
              </w:rPr>
              <w:t>Relatively cost and time intensive</w:t>
            </w:r>
          </w:p>
          <w:p w14:paraId="10128C64" w14:textId="20F1CD86"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Pr>
                <w:rFonts w:cstheme="majorHAnsi"/>
                <w:sz w:val="18"/>
                <w:szCs w:val="18"/>
              </w:rPr>
              <w:t>Requires experienced radiologists to conduct screening</w:t>
            </w:r>
          </w:p>
          <w:p w14:paraId="6CC346C4" w14:textId="32A090D3" w:rsidR="00FF61D8" w:rsidRPr="0027172C" w:rsidRDefault="00FF61D8" w:rsidP="00FF61D8">
            <w:pPr>
              <w:pStyle w:val="ListParagraph"/>
              <w:numPr>
                <w:ilvl w:val="0"/>
                <w:numId w:val="15"/>
              </w:numPr>
              <w:autoSpaceDE w:val="0"/>
              <w:autoSpaceDN w:val="0"/>
              <w:adjustRightInd w:val="0"/>
              <w:spacing w:before="0" w:after="0"/>
              <w:rPr>
                <w:rFonts w:cstheme="majorHAnsi"/>
                <w:sz w:val="18"/>
                <w:szCs w:val="18"/>
              </w:rPr>
            </w:pPr>
            <w:r w:rsidRPr="0027172C">
              <w:rPr>
                <w:rFonts w:cstheme="majorHAnsi"/>
                <w:sz w:val="18"/>
                <w:szCs w:val="18"/>
              </w:rPr>
              <w:t>Can be issues with claustrophobia</w:t>
            </w:r>
          </w:p>
        </w:tc>
      </w:tr>
      <w:tr w:rsidR="00FF61D8" w14:paraId="1E7F818E" w14:textId="77777777" w:rsidTr="00FF61D8">
        <w:tc>
          <w:tcPr>
            <w:tcW w:w="1134" w:type="dxa"/>
          </w:tcPr>
          <w:p w14:paraId="0BBDB600" w14:textId="06527464" w:rsidR="00FF61D8" w:rsidRDefault="00FF61D8" w:rsidP="00FF61D8">
            <w:r>
              <w:rPr>
                <w:rFonts w:cstheme="majorHAnsi"/>
                <w:b/>
                <w:sz w:val="18"/>
                <w:szCs w:val="18"/>
              </w:rPr>
              <w:t>MBI</w:t>
            </w:r>
          </w:p>
        </w:tc>
        <w:tc>
          <w:tcPr>
            <w:tcW w:w="3997" w:type="dxa"/>
          </w:tcPr>
          <w:p w14:paraId="2447CF4F" w14:textId="77777777" w:rsidR="00FF61D8" w:rsidRPr="00B10CFA" w:rsidRDefault="00FF61D8" w:rsidP="00FF61D8">
            <w:pPr>
              <w:pStyle w:val="ListParagraph"/>
              <w:numPr>
                <w:ilvl w:val="0"/>
                <w:numId w:val="16"/>
              </w:numPr>
              <w:autoSpaceDE w:val="0"/>
              <w:autoSpaceDN w:val="0"/>
              <w:adjustRightInd w:val="0"/>
              <w:spacing w:before="0" w:after="0"/>
              <w:rPr>
                <w:rFonts w:cstheme="majorHAnsi"/>
                <w:sz w:val="18"/>
                <w:szCs w:val="18"/>
              </w:rPr>
            </w:pPr>
            <w:r w:rsidRPr="00B10CFA">
              <w:rPr>
                <w:rFonts w:cstheme="majorHAnsi"/>
                <w:sz w:val="18"/>
                <w:szCs w:val="18"/>
              </w:rPr>
              <w:t>Improved cancer detection</w:t>
            </w:r>
            <w:r>
              <w:rPr>
                <w:rFonts w:cstheme="majorHAnsi"/>
                <w:sz w:val="18"/>
                <w:szCs w:val="18"/>
              </w:rPr>
              <w:t xml:space="preserve"> compared to FFDM</w:t>
            </w:r>
          </w:p>
          <w:p w14:paraId="71E8DF44" w14:textId="27129F05"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Potentially improved specificity</w:t>
            </w:r>
          </w:p>
          <w:p w14:paraId="07FBD18E" w14:textId="0DCA1E2E" w:rsidR="00FF61D8" w:rsidRP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FF61D8">
              <w:rPr>
                <w:rFonts w:cstheme="majorHAnsi"/>
                <w:sz w:val="18"/>
                <w:szCs w:val="18"/>
              </w:rPr>
              <w:t>Improved ability to detect sub-centimetre lesions</w:t>
            </w:r>
          </w:p>
        </w:tc>
        <w:tc>
          <w:tcPr>
            <w:tcW w:w="3997" w:type="dxa"/>
          </w:tcPr>
          <w:p w14:paraId="1DF48289" w14:textId="77777777" w:rsidR="00FF61D8" w:rsidRPr="00B10CFA" w:rsidRDefault="00FF61D8" w:rsidP="00FF61D8">
            <w:pPr>
              <w:pStyle w:val="ListParagraph"/>
              <w:numPr>
                <w:ilvl w:val="0"/>
                <w:numId w:val="16"/>
              </w:numPr>
              <w:autoSpaceDE w:val="0"/>
              <w:autoSpaceDN w:val="0"/>
              <w:adjustRightInd w:val="0"/>
              <w:spacing w:before="0" w:after="0"/>
              <w:rPr>
                <w:rFonts w:cstheme="majorHAnsi"/>
                <w:sz w:val="18"/>
                <w:szCs w:val="18"/>
              </w:rPr>
            </w:pPr>
            <w:r w:rsidRPr="00B10CFA">
              <w:rPr>
                <w:rFonts w:cstheme="majorHAnsi"/>
                <w:sz w:val="18"/>
                <w:szCs w:val="18"/>
              </w:rPr>
              <w:t>Not widely available</w:t>
            </w:r>
          </w:p>
          <w:p w14:paraId="4840819C" w14:textId="77777777" w:rsidR="00FF61D8" w:rsidRPr="00B10CFA" w:rsidRDefault="00FF61D8" w:rsidP="00FF61D8">
            <w:pPr>
              <w:pStyle w:val="ListParagraph"/>
              <w:numPr>
                <w:ilvl w:val="0"/>
                <w:numId w:val="16"/>
              </w:numPr>
              <w:autoSpaceDE w:val="0"/>
              <w:autoSpaceDN w:val="0"/>
              <w:adjustRightInd w:val="0"/>
              <w:spacing w:before="0" w:after="0"/>
              <w:rPr>
                <w:rFonts w:cstheme="majorHAnsi"/>
                <w:sz w:val="18"/>
                <w:szCs w:val="18"/>
              </w:rPr>
            </w:pPr>
            <w:r w:rsidRPr="00B10CFA">
              <w:rPr>
                <w:rFonts w:cstheme="majorHAnsi"/>
                <w:sz w:val="18"/>
                <w:szCs w:val="18"/>
              </w:rPr>
              <w:t>Requires intravenous radioactive tracer injection</w:t>
            </w:r>
          </w:p>
          <w:p w14:paraId="6DB90E38" w14:textId="34F3FBB7" w:rsid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B10CFA">
              <w:rPr>
                <w:rFonts w:cstheme="majorHAnsi"/>
                <w:sz w:val="18"/>
                <w:szCs w:val="18"/>
              </w:rPr>
              <w:t>Additional ionizing radiation</w:t>
            </w:r>
          </w:p>
          <w:p w14:paraId="62A2E6DC" w14:textId="6F635E4C" w:rsidR="00FF61D8" w:rsidRPr="00FF61D8" w:rsidRDefault="00FF61D8" w:rsidP="00FF61D8">
            <w:pPr>
              <w:pStyle w:val="ListParagraph"/>
              <w:numPr>
                <w:ilvl w:val="0"/>
                <w:numId w:val="15"/>
              </w:numPr>
              <w:autoSpaceDE w:val="0"/>
              <w:autoSpaceDN w:val="0"/>
              <w:adjustRightInd w:val="0"/>
              <w:spacing w:before="0" w:after="0"/>
              <w:rPr>
                <w:rFonts w:cstheme="majorHAnsi"/>
                <w:sz w:val="18"/>
                <w:szCs w:val="18"/>
              </w:rPr>
            </w:pPr>
            <w:r w:rsidRPr="00FF61D8">
              <w:rPr>
                <w:rFonts w:cstheme="majorHAnsi"/>
                <w:sz w:val="18"/>
                <w:szCs w:val="18"/>
              </w:rPr>
              <w:t>Relatively time-intensive</w:t>
            </w:r>
          </w:p>
        </w:tc>
      </w:tr>
      <w:tr w:rsidR="00FF61D8" w14:paraId="7E79E1C0" w14:textId="77777777" w:rsidTr="00FF61D8">
        <w:tc>
          <w:tcPr>
            <w:tcW w:w="1134" w:type="dxa"/>
          </w:tcPr>
          <w:p w14:paraId="005B8F2F" w14:textId="62E4E8D9" w:rsidR="00FF61D8" w:rsidRDefault="00FF61D8" w:rsidP="00FF61D8">
            <w:pPr>
              <w:rPr>
                <w:rFonts w:cstheme="majorHAnsi"/>
                <w:b/>
                <w:sz w:val="18"/>
                <w:szCs w:val="18"/>
              </w:rPr>
            </w:pPr>
            <w:r>
              <w:rPr>
                <w:rFonts w:cstheme="majorHAnsi"/>
                <w:b/>
                <w:sz w:val="18"/>
                <w:szCs w:val="18"/>
              </w:rPr>
              <w:t>U</w:t>
            </w:r>
            <w:r w:rsidRPr="00B10CFA">
              <w:rPr>
                <w:rFonts w:cstheme="majorHAnsi"/>
                <w:b/>
                <w:sz w:val="18"/>
                <w:szCs w:val="18"/>
              </w:rPr>
              <w:t>ltrasonography</w:t>
            </w:r>
          </w:p>
        </w:tc>
        <w:tc>
          <w:tcPr>
            <w:tcW w:w="3997" w:type="dxa"/>
          </w:tcPr>
          <w:p w14:paraId="02C5B2AA" w14:textId="77777777" w:rsidR="00FF61D8" w:rsidRPr="00B10CFA" w:rsidRDefault="00FF61D8" w:rsidP="00FF61D8">
            <w:pPr>
              <w:pStyle w:val="ListParagraph"/>
              <w:numPr>
                <w:ilvl w:val="0"/>
                <w:numId w:val="14"/>
              </w:numPr>
              <w:autoSpaceDE w:val="0"/>
              <w:autoSpaceDN w:val="0"/>
              <w:adjustRightInd w:val="0"/>
              <w:spacing w:before="0" w:after="0"/>
              <w:rPr>
                <w:rFonts w:cstheme="majorHAnsi"/>
                <w:sz w:val="18"/>
                <w:szCs w:val="18"/>
              </w:rPr>
            </w:pPr>
            <w:r w:rsidRPr="00B10CFA">
              <w:rPr>
                <w:rFonts w:cstheme="majorHAnsi"/>
                <w:sz w:val="18"/>
                <w:szCs w:val="18"/>
              </w:rPr>
              <w:t>Widely available</w:t>
            </w:r>
          </w:p>
          <w:p w14:paraId="7563D176" w14:textId="77777777" w:rsidR="00FF61D8" w:rsidRPr="00B10CFA" w:rsidRDefault="00FF61D8" w:rsidP="00FF61D8">
            <w:pPr>
              <w:pStyle w:val="ListParagraph"/>
              <w:numPr>
                <w:ilvl w:val="0"/>
                <w:numId w:val="14"/>
              </w:numPr>
              <w:autoSpaceDE w:val="0"/>
              <w:autoSpaceDN w:val="0"/>
              <w:adjustRightInd w:val="0"/>
              <w:spacing w:before="0" w:after="0"/>
              <w:rPr>
                <w:rFonts w:cstheme="majorHAnsi"/>
                <w:sz w:val="18"/>
                <w:szCs w:val="18"/>
              </w:rPr>
            </w:pPr>
            <w:r w:rsidRPr="00B10CFA">
              <w:rPr>
                <w:rFonts w:cstheme="majorHAnsi"/>
                <w:sz w:val="18"/>
                <w:szCs w:val="18"/>
              </w:rPr>
              <w:lastRenderedPageBreak/>
              <w:t>Improved cancer detection</w:t>
            </w:r>
            <w:r>
              <w:rPr>
                <w:rFonts w:cstheme="majorHAnsi"/>
                <w:sz w:val="18"/>
                <w:szCs w:val="18"/>
              </w:rPr>
              <w:t xml:space="preserve"> when used as an adjunct screening test with FFDM </w:t>
            </w:r>
          </w:p>
          <w:p w14:paraId="5390BB4A" w14:textId="1167946F" w:rsidR="00FF61D8" w:rsidRPr="00B10CFA" w:rsidRDefault="00FF61D8" w:rsidP="00FF61D8">
            <w:pPr>
              <w:pStyle w:val="ListParagraph"/>
              <w:numPr>
                <w:ilvl w:val="0"/>
                <w:numId w:val="16"/>
              </w:numPr>
              <w:autoSpaceDE w:val="0"/>
              <w:autoSpaceDN w:val="0"/>
              <w:adjustRightInd w:val="0"/>
              <w:spacing w:before="0" w:after="0"/>
              <w:rPr>
                <w:rFonts w:cstheme="majorHAnsi"/>
                <w:sz w:val="18"/>
                <w:szCs w:val="18"/>
              </w:rPr>
            </w:pPr>
            <w:r w:rsidRPr="00B10CFA">
              <w:rPr>
                <w:rFonts w:cstheme="majorHAnsi"/>
                <w:sz w:val="18"/>
                <w:szCs w:val="18"/>
              </w:rPr>
              <w:t>No ionizing radiation</w:t>
            </w:r>
          </w:p>
        </w:tc>
        <w:tc>
          <w:tcPr>
            <w:tcW w:w="3997" w:type="dxa"/>
          </w:tcPr>
          <w:p w14:paraId="4DB61468" w14:textId="77777777" w:rsidR="00FF61D8" w:rsidRPr="00B10CFA" w:rsidRDefault="00FF61D8" w:rsidP="00FF61D8">
            <w:pPr>
              <w:pStyle w:val="ListParagraph"/>
              <w:numPr>
                <w:ilvl w:val="0"/>
                <w:numId w:val="14"/>
              </w:numPr>
              <w:autoSpaceDE w:val="0"/>
              <w:autoSpaceDN w:val="0"/>
              <w:adjustRightInd w:val="0"/>
              <w:spacing w:before="0" w:after="0"/>
              <w:rPr>
                <w:rFonts w:cstheme="majorHAnsi"/>
                <w:sz w:val="18"/>
                <w:szCs w:val="18"/>
              </w:rPr>
            </w:pPr>
            <w:r w:rsidRPr="00B10CFA">
              <w:rPr>
                <w:rFonts w:cstheme="majorHAnsi"/>
                <w:sz w:val="18"/>
                <w:szCs w:val="18"/>
              </w:rPr>
              <w:lastRenderedPageBreak/>
              <w:t>Highly operator</w:t>
            </w:r>
            <w:r>
              <w:rPr>
                <w:rFonts w:cstheme="majorHAnsi"/>
                <w:sz w:val="18"/>
                <w:szCs w:val="18"/>
              </w:rPr>
              <w:t>-</w:t>
            </w:r>
            <w:r w:rsidRPr="00B10CFA">
              <w:rPr>
                <w:rFonts w:cstheme="majorHAnsi"/>
                <w:sz w:val="18"/>
                <w:szCs w:val="18"/>
              </w:rPr>
              <w:t>dependent</w:t>
            </w:r>
          </w:p>
          <w:p w14:paraId="5D39A874" w14:textId="77777777" w:rsidR="00FF61D8" w:rsidRPr="00B10CFA" w:rsidRDefault="00FF61D8" w:rsidP="00FF61D8">
            <w:pPr>
              <w:pStyle w:val="ListParagraph"/>
              <w:numPr>
                <w:ilvl w:val="0"/>
                <w:numId w:val="14"/>
              </w:numPr>
              <w:autoSpaceDE w:val="0"/>
              <w:autoSpaceDN w:val="0"/>
              <w:adjustRightInd w:val="0"/>
              <w:spacing w:before="0" w:after="0"/>
              <w:rPr>
                <w:rFonts w:cstheme="majorHAnsi"/>
                <w:sz w:val="18"/>
                <w:szCs w:val="18"/>
              </w:rPr>
            </w:pPr>
            <w:r w:rsidRPr="00B10CFA">
              <w:rPr>
                <w:rFonts w:cstheme="majorHAnsi"/>
                <w:sz w:val="18"/>
                <w:szCs w:val="18"/>
              </w:rPr>
              <w:t>Increased false-positives</w:t>
            </w:r>
          </w:p>
          <w:p w14:paraId="08005FB5" w14:textId="77777777" w:rsidR="00FF61D8" w:rsidRPr="00B10CFA" w:rsidRDefault="00FF61D8" w:rsidP="00FF61D8">
            <w:pPr>
              <w:pStyle w:val="ListParagraph"/>
              <w:numPr>
                <w:ilvl w:val="0"/>
                <w:numId w:val="14"/>
              </w:numPr>
              <w:autoSpaceDE w:val="0"/>
              <w:autoSpaceDN w:val="0"/>
              <w:adjustRightInd w:val="0"/>
              <w:spacing w:before="0" w:after="0"/>
              <w:rPr>
                <w:rFonts w:cstheme="majorHAnsi"/>
                <w:sz w:val="18"/>
                <w:szCs w:val="18"/>
              </w:rPr>
            </w:pPr>
            <w:r w:rsidRPr="00B10CFA">
              <w:rPr>
                <w:rFonts w:cstheme="majorHAnsi"/>
                <w:sz w:val="18"/>
                <w:szCs w:val="18"/>
              </w:rPr>
              <w:lastRenderedPageBreak/>
              <w:t>Increased benign biopsies</w:t>
            </w:r>
          </w:p>
          <w:p w14:paraId="726DEF15" w14:textId="11645602" w:rsidR="00FF61D8" w:rsidRPr="00B10CFA" w:rsidRDefault="00FF61D8" w:rsidP="00FF61D8">
            <w:pPr>
              <w:pStyle w:val="ListParagraph"/>
              <w:numPr>
                <w:ilvl w:val="0"/>
                <w:numId w:val="16"/>
              </w:numPr>
              <w:autoSpaceDE w:val="0"/>
              <w:autoSpaceDN w:val="0"/>
              <w:adjustRightInd w:val="0"/>
              <w:spacing w:before="0" w:after="0"/>
              <w:rPr>
                <w:rFonts w:cstheme="majorHAnsi"/>
                <w:sz w:val="18"/>
                <w:szCs w:val="18"/>
              </w:rPr>
            </w:pPr>
            <w:r w:rsidRPr="00B10CFA">
              <w:rPr>
                <w:rFonts w:cstheme="majorHAnsi"/>
                <w:sz w:val="18"/>
                <w:szCs w:val="18"/>
              </w:rPr>
              <w:t xml:space="preserve">Additional out-of-pocket costs if </w:t>
            </w:r>
            <w:r>
              <w:rPr>
                <w:rFonts w:cstheme="majorHAnsi"/>
                <w:sz w:val="18"/>
                <w:szCs w:val="18"/>
              </w:rPr>
              <w:t>funders</w:t>
            </w:r>
            <w:r w:rsidRPr="00B10CFA">
              <w:rPr>
                <w:rFonts w:cstheme="majorHAnsi"/>
                <w:sz w:val="18"/>
                <w:szCs w:val="18"/>
              </w:rPr>
              <w:t xml:space="preserve"> do not cover it</w:t>
            </w:r>
          </w:p>
        </w:tc>
      </w:tr>
    </w:tbl>
    <w:p w14:paraId="55566234" w14:textId="77777777" w:rsidR="003A536A" w:rsidRDefault="003A536A" w:rsidP="003A536A">
      <w:pPr>
        <w:pStyle w:val="NumberedHeading3"/>
        <w:ind w:left="851" w:hanging="851"/>
      </w:pPr>
      <w:bookmarkStart w:id="92" w:name="_Toc507914440"/>
      <w:bookmarkStart w:id="93" w:name="_Toc507976165"/>
      <w:bookmarkStart w:id="94" w:name="_Toc518922217"/>
      <w:r>
        <w:lastRenderedPageBreak/>
        <w:t xml:space="preserve">Screening with </w:t>
      </w:r>
      <w:r w:rsidR="00962232" w:rsidRPr="0044553E">
        <w:t>supplementa</w:t>
      </w:r>
      <w:r w:rsidR="00962232">
        <w:t>l</w:t>
      </w:r>
      <w:r>
        <w:t xml:space="preserve"> imaging modalities for women with more dense breasts</w:t>
      </w:r>
      <w:bookmarkEnd w:id="92"/>
      <w:bookmarkEnd w:id="93"/>
      <w:bookmarkEnd w:id="94"/>
    </w:p>
    <w:p w14:paraId="6E024C10" w14:textId="33A87E16" w:rsidR="003A536A" w:rsidRPr="003D7FE8" w:rsidRDefault="003A536A" w:rsidP="003A536A">
      <w:pPr>
        <w:pStyle w:val="BodyText"/>
      </w:pPr>
      <w:r w:rsidRPr="0030146A">
        <w:t>T</w:t>
      </w:r>
      <w:r>
        <w:t xml:space="preserve">he section below outlines the current literature around </w:t>
      </w:r>
      <w:r w:rsidR="00962232" w:rsidRPr="0044553E">
        <w:t>supplementa</w:t>
      </w:r>
      <w:r w:rsidR="00962232">
        <w:t>l</w:t>
      </w:r>
      <w:r>
        <w:t xml:space="preserve"> </w:t>
      </w:r>
      <w:r w:rsidR="00BC46C7">
        <w:t>testing</w:t>
      </w:r>
      <w:r>
        <w:t xml:space="preserve"> in addition to mammography in women with dense breasts. Unless otherwise noted, all discussion refers to screening that is adjunct to FFDM.</w:t>
      </w:r>
    </w:p>
    <w:p w14:paraId="692D0695" w14:textId="77777777" w:rsidR="003A536A" w:rsidRPr="00A73E92" w:rsidRDefault="003A536A" w:rsidP="00A73E92">
      <w:pPr>
        <w:pStyle w:val="BodyText"/>
        <w:rPr>
          <w:rFonts w:asciiTheme="majorHAnsi" w:hAnsiTheme="majorHAnsi"/>
          <w:b/>
          <w:color w:val="36424A" w:themeColor="text2"/>
          <w:sz w:val="24"/>
        </w:rPr>
      </w:pPr>
      <w:r w:rsidRPr="00A73E92">
        <w:rPr>
          <w:rFonts w:asciiTheme="majorHAnsi" w:hAnsiTheme="majorHAnsi"/>
          <w:b/>
          <w:color w:val="36424A" w:themeColor="text2"/>
          <w:sz w:val="24"/>
        </w:rPr>
        <w:t>DBT</w:t>
      </w:r>
    </w:p>
    <w:p w14:paraId="7F627D3C" w14:textId="4D040E9A" w:rsidR="003A536A" w:rsidRPr="0057124C" w:rsidRDefault="003A536A" w:rsidP="003A536A">
      <w:pPr>
        <w:pStyle w:val="BodyText"/>
      </w:pPr>
      <w:r w:rsidRPr="00252C48">
        <w:rPr>
          <w:rStyle w:val="BodyTextChar"/>
        </w:rPr>
        <w:t>DBT has been approved by the US Food and Drug Administration</w:t>
      </w:r>
      <w:r w:rsidR="009F6139">
        <w:rPr>
          <w:rStyle w:val="BodyTextChar"/>
        </w:rPr>
        <w:t xml:space="preserve"> and the EU</w:t>
      </w:r>
      <w:r w:rsidRPr="00252C48">
        <w:rPr>
          <w:rStyle w:val="BodyTextChar"/>
        </w:rPr>
        <w:t xml:space="preserve"> for routine clinical use as an adjunct to standard mammography. No reviews demonstrating mortality reduction in women who received supplemental </w:t>
      </w:r>
      <w:r w:rsidR="00BC46C7">
        <w:rPr>
          <w:rStyle w:val="BodyTextChar"/>
        </w:rPr>
        <w:t>testing</w:t>
      </w:r>
      <w:r w:rsidRPr="00252C48">
        <w:rPr>
          <w:rStyle w:val="BodyTextChar"/>
        </w:rPr>
        <w:t xml:space="preserve"> </w:t>
      </w:r>
      <w:r>
        <w:rPr>
          <w:rStyle w:val="BodyTextChar"/>
        </w:rPr>
        <w:t xml:space="preserve">with DBT </w:t>
      </w:r>
      <w:r w:rsidRPr="00252C48">
        <w:rPr>
          <w:rStyle w:val="BodyTextChar"/>
        </w:rPr>
        <w:t>exist</w:t>
      </w:r>
      <w:r w:rsidR="00A514D4">
        <w:rPr>
          <w:rStyle w:val="BodyTextChar"/>
        </w:rPr>
        <w:t xml:space="preserve">. That said, </w:t>
      </w:r>
      <w:r>
        <w:t xml:space="preserve">DBT </w:t>
      </w:r>
      <w:r w:rsidRPr="0057124C">
        <w:t xml:space="preserve">shows promise in </w:t>
      </w:r>
      <w:r w:rsidR="00A514D4">
        <w:t>increasing cancer detection, and reducing false-positive and recall rates, for women with</w:t>
      </w:r>
      <w:r w:rsidRPr="0057124C">
        <w:t xml:space="preserve"> dense breast</w:t>
      </w:r>
      <w:r w:rsidR="00A514D4">
        <w:t>s</w:t>
      </w:r>
      <w:r>
        <w:t>. T</w:t>
      </w:r>
      <w:r w:rsidRPr="0057124C">
        <w:t xml:space="preserve">here are no current universal guidelines on patient selection or frequency of use. </w:t>
      </w:r>
    </w:p>
    <w:p w14:paraId="006B5159" w14:textId="133A735A" w:rsidR="003A536A" w:rsidRPr="00E44152" w:rsidRDefault="003A536A" w:rsidP="003A536A">
      <w:pPr>
        <w:pStyle w:val="BodyText"/>
      </w:pPr>
      <w:r w:rsidRPr="007A4CCC">
        <w:t>Coop</w:t>
      </w:r>
      <w:r w:rsidRPr="00E44152">
        <w:t xml:space="preserve"> et al. </w:t>
      </w:r>
      <w:r>
        <w:t xml:space="preserve">(2016) </w:t>
      </w:r>
      <w:r w:rsidRPr="00E44152">
        <w:t xml:space="preserve">cited evidence that </w:t>
      </w:r>
      <w:r>
        <w:t xml:space="preserve">the addition of DBT to FFDM </w:t>
      </w:r>
      <w:r w:rsidRPr="00E44152">
        <w:t xml:space="preserve">reduces the effects of </w:t>
      </w:r>
      <w:r>
        <w:t xml:space="preserve">tissue </w:t>
      </w:r>
      <w:r w:rsidRPr="00E44152">
        <w:t xml:space="preserve">overlap and can lead to overall </w:t>
      </w:r>
      <w:r w:rsidR="001F5435">
        <w:t xml:space="preserve">increases in </w:t>
      </w:r>
      <w:r w:rsidRPr="00E44152">
        <w:t>CDR and invasive CDR for women with heterogeneously or extremely dense breasts</w:t>
      </w:r>
      <w:r>
        <w:t xml:space="preserve"> (</w:t>
      </w:r>
      <w:r w:rsidR="00275D65">
        <w:t>BIRADS</w:t>
      </w:r>
      <w:r>
        <w:t xml:space="preserve"> 3 or 4)</w:t>
      </w:r>
      <w:r w:rsidRPr="00E44152">
        <w:t xml:space="preserve">. </w:t>
      </w:r>
      <w:r>
        <w:t xml:space="preserve">They </w:t>
      </w:r>
      <w:r w:rsidRPr="00E44152">
        <w:t>noted that the greatest difference in CDR was experienced by younger women with heterogeneously or extremely dense breasts (</w:t>
      </w:r>
      <w:r w:rsidR="00275D65">
        <w:t>BIRADS</w:t>
      </w:r>
      <w:r w:rsidRPr="00E44152">
        <w:t xml:space="preserve"> 3</w:t>
      </w:r>
      <w:r>
        <w:t xml:space="preserve"> or </w:t>
      </w:r>
      <w:r w:rsidRPr="00E44152">
        <w:t xml:space="preserve">4), although </w:t>
      </w:r>
      <w:r>
        <w:t xml:space="preserve">no further </w:t>
      </w:r>
      <w:r w:rsidRPr="00E44152">
        <w:t xml:space="preserve">discussion of </w:t>
      </w:r>
      <w:r>
        <w:t xml:space="preserve">the </w:t>
      </w:r>
      <w:r w:rsidRPr="00E44152">
        <w:t xml:space="preserve">evidence </w:t>
      </w:r>
      <w:r>
        <w:t xml:space="preserve">underpinning this statement </w:t>
      </w:r>
      <w:r w:rsidRPr="00E44152">
        <w:t>is provided.</w:t>
      </w:r>
      <w:r>
        <w:t xml:space="preserve"> </w:t>
      </w:r>
    </w:p>
    <w:p w14:paraId="301C8233" w14:textId="3144D786" w:rsidR="003A536A" w:rsidRDefault="003A536A" w:rsidP="003A536A">
      <w:pPr>
        <w:pStyle w:val="BodyText"/>
      </w:pPr>
      <w:r w:rsidRPr="00E44152">
        <w:t xml:space="preserve">In July 2016, Houssami </w:t>
      </w:r>
      <w:r>
        <w:t>&amp;</w:t>
      </w:r>
      <w:r w:rsidRPr="00E44152">
        <w:t xml:space="preserve"> Turner (2016) completed a rapid evidenc</w:t>
      </w:r>
      <w:r>
        <w:t>e</w:t>
      </w:r>
      <w:r w:rsidRPr="00134101">
        <w:t xml:space="preserve"> </w:t>
      </w:r>
      <w:r w:rsidRPr="00E44152">
        <w:t xml:space="preserve">review investigating incremental CDR </w:t>
      </w:r>
      <w:r>
        <w:t xml:space="preserve">for DBT when used as an adjunct screen to mammography for </w:t>
      </w:r>
      <w:r w:rsidRPr="00E44152">
        <w:t xml:space="preserve">women with </w:t>
      </w:r>
      <w:r>
        <w:t xml:space="preserve">more </w:t>
      </w:r>
      <w:r w:rsidRPr="00E44152">
        <w:t xml:space="preserve">dense breasts. While not a systematic review, this rapid review provided pooled analysis </w:t>
      </w:r>
      <w:r>
        <w:t xml:space="preserve">of 10,188 women across </w:t>
      </w:r>
      <w:r w:rsidRPr="00E44152">
        <w:t xml:space="preserve">eight studies. </w:t>
      </w:r>
      <w:r>
        <w:t>T</w:t>
      </w:r>
      <w:r w:rsidRPr="00E44152">
        <w:t>he authors considered</w:t>
      </w:r>
      <w:r>
        <w:t xml:space="preserve"> data from</w:t>
      </w:r>
      <w:r w:rsidRPr="00E44152">
        <w:t xml:space="preserve"> </w:t>
      </w:r>
      <w:r>
        <w:t xml:space="preserve">large </w:t>
      </w:r>
      <w:r w:rsidRPr="00E44152">
        <w:t>prospective</w:t>
      </w:r>
      <w:r>
        <w:t>, fully-paired trials embedded in population-based screening programs</w:t>
      </w:r>
      <w:r w:rsidRPr="00E44152">
        <w:t xml:space="preserve"> and retrospective studies separately. </w:t>
      </w:r>
      <w:r>
        <w:t xml:space="preserve">Houssami &amp; Turner reported </w:t>
      </w:r>
      <w:r w:rsidRPr="00E44152">
        <w:t>differences in the magnitude of effect for incremental CDR between the results reported from larger prospectiv</w:t>
      </w:r>
      <w:r>
        <w:t>e</w:t>
      </w:r>
      <w:r w:rsidRPr="00E44152">
        <w:t xml:space="preserve"> studies</w:t>
      </w:r>
      <w:r>
        <w:t xml:space="preserve"> </w:t>
      </w:r>
      <w:r w:rsidRPr="00E44152">
        <w:t>compared to retrospective studies</w:t>
      </w:r>
      <w:r>
        <w:t xml:space="preserve">. Most of the results (including from the Italian trial, Screening with Tomosynthesis or Regular Mammography, and all the retrospective studies) reported on FFDM + DBT compared to FFDM alone. Prospective trials reported incremental cancer detection results of an increase </w:t>
      </w:r>
      <w:r w:rsidR="0077615F">
        <w:t xml:space="preserve">of </w:t>
      </w:r>
      <w:r>
        <w:t xml:space="preserve">between 2.5 and 4.0 cancers per 1000 screening examinations (pooled analysis = 3.9 per 1000 screening examinations) for FFDM + DBT compared to FFDM alone. In another prospective, fully paired trial using a sequential approach to screening with FFDM followed by </w:t>
      </w:r>
      <w:r w:rsidRPr="00E44152">
        <w:t>DBT</w:t>
      </w:r>
      <w:r>
        <w:t>, L</w:t>
      </w:r>
      <w:r>
        <w:rPr>
          <w:rFonts w:cstheme="minorHAnsi"/>
        </w:rPr>
        <w:t>å</w:t>
      </w:r>
      <w:r>
        <w:t xml:space="preserve">ng et al. (2016) reported that DBT alone detected more cancers in both </w:t>
      </w:r>
      <w:proofErr w:type="gramStart"/>
      <w:r>
        <w:t>more dense</w:t>
      </w:r>
      <w:proofErr w:type="gramEnd"/>
      <w:r>
        <w:t xml:space="preserve"> and more fatty breasts compared to FFDM alone. L</w:t>
      </w:r>
      <w:r>
        <w:rPr>
          <w:rFonts w:cstheme="minorHAnsi"/>
        </w:rPr>
        <w:t>å</w:t>
      </w:r>
      <w:r>
        <w:t>ng et al</w:t>
      </w:r>
      <w:r w:rsidR="00CC24AA">
        <w:t>.</w:t>
      </w:r>
      <w:r>
        <w:t xml:space="preserve"> reported that this may mean that increases in CDR </w:t>
      </w:r>
      <w:r w:rsidR="00932EC5">
        <w:t>are</w:t>
      </w:r>
      <w:r>
        <w:t xml:space="preserve"> not only due to improved conspicuity seen with DBT compared to FFDM alone. </w:t>
      </w:r>
    </w:p>
    <w:p w14:paraId="50BBA137" w14:textId="7B66F7A2" w:rsidR="003A536A" w:rsidRPr="00E44152" w:rsidRDefault="003A536A" w:rsidP="003A536A">
      <w:pPr>
        <w:pStyle w:val="BodyText"/>
      </w:pPr>
      <w:r>
        <w:t xml:space="preserve">It is important to note that other prospective trials (STORM and OTS) also reported increased CDR for all women regardless of </w:t>
      </w:r>
      <w:r w:rsidR="00275D65">
        <w:t>BIRADS</w:t>
      </w:r>
      <w:r>
        <w:t xml:space="preserve"> classification (</w:t>
      </w:r>
      <w:r w:rsidR="00CC24AA">
        <w:t>eg,</w:t>
      </w:r>
      <w:r>
        <w:t xml:space="preserve"> Skaane et al. </w:t>
      </w:r>
      <w:r w:rsidR="001F5435">
        <w:t>[</w:t>
      </w:r>
      <w:r>
        <w:t>2013</w:t>
      </w:r>
      <w:r w:rsidR="001F5435">
        <w:t>]</w:t>
      </w:r>
      <w:r>
        <w:t xml:space="preserve"> reported comparable CDR for </w:t>
      </w:r>
      <w:r w:rsidR="00275D65">
        <w:t>BIRADS</w:t>
      </w:r>
      <w:r>
        <w:t xml:space="preserve"> 1-2 compared to </w:t>
      </w:r>
      <w:r w:rsidR="00275D65">
        <w:t>BIRADS</w:t>
      </w:r>
      <w:r>
        <w:t xml:space="preserve"> 3-4; Ciatto et al. </w:t>
      </w:r>
      <w:r w:rsidR="001F5435">
        <w:t xml:space="preserve">[1993] </w:t>
      </w:r>
      <w:r>
        <w:t xml:space="preserve">reported CDR of 2.8 cancers per 1000 screening examinations for women with </w:t>
      </w:r>
      <w:r w:rsidR="00275D65">
        <w:t>BIRADS</w:t>
      </w:r>
      <w:r>
        <w:t xml:space="preserve"> 1-2 compared to 2.5 per 1000 screening examinations for </w:t>
      </w:r>
      <w:r w:rsidR="00275D65">
        <w:t>BIRADS</w:t>
      </w:r>
      <w:r>
        <w:t xml:space="preserve"> 3-4).</w:t>
      </w:r>
    </w:p>
    <w:p w14:paraId="49249349" w14:textId="44A81B90" w:rsidR="003A536A" w:rsidRDefault="003A536A" w:rsidP="003A536A">
      <w:pPr>
        <w:pStyle w:val="BodyText"/>
      </w:pPr>
      <w:r>
        <w:lastRenderedPageBreak/>
        <w:t xml:space="preserve">Results for CDR stratified by breast density may present results that are surprising, given that DBT improves conspicuity and should, in theory, provide improved images for women with more dense breasts which could lead to increased CDR for this population. </w:t>
      </w:r>
      <w:r w:rsidR="005639E2">
        <w:t>However, t</w:t>
      </w:r>
      <w:r>
        <w:t xml:space="preserve">he use of </w:t>
      </w:r>
      <w:r w:rsidR="00275D65">
        <w:t>BIRADS</w:t>
      </w:r>
      <w:r>
        <w:t xml:space="preserve"> to assess breast density can result in unreliable allocation to </w:t>
      </w:r>
      <w:r w:rsidR="00275D65">
        <w:t>BIRADS</w:t>
      </w:r>
      <w:r>
        <w:t xml:space="preserve"> category 2 and 3 (as discussed in section 3.1 of this report). This is because density classification can be affected by a wide range of factors and inter/intra reader variability. It is possible for women to be classified as having non-dense breasts (</w:t>
      </w:r>
      <w:r w:rsidR="00275D65">
        <w:t>BIRADS</w:t>
      </w:r>
      <w:r>
        <w:t xml:space="preserve"> 2) in one mammogram but be reclassified to having more dense breasts in the next mammogram (</w:t>
      </w:r>
      <w:r w:rsidR="00275D65">
        <w:t>BIRADS</w:t>
      </w:r>
      <w:r>
        <w:t xml:space="preserve"> 3) and vice versa. This creates a level of unreliability that could account for the smaller-than-expected incremental increase in CDR between women with more dense or less dense breasts. It may be that density classifications which report CDR, recall and false positives by 25</w:t>
      </w:r>
      <w:r w:rsidRPr="00F37DC5">
        <w:rPr>
          <w:vertAlign w:val="superscript"/>
        </w:rPr>
        <w:t>th</w:t>
      </w:r>
      <w:r>
        <w:t xml:space="preserve"> percentile (very dense) and 75</w:t>
      </w:r>
      <w:r w:rsidRPr="00F37DC5">
        <w:rPr>
          <w:vertAlign w:val="superscript"/>
        </w:rPr>
        <w:t>th</w:t>
      </w:r>
      <w:r>
        <w:t xml:space="preserve"> percentile (very fatty) could result in clearer (and possibly </w:t>
      </w:r>
      <w:r w:rsidR="005639E2">
        <w:t>more accurate</w:t>
      </w:r>
      <w:r>
        <w:t>) incremental differences in CDR by density.</w:t>
      </w:r>
    </w:p>
    <w:p w14:paraId="1B3320A7" w14:textId="2FB0FCBE" w:rsidR="003A536A" w:rsidRDefault="003A536A" w:rsidP="003A536A">
      <w:pPr>
        <w:pStyle w:val="BodyText"/>
      </w:pPr>
      <w:r w:rsidRPr="007A4DC0">
        <w:t xml:space="preserve">The DBT studies included in </w:t>
      </w:r>
      <w:r w:rsidR="008D405F" w:rsidRPr="007A4DC0">
        <w:t>M</w:t>
      </w:r>
      <w:r w:rsidR="008D405F">
        <w:t>e</w:t>
      </w:r>
      <w:r w:rsidR="008D405F" w:rsidRPr="007A4DC0">
        <w:t>lniko</w:t>
      </w:r>
      <w:r w:rsidR="008D405F">
        <w:t>w</w:t>
      </w:r>
      <w:r w:rsidRPr="007A4DC0">
        <w:t xml:space="preserve"> et al.</w:t>
      </w:r>
      <w:r>
        <w:t xml:space="preserve">’s </w:t>
      </w:r>
      <w:r w:rsidRPr="007A4DC0">
        <w:t xml:space="preserve">2016 review are shown in </w:t>
      </w:r>
      <w:r w:rsidR="00CF4DC5">
        <w:t>T</w:t>
      </w:r>
      <w:r w:rsidRPr="007A4DC0">
        <w:t xml:space="preserve">able </w:t>
      </w:r>
      <w:r w:rsidR="003D60DC">
        <w:t>1</w:t>
      </w:r>
      <w:r w:rsidR="006465B1">
        <w:t>7</w:t>
      </w:r>
      <w:r w:rsidR="00CF4DC5">
        <w:t xml:space="preserve"> (</w:t>
      </w:r>
      <w:r w:rsidR="00727169">
        <w:t>below</w:t>
      </w:r>
      <w:r w:rsidR="00CF4DC5">
        <w:t>)</w:t>
      </w:r>
      <w:r w:rsidRPr="007A4DC0">
        <w:t xml:space="preserve">. </w:t>
      </w:r>
      <w:r w:rsidRPr="001229F2">
        <w:t>Due to the limited availability of good quality</w:t>
      </w:r>
      <w:r>
        <w:t xml:space="preserve"> DBT</w:t>
      </w:r>
      <w:r w:rsidRPr="001229F2">
        <w:t xml:space="preserve"> studies included within this review, it is difficult to draw </w:t>
      </w:r>
      <w:r>
        <w:t xml:space="preserve">further </w:t>
      </w:r>
      <w:r w:rsidRPr="001229F2">
        <w:t xml:space="preserve">conclusions on the use of DBT as a </w:t>
      </w:r>
      <w:r w:rsidR="00962232" w:rsidRPr="0044553E">
        <w:t>supplementa</w:t>
      </w:r>
      <w:r w:rsidR="00962232">
        <w:t>l</w:t>
      </w:r>
      <w:r w:rsidRPr="001229F2">
        <w:t xml:space="preserve"> </w:t>
      </w:r>
      <w:r w:rsidR="00BC46C7">
        <w:t>testing</w:t>
      </w:r>
      <w:r w:rsidRPr="001229F2">
        <w:t xml:space="preserve"> tool</w:t>
      </w:r>
      <w:r>
        <w:t xml:space="preserve"> for women with more dense breasts</w:t>
      </w:r>
      <w:r w:rsidRPr="001229F2">
        <w:t xml:space="preserve">, other than it may be associated with </w:t>
      </w:r>
      <w:r>
        <w:t xml:space="preserve">increased cancer detection and </w:t>
      </w:r>
      <w:r w:rsidRPr="001229F2">
        <w:t xml:space="preserve">lower recall rates, but studies </w:t>
      </w:r>
      <w:r>
        <w:t>informing Meln</w:t>
      </w:r>
      <w:r w:rsidR="008D405F">
        <w:t>i</w:t>
      </w:r>
      <w:r>
        <w:t xml:space="preserve">kow et al’s systematic review </w:t>
      </w:r>
      <w:r w:rsidRPr="001229F2">
        <w:t xml:space="preserve">are few and </w:t>
      </w:r>
      <w:r w:rsidR="005639E2">
        <w:t xml:space="preserve">mostly </w:t>
      </w:r>
      <w:r w:rsidRPr="001229F2">
        <w:t>retrospective</w:t>
      </w:r>
      <w:r>
        <w:t xml:space="preserve"> (except for Ciatto et al.</w:t>
      </w:r>
      <w:r w:rsidR="005639E2">
        <w:t xml:space="preserve"> [1993],</w:t>
      </w:r>
      <w:r>
        <w:t xml:space="preserve"> who reported on the STORM trial discussed above</w:t>
      </w:r>
      <w:r w:rsidR="009948B0">
        <w:t>)</w:t>
      </w:r>
      <w:r w:rsidRPr="001229F2">
        <w:t>.</w:t>
      </w:r>
      <w:r>
        <w:t xml:space="preserve"> </w:t>
      </w:r>
    </w:p>
    <w:p w14:paraId="137864F0" w14:textId="399A8F2E" w:rsidR="003A536A" w:rsidRDefault="003A536A" w:rsidP="003A536A">
      <w:pPr>
        <w:pStyle w:val="Caption"/>
      </w:pPr>
      <w:r>
        <w:t xml:space="preserve">Table </w:t>
      </w:r>
      <w:r w:rsidR="003D60DC">
        <w:t>1</w:t>
      </w:r>
      <w:r w:rsidR="006465B1">
        <w:t>7</w:t>
      </w:r>
      <w:r>
        <w:t>. Summary of studies on DBT as a screening modality for women with more dense breasts (Meln</w:t>
      </w:r>
      <w:r w:rsidR="008D405F">
        <w:t>i</w:t>
      </w:r>
      <w:r>
        <w:t>kow et al.</w:t>
      </w:r>
      <w:r w:rsidR="005639E2">
        <w:t>,</w:t>
      </w:r>
      <w:r>
        <w:t xml:space="preserve"> 2016)</w:t>
      </w:r>
    </w:p>
    <w:tbl>
      <w:tblPr>
        <w:tblStyle w:val="ACGreen-BasicTable"/>
        <w:tblW w:w="0" w:type="auto"/>
        <w:tblLook w:val="04A0" w:firstRow="1" w:lastRow="0" w:firstColumn="1" w:lastColumn="0" w:noHBand="0" w:noVBand="1"/>
        <w:tblDescription w:val="Three studies on DBT, comprising of 10,937 exams&#10;Ciatto et al., 2013; McCarthy et al., 2014; Rose et al., 2013. Sensitivity, specificity, and PPV was N/A. Additional CR was 1.4–2.5 per 1000 and Recall rate was 7-11%.&#10;"/>
      </w:tblPr>
      <w:tblGrid>
        <w:gridCol w:w="2425"/>
        <w:gridCol w:w="1320"/>
        <w:gridCol w:w="1320"/>
        <w:gridCol w:w="1307"/>
        <w:gridCol w:w="1320"/>
        <w:gridCol w:w="1312"/>
      </w:tblGrid>
      <w:tr w:rsidR="00CC24AA" w:rsidRPr="000C5ECE" w14:paraId="7F2C2926" w14:textId="77777777" w:rsidTr="00CC24AA">
        <w:trPr>
          <w:cnfStyle w:val="100000000000" w:firstRow="1" w:lastRow="0" w:firstColumn="0" w:lastColumn="0" w:oddVBand="0" w:evenVBand="0" w:oddHBand="0" w:evenHBand="0" w:firstRowFirstColumn="0" w:firstRowLastColumn="0" w:lastRowFirstColumn="0" w:lastRowLastColumn="0"/>
        </w:trPr>
        <w:tc>
          <w:tcPr>
            <w:tcW w:w="2467" w:type="dxa"/>
          </w:tcPr>
          <w:p w14:paraId="2B767A54" w14:textId="5DD5D652" w:rsidR="00CC24AA" w:rsidRPr="000C5ECE" w:rsidRDefault="00CC24AA" w:rsidP="00CC24AA">
            <w:pPr>
              <w:rPr>
                <w:color w:val="auto"/>
                <w:sz w:val="18"/>
                <w:szCs w:val="18"/>
              </w:rPr>
            </w:pPr>
            <w:r w:rsidRPr="000C5ECE">
              <w:rPr>
                <w:color w:val="auto"/>
                <w:sz w:val="18"/>
                <w:szCs w:val="18"/>
              </w:rPr>
              <w:t>Study</w:t>
            </w:r>
          </w:p>
        </w:tc>
        <w:tc>
          <w:tcPr>
            <w:tcW w:w="1332" w:type="dxa"/>
          </w:tcPr>
          <w:p w14:paraId="7B3FC127" w14:textId="675791C5" w:rsidR="00CC24AA" w:rsidRPr="000C5ECE" w:rsidRDefault="00CC24AA" w:rsidP="00CC24AA">
            <w:pPr>
              <w:rPr>
                <w:color w:val="auto"/>
                <w:sz w:val="18"/>
                <w:szCs w:val="18"/>
              </w:rPr>
            </w:pPr>
            <w:r w:rsidRPr="000C5ECE">
              <w:rPr>
                <w:color w:val="auto"/>
                <w:sz w:val="18"/>
                <w:szCs w:val="18"/>
              </w:rPr>
              <w:t>Sensitivity</w:t>
            </w:r>
          </w:p>
        </w:tc>
        <w:tc>
          <w:tcPr>
            <w:tcW w:w="1332" w:type="dxa"/>
          </w:tcPr>
          <w:p w14:paraId="57E1F0CC" w14:textId="36E566B3" w:rsidR="00CC24AA" w:rsidRPr="000C5ECE" w:rsidRDefault="00CC24AA" w:rsidP="00CC24AA">
            <w:pPr>
              <w:rPr>
                <w:color w:val="auto"/>
                <w:sz w:val="18"/>
                <w:szCs w:val="18"/>
              </w:rPr>
            </w:pPr>
            <w:r w:rsidRPr="000C5ECE">
              <w:rPr>
                <w:color w:val="auto"/>
                <w:sz w:val="18"/>
                <w:szCs w:val="18"/>
              </w:rPr>
              <w:t>Specificity</w:t>
            </w:r>
          </w:p>
        </w:tc>
        <w:tc>
          <w:tcPr>
            <w:tcW w:w="1332" w:type="dxa"/>
          </w:tcPr>
          <w:p w14:paraId="11DFB73A" w14:textId="1B16D77B" w:rsidR="00CC24AA" w:rsidRPr="000C5ECE" w:rsidRDefault="00CC24AA" w:rsidP="00CC24AA">
            <w:pPr>
              <w:rPr>
                <w:color w:val="auto"/>
                <w:sz w:val="18"/>
                <w:szCs w:val="18"/>
              </w:rPr>
            </w:pPr>
            <w:r w:rsidRPr="000C5ECE">
              <w:rPr>
                <w:color w:val="auto"/>
                <w:sz w:val="18"/>
                <w:szCs w:val="18"/>
              </w:rPr>
              <w:t>PPV</w:t>
            </w:r>
          </w:p>
        </w:tc>
        <w:tc>
          <w:tcPr>
            <w:tcW w:w="1332" w:type="dxa"/>
          </w:tcPr>
          <w:p w14:paraId="4E84DBE0" w14:textId="4FB06444" w:rsidR="00CC24AA" w:rsidRPr="000C5ECE" w:rsidRDefault="00CC24AA" w:rsidP="00CC24AA">
            <w:pPr>
              <w:rPr>
                <w:color w:val="auto"/>
                <w:sz w:val="18"/>
                <w:szCs w:val="18"/>
              </w:rPr>
            </w:pPr>
            <w:r w:rsidRPr="000C5ECE">
              <w:rPr>
                <w:color w:val="auto"/>
                <w:sz w:val="18"/>
                <w:szCs w:val="18"/>
              </w:rPr>
              <w:t>Additional CDR</w:t>
            </w:r>
          </w:p>
        </w:tc>
        <w:tc>
          <w:tcPr>
            <w:tcW w:w="1333" w:type="dxa"/>
          </w:tcPr>
          <w:p w14:paraId="59F3F5DE" w14:textId="70903104" w:rsidR="00CC24AA" w:rsidRPr="000C5ECE" w:rsidRDefault="00CC24AA" w:rsidP="00CC24AA">
            <w:pPr>
              <w:rPr>
                <w:color w:val="auto"/>
                <w:sz w:val="18"/>
                <w:szCs w:val="18"/>
              </w:rPr>
            </w:pPr>
            <w:r w:rsidRPr="000C5ECE">
              <w:rPr>
                <w:color w:val="auto"/>
                <w:sz w:val="18"/>
                <w:szCs w:val="18"/>
              </w:rPr>
              <w:t>Recall rate</w:t>
            </w:r>
          </w:p>
        </w:tc>
      </w:tr>
      <w:tr w:rsidR="00CC24AA" w14:paraId="4512BBA6" w14:textId="77777777" w:rsidTr="00CC24AA">
        <w:tc>
          <w:tcPr>
            <w:tcW w:w="2467" w:type="dxa"/>
          </w:tcPr>
          <w:p w14:paraId="48BBE101" w14:textId="77777777" w:rsidR="00CC24AA" w:rsidRPr="00EA6568" w:rsidRDefault="00CC24AA" w:rsidP="00CC24AA">
            <w:pPr>
              <w:pStyle w:val="BodyText"/>
              <w:spacing w:before="0" w:after="0" w:line="240" w:lineRule="auto"/>
              <w:jc w:val="center"/>
              <w:rPr>
                <w:b/>
                <w:sz w:val="18"/>
              </w:rPr>
            </w:pPr>
            <w:r w:rsidRPr="00EA6568">
              <w:rPr>
                <w:b/>
                <w:sz w:val="18"/>
              </w:rPr>
              <w:t>DBT</w:t>
            </w:r>
          </w:p>
          <w:p w14:paraId="6AB3CA3D" w14:textId="77777777" w:rsidR="00CC24AA" w:rsidRDefault="00CC24AA" w:rsidP="00CC24AA">
            <w:pPr>
              <w:pStyle w:val="BodyText"/>
              <w:spacing w:before="0" w:after="0" w:line="240" w:lineRule="auto"/>
              <w:jc w:val="center"/>
              <w:rPr>
                <w:sz w:val="18"/>
              </w:rPr>
            </w:pPr>
            <w:r>
              <w:rPr>
                <w:sz w:val="18"/>
              </w:rPr>
              <w:t xml:space="preserve">Three </w:t>
            </w:r>
            <w:r w:rsidRPr="00EA6568">
              <w:rPr>
                <w:sz w:val="18"/>
              </w:rPr>
              <w:t>studies, comprising of 10,937 exams</w:t>
            </w:r>
          </w:p>
          <w:p w14:paraId="5C339F66" w14:textId="0E626F10" w:rsidR="00CC24AA" w:rsidRDefault="00CC24AA" w:rsidP="00CC24AA">
            <w:r>
              <w:rPr>
                <w:sz w:val="18"/>
              </w:rPr>
              <w:t>Ciatto et al., 2013; McCarthy et al., 2014; Rose et al., 2013</w:t>
            </w:r>
          </w:p>
        </w:tc>
        <w:tc>
          <w:tcPr>
            <w:tcW w:w="1332" w:type="dxa"/>
            <w:vAlign w:val="center"/>
          </w:tcPr>
          <w:p w14:paraId="4376EAFD" w14:textId="714B77AD" w:rsidR="00CC24AA" w:rsidRDefault="00CC24AA" w:rsidP="00CC24AA">
            <w:r>
              <w:rPr>
                <w:sz w:val="18"/>
              </w:rPr>
              <w:t>N/A</w:t>
            </w:r>
          </w:p>
        </w:tc>
        <w:tc>
          <w:tcPr>
            <w:tcW w:w="1332" w:type="dxa"/>
            <w:vAlign w:val="center"/>
          </w:tcPr>
          <w:p w14:paraId="4421CB12" w14:textId="773B10E5" w:rsidR="00CC24AA" w:rsidRDefault="00CC24AA" w:rsidP="00CC24AA">
            <w:r>
              <w:rPr>
                <w:sz w:val="18"/>
              </w:rPr>
              <w:t>N/A</w:t>
            </w:r>
          </w:p>
        </w:tc>
        <w:tc>
          <w:tcPr>
            <w:tcW w:w="1332" w:type="dxa"/>
            <w:vAlign w:val="center"/>
          </w:tcPr>
          <w:p w14:paraId="5F783F3D" w14:textId="30041482" w:rsidR="00CC24AA" w:rsidRDefault="00CC24AA" w:rsidP="00CC24AA">
            <w:r>
              <w:rPr>
                <w:sz w:val="18"/>
              </w:rPr>
              <w:t>N/A</w:t>
            </w:r>
          </w:p>
        </w:tc>
        <w:tc>
          <w:tcPr>
            <w:tcW w:w="1332" w:type="dxa"/>
            <w:vAlign w:val="center"/>
          </w:tcPr>
          <w:p w14:paraId="231EEEDD" w14:textId="279387AF" w:rsidR="00CC24AA" w:rsidRDefault="00CC24AA" w:rsidP="00CC24AA">
            <w:r w:rsidRPr="0015254A">
              <w:rPr>
                <w:sz w:val="18"/>
              </w:rPr>
              <w:t>1.4–2.5 per 1000</w:t>
            </w:r>
          </w:p>
        </w:tc>
        <w:tc>
          <w:tcPr>
            <w:tcW w:w="1333" w:type="dxa"/>
            <w:vAlign w:val="center"/>
          </w:tcPr>
          <w:p w14:paraId="74BE56BE" w14:textId="61C910D9" w:rsidR="00CC24AA" w:rsidRDefault="00CC24AA" w:rsidP="00CC24AA">
            <w:r>
              <w:rPr>
                <w:sz w:val="18"/>
              </w:rPr>
              <w:t>7-11%</w:t>
            </w:r>
          </w:p>
        </w:tc>
      </w:tr>
    </w:tbl>
    <w:p w14:paraId="0BAAF7D8" w14:textId="39B808F8" w:rsidR="009B6CB3" w:rsidRPr="008A7693" w:rsidRDefault="009B6CB3" w:rsidP="009B6CB3">
      <w:pPr>
        <w:pStyle w:val="BodyText"/>
        <w:rPr>
          <w:rFonts w:ascii="Noto Sans" w:eastAsia="Times New Roman" w:hAnsi="Noto Sans" w:cs="Times New Roman"/>
          <w:sz w:val="26"/>
          <w:szCs w:val="26"/>
          <w:lang w:eastAsia="en-NZ"/>
        </w:rPr>
      </w:pPr>
      <w:r w:rsidRPr="001609EC">
        <w:t>Burkett and Hanemann</w:t>
      </w:r>
      <w:r w:rsidR="001609EC">
        <w:t xml:space="preserve"> (</w:t>
      </w:r>
      <w:r w:rsidRPr="001609EC">
        <w:t>2016</w:t>
      </w:r>
      <w:r w:rsidR="001609EC">
        <w:t>)</w:t>
      </w:r>
      <w:r w:rsidRPr="001609EC">
        <w:t xml:space="preserve"> as part of their narrative review discussed the ASTOUND trial</w:t>
      </w:r>
      <w:r w:rsidR="001609EC">
        <w:t>.</w:t>
      </w:r>
      <w:r w:rsidRPr="001609EC">
        <w:t xml:space="preserve"> The ASTOUND trial is the largest prospective study</w:t>
      </w:r>
      <w:r w:rsidR="005639E2">
        <w:t xml:space="preserve"> of supplemental DBT and ultrasound </w:t>
      </w:r>
      <w:r w:rsidR="007C3AE7">
        <w:t>testing</w:t>
      </w:r>
      <w:r w:rsidR="007C3AE7" w:rsidRPr="001609EC">
        <w:t xml:space="preserve"> </w:t>
      </w:r>
      <w:r w:rsidRPr="001609EC">
        <w:t>to date, undertaken in Italy with 3,231 mammography-negative screening participants (median age, 51 years; interquartile range, 44 to 78 years) with dense breasts. This trial has released interim findings and found an increased cancer detection with supplemental ultrasound compared to DBT (ultrasound: 7.1 per 1000 women; DBT: 4.0 per 1000;</w:t>
      </w:r>
      <w:r w:rsidR="00BB2B6B">
        <w:t xml:space="preserve"> </w:t>
      </w:r>
      <w:r w:rsidR="005639E2">
        <w:rPr>
          <w:i/>
          <w:iCs/>
        </w:rPr>
        <w:t>p</w:t>
      </w:r>
      <w:r w:rsidRPr="001609EC">
        <w:t> = .006), with a similar false-positive recall rate (ultrasound: 2.0%; DBT: 1.7%)</w:t>
      </w:r>
      <w:r w:rsidR="001609EC">
        <w:t>.</w:t>
      </w:r>
    </w:p>
    <w:p w14:paraId="38F2BDF6" w14:textId="77777777" w:rsidR="003A536A" w:rsidRDefault="003A536A" w:rsidP="003A536A">
      <w:pPr>
        <w:pStyle w:val="BodyText"/>
      </w:pPr>
      <w:r>
        <w:t xml:space="preserve">There are limited studies investigating the use of DBT in women with dense breasts. </w:t>
      </w:r>
      <w:r w:rsidRPr="0057124C">
        <w:t>Overall, while tomosynthesis shows promise, particularly among those with dense breasts, there are no prospective large studies with survival outcomes to justify its routine use at this time.</w:t>
      </w:r>
    </w:p>
    <w:p w14:paraId="536E4B73" w14:textId="77777777" w:rsidR="003A536A" w:rsidRPr="00A73E92" w:rsidRDefault="003A536A" w:rsidP="00A73E92">
      <w:pPr>
        <w:pStyle w:val="BodyText"/>
        <w:rPr>
          <w:rFonts w:asciiTheme="majorHAnsi" w:hAnsiTheme="majorHAnsi"/>
          <w:b/>
          <w:color w:val="36424A" w:themeColor="text2"/>
          <w:sz w:val="24"/>
        </w:rPr>
      </w:pPr>
      <w:r w:rsidRPr="00A73E92">
        <w:rPr>
          <w:rFonts w:asciiTheme="majorHAnsi" w:hAnsiTheme="majorHAnsi"/>
          <w:b/>
          <w:color w:val="36424A" w:themeColor="text2"/>
          <w:sz w:val="24"/>
        </w:rPr>
        <w:t>MRI</w:t>
      </w:r>
    </w:p>
    <w:p w14:paraId="495166C0" w14:textId="45F048F6" w:rsidR="003A536A" w:rsidRDefault="003A536A" w:rsidP="003A536A">
      <w:pPr>
        <w:pStyle w:val="BodyText"/>
      </w:pPr>
      <w:r w:rsidRPr="000B0DE7">
        <w:t xml:space="preserve">MRI is recommended </w:t>
      </w:r>
      <w:r w:rsidR="005639E2">
        <w:t xml:space="preserve">by some organisations </w:t>
      </w:r>
      <w:r w:rsidRPr="000B0DE7">
        <w:t xml:space="preserve">for </w:t>
      </w:r>
      <w:r w:rsidR="005639E2">
        <w:t xml:space="preserve">screening </w:t>
      </w:r>
      <w:r w:rsidRPr="000B0DE7">
        <w:t>high-risk women</w:t>
      </w:r>
      <w:r>
        <w:t xml:space="preserve">. </w:t>
      </w:r>
      <w:r w:rsidRPr="00F16F38">
        <w:t>For example, the American Cancer Society</w:t>
      </w:r>
      <w:r>
        <w:t xml:space="preserve"> (2018)</w:t>
      </w:r>
      <w:r w:rsidRPr="00F16F38">
        <w:t xml:space="preserve"> recommends annual screening </w:t>
      </w:r>
      <w:r>
        <w:t xml:space="preserve">with </w:t>
      </w:r>
      <w:r w:rsidRPr="00F16F38">
        <w:t xml:space="preserve">MRI in </w:t>
      </w:r>
      <w:r w:rsidR="00AB7545">
        <w:t>women</w:t>
      </w:r>
      <w:r w:rsidRPr="00F16F38">
        <w:t xml:space="preserve"> who are BRCA positive, who have had radiation to the chest between the ages of 10-30</w:t>
      </w:r>
      <w:r>
        <w:t xml:space="preserve"> years</w:t>
      </w:r>
      <w:r w:rsidRPr="00F16F38">
        <w:t>, or whose lifetime risk of</w:t>
      </w:r>
      <w:r>
        <w:t xml:space="preserve"> </w:t>
      </w:r>
      <w:r w:rsidRPr="00F16F38">
        <w:t>breast cancer is greater or equal to 20%</w:t>
      </w:r>
      <w:r>
        <w:t xml:space="preserve">. The role MRI plays in screening is still unclear for women with dense breasts, as most of the studies focus on women with a range of risk factors for breast cancer (not just those with dense breasts). </w:t>
      </w:r>
    </w:p>
    <w:p w14:paraId="52DFA3C6" w14:textId="643CE377" w:rsidR="003A536A" w:rsidRDefault="003A536A" w:rsidP="003A536A">
      <w:pPr>
        <w:pStyle w:val="BodyText"/>
      </w:pPr>
      <w:r>
        <w:lastRenderedPageBreak/>
        <w:t xml:space="preserve">No systematic reviews solely focused on the use of MRI as a </w:t>
      </w:r>
      <w:r w:rsidR="00962232" w:rsidRPr="0044553E">
        <w:t>supplementa</w:t>
      </w:r>
      <w:r w:rsidR="00962232">
        <w:t>l</w:t>
      </w:r>
      <w:r>
        <w:t xml:space="preserve"> </w:t>
      </w:r>
      <w:r w:rsidR="00BC46C7">
        <w:t>testing</w:t>
      </w:r>
      <w:r>
        <w:t xml:space="preserve"> tool for women with dense breasts were identified. We identif</w:t>
      </w:r>
      <w:r w:rsidR="00692871">
        <w:t>ied</w:t>
      </w:r>
      <w:r>
        <w:t xml:space="preserve"> one narrative literature </w:t>
      </w:r>
      <w:r w:rsidR="00932EC5">
        <w:t xml:space="preserve">review </w:t>
      </w:r>
      <w:r>
        <w:t xml:space="preserve">(Lourenco and Mainiero, 2016). </w:t>
      </w:r>
      <w:r w:rsidR="00932EC5">
        <w:t>This</w:t>
      </w:r>
      <w:r w:rsidR="00554208">
        <w:t xml:space="preserve"> review </w:t>
      </w:r>
      <w:r>
        <w:t xml:space="preserve">reported that MRI </w:t>
      </w:r>
      <w:r w:rsidRPr="00746233">
        <w:t>detect</w:t>
      </w:r>
      <w:r>
        <w:t>ed</w:t>
      </w:r>
      <w:r w:rsidRPr="00746233">
        <w:t xml:space="preserve"> an additional 11</w:t>
      </w:r>
      <w:r>
        <w:t xml:space="preserve"> to </w:t>
      </w:r>
      <w:r w:rsidRPr="00746233">
        <w:t xml:space="preserve">18 cancers per 1000 </w:t>
      </w:r>
      <w:r>
        <w:t xml:space="preserve">screening </w:t>
      </w:r>
      <w:r w:rsidRPr="00746233">
        <w:t>examinations</w:t>
      </w:r>
      <w:r>
        <w:t xml:space="preserve"> compared to FFDM alone. MRI used in combination with ultrasound has a sensitivity of 90% for cancer detection in women with more dense breasts (Lourenco and Mainiero, 2016). </w:t>
      </w:r>
    </w:p>
    <w:p w14:paraId="12CE454B" w14:textId="18FE285C" w:rsidR="00F7103D" w:rsidRDefault="003A536A" w:rsidP="00CF4DC5">
      <w:pPr>
        <w:pStyle w:val="BodyText"/>
      </w:pPr>
      <w:r>
        <w:t>A systematic review</w:t>
      </w:r>
      <w:r w:rsidRPr="00E02EC3">
        <w:t xml:space="preserve"> </w:t>
      </w:r>
      <w:r>
        <w:t>was undertaken in 201</w:t>
      </w:r>
      <w:r w:rsidR="00CE738F">
        <w:t xml:space="preserve">6 </w:t>
      </w:r>
      <w:r>
        <w:t xml:space="preserve">to investigate </w:t>
      </w:r>
      <w:r w:rsidR="00962232" w:rsidRPr="0044553E">
        <w:t>supplementa</w:t>
      </w:r>
      <w:r w:rsidR="00962232">
        <w:t>l</w:t>
      </w:r>
      <w:r>
        <w:t xml:space="preserve"> </w:t>
      </w:r>
      <w:r w:rsidR="007C3AE7">
        <w:t xml:space="preserve">testing </w:t>
      </w:r>
      <w:r w:rsidR="000176A7">
        <w:t>(</w:t>
      </w:r>
      <w:r w:rsidR="008D405F">
        <w:t>Melnikow</w:t>
      </w:r>
      <w:r>
        <w:t xml:space="preserve"> et al., 2016). This review t</w:t>
      </w:r>
      <w:r w:rsidRPr="0051300B">
        <w:t>est</w:t>
      </w:r>
      <w:r>
        <w:t>ed</w:t>
      </w:r>
      <w:r w:rsidRPr="0051300B">
        <w:t xml:space="preserve"> performance</w:t>
      </w:r>
      <w:r>
        <w:t xml:space="preserve"> characteristics (</w:t>
      </w:r>
      <w:r w:rsidR="00A51F15">
        <w:t>eg,</w:t>
      </w:r>
      <w:r>
        <w:t xml:space="preserve"> sensitivity, PPV)</w:t>
      </w:r>
      <w:r w:rsidRPr="0051300B">
        <w:t xml:space="preserve"> and clinical outcomes</w:t>
      </w:r>
      <w:r>
        <w:t xml:space="preserve"> (</w:t>
      </w:r>
      <w:r w:rsidR="00A51F15">
        <w:t>eg,</w:t>
      </w:r>
      <w:r>
        <w:t xml:space="preserve"> CDR, recall rates)</w:t>
      </w:r>
      <w:r w:rsidRPr="0051300B">
        <w:t xml:space="preserve"> of supplemental </w:t>
      </w:r>
      <w:r w:rsidR="00BC46C7">
        <w:t>testing</w:t>
      </w:r>
      <w:r w:rsidRPr="0051300B">
        <w:t xml:space="preserve"> with breast ultrasound, MRI, and </w:t>
      </w:r>
      <w:r>
        <w:t xml:space="preserve">tomosynthesis </w:t>
      </w:r>
      <w:r w:rsidRPr="0051300B">
        <w:t>in women with dense breasts and negative mammography</w:t>
      </w:r>
      <w:r>
        <w:t xml:space="preserve">. Limited methodological information was available; however, the flowcharts indicate that a systematic approach was undertaken. </w:t>
      </w:r>
      <w:r w:rsidRPr="00BE6124">
        <w:t>Meta-analysis was not performed due to few good</w:t>
      </w:r>
      <w:r w:rsidR="005639E2">
        <w:t>-</w:t>
      </w:r>
      <w:r w:rsidRPr="00BE6124">
        <w:t>quality studies</w:t>
      </w:r>
      <w:r>
        <w:t xml:space="preserve">. In total, 18 studies were extracted; however, only four ultrasound/MRI </w:t>
      </w:r>
      <w:r w:rsidRPr="00437663">
        <w:t>good-quality studies</w:t>
      </w:r>
      <w:r>
        <w:t xml:space="preserve"> and three fair DBT (as defined by the review process) were included for further analysis. MRI results of the three studies are included in Table </w:t>
      </w:r>
      <w:r w:rsidR="003D60DC">
        <w:t>1</w:t>
      </w:r>
      <w:r w:rsidR="006465B1">
        <w:t>8</w:t>
      </w:r>
      <w:r w:rsidR="00CF4DC5">
        <w:t xml:space="preserve"> (</w:t>
      </w:r>
      <w:r w:rsidR="006465B1">
        <w:t>below</w:t>
      </w:r>
      <w:r w:rsidR="00CF4DC5">
        <w:t>)</w:t>
      </w:r>
      <w:r>
        <w:t xml:space="preserve">. These data </w:t>
      </w:r>
      <w:r w:rsidRPr="00A92E6C">
        <w:t xml:space="preserve">suggest </w:t>
      </w:r>
      <w:r w:rsidR="00962232" w:rsidRPr="0044553E">
        <w:t>supplementa</w:t>
      </w:r>
      <w:r w:rsidR="00962232">
        <w:t>l</w:t>
      </w:r>
      <w:r>
        <w:t xml:space="preserve"> </w:t>
      </w:r>
      <w:r w:rsidR="00BC46C7">
        <w:t>testing</w:t>
      </w:r>
      <w:r>
        <w:t xml:space="preserve"> using MRI is beneficial for women with more dense breasts</w:t>
      </w:r>
      <w:r w:rsidR="005639E2">
        <w:t>,</w:t>
      </w:r>
      <w:r>
        <w:t xml:space="preserve"> with high sensitivity rates</w:t>
      </w:r>
      <w:r w:rsidR="005639E2">
        <w:t xml:space="preserve"> found</w:t>
      </w:r>
      <w:r>
        <w:t xml:space="preserve">. Although these investigations were also associated with </w:t>
      </w:r>
      <w:r w:rsidRPr="00A92E6C">
        <w:t>increased recall rates for diagnostic investigation</w:t>
      </w:r>
      <w:r>
        <w:t xml:space="preserve">, </w:t>
      </w:r>
      <w:r w:rsidRPr="008515D8">
        <w:t>additionally detected cancers were small</w:t>
      </w:r>
      <w:r>
        <w:t xml:space="preserve">. Kuhl et al.’s study found </w:t>
      </w:r>
      <w:r w:rsidRPr="008515D8">
        <w:t xml:space="preserve">four </w:t>
      </w:r>
      <w:r>
        <w:t xml:space="preserve">DCIS </w:t>
      </w:r>
      <w:r w:rsidRPr="008515D8">
        <w:t>and seven invasive carcinomas</w:t>
      </w:r>
      <w:r>
        <w:t xml:space="preserve"> (Kuhl et al., 2014</w:t>
      </w:r>
      <w:r w:rsidRPr="008515D8">
        <w:t>)</w:t>
      </w:r>
      <w:r w:rsidRPr="00A92E6C">
        <w:t xml:space="preserve">. </w:t>
      </w:r>
      <w:r w:rsidR="00F7103D" w:rsidRPr="000176A7">
        <w:t>Further examination of the ACRIN 6666 study found MRI significantly increased detection of early breast cancer beyond that seen with mammography or mammography combined with ultrasound. The 56% absolute increase in cancer detection seen in the MRI sub</w:t>
      </w:r>
      <w:r w:rsidR="00CE738F">
        <w:t>-</w:t>
      </w:r>
      <w:r w:rsidR="00F7103D" w:rsidRPr="000176A7">
        <w:t>study (as below) was greater than the 34% absolute increase in invasive cancer detection (explained in more detail below in the section on ultrasound) seen by adding annual ultrasound to mammography in the main ACRIN 6666 study.</w:t>
      </w:r>
      <w:r w:rsidR="00BB2B6B">
        <w:t xml:space="preserve"> </w:t>
      </w:r>
    </w:p>
    <w:p w14:paraId="689ABC78" w14:textId="695F051F" w:rsidR="003D60DC" w:rsidRDefault="003A536A" w:rsidP="00CF4DC5">
      <w:pPr>
        <w:pStyle w:val="BodyText"/>
      </w:pPr>
      <w:r>
        <w:t>Evidence on w</w:t>
      </w:r>
      <w:r w:rsidRPr="00A92E6C">
        <w:t xml:space="preserve">hether diagnosis of additional breast cancers </w:t>
      </w:r>
      <w:r>
        <w:t xml:space="preserve">identified </w:t>
      </w:r>
      <w:r w:rsidRPr="00A92E6C">
        <w:t xml:space="preserve">by </w:t>
      </w:r>
      <w:r w:rsidR="00962232" w:rsidRPr="0044553E">
        <w:t>supplementa</w:t>
      </w:r>
      <w:r w:rsidR="00962232">
        <w:t>l</w:t>
      </w:r>
      <w:r w:rsidRPr="00A92E6C">
        <w:t xml:space="preserve"> </w:t>
      </w:r>
      <w:r w:rsidR="007C3AE7">
        <w:t>testing</w:t>
      </w:r>
      <w:r w:rsidR="007C3AE7" w:rsidRPr="00A92E6C">
        <w:t xml:space="preserve"> </w:t>
      </w:r>
      <w:r w:rsidRPr="00A92E6C">
        <w:t xml:space="preserve">leads to improved clinical outcomes or what proportion of the cancers diagnosed represent overdiagnosis </w:t>
      </w:r>
      <w:r>
        <w:t>was not evaluated in this review.</w:t>
      </w:r>
    </w:p>
    <w:p w14:paraId="133D23C2" w14:textId="2C910B4F" w:rsidR="003A536A" w:rsidRDefault="003D60DC" w:rsidP="003A536A">
      <w:pPr>
        <w:pStyle w:val="Caption"/>
      </w:pPr>
      <w:r>
        <w:t>Table 1</w:t>
      </w:r>
      <w:r w:rsidR="006465B1">
        <w:t>8</w:t>
      </w:r>
      <w:r w:rsidR="003A536A">
        <w:t>. Summary of studies on MRI as a screening modality for women with more dense breasts (</w:t>
      </w:r>
      <w:r w:rsidR="008D405F">
        <w:t xml:space="preserve">Melnikow </w:t>
      </w:r>
      <w:r w:rsidR="003A536A">
        <w:t>et al.</w:t>
      </w:r>
      <w:r w:rsidR="000B595A">
        <w:t>,</w:t>
      </w:r>
      <w:r w:rsidR="003A536A">
        <w:t xml:space="preserve"> 2016)</w:t>
      </w:r>
    </w:p>
    <w:tbl>
      <w:tblPr>
        <w:tblStyle w:val="ACGreen-BasicTable"/>
        <w:tblW w:w="0" w:type="auto"/>
        <w:tblLook w:val="04A0" w:firstRow="1" w:lastRow="0" w:firstColumn="1" w:lastColumn="0" w:noHBand="0" w:noVBand="1"/>
        <w:tblDescription w:val="Three studies on MRI, results from 2,057 exams (Berg, 2012; Kriege, 2006) + 105 women (Kuhl, 2014). The sensitivity was 75-100%, specificity was 78-94%, PPV was 3-33%, Additional CDR 3.5 - 28.6 per 1000 (34-86% invasive), and Recall rate was 12-24%.&#10;"/>
      </w:tblPr>
      <w:tblGrid>
        <w:gridCol w:w="2065"/>
        <w:gridCol w:w="1275"/>
        <w:gridCol w:w="1418"/>
        <w:gridCol w:w="1245"/>
        <w:gridCol w:w="1502"/>
        <w:gridCol w:w="1499"/>
      </w:tblGrid>
      <w:tr w:rsidR="00345CCE" w:rsidRPr="00345CCE" w14:paraId="60AB1D20" w14:textId="77777777" w:rsidTr="003A536A">
        <w:trPr>
          <w:cnfStyle w:val="100000000000" w:firstRow="1" w:lastRow="0" w:firstColumn="0" w:lastColumn="0" w:oddVBand="0" w:evenVBand="0" w:oddHBand="0" w:evenHBand="0" w:firstRowFirstColumn="0" w:firstRowLastColumn="0" w:lastRowFirstColumn="0" w:lastRowLastColumn="0"/>
        </w:trPr>
        <w:tc>
          <w:tcPr>
            <w:tcW w:w="2065" w:type="dxa"/>
          </w:tcPr>
          <w:p w14:paraId="2B918CFD" w14:textId="7F59CD55" w:rsidR="003A536A" w:rsidRPr="00345CCE" w:rsidRDefault="004757B9" w:rsidP="004757B9">
            <w:pPr>
              <w:pStyle w:val="BodyText"/>
              <w:jc w:val="center"/>
              <w:rPr>
                <w:color w:val="auto"/>
                <w:sz w:val="18"/>
              </w:rPr>
            </w:pPr>
            <w:r w:rsidRPr="00345CCE">
              <w:rPr>
                <w:color w:val="auto"/>
                <w:sz w:val="18"/>
              </w:rPr>
              <w:t>Study</w:t>
            </w:r>
          </w:p>
        </w:tc>
        <w:tc>
          <w:tcPr>
            <w:tcW w:w="1275" w:type="dxa"/>
            <w:vAlign w:val="center"/>
          </w:tcPr>
          <w:p w14:paraId="09DA92A4" w14:textId="77777777" w:rsidR="003A536A" w:rsidRPr="00345CCE" w:rsidRDefault="003A536A" w:rsidP="003A536A">
            <w:pPr>
              <w:pStyle w:val="BodyText"/>
              <w:jc w:val="center"/>
              <w:rPr>
                <w:color w:val="auto"/>
                <w:sz w:val="18"/>
              </w:rPr>
            </w:pPr>
            <w:r w:rsidRPr="00345CCE">
              <w:rPr>
                <w:color w:val="auto"/>
                <w:sz w:val="18"/>
              </w:rPr>
              <w:t>Sensitivity</w:t>
            </w:r>
          </w:p>
        </w:tc>
        <w:tc>
          <w:tcPr>
            <w:tcW w:w="1418" w:type="dxa"/>
            <w:vAlign w:val="center"/>
          </w:tcPr>
          <w:p w14:paraId="2138510E" w14:textId="77777777" w:rsidR="003A536A" w:rsidRPr="00345CCE" w:rsidRDefault="003A536A" w:rsidP="003A536A">
            <w:pPr>
              <w:pStyle w:val="BodyText"/>
              <w:jc w:val="center"/>
              <w:rPr>
                <w:color w:val="auto"/>
                <w:sz w:val="18"/>
              </w:rPr>
            </w:pPr>
            <w:r w:rsidRPr="00345CCE">
              <w:rPr>
                <w:color w:val="auto"/>
                <w:sz w:val="18"/>
              </w:rPr>
              <w:t>Specificity</w:t>
            </w:r>
          </w:p>
        </w:tc>
        <w:tc>
          <w:tcPr>
            <w:tcW w:w="1245" w:type="dxa"/>
            <w:vAlign w:val="center"/>
          </w:tcPr>
          <w:p w14:paraId="088A57C3" w14:textId="77777777" w:rsidR="003A536A" w:rsidRPr="00345CCE" w:rsidRDefault="003A536A" w:rsidP="003A536A">
            <w:pPr>
              <w:pStyle w:val="BodyText"/>
              <w:jc w:val="center"/>
              <w:rPr>
                <w:color w:val="auto"/>
                <w:sz w:val="18"/>
              </w:rPr>
            </w:pPr>
            <w:r w:rsidRPr="00345CCE">
              <w:rPr>
                <w:color w:val="auto"/>
                <w:sz w:val="18"/>
              </w:rPr>
              <w:t>PPV</w:t>
            </w:r>
          </w:p>
        </w:tc>
        <w:tc>
          <w:tcPr>
            <w:tcW w:w="1502" w:type="dxa"/>
            <w:vAlign w:val="center"/>
          </w:tcPr>
          <w:p w14:paraId="3E5586DE" w14:textId="77777777" w:rsidR="003A536A" w:rsidRPr="00345CCE" w:rsidRDefault="003A536A" w:rsidP="003A536A">
            <w:pPr>
              <w:pStyle w:val="BodyText"/>
              <w:jc w:val="center"/>
              <w:rPr>
                <w:color w:val="auto"/>
                <w:sz w:val="18"/>
              </w:rPr>
            </w:pPr>
            <w:r w:rsidRPr="00345CCE">
              <w:rPr>
                <w:color w:val="auto"/>
                <w:sz w:val="18"/>
              </w:rPr>
              <w:t>Additional CDR</w:t>
            </w:r>
          </w:p>
        </w:tc>
        <w:tc>
          <w:tcPr>
            <w:tcW w:w="1499" w:type="dxa"/>
            <w:vAlign w:val="center"/>
          </w:tcPr>
          <w:p w14:paraId="7223C0DF" w14:textId="77777777" w:rsidR="003A536A" w:rsidRPr="00345CCE" w:rsidRDefault="003A536A" w:rsidP="003A536A">
            <w:pPr>
              <w:pStyle w:val="BodyText"/>
              <w:jc w:val="center"/>
              <w:rPr>
                <w:color w:val="auto"/>
                <w:sz w:val="18"/>
              </w:rPr>
            </w:pPr>
            <w:r w:rsidRPr="00345CCE">
              <w:rPr>
                <w:color w:val="auto"/>
                <w:sz w:val="18"/>
              </w:rPr>
              <w:t>Recall rate</w:t>
            </w:r>
          </w:p>
        </w:tc>
      </w:tr>
      <w:tr w:rsidR="003A536A" w:rsidRPr="00EA6568" w14:paraId="125115DD" w14:textId="77777777" w:rsidTr="00C149C8">
        <w:trPr>
          <w:trHeight w:val="931"/>
        </w:trPr>
        <w:tc>
          <w:tcPr>
            <w:tcW w:w="2065" w:type="dxa"/>
            <w:vAlign w:val="center"/>
          </w:tcPr>
          <w:p w14:paraId="1F89470B" w14:textId="77777777" w:rsidR="003A536A" w:rsidRPr="00EA6568" w:rsidRDefault="003A536A" w:rsidP="00C149C8">
            <w:pPr>
              <w:pStyle w:val="BodyText"/>
              <w:spacing w:before="0" w:after="0" w:line="240" w:lineRule="auto"/>
              <w:jc w:val="center"/>
              <w:rPr>
                <w:b/>
                <w:sz w:val="18"/>
              </w:rPr>
            </w:pPr>
            <w:r w:rsidRPr="00EA6568">
              <w:rPr>
                <w:b/>
                <w:sz w:val="18"/>
              </w:rPr>
              <w:t>MRI</w:t>
            </w:r>
          </w:p>
          <w:p w14:paraId="27D88F72" w14:textId="69F55166" w:rsidR="003A536A" w:rsidRPr="00EA6568" w:rsidRDefault="003A536A" w:rsidP="00E17D62">
            <w:pPr>
              <w:pStyle w:val="BodyText"/>
              <w:spacing w:before="0" w:after="0" w:line="240" w:lineRule="auto"/>
              <w:jc w:val="center"/>
              <w:rPr>
                <w:sz w:val="18"/>
              </w:rPr>
            </w:pPr>
            <w:r>
              <w:rPr>
                <w:sz w:val="18"/>
              </w:rPr>
              <w:t>Three</w:t>
            </w:r>
            <w:r w:rsidRPr="00EA6568">
              <w:rPr>
                <w:sz w:val="18"/>
              </w:rPr>
              <w:t xml:space="preserve"> studies, results from 2</w:t>
            </w:r>
            <w:r w:rsidR="009A5452">
              <w:rPr>
                <w:sz w:val="18"/>
              </w:rPr>
              <w:t>,</w:t>
            </w:r>
            <w:r w:rsidRPr="00EA6568">
              <w:rPr>
                <w:sz w:val="18"/>
              </w:rPr>
              <w:t xml:space="preserve">057 exams </w:t>
            </w:r>
            <w:r w:rsidR="00C149C8">
              <w:rPr>
                <w:sz w:val="18"/>
              </w:rPr>
              <w:t>(</w:t>
            </w:r>
            <w:bookmarkStart w:id="95" w:name="_Hlk508197438"/>
            <w:r w:rsidR="00C149C8">
              <w:rPr>
                <w:sz w:val="18"/>
              </w:rPr>
              <w:t>Berg, 2012</w:t>
            </w:r>
            <w:r w:rsidR="009A5452">
              <w:rPr>
                <w:sz w:val="18"/>
              </w:rPr>
              <w:t>;</w:t>
            </w:r>
            <w:r w:rsidR="00C149C8">
              <w:rPr>
                <w:sz w:val="18"/>
              </w:rPr>
              <w:t xml:space="preserve"> Kriege</w:t>
            </w:r>
            <w:r w:rsidR="009A5452">
              <w:rPr>
                <w:sz w:val="18"/>
              </w:rPr>
              <w:t>,</w:t>
            </w:r>
            <w:r w:rsidR="00C149C8">
              <w:rPr>
                <w:sz w:val="18"/>
              </w:rPr>
              <w:t xml:space="preserve"> 2006) </w:t>
            </w:r>
            <w:r w:rsidRPr="00EA6568">
              <w:rPr>
                <w:sz w:val="18"/>
              </w:rPr>
              <w:t>+ 105 women</w:t>
            </w:r>
            <w:r w:rsidR="00E17D62">
              <w:rPr>
                <w:sz w:val="18"/>
              </w:rPr>
              <w:t xml:space="preserve"> </w:t>
            </w:r>
            <w:r w:rsidR="009A5452">
              <w:rPr>
                <w:sz w:val="18"/>
              </w:rPr>
              <w:t>(</w:t>
            </w:r>
            <w:r>
              <w:rPr>
                <w:sz w:val="18"/>
              </w:rPr>
              <w:t>Kuhl, 2014</w:t>
            </w:r>
            <w:r w:rsidR="009A5452">
              <w:rPr>
                <w:sz w:val="18"/>
              </w:rPr>
              <w:t>)</w:t>
            </w:r>
            <w:r w:rsidR="00C149C8">
              <w:rPr>
                <w:sz w:val="18"/>
              </w:rPr>
              <w:t xml:space="preserve"> </w:t>
            </w:r>
            <w:bookmarkEnd w:id="95"/>
          </w:p>
        </w:tc>
        <w:tc>
          <w:tcPr>
            <w:tcW w:w="1275" w:type="dxa"/>
            <w:vAlign w:val="center"/>
          </w:tcPr>
          <w:p w14:paraId="3A03DE82" w14:textId="77777777" w:rsidR="003A536A" w:rsidRPr="00EA6568" w:rsidRDefault="003A536A" w:rsidP="003A536A">
            <w:pPr>
              <w:pStyle w:val="BodyText"/>
              <w:spacing w:before="0" w:after="0"/>
              <w:jc w:val="center"/>
              <w:rPr>
                <w:sz w:val="18"/>
              </w:rPr>
            </w:pPr>
            <w:r>
              <w:rPr>
                <w:sz w:val="18"/>
              </w:rPr>
              <w:t>75-100%</w:t>
            </w:r>
          </w:p>
        </w:tc>
        <w:tc>
          <w:tcPr>
            <w:tcW w:w="1418" w:type="dxa"/>
            <w:vAlign w:val="center"/>
          </w:tcPr>
          <w:p w14:paraId="417BEFC0" w14:textId="77777777" w:rsidR="003A536A" w:rsidRPr="00EA6568" w:rsidRDefault="003A536A" w:rsidP="003A536A">
            <w:pPr>
              <w:pStyle w:val="BodyText"/>
              <w:spacing w:before="0" w:after="0"/>
              <w:jc w:val="center"/>
              <w:rPr>
                <w:sz w:val="18"/>
              </w:rPr>
            </w:pPr>
            <w:r>
              <w:rPr>
                <w:sz w:val="18"/>
              </w:rPr>
              <w:t>78-94%</w:t>
            </w:r>
          </w:p>
        </w:tc>
        <w:tc>
          <w:tcPr>
            <w:tcW w:w="1245" w:type="dxa"/>
            <w:vAlign w:val="center"/>
          </w:tcPr>
          <w:p w14:paraId="4AA98060" w14:textId="77777777" w:rsidR="003A536A" w:rsidRPr="00EA6568" w:rsidRDefault="003A536A" w:rsidP="003A536A">
            <w:pPr>
              <w:pStyle w:val="BodyText"/>
              <w:spacing w:before="0" w:after="0"/>
              <w:jc w:val="center"/>
              <w:rPr>
                <w:sz w:val="18"/>
              </w:rPr>
            </w:pPr>
            <w:r>
              <w:rPr>
                <w:sz w:val="18"/>
              </w:rPr>
              <w:t>3-33%</w:t>
            </w:r>
          </w:p>
        </w:tc>
        <w:tc>
          <w:tcPr>
            <w:tcW w:w="1502" w:type="dxa"/>
            <w:vAlign w:val="center"/>
          </w:tcPr>
          <w:p w14:paraId="63AEC4BB" w14:textId="77777777" w:rsidR="003A536A" w:rsidRPr="00EA6568" w:rsidRDefault="003A536A" w:rsidP="003A536A">
            <w:pPr>
              <w:pStyle w:val="BodyText"/>
              <w:spacing w:before="0" w:after="0"/>
              <w:jc w:val="center"/>
              <w:rPr>
                <w:sz w:val="18"/>
              </w:rPr>
            </w:pPr>
            <w:r>
              <w:rPr>
                <w:sz w:val="18"/>
              </w:rPr>
              <w:t>3.5 - 28.6 per 1000 (34-86% invasive)</w:t>
            </w:r>
          </w:p>
        </w:tc>
        <w:tc>
          <w:tcPr>
            <w:tcW w:w="1499" w:type="dxa"/>
            <w:vAlign w:val="center"/>
          </w:tcPr>
          <w:p w14:paraId="42BE1C51" w14:textId="77777777" w:rsidR="003A536A" w:rsidRPr="00EA6568" w:rsidRDefault="003A536A" w:rsidP="003A536A">
            <w:pPr>
              <w:pStyle w:val="BodyText"/>
              <w:spacing w:before="0" w:after="0"/>
              <w:jc w:val="center"/>
              <w:rPr>
                <w:sz w:val="18"/>
              </w:rPr>
            </w:pPr>
            <w:r>
              <w:rPr>
                <w:sz w:val="18"/>
              </w:rPr>
              <w:t>12-24%</w:t>
            </w:r>
          </w:p>
        </w:tc>
      </w:tr>
    </w:tbl>
    <w:p w14:paraId="4BC068DF" w14:textId="7D545CD6" w:rsidR="003A536A" w:rsidRDefault="003A536A" w:rsidP="003A536A">
      <w:pPr>
        <w:pStyle w:val="BodyText"/>
      </w:pPr>
      <w:r>
        <w:t xml:space="preserve">O’Flynn et al. (2015) provided a narrative review on the use of MRI as a </w:t>
      </w:r>
      <w:r w:rsidR="00962232" w:rsidRPr="0044553E">
        <w:t>supplementa</w:t>
      </w:r>
      <w:r w:rsidR="00962232">
        <w:t>l</w:t>
      </w:r>
      <w:r>
        <w:t xml:space="preserve"> </w:t>
      </w:r>
      <w:r w:rsidR="00BC46C7">
        <w:t>testing</w:t>
      </w:r>
      <w:r>
        <w:t xml:space="preserve"> tool in women with dense breasts. No information on study selection was provided; however, two of the three studies reported were also included in </w:t>
      </w:r>
      <w:r w:rsidR="008D405F">
        <w:t>Melnikow</w:t>
      </w:r>
      <w:r>
        <w:t>’s review (Kuhl, 2014; Kriege, 2006). These were discussed along with the ACRIN 6666 study</w:t>
      </w:r>
      <w:r w:rsidR="00F7103D">
        <w:t>, which we have examined more closely</w:t>
      </w:r>
      <w:r>
        <w:t xml:space="preserve"> (Berg et al., 2012). In the ACRIN 6666 study, </w:t>
      </w:r>
      <w:r w:rsidRPr="005D0732">
        <w:t xml:space="preserve">703 </w:t>
      </w:r>
      <w:r>
        <w:t>women</w:t>
      </w:r>
      <w:r w:rsidR="00595665">
        <w:t xml:space="preserve"> with h</w:t>
      </w:r>
      <w:r w:rsidR="00595665" w:rsidRPr="00595665">
        <w:t>eterogeneously dense or extremely dense</w:t>
      </w:r>
      <w:r w:rsidR="00595665">
        <w:t xml:space="preserve"> </w:t>
      </w:r>
      <w:r w:rsidR="00595665" w:rsidRPr="00595665">
        <w:t>breasts</w:t>
      </w:r>
      <w:r>
        <w:t xml:space="preserve"> </w:t>
      </w:r>
      <w:r w:rsidRPr="005D0732">
        <w:t>(57.9%), with a mean age of 54.8 years, were enrolled in the MR</w:t>
      </w:r>
      <w:r>
        <w:t>I sub-study</w:t>
      </w:r>
      <w:r w:rsidR="00D23723">
        <w:t xml:space="preserve">. </w:t>
      </w:r>
      <w:r w:rsidRPr="005D0732">
        <w:t xml:space="preserve">Of the MRI participants, 16 women (2.6%) had breast cancer diagnosed. </w:t>
      </w:r>
    </w:p>
    <w:p w14:paraId="2F840596" w14:textId="7453FCE8" w:rsidR="003A536A" w:rsidRDefault="003A536A" w:rsidP="003A536A">
      <w:pPr>
        <w:pStyle w:val="List-BulletLvl1"/>
      </w:pPr>
      <w:r w:rsidRPr="005D0732">
        <w:t xml:space="preserve">CDR </w:t>
      </w:r>
      <w:r>
        <w:t>for screening with</w:t>
      </w:r>
      <w:r w:rsidRPr="005D0732">
        <w:t xml:space="preserve"> MRI was 14.7</w:t>
      </w:r>
      <w:r>
        <w:t xml:space="preserve"> cancers</w:t>
      </w:r>
      <w:r w:rsidRPr="005D0732">
        <w:t xml:space="preserve"> per 1000 </w:t>
      </w:r>
      <w:r>
        <w:t xml:space="preserve">screening examinations </w:t>
      </w:r>
      <w:r w:rsidRPr="005D0732">
        <w:t>(95%CI 3.5-25.9;</w:t>
      </w:r>
      <w:r w:rsidR="00BB2B6B">
        <w:t xml:space="preserve"> </w:t>
      </w:r>
      <w:r>
        <w:rPr>
          <w:i/>
        </w:rPr>
        <w:t>p</w:t>
      </w:r>
      <w:r w:rsidRPr="005D0732">
        <w:t xml:space="preserve">=.004). </w:t>
      </w:r>
    </w:p>
    <w:p w14:paraId="76D70569" w14:textId="6B9BF5D8" w:rsidR="003A536A" w:rsidRDefault="003A536A" w:rsidP="003A536A">
      <w:pPr>
        <w:pStyle w:val="List-BulletLvl1"/>
      </w:pPr>
      <w:r w:rsidRPr="005D0732">
        <w:lastRenderedPageBreak/>
        <w:t>Sensitivity for MRI and mammography plus ultrasound was 1.00 (95%CI 0.79-1.00)</w:t>
      </w:r>
      <w:r w:rsidR="005639E2">
        <w:t>,</w:t>
      </w:r>
      <w:r w:rsidRPr="005D0732">
        <w:t xml:space="preserve"> specificity 0.65 (95%CI 0.61-0.69) and PPV</w:t>
      </w:r>
      <w:r w:rsidRPr="00252C48">
        <w:rPr>
          <w:vertAlign w:val="subscript"/>
        </w:rPr>
        <w:t>3</w:t>
      </w:r>
      <w:r w:rsidRPr="005D0732">
        <w:t xml:space="preserve"> 0.19 (95%CI 0.11-0.29). </w:t>
      </w:r>
    </w:p>
    <w:p w14:paraId="31F776A5" w14:textId="77777777" w:rsidR="003A536A" w:rsidRPr="005D0732" w:rsidRDefault="003A536A" w:rsidP="003A536A">
      <w:pPr>
        <w:pStyle w:val="List-BulletLvl1"/>
      </w:pPr>
      <w:r w:rsidRPr="005D0732">
        <w:t xml:space="preserve">The number of screens needed to detect </w:t>
      </w:r>
      <w:r>
        <w:t>one</w:t>
      </w:r>
      <w:r w:rsidRPr="005D0732">
        <w:t xml:space="preserve"> cancer was 127 (95%CI, 99-167) for mammography; 234 (95%CI 173-345) for supplemental ultrasound; and 68 (95%CI 39-286) for MRI after negative mammography and ultrasound results.</w:t>
      </w:r>
    </w:p>
    <w:p w14:paraId="019CE7E3" w14:textId="3C87C9BC" w:rsidR="003A536A" w:rsidRPr="005D0732" w:rsidRDefault="003A536A" w:rsidP="003A536A">
      <w:pPr>
        <w:pStyle w:val="BodyText"/>
      </w:pPr>
      <w:r w:rsidRPr="005D0732">
        <w:t xml:space="preserve">The addition of screening ultrasound or MRI to mammography in women at increased risk of breast cancer resulted in not only a higher </w:t>
      </w:r>
      <w:r w:rsidR="00761B6F">
        <w:t>CDR</w:t>
      </w:r>
      <w:r w:rsidRPr="005D0732">
        <w:t xml:space="preserve"> but also an increase in false-positive findings.</w:t>
      </w:r>
      <w:r>
        <w:t xml:space="preserve"> There was</w:t>
      </w:r>
      <w:r w:rsidR="00D229AE">
        <w:t>, however,</w:t>
      </w:r>
      <w:r>
        <w:t xml:space="preserve"> a large refusal rate which need to be considered if including MRI in a screening program</w:t>
      </w:r>
      <w:r w:rsidR="00D229AE">
        <w:t>me</w:t>
      </w:r>
      <w:r>
        <w:t xml:space="preserve">. </w:t>
      </w:r>
      <w:r w:rsidR="00D229AE" w:rsidRPr="005D0732">
        <w:t>I</w:t>
      </w:r>
      <w:r w:rsidR="00D229AE">
        <w:t xml:space="preserve">n total, </w:t>
      </w:r>
      <w:r w:rsidR="00D229AE" w:rsidRPr="005D0732">
        <w:t xml:space="preserve">512 </w:t>
      </w:r>
      <w:r w:rsidR="00D229AE">
        <w:t>women refused to participate in the MRI screening (42% of women invited).</w:t>
      </w:r>
      <w:r w:rsidR="00D229AE" w:rsidRPr="005D0732">
        <w:t xml:space="preserve"> </w:t>
      </w:r>
      <w:r w:rsidR="00D229AE">
        <w:t>Some of the main reasons for refusal were: claustrophobia</w:t>
      </w:r>
      <w:r w:rsidR="00D229AE" w:rsidRPr="005D0732">
        <w:t xml:space="preserve"> (25.4%)</w:t>
      </w:r>
      <w:r w:rsidR="00D229AE">
        <w:t>;</w:t>
      </w:r>
      <w:r w:rsidR="00D229AE" w:rsidRPr="005D0732">
        <w:t xml:space="preserve"> </w:t>
      </w:r>
      <w:r w:rsidR="00D229AE">
        <w:t xml:space="preserve">time constraints </w:t>
      </w:r>
      <w:r w:rsidR="00D229AE" w:rsidRPr="005D0732">
        <w:t>(18.2%)</w:t>
      </w:r>
      <w:r w:rsidR="00D229AE">
        <w:t>;</w:t>
      </w:r>
      <w:r w:rsidR="00D229AE" w:rsidRPr="005D0732">
        <w:t xml:space="preserve"> financial concerns</w:t>
      </w:r>
      <w:r w:rsidR="00D229AE">
        <w:t xml:space="preserve"> (12.1%);</w:t>
      </w:r>
      <w:r w:rsidR="00D229AE" w:rsidRPr="005D0732">
        <w:t xml:space="preserve"> </w:t>
      </w:r>
      <w:r w:rsidR="00D229AE">
        <w:t xml:space="preserve">physician did not provide referral and/or did not believe MRI was indicated </w:t>
      </w:r>
      <w:r w:rsidR="00D229AE" w:rsidRPr="005D0732">
        <w:t>(9.2%)</w:t>
      </w:r>
      <w:r w:rsidR="00D229AE">
        <w:t>;</w:t>
      </w:r>
      <w:r w:rsidR="00D229AE" w:rsidRPr="005D0732">
        <w:t xml:space="preserve"> </w:t>
      </w:r>
      <w:r w:rsidR="00D229AE">
        <w:t>not interested</w:t>
      </w:r>
      <w:r w:rsidR="00D229AE" w:rsidRPr="005D0732">
        <w:t xml:space="preserve"> (7.8%</w:t>
      </w:r>
      <w:r w:rsidR="00D229AE">
        <w:t>); medical intolerance to MRI</w:t>
      </w:r>
      <w:r w:rsidR="00D229AE" w:rsidRPr="005D0732">
        <w:t xml:space="preserve"> (7.6%)</w:t>
      </w:r>
      <w:r w:rsidR="00D229AE">
        <w:t xml:space="preserve">; did not want intravenous injection </w:t>
      </w:r>
      <w:r w:rsidR="00D229AE" w:rsidRPr="005D0732">
        <w:t>(5.7%</w:t>
      </w:r>
      <w:r w:rsidR="00D229AE">
        <w:t>); and because of additional biopsy or other procedures that might be required after the MRI (5.3%; Berg et al., 2010). Notably, women with a higher lifetime risk of developing breast cancer (25% or greater) were more likely to participate.</w:t>
      </w:r>
    </w:p>
    <w:p w14:paraId="7B78990C" w14:textId="287A7122" w:rsidR="003A536A" w:rsidRDefault="003A536A" w:rsidP="003A536A">
      <w:pPr>
        <w:pStyle w:val="BodyText"/>
      </w:pPr>
      <w:r w:rsidRPr="006408D3">
        <w:t>The potential of MRI for screening women with dense breasts</w:t>
      </w:r>
      <w:r>
        <w:t xml:space="preserve"> who have no other </w:t>
      </w:r>
      <w:r w:rsidR="00D85465">
        <w:t xml:space="preserve">moderate or strong </w:t>
      </w:r>
      <w:r>
        <w:t>risk factors</w:t>
      </w:r>
      <w:r w:rsidRPr="006408D3">
        <w:t xml:space="preserve"> remains controversial because of the paucity of clinical evidence, the possibility of overdiagnosis, and the cost-effectiveness of the technique in this population.</w:t>
      </w:r>
      <w:r>
        <w:t xml:space="preserve"> </w:t>
      </w:r>
      <w:r w:rsidR="00882126" w:rsidRPr="00882126">
        <w:t>At present, no large randomi</w:t>
      </w:r>
      <w:r w:rsidR="000176A7">
        <w:t>s</w:t>
      </w:r>
      <w:r w:rsidR="00882126" w:rsidRPr="00882126">
        <w:t xml:space="preserve">ed clinical trial has completed investigating the effects of supplemental MRI </w:t>
      </w:r>
      <w:r w:rsidR="007C3AE7">
        <w:t>imaging</w:t>
      </w:r>
      <w:r w:rsidR="007C3AE7" w:rsidRPr="00882126">
        <w:t xml:space="preserve"> </w:t>
      </w:r>
      <w:r w:rsidR="00882126" w:rsidRPr="00882126">
        <w:t>in women with dense breasts, but the ongoing DENSE tr</w:t>
      </w:r>
      <w:r w:rsidR="00882126">
        <w:t>ial is expected to address this (see section 1.4 for further information on the DENSE trial</w:t>
      </w:r>
      <w:r w:rsidR="00CE738F">
        <w:t>). There</w:t>
      </w:r>
      <w:r>
        <w:t xml:space="preserve"> are currently no long-term outcome studies that evaluate the effect of MRI screening on breast cancer mortality. With up to 50% of the population exhibiting dense breasts at mammography, replacing mammography with MRI screening in this cohort would impose a very substantial MRI burden. The health economic implications of such a change in practice would need to be fully and clearly justified. However, MRI preferentially detects the smaller node-negative cancers missed on mammography </w:t>
      </w:r>
      <w:r w:rsidR="00932EC5">
        <w:t>in</w:t>
      </w:r>
      <w:r>
        <w:t xml:space="preserve"> dense breasts, and those which may be more aggressive. There is also evidence showing a survival benefit in women with a familial risk of breast cancer screened by MRI (Evans et al., 2014</w:t>
      </w:r>
      <w:r w:rsidR="000176A7">
        <w:t xml:space="preserve">; </w:t>
      </w:r>
      <w:r>
        <w:t>Saadatmand et al., 2013). MRI screening has potential to improve outcomes for women with dense breasts. Nonetheless, the use of MRI for screening such a large section of the population would be subject to intense debate until evidence from large scale clinical trials emerges.</w:t>
      </w:r>
    </w:p>
    <w:p w14:paraId="5C945A4B" w14:textId="77777777" w:rsidR="003A536A" w:rsidRPr="00A73E92" w:rsidRDefault="003A536A" w:rsidP="00A73E92">
      <w:pPr>
        <w:pStyle w:val="BodyText"/>
        <w:rPr>
          <w:rFonts w:asciiTheme="majorHAnsi" w:hAnsiTheme="majorHAnsi"/>
          <w:b/>
          <w:color w:val="36424A" w:themeColor="text2"/>
          <w:sz w:val="24"/>
        </w:rPr>
      </w:pPr>
      <w:r w:rsidRPr="00A73E92">
        <w:rPr>
          <w:rFonts w:asciiTheme="majorHAnsi" w:hAnsiTheme="majorHAnsi"/>
          <w:b/>
          <w:color w:val="36424A" w:themeColor="text2"/>
          <w:sz w:val="24"/>
        </w:rPr>
        <w:t>Optical mammography</w:t>
      </w:r>
    </w:p>
    <w:p w14:paraId="4258DB11" w14:textId="145398B1" w:rsidR="003A536A" w:rsidRDefault="003A536A" w:rsidP="003A536A">
      <w:pPr>
        <w:pStyle w:val="BodyText-GREEN"/>
        <w:rPr>
          <w:color w:val="auto"/>
        </w:rPr>
      </w:pPr>
      <w:r w:rsidRPr="002166AD">
        <w:rPr>
          <w:color w:val="auto"/>
        </w:rPr>
        <w:t xml:space="preserve">Optical mammography is a new diagnostic method that uses </w:t>
      </w:r>
      <w:r>
        <w:rPr>
          <w:color w:val="auto"/>
        </w:rPr>
        <w:t>n</w:t>
      </w:r>
      <w:r w:rsidRPr="002166AD">
        <w:rPr>
          <w:color w:val="auto"/>
        </w:rPr>
        <w:t>ear</w:t>
      </w:r>
      <w:r>
        <w:rPr>
          <w:color w:val="auto"/>
        </w:rPr>
        <w:t>-</w:t>
      </w:r>
      <w:r w:rsidRPr="002166AD">
        <w:rPr>
          <w:color w:val="auto"/>
        </w:rPr>
        <w:t xml:space="preserve">infrared </w:t>
      </w:r>
      <w:r w:rsidR="00EE47EE">
        <w:rPr>
          <w:color w:val="auto"/>
        </w:rPr>
        <w:t xml:space="preserve">light </w:t>
      </w:r>
      <w:r w:rsidRPr="002166AD">
        <w:rPr>
          <w:color w:val="auto"/>
        </w:rPr>
        <w:t xml:space="preserve">for detection of functional abnormalities and shows tissue activities by measuring absorption and scattering of </w:t>
      </w:r>
      <w:r>
        <w:rPr>
          <w:color w:val="auto"/>
        </w:rPr>
        <w:t>ne</w:t>
      </w:r>
      <w:r w:rsidRPr="002166AD">
        <w:rPr>
          <w:color w:val="auto"/>
        </w:rPr>
        <w:t xml:space="preserve">ar-infrared light. </w:t>
      </w:r>
      <w:r w:rsidR="00CE738F">
        <w:rPr>
          <w:color w:val="auto"/>
        </w:rPr>
        <w:t>It is unclear whether it has a screening application yet (and as such has not been discussed in detail before in this section</w:t>
      </w:r>
      <w:r w:rsidR="00140C25">
        <w:rPr>
          <w:color w:val="auto"/>
        </w:rPr>
        <w:t>)</w:t>
      </w:r>
      <w:r w:rsidR="00CE738F">
        <w:rPr>
          <w:color w:val="auto"/>
        </w:rPr>
        <w:t xml:space="preserve">. </w:t>
      </w:r>
      <w:r w:rsidR="00140C25">
        <w:rPr>
          <w:color w:val="auto"/>
        </w:rPr>
        <w:t>One systematic</w:t>
      </w:r>
      <w:r>
        <w:rPr>
          <w:color w:val="auto"/>
        </w:rPr>
        <w:t xml:space="preserve"> review </w:t>
      </w:r>
      <w:r w:rsidR="00140C25">
        <w:rPr>
          <w:color w:val="auto"/>
        </w:rPr>
        <w:t xml:space="preserve">of </w:t>
      </w:r>
      <w:r>
        <w:rPr>
          <w:color w:val="auto"/>
        </w:rPr>
        <w:t xml:space="preserve">12 studies </w:t>
      </w:r>
      <w:r w:rsidR="00140C25">
        <w:rPr>
          <w:color w:val="auto"/>
        </w:rPr>
        <w:t>(including 10</w:t>
      </w:r>
      <w:r>
        <w:rPr>
          <w:color w:val="auto"/>
        </w:rPr>
        <w:t xml:space="preserve"> diagnostic studies</w:t>
      </w:r>
      <w:r w:rsidR="00140C25">
        <w:rPr>
          <w:color w:val="auto"/>
        </w:rPr>
        <w:t>,</w:t>
      </w:r>
      <w:r>
        <w:rPr>
          <w:color w:val="auto"/>
        </w:rPr>
        <w:t xml:space="preserve"> a systematic review and a multicentre clinical trial</w:t>
      </w:r>
      <w:r w:rsidR="00140C25">
        <w:rPr>
          <w:color w:val="auto"/>
        </w:rPr>
        <w:t>)</w:t>
      </w:r>
      <w:r>
        <w:rPr>
          <w:color w:val="auto"/>
        </w:rPr>
        <w:t xml:space="preserve"> aimed to</w:t>
      </w:r>
      <w:r w:rsidRPr="002166AD">
        <w:rPr>
          <w:color w:val="auto"/>
        </w:rPr>
        <w:t xml:space="preserve"> evaluate the safety and effectiveness</w:t>
      </w:r>
      <w:r>
        <w:rPr>
          <w:color w:val="auto"/>
        </w:rPr>
        <w:t xml:space="preserve"> of this technology</w:t>
      </w:r>
      <w:r w:rsidR="00140C25">
        <w:rPr>
          <w:color w:val="auto"/>
        </w:rPr>
        <w:t xml:space="preserve"> (Sari et al., 2013)</w:t>
      </w:r>
      <w:r>
        <w:rPr>
          <w:color w:val="auto"/>
        </w:rPr>
        <w:t xml:space="preserve">. </w:t>
      </w:r>
      <w:r w:rsidR="00CE738F">
        <w:rPr>
          <w:color w:val="auto"/>
        </w:rPr>
        <w:t>Mammographic density was an outcome included in this study, so we have included this modality for completeness.</w:t>
      </w:r>
    </w:p>
    <w:p w14:paraId="74BA954C" w14:textId="2F7CCE24" w:rsidR="00891ADB" w:rsidRDefault="003A536A" w:rsidP="00CE738F">
      <w:pPr>
        <w:pStyle w:val="BodyText-GREEN"/>
        <w:rPr>
          <w:rFonts w:ascii="Calibri Light" w:hAnsi="Calibri Light" w:cs="Calibri Light"/>
          <w:b/>
          <w:bCs/>
          <w:color w:val="44546A"/>
          <w:sz w:val="24"/>
          <w:szCs w:val="24"/>
        </w:rPr>
      </w:pPr>
      <w:r>
        <w:rPr>
          <w:color w:val="auto"/>
        </w:rPr>
        <w:t>Different performance measures were used by the included studies</w:t>
      </w:r>
      <w:r w:rsidR="00140C25">
        <w:rPr>
          <w:color w:val="auto"/>
        </w:rPr>
        <w:t>,</w:t>
      </w:r>
      <w:r>
        <w:rPr>
          <w:color w:val="auto"/>
        </w:rPr>
        <w:t xml:space="preserve"> limiting the analysis. </w:t>
      </w:r>
      <w:r w:rsidRPr="00982881">
        <w:rPr>
          <w:color w:val="auto"/>
        </w:rPr>
        <w:t>The</w:t>
      </w:r>
      <w:r>
        <w:rPr>
          <w:color w:val="auto"/>
        </w:rPr>
        <w:t xml:space="preserve"> included RCT, a </w:t>
      </w:r>
      <w:r w:rsidRPr="009351EB">
        <w:rPr>
          <w:color w:val="auto"/>
        </w:rPr>
        <w:t>4-year clinical trial</w:t>
      </w:r>
      <w:r w:rsidR="00140C25">
        <w:rPr>
          <w:color w:val="auto"/>
        </w:rPr>
        <w:t>,</w:t>
      </w:r>
      <w:r w:rsidRPr="009351EB">
        <w:rPr>
          <w:color w:val="auto"/>
        </w:rPr>
        <w:t xml:space="preserve"> was conducted at five institutions using infrared imaging of </w:t>
      </w:r>
      <w:r w:rsidR="00AB7545">
        <w:rPr>
          <w:color w:val="auto"/>
        </w:rPr>
        <w:t>women</w:t>
      </w:r>
      <w:r w:rsidRPr="009351EB">
        <w:rPr>
          <w:color w:val="auto"/>
        </w:rPr>
        <w:t xml:space="preserve"> for whom breast biopsy had been recommended for further review</w:t>
      </w:r>
      <w:r w:rsidR="00140C25">
        <w:rPr>
          <w:color w:val="auto"/>
        </w:rPr>
        <w:t xml:space="preserve"> (Parisky et al., 2003). This study</w:t>
      </w:r>
      <w:r w:rsidRPr="009351EB">
        <w:rPr>
          <w:color w:val="auto"/>
        </w:rPr>
        <w:t xml:space="preserve"> </w:t>
      </w:r>
      <w:r w:rsidRPr="00982881">
        <w:rPr>
          <w:color w:val="auto"/>
        </w:rPr>
        <w:t>found that among 875 biopsied lesions, suspicion index led to 97% sensitivity, 14% specificity, 95% negative predictive value</w:t>
      </w:r>
      <w:r w:rsidR="00761B6F">
        <w:rPr>
          <w:color w:val="auto"/>
        </w:rPr>
        <w:t xml:space="preserve"> </w:t>
      </w:r>
      <w:r w:rsidRPr="00982881">
        <w:rPr>
          <w:color w:val="auto"/>
        </w:rPr>
        <w:t xml:space="preserve">and 24% </w:t>
      </w:r>
      <w:r w:rsidR="00761B6F">
        <w:rPr>
          <w:color w:val="auto"/>
        </w:rPr>
        <w:t>PPV</w:t>
      </w:r>
      <w:r w:rsidRPr="00982881">
        <w:rPr>
          <w:color w:val="auto"/>
        </w:rPr>
        <w:t>.</w:t>
      </w:r>
      <w:r>
        <w:rPr>
          <w:color w:val="auto"/>
        </w:rPr>
        <w:t xml:space="preserve"> No measures were provided specifically for dense breasts</w:t>
      </w:r>
      <w:r w:rsidR="00140C25">
        <w:rPr>
          <w:color w:val="auto"/>
        </w:rPr>
        <w:t>.</w:t>
      </w:r>
      <w:r>
        <w:rPr>
          <w:color w:val="auto"/>
        </w:rPr>
        <w:t xml:space="preserve"> Sari</w:t>
      </w:r>
      <w:r w:rsidR="00140C25">
        <w:rPr>
          <w:color w:val="auto"/>
        </w:rPr>
        <w:t xml:space="preserve"> and colleagues’ (2013)</w:t>
      </w:r>
      <w:r>
        <w:rPr>
          <w:color w:val="auto"/>
        </w:rPr>
        <w:t xml:space="preserve"> review</w:t>
      </w:r>
      <w:r w:rsidR="00140C25">
        <w:rPr>
          <w:color w:val="auto"/>
        </w:rPr>
        <w:t xml:space="preserve">, </w:t>
      </w:r>
      <w:r>
        <w:rPr>
          <w:color w:val="auto"/>
        </w:rPr>
        <w:t>which provided few details of other studies and limited information regarding breast density, concluded that o</w:t>
      </w:r>
      <w:r w:rsidRPr="002166AD">
        <w:rPr>
          <w:color w:val="auto"/>
        </w:rPr>
        <w:t xml:space="preserve">ptical mammography is a safe, </w:t>
      </w:r>
      <w:r w:rsidRPr="002166AD">
        <w:rPr>
          <w:color w:val="auto"/>
        </w:rPr>
        <w:lastRenderedPageBreak/>
        <w:t>non-invasive, non-ionized diagnostic technology that can be used as a diagnostic supplement alongside conventional mammography for differentiating benign and malignant tumo</w:t>
      </w:r>
      <w:r>
        <w:rPr>
          <w:color w:val="auto"/>
        </w:rPr>
        <w:t>u</w:t>
      </w:r>
      <w:r w:rsidRPr="002166AD">
        <w:rPr>
          <w:color w:val="auto"/>
        </w:rPr>
        <w:t xml:space="preserve">rs. </w:t>
      </w:r>
      <w:r>
        <w:rPr>
          <w:color w:val="auto"/>
        </w:rPr>
        <w:t xml:space="preserve">The review also </w:t>
      </w:r>
      <w:r w:rsidRPr="002166AD">
        <w:rPr>
          <w:color w:val="auto"/>
        </w:rPr>
        <w:t>recommended that younger women with higher breast density should be screened more often by optical mammography than those who h</w:t>
      </w:r>
      <w:r>
        <w:rPr>
          <w:color w:val="auto"/>
        </w:rPr>
        <w:t xml:space="preserve">ave a lower breast density (although provided no supporting evidence for this claim). Optical mammography </w:t>
      </w:r>
      <w:r w:rsidRPr="002166AD">
        <w:rPr>
          <w:color w:val="auto"/>
        </w:rPr>
        <w:t xml:space="preserve">may serve as a viable, </w:t>
      </w:r>
      <w:r>
        <w:rPr>
          <w:color w:val="auto"/>
        </w:rPr>
        <w:t>cost effective and non-</w:t>
      </w:r>
      <w:r w:rsidRPr="002166AD">
        <w:rPr>
          <w:color w:val="auto"/>
        </w:rPr>
        <w:t xml:space="preserve">ionized alternative for screening </w:t>
      </w:r>
      <w:r w:rsidR="00AB7545">
        <w:rPr>
          <w:color w:val="auto"/>
        </w:rPr>
        <w:t>women</w:t>
      </w:r>
      <w:r w:rsidRPr="002166AD">
        <w:rPr>
          <w:color w:val="auto"/>
        </w:rPr>
        <w:t xml:space="preserve"> </w:t>
      </w:r>
      <w:r w:rsidR="00EE47EE" w:rsidRPr="002166AD">
        <w:rPr>
          <w:color w:val="auto"/>
        </w:rPr>
        <w:t>with dense breas</w:t>
      </w:r>
      <w:r w:rsidR="00EE47EE">
        <w:rPr>
          <w:color w:val="auto"/>
        </w:rPr>
        <w:t>t</w:t>
      </w:r>
      <w:r w:rsidR="00EE47EE" w:rsidRPr="002166AD">
        <w:rPr>
          <w:color w:val="auto"/>
        </w:rPr>
        <w:t xml:space="preserve">s </w:t>
      </w:r>
      <w:r w:rsidR="00EE47EE">
        <w:rPr>
          <w:color w:val="auto"/>
        </w:rPr>
        <w:t xml:space="preserve">and </w:t>
      </w:r>
      <w:r w:rsidRPr="002166AD">
        <w:rPr>
          <w:color w:val="auto"/>
        </w:rPr>
        <w:t>who have restrictions in using mammography</w:t>
      </w:r>
      <w:r w:rsidR="008D405F" w:rsidRPr="002166AD">
        <w:rPr>
          <w:color w:val="auto"/>
        </w:rPr>
        <w:t>,</w:t>
      </w:r>
      <w:r>
        <w:rPr>
          <w:color w:val="auto"/>
        </w:rPr>
        <w:t xml:space="preserve"> but further studies </w:t>
      </w:r>
      <w:r>
        <w:rPr>
          <w:color w:val="000000"/>
          <w:shd w:val="clear" w:color="auto" w:fill="FFFFFF"/>
        </w:rPr>
        <w:t xml:space="preserve">involving larger sample sizes </w:t>
      </w:r>
      <w:r w:rsidR="00140C25">
        <w:rPr>
          <w:color w:val="000000"/>
          <w:shd w:val="clear" w:color="auto" w:fill="FFFFFF"/>
        </w:rPr>
        <w:t xml:space="preserve">are needed </w:t>
      </w:r>
      <w:r>
        <w:rPr>
          <w:color w:val="000000"/>
          <w:shd w:val="clear" w:color="auto" w:fill="FFFFFF"/>
        </w:rPr>
        <w:t>before optical imaging can be used as a reliable tool for breast cancer screening, particularly in women with dense breasts.</w:t>
      </w:r>
    </w:p>
    <w:p w14:paraId="765FE29F" w14:textId="1BF08211" w:rsidR="00F566A7" w:rsidRPr="000176A7" w:rsidRDefault="00F566A7" w:rsidP="000176A7">
      <w:pPr>
        <w:pStyle w:val="BodyText"/>
        <w:rPr>
          <w:rFonts w:asciiTheme="majorHAnsi" w:hAnsiTheme="majorHAnsi"/>
          <w:b/>
          <w:color w:val="36424A" w:themeColor="text2"/>
          <w:sz w:val="24"/>
        </w:rPr>
      </w:pPr>
      <w:r w:rsidRPr="000176A7">
        <w:rPr>
          <w:rFonts w:asciiTheme="majorHAnsi" w:hAnsiTheme="majorHAnsi"/>
          <w:b/>
          <w:color w:val="36424A" w:themeColor="text2"/>
          <w:sz w:val="24"/>
        </w:rPr>
        <w:t>MBI</w:t>
      </w:r>
    </w:p>
    <w:p w14:paraId="5785DE4E" w14:textId="15825E95" w:rsidR="00F566A7" w:rsidRDefault="00F566A7" w:rsidP="00F566A7">
      <w:pPr>
        <w:pStyle w:val="BodyText"/>
      </w:pPr>
      <w:r>
        <w:t xml:space="preserve">No reviews demonstrating mortality reduction in women who received supplemental </w:t>
      </w:r>
      <w:r w:rsidR="00BC46C7">
        <w:t xml:space="preserve">testing </w:t>
      </w:r>
      <w:r>
        <w:t xml:space="preserve">with MBI exist. </w:t>
      </w:r>
      <w:r w:rsidRPr="000176A7">
        <w:t>Whil</w:t>
      </w:r>
      <w:r w:rsidR="00891ADB" w:rsidRPr="000176A7">
        <w:t>e</w:t>
      </w:r>
      <w:r w:rsidRPr="000176A7">
        <w:t xml:space="preserve"> there is a lot of information on MBI, clinical data on supplemental </w:t>
      </w:r>
      <w:r w:rsidR="00BC46C7">
        <w:t>testing</w:t>
      </w:r>
      <w:r w:rsidRPr="000176A7">
        <w:t xml:space="preserve"> with MBI in non-high-risk women with dense breasts and negative mammography is also limited as the research is yet to progress to large prospective studies.</w:t>
      </w:r>
    </w:p>
    <w:p w14:paraId="45AE2995" w14:textId="61CA3AE9" w:rsidR="00F566A7" w:rsidRDefault="00F566A7" w:rsidP="00F566A7">
      <w:pPr>
        <w:pStyle w:val="BodyText"/>
      </w:pPr>
      <w:r w:rsidRPr="00CE738F">
        <w:t>Holbrook and Newell (2015) undertook a review (non-systematic) to investigate the use of a newer MBI imaging modality. Holbrook</w:t>
      </w:r>
      <w:r w:rsidR="00140C25">
        <w:t xml:space="preserve"> and Newell’</w:t>
      </w:r>
      <w:r w:rsidRPr="00CE738F">
        <w:t xml:space="preserve">s review did not outline the search strategy but included 26 different studies, most of which have small sample sizes, are retrospective, or both. This review concluded that some studies confirm MBI has high sensitivity (91–96%) in finding cancers in </w:t>
      </w:r>
      <w:r w:rsidR="000176A7" w:rsidRPr="00CE738F">
        <w:t>more</w:t>
      </w:r>
      <w:r w:rsidRPr="00CE738F">
        <w:t xml:space="preserve"> dense breasts (and up to 100% in less dense breasts)</w:t>
      </w:r>
      <w:r w:rsidR="00CE738F">
        <w:t xml:space="preserve"> </w:t>
      </w:r>
      <w:r w:rsidRPr="00CE738F">
        <w:t>and suggest improved specificity (60–77%) compared with other technologies such as MRI.</w:t>
      </w:r>
      <w:r>
        <w:t xml:space="preserve"> </w:t>
      </w:r>
    </w:p>
    <w:p w14:paraId="457E0B66" w14:textId="15E15FE2" w:rsidR="00F566A7" w:rsidRDefault="00F566A7" w:rsidP="00F566A7">
      <w:pPr>
        <w:pStyle w:val="BodyText"/>
      </w:pPr>
      <w:r>
        <w:t xml:space="preserve">One of the most prominent studies within Holbrook </w:t>
      </w:r>
      <w:r w:rsidR="00140C25">
        <w:t>and Newel</w:t>
      </w:r>
      <w:r>
        <w:t xml:space="preserve">’s review was Rhodes (2011). Two prospective single-centre trials (Rhodes, 2011 followed by Rhodes, 2015) examined MBI as a supplement to mammography in women with dense breasts (as defined by visual scale of &gt;51% </w:t>
      </w:r>
      <w:r w:rsidR="00893AA8">
        <w:t>percent density</w:t>
      </w:r>
      <w:r>
        <w:t>). In both trials, asymptomatic women presenting for screening mammography were offered supplemental MBI if they were known to have dense breasts based on a prior mammography study. Supplemental MBI increased cancer detection by 7.5 - 8.8 cancers per 1000 screening examinations. The sensitivity of MBI + mammography of both studies was significantly higher than that of mammography alone (98% + 91%, respectively</w:t>
      </w:r>
      <w:r w:rsidRPr="00595156">
        <w:t xml:space="preserve"> </w:t>
      </w:r>
      <w:r>
        <w:t>vs 27% (mammography)). Adding supplemental MBI to screening mammography resulted in a similar rate of additional recalls (5.9% and 6.6%</w:t>
      </w:r>
      <w:r w:rsidR="00140C25">
        <w:t>, respectively</w:t>
      </w:r>
      <w:r>
        <w:t>) and similar rate of malignancy per biopsy for MBI findings (PPV</w:t>
      </w:r>
      <w:r>
        <w:rPr>
          <w:vertAlign w:val="subscript"/>
        </w:rPr>
        <w:t xml:space="preserve">3 </w:t>
      </w:r>
      <w:r w:rsidRPr="00595156">
        <w:t>=</w:t>
      </w:r>
      <w:r>
        <w:t xml:space="preserve"> 24% and 28%</w:t>
      </w:r>
      <w:r w:rsidR="00140C25">
        <w:t>, respectively</w:t>
      </w:r>
      <w:r>
        <w:t xml:space="preserve">). </w:t>
      </w:r>
    </w:p>
    <w:p w14:paraId="75450D4E" w14:textId="45732ECE" w:rsidR="00CE738F" w:rsidRDefault="00F566A7" w:rsidP="00403BDB">
      <w:pPr>
        <w:pStyle w:val="BodyText"/>
        <w:rPr>
          <w:b/>
          <w:bCs/>
          <w:color w:val="36424A" w:themeColor="accent1"/>
          <w:sz w:val="18"/>
          <w:szCs w:val="18"/>
        </w:rPr>
      </w:pPr>
      <w:r>
        <w:t xml:space="preserve">A more recent (non-systematic) review completed by Hruska (2017) aimed to provide an update on MBI as a supplemental </w:t>
      </w:r>
      <w:r w:rsidR="00BC46C7">
        <w:t>testing</w:t>
      </w:r>
      <w:r>
        <w:t xml:space="preserve"> tool (including the Rhodes studies). Hruska provided</w:t>
      </w:r>
      <w:r w:rsidR="00140C25">
        <w:t xml:space="preserve"> </w:t>
      </w:r>
      <w:r>
        <w:t xml:space="preserve">a </w:t>
      </w:r>
      <w:r w:rsidR="00140C25">
        <w:t>‘</w:t>
      </w:r>
      <w:r>
        <w:t>summary of studies’ evaluating the performance of screening MBI, however it was not de</w:t>
      </w:r>
      <w:r w:rsidR="00140C25">
        <w:t>scribed</w:t>
      </w:r>
      <w:r>
        <w:t xml:space="preserve"> how these studies were selected or screened. Table 1</w:t>
      </w:r>
      <w:r w:rsidR="006465B1">
        <w:t>9</w:t>
      </w:r>
      <w:r>
        <w:t xml:space="preserve"> (</w:t>
      </w:r>
      <w:r w:rsidR="00403BDB">
        <w:t>below</w:t>
      </w:r>
      <w:r>
        <w:t xml:space="preserve">) provides a summary of these studies. </w:t>
      </w:r>
    </w:p>
    <w:p w14:paraId="178F0A9B" w14:textId="77777777" w:rsidR="00877A0B" w:rsidRDefault="00877A0B">
      <w:pPr>
        <w:rPr>
          <w:b/>
          <w:bCs/>
          <w:color w:val="36424A" w:themeColor="accent1"/>
          <w:sz w:val="18"/>
          <w:szCs w:val="18"/>
        </w:rPr>
      </w:pPr>
      <w:r>
        <w:br w:type="page"/>
      </w:r>
    </w:p>
    <w:p w14:paraId="7712C2A2" w14:textId="3893C23A" w:rsidR="00F566A7" w:rsidRDefault="00F566A7" w:rsidP="00F566A7">
      <w:pPr>
        <w:pStyle w:val="Caption"/>
        <w:jc w:val="both"/>
      </w:pPr>
      <w:r>
        <w:lastRenderedPageBreak/>
        <w:t>Table 1</w:t>
      </w:r>
      <w:r w:rsidR="006465B1">
        <w:t>9</w:t>
      </w:r>
      <w:r>
        <w:t xml:space="preserve">. Summary of Literature Examining MBI and BSGI as Supplemental </w:t>
      </w:r>
      <w:r w:rsidR="002D74B6">
        <w:t xml:space="preserve">Imaging </w:t>
      </w:r>
      <w:r>
        <w:t>Techniques</w:t>
      </w:r>
    </w:p>
    <w:tbl>
      <w:tblPr>
        <w:tblStyle w:val="ACGreen-BasicTable"/>
        <w:tblW w:w="5000" w:type="pct"/>
        <w:tblInd w:w="0" w:type="dxa"/>
        <w:tblLook w:val="04A0" w:firstRow="1" w:lastRow="0" w:firstColumn="1" w:lastColumn="0" w:noHBand="0" w:noVBand="1"/>
        <w:tblDescription w:val="The table summarises four studies, providing information on participant inclusion criteria, administered activty of 99mTc Sestamibi, invasive cancer and DCIS detection rate, invasive cancer only detection rate, size of cancer detected only by MBI or BSGi (Median, Range-cm), additional recall rate (the proportion of patients recalled due to screening MBI findings beyond the proportion or patients already recalled for screening mammography findings), and PPV3 of MBI Findings.&#10;The study conducted by Brem et al. in 2016 had participant inclusion criteria of “Recent negative mammogram; at least one breast cancer risk factor N=849”. The Administered Activity of 99mTc Sestamibi was 590–1190 MBq (16–32 mCi) or 260–500 MBq (7–13.5 mCi). Under the ICDR, the invasive cancer and DCUS was 16.5, while the invasive cancer only was 7.1. The Size of Cancers Detected Only by MBI or BSGI (Median, Range -cm) was 2.5, 0.3 – 4.0. Additional recall rate was 25% and the PPV of MBI findings was 14.4%.&#10;Study was conducted by Shermis et al., in 2016 had participation inclusion criteria of “Recent negative mammogram; dense breasts; primarily &lt; 20% lifetime risk N=1696”.  The Administered Activity of 99mTc Sestamibi was 300 MBq (8 mCi). Under the ICDR, the invasive cancer DCUS was 7.7, while the invasive cancer only was 6.5. The Size of Cancers Detected Only by MBI or BSGI (Median, Range -cm) was 1.0, 0.6 – 2.4. Additional recall rate was 8.4% and the PPV of MBI findings was 19%.&#10;The study conducted by Rhodes et al.in 2015 had Participant Inclusion Criteria of “Dense breasts N= 1585”. The Administered Activity of 99mTc Sestamibi was 300 MBq (8 mCi). Under the ICDR, the invasive cancer and DCIS was 8.8, while the invasive cancer only was  6.9. The Size of Cancers Detected Only by MBI or BSGI (Median, Range -cm) was 0.9, 0.5 – 4.1. The additionall recall rate was 6.6%, while the PPV of MBI findings was 33%.&#10;The study conducted by Rhodes et al. in 2011 had Participant Inclusion Criteria of “Dense breasts; at least one additional breast cancer risk factor N= 936”. The Administered Activity of 99mTc Sestamibi was 740 MBq (20 mCi). Under the ICDR, the Invasive cancer and DCIS was 7.5, while the invasive cancer only was 5.3. The Size of Cancers Detected Only by MBI or BSGI (Median, Range -cm) was 1.1, 0.4 – 5.1. The additional recall rate was 5.9% and the PPV pf MBI findings was 28%. &#10;"/>
      </w:tblPr>
      <w:tblGrid>
        <w:gridCol w:w="975"/>
        <w:gridCol w:w="1601"/>
        <w:gridCol w:w="1128"/>
        <w:gridCol w:w="830"/>
        <w:gridCol w:w="1003"/>
        <w:gridCol w:w="1390"/>
        <w:gridCol w:w="1004"/>
        <w:gridCol w:w="1130"/>
      </w:tblGrid>
      <w:tr w:rsidR="00877A0B" w:rsidRPr="00877A0B" w14:paraId="1BC5F3A4" w14:textId="77777777" w:rsidTr="00877A0B">
        <w:trPr>
          <w:cnfStyle w:val="100000000000" w:firstRow="1" w:lastRow="0" w:firstColumn="0" w:lastColumn="0" w:oddVBand="0" w:evenVBand="0" w:oddHBand="0" w:evenHBand="0" w:firstRowFirstColumn="0" w:firstRowLastColumn="0" w:lastRowFirstColumn="0" w:lastRowLastColumn="0"/>
        </w:trPr>
        <w:tc>
          <w:tcPr>
            <w:tcW w:w="541" w:type="pct"/>
          </w:tcPr>
          <w:p w14:paraId="0B857DD2" w14:textId="023BB53D" w:rsidR="00877A0B" w:rsidRPr="00877A0B" w:rsidRDefault="00877A0B" w:rsidP="00877A0B">
            <w:pPr>
              <w:rPr>
                <w:bCs/>
                <w:color w:val="auto"/>
                <w:sz w:val="18"/>
                <w:szCs w:val="18"/>
                <w:lang w:val="en-US"/>
              </w:rPr>
            </w:pPr>
            <w:r w:rsidRPr="00877A0B">
              <w:rPr>
                <w:bCs/>
                <w:color w:val="auto"/>
                <w:sz w:val="18"/>
                <w:szCs w:val="18"/>
                <w:lang w:val="en-US"/>
              </w:rPr>
              <w:t>Study</w:t>
            </w:r>
          </w:p>
        </w:tc>
        <w:tc>
          <w:tcPr>
            <w:tcW w:w="886" w:type="pct"/>
          </w:tcPr>
          <w:p w14:paraId="1B3892AB" w14:textId="47A4A9CB" w:rsidR="00877A0B" w:rsidRPr="00877A0B" w:rsidRDefault="00877A0B" w:rsidP="00877A0B">
            <w:pPr>
              <w:jc w:val="center"/>
              <w:rPr>
                <w:color w:val="auto"/>
                <w:sz w:val="18"/>
                <w:szCs w:val="18"/>
                <w:lang w:val="en-US"/>
              </w:rPr>
            </w:pPr>
            <w:r w:rsidRPr="00877A0B">
              <w:rPr>
                <w:bCs/>
                <w:color w:val="auto"/>
                <w:sz w:val="18"/>
                <w:szCs w:val="18"/>
                <w:lang w:val="en-US"/>
              </w:rPr>
              <w:t>Participant Inclusion Criteria</w:t>
            </w:r>
          </w:p>
        </w:tc>
        <w:tc>
          <w:tcPr>
            <w:tcW w:w="614" w:type="pct"/>
          </w:tcPr>
          <w:p w14:paraId="1312B947" w14:textId="77777777" w:rsidR="00877A0B" w:rsidRPr="00877A0B" w:rsidRDefault="00877A0B" w:rsidP="00877A0B">
            <w:pPr>
              <w:autoSpaceDE w:val="0"/>
              <w:autoSpaceDN w:val="0"/>
              <w:adjustRightInd w:val="0"/>
              <w:jc w:val="center"/>
              <w:rPr>
                <w:rFonts w:ascii="Calibri" w:hAnsi="Calibri" w:cs="Calibri"/>
                <w:bCs/>
                <w:color w:val="auto"/>
                <w:sz w:val="18"/>
                <w:szCs w:val="18"/>
                <w:lang w:val="en-US"/>
              </w:rPr>
            </w:pPr>
            <w:r w:rsidRPr="00877A0B">
              <w:rPr>
                <w:rFonts w:ascii="Calibri" w:hAnsi="Calibri" w:cs="Calibri"/>
                <w:bCs/>
                <w:color w:val="auto"/>
                <w:sz w:val="18"/>
                <w:szCs w:val="18"/>
                <w:lang w:val="en-US"/>
              </w:rPr>
              <w:t>Administered</w:t>
            </w:r>
          </w:p>
          <w:p w14:paraId="505A8BD2" w14:textId="77777777" w:rsidR="00877A0B" w:rsidRPr="00877A0B" w:rsidRDefault="00877A0B" w:rsidP="00877A0B">
            <w:pPr>
              <w:autoSpaceDE w:val="0"/>
              <w:autoSpaceDN w:val="0"/>
              <w:adjustRightInd w:val="0"/>
              <w:jc w:val="center"/>
              <w:rPr>
                <w:rFonts w:ascii="Calibri" w:hAnsi="Calibri" w:cs="Calibri"/>
                <w:bCs/>
                <w:color w:val="auto"/>
                <w:sz w:val="18"/>
                <w:szCs w:val="18"/>
                <w:lang w:val="en-US"/>
              </w:rPr>
            </w:pPr>
            <w:r w:rsidRPr="00877A0B">
              <w:rPr>
                <w:rFonts w:ascii="Calibri" w:hAnsi="Calibri" w:cs="Calibri"/>
                <w:bCs/>
                <w:color w:val="auto"/>
                <w:sz w:val="18"/>
                <w:szCs w:val="18"/>
                <w:lang w:val="en-US"/>
              </w:rPr>
              <w:t>Activity of 99mTc</w:t>
            </w:r>
          </w:p>
          <w:p w14:paraId="645F787F" w14:textId="3CB2C584" w:rsidR="00877A0B" w:rsidRPr="00877A0B" w:rsidRDefault="00877A0B" w:rsidP="00877A0B">
            <w:pPr>
              <w:jc w:val="center"/>
              <w:rPr>
                <w:color w:val="auto"/>
                <w:sz w:val="18"/>
                <w:szCs w:val="18"/>
                <w:lang w:val="en-US"/>
              </w:rPr>
            </w:pPr>
            <w:r w:rsidRPr="00877A0B">
              <w:rPr>
                <w:rFonts w:ascii="Calibri" w:hAnsi="Calibri" w:cs="Calibri"/>
                <w:bCs/>
                <w:color w:val="auto"/>
                <w:sz w:val="18"/>
                <w:szCs w:val="18"/>
                <w:lang w:val="en-US"/>
              </w:rPr>
              <w:t>Sestamibi</w:t>
            </w:r>
          </w:p>
        </w:tc>
        <w:tc>
          <w:tcPr>
            <w:tcW w:w="452" w:type="pct"/>
          </w:tcPr>
          <w:p w14:paraId="3D9E79D4" w14:textId="0CCFC1F7" w:rsidR="00877A0B" w:rsidRPr="00877A0B" w:rsidRDefault="00877A0B" w:rsidP="00877A0B">
            <w:pPr>
              <w:jc w:val="center"/>
              <w:rPr>
                <w:color w:val="auto"/>
                <w:sz w:val="18"/>
                <w:szCs w:val="18"/>
                <w:lang w:val="en-US"/>
              </w:rPr>
            </w:pPr>
            <w:r w:rsidRPr="00877A0B">
              <w:rPr>
                <w:bCs/>
                <w:color w:val="auto"/>
                <w:sz w:val="18"/>
                <w:szCs w:val="18"/>
                <w:lang w:val="en-US"/>
              </w:rPr>
              <w:t>Invasive Cancer and DCIS detection rate</w:t>
            </w:r>
          </w:p>
        </w:tc>
        <w:tc>
          <w:tcPr>
            <w:tcW w:w="556" w:type="pct"/>
          </w:tcPr>
          <w:p w14:paraId="03B47DC1" w14:textId="45A5190B" w:rsidR="00877A0B" w:rsidRPr="00877A0B" w:rsidRDefault="00877A0B" w:rsidP="00877A0B">
            <w:pPr>
              <w:jc w:val="center"/>
              <w:rPr>
                <w:color w:val="auto"/>
                <w:sz w:val="18"/>
                <w:szCs w:val="18"/>
                <w:lang w:val="en-US"/>
              </w:rPr>
            </w:pPr>
            <w:r w:rsidRPr="00877A0B">
              <w:rPr>
                <w:bCs/>
                <w:color w:val="auto"/>
                <w:sz w:val="18"/>
                <w:szCs w:val="18"/>
                <w:lang w:val="en-US"/>
              </w:rPr>
              <w:t>Invasive Cancer Only detection rate</w:t>
            </w:r>
          </w:p>
        </w:tc>
        <w:tc>
          <w:tcPr>
            <w:tcW w:w="769" w:type="pct"/>
          </w:tcPr>
          <w:p w14:paraId="3E491062" w14:textId="1CD3C29B" w:rsidR="00877A0B" w:rsidRPr="00877A0B" w:rsidRDefault="00877A0B" w:rsidP="00877A0B">
            <w:pPr>
              <w:jc w:val="center"/>
              <w:rPr>
                <w:color w:val="auto"/>
                <w:sz w:val="18"/>
                <w:szCs w:val="18"/>
                <w:lang w:val="en-US"/>
              </w:rPr>
            </w:pPr>
            <w:r w:rsidRPr="00877A0B">
              <w:rPr>
                <w:bCs/>
                <w:color w:val="auto"/>
                <w:sz w:val="18"/>
                <w:szCs w:val="18"/>
                <w:lang w:val="en-US"/>
              </w:rPr>
              <w:t>Size of Cancers Detected Only by MBI or BSGI (Median, Range -cm)</w:t>
            </w:r>
          </w:p>
        </w:tc>
        <w:tc>
          <w:tcPr>
            <w:tcW w:w="556" w:type="pct"/>
          </w:tcPr>
          <w:p w14:paraId="14064D15" w14:textId="02DD66BD" w:rsidR="00877A0B" w:rsidRPr="00877A0B" w:rsidRDefault="00877A0B" w:rsidP="00877A0B">
            <w:pPr>
              <w:jc w:val="center"/>
              <w:rPr>
                <w:color w:val="auto"/>
                <w:sz w:val="18"/>
                <w:szCs w:val="18"/>
                <w:lang w:val="en-US"/>
              </w:rPr>
            </w:pPr>
            <w:r w:rsidRPr="00877A0B">
              <w:rPr>
                <w:bCs/>
                <w:color w:val="auto"/>
                <w:sz w:val="18"/>
                <w:szCs w:val="18"/>
                <w:lang w:val="en-US"/>
              </w:rPr>
              <w:t>Additional Recall Rate</w:t>
            </w:r>
            <w:r w:rsidRPr="00877A0B">
              <w:rPr>
                <w:bCs/>
                <w:color w:val="auto"/>
                <w:sz w:val="18"/>
                <w:szCs w:val="18"/>
                <w:vertAlign w:val="superscript"/>
                <w:lang w:val="en-US"/>
              </w:rPr>
              <w:t>a</w:t>
            </w:r>
          </w:p>
        </w:tc>
        <w:tc>
          <w:tcPr>
            <w:tcW w:w="626" w:type="pct"/>
          </w:tcPr>
          <w:p w14:paraId="50C7CB10" w14:textId="02BB1D82" w:rsidR="00877A0B" w:rsidRPr="00877A0B" w:rsidRDefault="00877A0B" w:rsidP="00877A0B">
            <w:pPr>
              <w:jc w:val="center"/>
              <w:rPr>
                <w:color w:val="auto"/>
                <w:sz w:val="18"/>
                <w:szCs w:val="18"/>
                <w:lang w:val="en-US"/>
              </w:rPr>
            </w:pPr>
            <w:r w:rsidRPr="00877A0B">
              <w:rPr>
                <w:bCs/>
                <w:color w:val="auto"/>
                <w:sz w:val="18"/>
                <w:szCs w:val="18"/>
                <w:lang w:val="en-US"/>
              </w:rPr>
              <w:t>PPV</w:t>
            </w:r>
            <w:r w:rsidRPr="00877A0B">
              <w:rPr>
                <w:bCs/>
                <w:color w:val="auto"/>
                <w:sz w:val="18"/>
                <w:szCs w:val="18"/>
                <w:vertAlign w:val="subscript"/>
                <w:lang w:val="en-US"/>
              </w:rPr>
              <w:t>3</w:t>
            </w:r>
            <w:r w:rsidRPr="00877A0B">
              <w:rPr>
                <w:bCs/>
                <w:color w:val="auto"/>
                <w:sz w:val="18"/>
                <w:szCs w:val="18"/>
                <w:lang w:val="en-US"/>
              </w:rPr>
              <w:t xml:space="preserve"> of MBI Findings</w:t>
            </w:r>
          </w:p>
        </w:tc>
      </w:tr>
      <w:tr w:rsidR="00877A0B" w14:paraId="203B0338" w14:textId="77777777" w:rsidTr="00877A0B">
        <w:tc>
          <w:tcPr>
            <w:tcW w:w="541" w:type="pct"/>
            <w:hideMark/>
          </w:tcPr>
          <w:p w14:paraId="42AB81D6" w14:textId="77777777" w:rsidR="00877A0B" w:rsidRPr="00F566A7" w:rsidRDefault="00877A0B" w:rsidP="00877A0B">
            <w:pPr>
              <w:rPr>
                <w:bCs/>
                <w:sz w:val="18"/>
                <w:szCs w:val="18"/>
                <w:lang w:val="en-US"/>
              </w:rPr>
            </w:pPr>
            <w:r w:rsidRPr="00F566A7">
              <w:rPr>
                <w:bCs/>
                <w:sz w:val="18"/>
                <w:szCs w:val="18"/>
                <w:lang w:val="en-US"/>
              </w:rPr>
              <w:t xml:space="preserve"> Brem et al.</w:t>
            </w:r>
            <w:r>
              <w:rPr>
                <w:bCs/>
                <w:sz w:val="18"/>
                <w:szCs w:val="18"/>
                <w:lang w:val="en-US"/>
              </w:rPr>
              <w:t xml:space="preserve"> (</w:t>
            </w:r>
            <w:r w:rsidRPr="00F566A7">
              <w:rPr>
                <w:bCs/>
                <w:sz w:val="18"/>
                <w:szCs w:val="18"/>
                <w:lang w:val="en-US"/>
              </w:rPr>
              <w:t>2016</w:t>
            </w:r>
            <w:r>
              <w:rPr>
                <w:bCs/>
                <w:sz w:val="18"/>
                <w:szCs w:val="18"/>
                <w:lang w:val="en-US"/>
              </w:rPr>
              <w:t>)</w:t>
            </w:r>
          </w:p>
        </w:tc>
        <w:tc>
          <w:tcPr>
            <w:tcW w:w="886" w:type="pct"/>
            <w:hideMark/>
          </w:tcPr>
          <w:p w14:paraId="48A0B95F" w14:textId="77777777" w:rsidR="00877A0B" w:rsidRDefault="00877A0B" w:rsidP="00877A0B">
            <w:pPr>
              <w:jc w:val="center"/>
              <w:rPr>
                <w:sz w:val="18"/>
                <w:szCs w:val="18"/>
                <w:lang w:val="en-US"/>
              </w:rPr>
            </w:pPr>
            <w:r>
              <w:rPr>
                <w:sz w:val="18"/>
                <w:szCs w:val="18"/>
                <w:lang w:val="en-US"/>
              </w:rPr>
              <w:t>Recent negative mammogram; at least one breast cancer risk factor</w:t>
            </w:r>
          </w:p>
          <w:p w14:paraId="58F4480D" w14:textId="77777777" w:rsidR="00877A0B" w:rsidRDefault="00877A0B" w:rsidP="00877A0B">
            <w:pPr>
              <w:jc w:val="center"/>
              <w:rPr>
                <w:sz w:val="18"/>
                <w:szCs w:val="18"/>
                <w:lang w:val="en-US"/>
              </w:rPr>
            </w:pPr>
            <w:r>
              <w:rPr>
                <w:sz w:val="18"/>
                <w:szCs w:val="18"/>
                <w:lang w:val="en-US"/>
              </w:rPr>
              <w:t>N=849</w:t>
            </w:r>
          </w:p>
        </w:tc>
        <w:tc>
          <w:tcPr>
            <w:tcW w:w="614" w:type="pct"/>
          </w:tcPr>
          <w:p w14:paraId="2E7D130F" w14:textId="77777777" w:rsidR="00877A0B" w:rsidRPr="00595156" w:rsidRDefault="00877A0B" w:rsidP="00877A0B">
            <w:pPr>
              <w:jc w:val="center"/>
              <w:rPr>
                <w:sz w:val="18"/>
                <w:szCs w:val="18"/>
                <w:lang w:val="en-US"/>
              </w:rPr>
            </w:pPr>
            <w:r w:rsidRPr="00595156">
              <w:rPr>
                <w:sz w:val="18"/>
                <w:szCs w:val="18"/>
                <w:lang w:val="en-US"/>
              </w:rPr>
              <w:t>590–1190 MBq</w:t>
            </w:r>
          </w:p>
          <w:p w14:paraId="0F50F55A" w14:textId="77777777" w:rsidR="00877A0B" w:rsidRPr="00595156" w:rsidRDefault="00877A0B" w:rsidP="00877A0B">
            <w:pPr>
              <w:jc w:val="center"/>
              <w:rPr>
                <w:sz w:val="18"/>
                <w:szCs w:val="18"/>
                <w:lang w:val="en-US"/>
              </w:rPr>
            </w:pPr>
            <w:r w:rsidRPr="00595156">
              <w:rPr>
                <w:sz w:val="18"/>
                <w:szCs w:val="18"/>
                <w:lang w:val="en-US"/>
              </w:rPr>
              <w:t>(16–32 mCi) or</w:t>
            </w:r>
          </w:p>
          <w:p w14:paraId="2FE13B70" w14:textId="77777777" w:rsidR="00877A0B" w:rsidRPr="00595156" w:rsidRDefault="00877A0B" w:rsidP="00877A0B">
            <w:pPr>
              <w:jc w:val="center"/>
              <w:rPr>
                <w:sz w:val="18"/>
                <w:szCs w:val="18"/>
                <w:lang w:val="en-US"/>
              </w:rPr>
            </w:pPr>
            <w:r w:rsidRPr="00595156">
              <w:rPr>
                <w:sz w:val="18"/>
                <w:szCs w:val="18"/>
                <w:lang w:val="en-US"/>
              </w:rPr>
              <w:t>260–500 MBq</w:t>
            </w:r>
          </w:p>
          <w:p w14:paraId="6EB204F0" w14:textId="77777777" w:rsidR="00877A0B" w:rsidRDefault="00877A0B" w:rsidP="00877A0B">
            <w:pPr>
              <w:jc w:val="center"/>
              <w:rPr>
                <w:sz w:val="18"/>
                <w:szCs w:val="18"/>
                <w:lang w:val="en-US"/>
              </w:rPr>
            </w:pPr>
            <w:r w:rsidRPr="00595156">
              <w:rPr>
                <w:sz w:val="18"/>
                <w:szCs w:val="18"/>
                <w:lang w:val="en-US"/>
              </w:rPr>
              <w:t>(7–13.5 mCi)</w:t>
            </w:r>
          </w:p>
        </w:tc>
        <w:tc>
          <w:tcPr>
            <w:tcW w:w="452" w:type="pct"/>
            <w:hideMark/>
          </w:tcPr>
          <w:p w14:paraId="3E744F71" w14:textId="77777777" w:rsidR="00877A0B" w:rsidRDefault="00877A0B" w:rsidP="00877A0B">
            <w:pPr>
              <w:jc w:val="center"/>
              <w:rPr>
                <w:sz w:val="18"/>
                <w:szCs w:val="18"/>
                <w:lang w:val="en-US"/>
              </w:rPr>
            </w:pPr>
            <w:r>
              <w:rPr>
                <w:sz w:val="18"/>
                <w:szCs w:val="18"/>
                <w:lang w:val="en-US"/>
              </w:rPr>
              <w:t>16.5</w:t>
            </w:r>
          </w:p>
        </w:tc>
        <w:tc>
          <w:tcPr>
            <w:tcW w:w="556" w:type="pct"/>
            <w:hideMark/>
          </w:tcPr>
          <w:p w14:paraId="0F187D64" w14:textId="77777777" w:rsidR="00877A0B" w:rsidRDefault="00877A0B" w:rsidP="00877A0B">
            <w:pPr>
              <w:jc w:val="center"/>
              <w:rPr>
                <w:sz w:val="18"/>
                <w:szCs w:val="18"/>
                <w:lang w:val="en-US"/>
              </w:rPr>
            </w:pPr>
            <w:r>
              <w:rPr>
                <w:sz w:val="18"/>
                <w:szCs w:val="18"/>
                <w:lang w:val="en-US"/>
              </w:rPr>
              <w:t>7.1</w:t>
            </w:r>
          </w:p>
        </w:tc>
        <w:tc>
          <w:tcPr>
            <w:tcW w:w="769" w:type="pct"/>
            <w:hideMark/>
          </w:tcPr>
          <w:p w14:paraId="398F28EA" w14:textId="77777777" w:rsidR="00877A0B" w:rsidRDefault="00877A0B" w:rsidP="00877A0B">
            <w:pPr>
              <w:jc w:val="center"/>
              <w:rPr>
                <w:sz w:val="18"/>
                <w:szCs w:val="18"/>
                <w:lang w:val="en-US"/>
              </w:rPr>
            </w:pPr>
            <w:r>
              <w:rPr>
                <w:sz w:val="18"/>
                <w:szCs w:val="18"/>
                <w:lang w:val="en-US"/>
              </w:rPr>
              <w:t>2.5, 0.3 – 4.0</w:t>
            </w:r>
          </w:p>
        </w:tc>
        <w:tc>
          <w:tcPr>
            <w:tcW w:w="556" w:type="pct"/>
            <w:hideMark/>
          </w:tcPr>
          <w:p w14:paraId="44216CB4" w14:textId="77777777" w:rsidR="00877A0B" w:rsidRDefault="00877A0B" w:rsidP="00877A0B">
            <w:pPr>
              <w:jc w:val="center"/>
              <w:rPr>
                <w:sz w:val="18"/>
                <w:szCs w:val="18"/>
                <w:lang w:val="en-US"/>
              </w:rPr>
            </w:pPr>
            <w:r>
              <w:rPr>
                <w:sz w:val="18"/>
                <w:szCs w:val="18"/>
                <w:lang w:val="en-US"/>
              </w:rPr>
              <w:t>25%</w:t>
            </w:r>
          </w:p>
        </w:tc>
        <w:tc>
          <w:tcPr>
            <w:tcW w:w="626" w:type="pct"/>
            <w:hideMark/>
          </w:tcPr>
          <w:p w14:paraId="51540B1C" w14:textId="77777777" w:rsidR="00877A0B" w:rsidRDefault="00877A0B" w:rsidP="00877A0B">
            <w:pPr>
              <w:jc w:val="center"/>
              <w:rPr>
                <w:sz w:val="18"/>
                <w:szCs w:val="18"/>
                <w:lang w:val="en-US"/>
              </w:rPr>
            </w:pPr>
            <w:r>
              <w:rPr>
                <w:sz w:val="18"/>
                <w:szCs w:val="18"/>
                <w:lang w:val="en-US"/>
              </w:rPr>
              <w:t>14.4%</w:t>
            </w:r>
          </w:p>
        </w:tc>
      </w:tr>
      <w:tr w:rsidR="00877A0B" w14:paraId="59CFBE3F" w14:textId="77777777" w:rsidTr="00877A0B">
        <w:tc>
          <w:tcPr>
            <w:tcW w:w="541" w:type="pct"/>
            <w:hideMark/>
          </w:tcPr>
          <w:p w14:paraId="744C2AF1" w14:textId="77777777" w:rsidR="00877A0B" w:rsidRPr="00F566A7" w:rsidRDefault="00877A0B" w:rsidP="00877A0B">
            <w:pPr>
              <w:jc w:val="center"/>
              <w:rPr>
                <w:bCs/>
                <w:sz w:val="18"/>
                <w:szCs w:val="18"/>
                <w:lang w:val="en-US"/>
              </w:rPr>
            </w:pPr>
            <w:r w:rsidRPr="00F566A7">
              <w:rPr>
                <w:bCs/>
                <w:sz w:val="18"/>
                <w:szCs w:val="18"/>
                <w:lang w:val="en-US"/>
              </w:rPr>
              <w:t>Shermis et al.</w:t>
            </w:r>
            <w:r>
              <w:rPr>
                <w:bCs/>
                <w:sz w:val="18"/>
                <w:szCs w:val="18"/>
                <w:lang w:val="en-US"/>
              </w:rPr>
              <w:t xml:space="preserve"> (</w:t>
            </w:r>
            <w:r w:rsidRPr="00F566A7">
              <w:rPr>
                <w:bCs/>
                <w:sz w:val="18"/>
                <w:szCs w:val="18"/>
                <w:lang w:val="en-US"/>
              </w:rPr>
              <w:t>2016</w:t>
            </w:r>
            <w:r>
              <w:rPr>
                <w:bCs/>
                <w:sz w:val="18"/>
                <w:szCs w:val="18"/>
                <w:lang w:val="en-US"/>
              </w:rPr>
              <w:t>)</w:t>
            </w:r>
          </w:p>
        </w:tc>
        <w:tc>
          <w:tcPr>
            <w:tcW w:w="886" w:type="pct"/>
            <w:hideMark/>
          </w:tcPr>
          <w:p w14:paraId="29184741" w14:textId="77777777" w:rsidR="00877A0B" w:rsidRDefault="00877A0B" w:rsidP="00877A0B">
            <w:pPr>
              <w:jc w:val="center"/>
              <w:rPr>
                <w:sz w:val="18"/>
                <w:szCs w:val="18"/>
                <w:lang w:val="en-US"/>
              </w:rPr>
            </w:pPr>
            <w:r>
              <w:rPr>
                <w:sz w:val="18"/>
                <w:szCs w:val="18"/>
                <w:lang w:val="en-US"/>
              </w:rPr>
              <w:t>Recent negative mammogram; dense breasts; primarily &lt; 20% lifetime risk</w:t>
            </w:r>
          </w:p>
          <w:p w14:paraId="23724B14" w14:textId="77777777" w:rsidR="00877A0B" w:rsidRDefault="00877A0B" w:rsidP="00877A0B">
            <w:pPr>
              <w:jc w:val="center"/>
              <w:rPr>
                <w:sz w:val="18"/>
                <w:szCs w:val="18"/>
                <w:lang w:val="en-US"/>
              </w:rPr>
            </w:pPr>
            <w:r>
              <w:rPr>
                <w:sz w:val="18"/>
                <w:szCs w:val="18"/>
                <w:lang w:val="en-US"/>
              </w:rPr>
              <w:t>N=1696</w:t>
            </w:r>
          </w:p>
        </w:tc>
        <w:tc>
          <w:tcPr>
            <w:tcW w:w="614" w:type="pct"/>
          </w:tcPr>
          <w:p w14:paraId="72B6F629" w14:textId="77777777" w:rsidR="00877A0B" w:rsidRDefault="00877A0B" w:rsidP="00877A0B">
            <w:pPr>
              <w:jc w:val="center"/>
              <w:rPr>
                <w:sz w:val="18"/>
                <w:szCs w:val="18"/>
                <w:lang w:val="en-US"/>
              </w:rPr>
            </w:pPr>
            <w:r w:rsidRPr="00595156">
              <w:rPr>
                <w:sz w:val="18"/>
                <w:szCs w:val="18"/>
                <w:lang w:val="en-US"/>
              </w:rPr>
              <w:t>300 MBq (8 mCi)</w:t>
            </w:r>
          </w:p>
        </w:tc>
        <w:tc>
          <w:tcPr>
            <w:tcW w:w="452" w:type="pct"/>
            <w:hideMark/>
          </w:tcPr>
          <w:p w14:paraId="700E7010" w14:textId="77777777" w:rsidR="00877A0B" w:rsidRDefault="00877A0B" w:rsidP="00877A0B">
            <w:pPr>
              <w:jc w:val="center"/>
              <w:rPr>
                <w:sz w:val="18"/>
                <w:szCs w:val="18"/>
                <w:lang w:val="en-US"/>
              </w:rPr>
            </w:pPr>
            <w:r>
              <w:rPr>
                <w:sz w:val="18"/>
                <w:szCs w:val="18"/>
                <w:lang w:val="en-US"/>
              </w:rPr>
              <w:t>7.7</w:t>
            </w:r>
          </w:p>
        </w:tc>
        <w:tc>
          <w:tcPr>
            <w:tcW w:w="556" w:type="pct"/>
            <w:hideMark/>
          </w:tcPr>
          <w:p w14:paraId="74EE08AD" w14:textId="77777777" w:rsidR="00877A0B" w:rsidRDefault="00877A0B" w:rsidP="00877A0B">
            <w:pPr>
              <w:jc w:val="center"/>
              <w:rPr>
                <w:sz w:val="18"/>
                <w:szCs w:val="18"/>
                <w:lang w:val="en-US"/>
              </w:rPr>
            </w:pPr>
            <w:r>
              <w:rPr>
                <w:sz w:val="18"/>
                <w:szCs w:val="18"/>
                <w:lang w:val="en-US"/>
              </w:rPr>
              <w:t>6.5</w:t>
            </w:r>
          </w:p>
        </w:tc>
        <w:tc>
          <w:tcPr>
            <w:tcW w:w="769" w:type="pct"/>
            <w:hideMark/>
          </w:tcPr>
          <w:p w14:paraId="6ACFC038" w14:textId="77777777" w:rsidR="00877A0B" w:rsidRDefault="00877A0B" w:rsidP="00877A0B">
            <w:pPr>
              <w:jc w:val="center"/>
              <w:rPr>
                <w:sz w:val="18"/>
                <w:szCs w:val="18"/>
                <w:lang w:val="en-US"/>
              </w:rPr>
            </w:pPr>
            <w:r>
              <w:rPr>
                <w:sz w:val="18"/>
                <w:szCs w:val="18"/>
                <w:lang w:val="en-US"/>
              </w:rPr>
              <w:t>1.0, 0.6 – 2.4</w:t>
            </w:r>
          </w:p>
        </w:tc>
        <w:tc>
          <w:tcPr>
            <w:tcW w:w="556" w:type="pct"/>
            <w:hideMark/>
          </w:tcPr>
          <w:p w14:paraId="3F0E096C" w14:textId="77777777" w:rsidR="00877A0B" w:rsidRDefault="00877A0B" w:rsidP="00877A0B">
            <w:pPr>
              <w:jc w:val="center"/>
              <w:rPr>
                <w:sz w:val="18"/>
                <w:szCs w:val="18"/>
                <w:lang w:val="en-US"/>
              </w:rPr>
            </w:pPr>
            <w:r>
              <w:rPr>
                <w:sz w:val="18"/>
                <w:szCs w:val="18"/>
                <w:lang w:val="en-US"/>
              </w:rPr>
              <w:t>8.4%</w:t>
            </w:r>
          </w:p>
        </w:tc>
        <w:tc>
          <w:tcPr>
            <w:tcW w:w="626" w:type="pct"/>
            <w:hideMark/>
          </w:tcPr>
          <w:p w14:paraId="188C4F6D" w14:textId="77777777" w:rsidR="00877A0B" w:rsidRDefault="00877A0B" w:rsidP="00877A0B">
            <w:pPr>
              <w:jc w:val="center"/>
              <w:rPr>
                <w:sz w:val="18"/>
                <w:szCs w:val="18"/>
                <w:lang w:val="en-US"/>
              </w:rPr>
            </w:pPr>
            <w:r>
              <w:rPr>
                <w:sz w:val="18"/>
                <w:szCs w:val="18"/>
                <w:lang w:val="en-US"/>
              </w:rPr>
              <w:t>19%</w:t>
            </w:r>
          </w:p>
        </w:tc>
      </w:tr>
      <w:tr w:rsidR="00877A0B" w14:paraId="75957700" w14:textId="77777777" w:rsidTr="00877A0B">
        <w:tc>
          <w:tcPr>
            <w:tcW w:w="541" w:type="pct"/>
            <w:hideMark/>
          </w:tcPr>
          <w:p w14:paraId="53466009" w14:textId="77777777" w:rsidR="00877A0B" w:rsidRPr="00F566A7" w:rsidRDefault="00877A0B" w:rsidP="00877A0B">
            <w:pPr>
              <w:jc w:val="center"/>
              <w:rPr>
                <w:bCs/>
                <w:sz w:val="18"/>
                <w:szCs w:val="18"/>
                <w:lang w:val="en-US"/>
              </w:rPr>
            </w:pPr>
            <w:r w:rsidRPr="00F566A7">
              <w:rPr>
                <w:bCs/>
                <w:sz w:val="18"/>
                <w:szCs w:val="18"/>
                <w:lang w:val="en-US"/>
              </w:rPr>
              <w:t xml:space="preserve"> Rhodes et al.</w:t>
            </w:r>
            <w:r>
              <w:rPr>
                <w:bCs/>
                <w:sz w:val="18"/>
                <w:szCs w:val="18"/>
                <w:lang w:val="en-US"/>
              </w:rPr>
              <w:t xml:space="preserve"> (</w:t>
            </w:r>
            <w:r w:rsidRPr="00F566A7">
              <w:rPr>
                <w:bCs/>
                <w:sz w:val="18"/>
                <w:szCs w:val="18"/>
                <w:lang w:val="en-US"/>
              </w:rPr>
              <w:t>2015</w:t>
            </w:r>
            <w:r>
              <w:rPr>
                <w:bCs/>
                <w:sz w:val="18"/>
                <w:szCs w:val="18"/>
                <w:lang w:val="en-US"/>
              </w:rPr>
              <w:t>)</w:t>
            </w:r>
          </w:p>
        </w:tc>
        <w:tc>
          <w:tcPr>
            <w:tcW w:w="886" w:type="pct"/>
            <w:hideMark/>
          </w:tcPr>
          <w:p w14:paraId="4DDF16EE" w14:textId="77777777" w:rsidR="00877A0B" w:rsidRDefault="00877A0B" w:rsidP="00877A0B">
            <w:pPr>
              <w:jc w:val="center"/>
              <w:rPr>
                <w:sz w:val="18"/>
                <w:szCs w:val="18"/>
                <w:lang w:val="en-US"/>
              </w:rPr>
            </w:pPr>
            <w:r>
              <w:rPr>
                <w:sz w:val="18"/>
                <w:szCs w:val="18"/>
                <w:lang w:val="en-US"/>
              </w:rPr>
              <w:t>Dense breasts</w:t>
            </w:r>
          </w:p>
          <w:p w14:paraId="027F8441" w14:textId="77777777" w:rsidR="00877A0B" w:rsidRDefault="00877A0B" w:rsidP="00877A0B">
            <w:pPr>
              <w:jc w:val="center"/>
              <w:rPr>
                <w:sz w:val="18"/>
                <w:szCs w:val="18"/>
                <w:lang w:val="en-US"/>
              </w:rPr>
            </w:pPr>
            <w:r>
              <w:rPr>
                <w:sz w:val="18"/>
                <w:szCs w:val="18"/>
                <w:lang w:val="en-US"/>
              </w:rPr>
              <w:t>N= 1585</w:t>
            </w:r>
          </w:p>
        </w:tc>
        <w:tc>
          <w:tcPr>
            <w:tcW w:w="614" w:type="pct"/>
          </w:tcPr>
          <w:p w14:paraId="71015248" w14:textId="77777777" w:rsidR="00877A0B" w:rsidRDefault="00877A0B" w:rsidP="00877A0B">
            <w:pPr>
              <w:jc w:val="center"/>
              <w:rPr>
                <w:sz w:val="18"/>
                <w:szCs w:val="18"/>
                <w:lang w:val="en-US"/>
              </w:rPr>
            </w:pPr>
            <w:r w:rsidRPr="00595156">
              <w:rPr>
                <w:sz w:val="18"/>
                <w:szCs w:val="18"/>
                <w:lang w:val="en-US"/>
              </w:rPr>
              <w:t>300 MBq (8 mCi)</w:t>
            </w:r>
          </w:p>
        </w:tc>
        <w:tc>
          <w:tcPr>
            <w:tcW w:w="452" w:type="pct"/>
            <w:hideMark/>
          </w:tcPr>
          <w:p w14:paraId="5ABE757D" w14:textId="77777777" w:rsidR="00877A0B" w:rsidRDefault="00877A0B" w:rsidP="00877A0B">
            <w:pPr>
              <w:jc w:val="center"/>
              <w:rPr>
                <w:sz w:val="18"/>
                <w:szCs w:val="18"/>
                <w:lang w:val="en-US"/>
              </w:rPr>
            </w:pPr>
            <w:r>
              <w:rPr>
                <w:sz w:val="18"/>
                <w:szCs w:val="18"/>
                <w:lang w:val="en-US"/>
              </w:rPr>
              <w:t>8.8</w:t>
            </w:r>
          </w:p>
        </w:tc>
        <w:tc>
          <w:tcPr>
            <w:tcW w:w="556" w:type="pct"/>
            <w:hideMark/>
          </w:tcPr>
          <w:p w14:paraId="57AE2B61" w14:textId="77777777" w:rsidR="00877A0B" w:rsidRDefault="00877A0B" w:rsidP="00877A0B">
            <w:pPr>
              <w:jc w:val="center"/>
              <w:rPr>
                <w:sz w:val="18"/>
                <w:szCs w:val="18"/>
                <w:lang w:val="en-US"/>
              </w:rPr>
            </w:pPr>
            <w:r>
              <w:rPr>
                <w:sz w:val="18"/>
                <w:szCs w:val="18"/>
                <w:lang w:val="en-US"/>
              </w:rPr>
              <w:t>6.9</w:t>
            </w:r>
          </w:p>
        </w:tc>
        <w:tc>
          <w:tcPr>
            <w:tcW w:w="769" w:type="pct"/>
            <w:hideMark/>
          </w:tcPr>
          <w:p w14:paraId="4FC30274" w14:textId="77777777" w:rsidR="00877A0B" w:rsidRDefault="00877A0B" w:rsidP="00877A0B">
            <w:pPr>
              <w:jc w:val="center"/>
              <w:rPr>
                <w:sz w:val="18"/>
                <w:szCs w:val="18"/>
                <w:lang w:val="en-US"/>
              </w:rPr>
            </w:pPr>
            <w:r>
              <w:rPr>
                <w:sz w:val="18"/>
                <w:szCs w:val="18"/>
                <w:lang w:val="en-US"/>
              </w:rPr>
              <w:t>0.9, 0.5 – 4.1</w:t>
            </w:r>
          </w:p>
        </w:tc>
        <w:tc>
          <w:tcPr>
            <w:tcW w:w="556" w:type="pct"/>
            <w:hideMark/>
          </w:tcPr>
          <w:p w14:paraId="0741EA4B" w14:textId="77777777" w:rsidR="00877A0B" w:rsidRDefault="00877A0B" w:rsidP="00877A0B">
            <w:pPr>
              <w:jc w:val="center"/>
              <w:rPr>
                <w:sz w:val="18"/>
                <w:szCs w:val="18"/>
                <w:lang w:val="en-US"/>
              </w:rPr>
            </w:pPr>
            <w:r>
              <w:rPr>
                <w:sz w:val="18"/>
                <w:szCs w:val="18"/>
                <w:lang w:val="en-US"/>
              </w:rPr>
              <w:t>6.6%</w:t>
            </w:r>
          </w:p>
        </w:tc>
        <w:tc>
          <w:tcPr>
            <w:tcW w:w="626" w:type="pct"/>
            <w:hideMark/>
          </w:tcPr>
          <w:p w14:paraId="06C60409" w14:textId="77777777" w:rsidR="00877A0B" w:rsidRDefault="00877A0B" w:rsidP="00877A0B">
            <w:pPr>
              <w:jc w:val="center"/>
              <w:rPr>
                <w:sz w:val="18"/>
                <w:szCs w:val="18"/>
                <w:lang w:val="en-US"/>
              </w:rPr>
            </w:pPr>
            <w:r>
              <w:rPr>
                <w:sz w:val="18"/>
                <w:szCs w:val="18"/>
                <w:lang w:val="en-US"/>
              </w:rPr>
              <w:t>33%</w:t>
            </w:r>
          </w:p>
        </w:tc>
      </w:tr>
      <w:tr w:rsidR="00FE4BF1" w14:paraId="77E9F361" w14:textId="77777777" w:rsidTr="00877A0B">
        <w:tc>
          <w:tcPr>
            <w:tcW w:w="541" w:type="pct"/>
            <w:hideMark/>
          </w:tcPr>
          <w:p w14:paraId="22116634" w14:textId="49C0CB16" w:rsidR="00877A0B" w:rsidRPr="00F566A7" w:rsidRDefault="00877A0B" w:rsidP="00877A0B">
            <w:pPr>
              <w:jc w:val="center"/>
              <w:rPr>
                <w:bCs/>
                <w:sz w:val="18"/>
                <w:szCs w:val="18"/>
                <w:lang w:val="en-US"/>
              </w:rPr>
            </w:pPr>
            <w:r w:rsidRPr="00F566A7">
              <w:rPr>
                <w:bCs/>
                <w:sz w:val="18"/>
                <w:szCs w:val="18"/>
                <w:lang w:val="en-US"/>
              </w:rPr>
              <w:t>Rhodes et al.</w:t>
            </w:r>
            <w:r>
              <w:rPr>
                <w:bCs/>
                <w:sz w:val="18"/>
                <w:szCs w:val="18"/>
                <w:lang w:val="en-US"/>
              </w:rPr>
              <w:t xml:space="preserve"> (</w:t>
            </w:r>
            <w:r w:rsidRPr="00F566A7">
              <w:rPr>
                <w:bCs/>
                <w:sz w:val="18"/>
                <w:szCs w:val="18"/>
                <w:lang w:val="en-US"/>
              </w:rPr>
              <w:t>2011</w:t>
            </w:r>
            <w:r>
              <w:rPr>
                <w:bCs/>
                <w:sz w:val="18"/>
                <w:szCs w:val="18"/>
                <w:lang w:val="en-US"/>
              </w:rPr>
              <w:t>)</w:t>
            </w:r>
          </w:p>
        </w:tc>
        <w:tc>
          <w:tcPr>
            <w:tcW w:w="886" w:type="pct"/>
            <w:hideMark/>
          </w:tcPr>
          <w:p w14:paraId="108A9FB3" w14:textId="77777777" w:rsidR="00877A0B" w:rsidRDefault="00877A0B" w:rsidP="00877A0B">
            <w:pPr>
              <w:jc w:val="center"/>
              <w:rPr>
                <w:sz w:val="18"/>
                <w:szCs w:val="18"/>
                <w:lang w:val="en-US"/>
              </w:rPr>
            </w:pPr>
            <w:r>
              <w:rPr>
                <w:sz w:val="18"/>
                <w:szCs w:val="18"/>
                <w:lang w:val="en-US"/>
              </w:rPr>
              <w:t>Dense breasts; at least one additional breast cancer risk factor</w:t>
            </w:r>
          </w:p>
          <w:p w14:paraId="311D6275" w14:textId="77777777" w:rsidR="00877A0B" w:rsidRDefault="00877A0B" w:rsidP="00877A0B">
            <w:pPr>
              <w:jc w:val="center"/>
              <w:rPr>
                <w:sz w:val="18"/>
                <w:szCs w:val="18"/>
                <w:lang w:val="en-US"/>
              </w:rPr>
            </w:pPr>
            <w:r>
              <w:rPr>
                <w:sz w:val="18"/>
                <w:szCs w:val="18"/>
                <w:lang w:val="en-US"/>
              </w:rPr>
              <w:t>N= 936</w:t>
            </w:r>
          </w:p>
        </w:tc>
        <w:tc>
          <w:tcPr>
            <w:tcW w:w="614" w:type="pct"/>
          </w:tcPr>
          <w:p w14:paraId="4F56E078" w14:textId="77777777" w:rsidR="00877A0B" w:rsidRDefault="00877A0B" w:rsidP="00877A0B">
            <w:pPr>
              <w:jc w:val="center"/>
              <w:rPr>
                <w:sz w:val="18"/>
                <w:szCs w:val="18"/>
                <w:lang w:val="en-US"/>
              </w:rPr>
            </w:pPr>
            <w:r w:rsidRPr="00595156">
              <w:rPr>
                <w:sz w:val="18"/>
                <w:szCs w:val="18"/>
                <w:lang w:val="en-US"/>
              </w:rPr>
              <w:t>740 MBq (20 mCi</w:t>
            </w:r>
            <w:r>
              <w:rPr>
                <w:sz w:val="18"/>
                <w:szCs w:val="18"/>
                <w:lang w:val="en-US"/>
              </w:rPr>
              <w:t>)</w:t>
            </w:r>
          </w:p>
        </w:tc>
        <w:tc>
          <w:tcPr>
            <w:tcW w:w="452" w:type="pct"/>
            <w:hideMark/>
          </w:tcPr>
          <w:p w14:paraId="52EE3DC0" w14:textId="77777777" w:rsidR="00877A0B" w:rsidRDefault="00877A0B" w:rsidP="00877A0B">
            <w:pPr>
              <w:jc w:val="center"/>
              <w:rPr>
                <w:sz w:val="18"/>
                <w:szCs w:val="18"/>
                <w:lang w:val="en-US"/>
              </w:rPr>
            </w:pPr>
            <w:r>
              <w:rPr>
                <w:sz w:val="18"/>
                <w:szCs w:val="18"/>
                <w:lang w:val="en-US"/>
              </w:rPr>
              <w:t>7.5</w:t>
            </w:r>
          </w:p>
        </w:tc>
        <w:tc>
          <w:tcPr>
            <w:tcW w:w="556" w:type="pct"/>
            <w:hideMark/>
          </w:tcPr>
          <w:p w14:paraId="18C3C6A5" w14:textId="77777777" w:rsidR="00877A0B" w:rsidRDefault="00877A0B" w:rsidP="00877A0B">
            <w:pPr>
              <w:jc w:val="center"/>
              <w:rPr>
                <w:sz w:val="18"/>
                <w:szCs w:val="18"/>
                <w:lang w:val="en-US"/>
              </w:rPr>
            </w:pPr>
            <w:r>
              <w:rPr>
                <w:sz w:val="18"/>
                <w:szCs w:val="18"/>
                <w:lang w:val="en-US"/>
              </w:rPr>
              <w:t>5.3</w:t>
            </w:r>
          </w:p>
        </w:tc>
        <w:tc>
          <w:tcPr>
            <w:tcW w:w="769" w:type="pct"/>
            <w:hideMark/>
          </w:tcPr>
          <w:p w14:paraId="29A85DE4" w14:textId="77777777" w:rsidR="00877A0B" w:rsidRDefault="00877A0B" w:rsidP="00877A0B">
            <w:pPr>
              <w:jc w:val="center"/>
              <w:rPr>
                <w:sz w:val="18"/>
                <w:szCs w:val="18"/>
                <w:lang w:val="en-US"/>
              </w:rPr>
            </w:pPr>
            <w:r>
              <w:rPr>
                <w:sz w:val="18"/>
                <w:szCs w:val="18"/>
                <w:lang w:val="en-US"/>
              </w:rPr>
              <w:t>1.1, 0.4 – 5.1</w:t>
            </w:r>
          </w:p>
        </w:tc>
        <w:tc>
          <w:tcPr>
            <w:tcW w:w="556" w:type="pct"/>
            <w:hideMark/>
          </w:tcPr>
          <w:p w14:paraId="3B26C547" w14:textId="77777777" w:rsidR="00877A0B" w:rsidRDefault="00877A0B" w:rsidP="00877A0B">
            <w:pPr>
              <w:jc w:val="center"/>
              <w:rPr>
                <w:sz w:val="18"/>
                <w:szCs w:val="18"/>
                <w:lang w:val="en-US"/>
              </w:rPr>
            </w:pPr>
            <w:r>
              <w:rPr>
                <w:sz w:val="18"/>
                <w:szCs w:val="18"/>
                <w:lang w:val="en-US"/>
              </w:rPr>
              <w:t>5.9%</w:t>
            </w:r>
          </w:p>
        </w:tc>
        <w:tc>
          <w:tcPr>
            <w:tcW w:w="626" w:type="pct"/>
            <w:hideMark/>
          </w:tcPr>
          <w:p w14:paraId="596AF947" w14:textId="77777777" w:rsidR="00877A0B" w:rsidRDefault="00877A0B" w:rsidP="00877A0B">
            <w:pPr>
              <w:jc w:val="center"/>
              <w:rPr>
                <w:sz w:val="18"/>
                <w:szCs w:val="18"/>
                <w:lang w:val="en-US"/>
              </w:rPr>
            </w:pPr>
            <w:r>
              <w:rPr>
                <w:sz w:val="18"/>
                <w:szCs w:val="18"/>
                <w:lang w:val="en-US"/>
              </w:rPr>
              <w:t>28%</w:t>
            </w:r>
          </w:p>
        </w:tc>
      </w:tr>
    </w:tbl>
    <w:p w14:paraId="171342EF" w14:textId="77777777" w:rsidR="00F566A7" w:rsidRDefault="00F566A7" w:rsidP="00F566A7">
      <w:pPr>
        <w:rPr>
          <w:sz w:val="16"/>
          <w:szCs w:val="16"/>
        </w:rPr>
      </w:pPr>
      <w:r>
        <w:rPr>
          <w:sz w:val="16"/>
          <w:szCs w:val="16"/>
        </w:rPr>
        <w:t xml:space="preserve">ICDR = incremental cancer detection rate of MBI relative to screening mammography in number of women diagnosed with cancer per 1000 women screened, DCIS, PPV3 = proportion of positive findings on MBI or BSGI that resulted in a diagnosis of malignancy, </w:t>
      </w:r>
      <w:r>
        <w:rPr>
          <w:vertAlign w:val="superscript"/>
        </w:rPr>
        <w:t>a</w:t>
      </w:r>
      <w:r>
        <w:rPr>
          <w:sz w:val="16"/>
          <w:szCs w:val="16"/>
        </w:rPr>
        <w:t xml:space="preserve"> Refers to proportion of patients recalled due to screening MBI findings beyond the proportion or patients already recalled for screening mammography findings, </w:t>
      </w:r>
    </w:p>
    <w:p w14:paraId="58FB8771" w14:textId="561B3A55" w:rsidR="00F566A7" w:rsidRDefault="00F566A7">
      <w:pPr>
        <w:pStyle w:val="BodyText"/>
      </w:pPr>
      <w:r>
        <w:t>One of the studies included in Hruska’s (2017) review was a retrospective study based in a large community practice (Shermis, 2016). MBI was performed on 1,696 women who had negative findings on mammography, had dense breast tissue, and were not otherwise considered high risk. Positive MBI findings occurred in 143 of the 1,696 women, predominantly among women with more dense breasts:</w:t>
      </w:r>
    </w:p>
    <w:p w14:paraId="4487D1DE" w14:textId="391D3223" w:rsidR="00F566A7" w:rsidRDefault="00F566A7" w:rsidP="00522F1A">
      <w:pPr>
        <w:pStyle w:val="List-BulletLvl1"/>
        <w:numPr>
          <w:ilvl w:val="0"/>
          <w:numId w:val="9"/>
        </w:numPr>
      </w:pPr>
      <w:r>
        <w:t xml:space="preserve">14 women were </w:t>
      </w:r>
      <w:r w:rsidR="00275D65">
        <w:t>BIRADS</w:t>
      </w:r>
      <w:r>
        <w:t xml:space="preserve"> category 0</w:t>
      </w:r>
    </w:p>
    <w:p w14:paraId="298B06FE" w14:textId="540422AD" w:rsidR="00F566A7" w:rsidRDefault="00F566A7" w:rsidP="00522F1A">
      <w:pPr>
        <w:pStyle w:val="List-BulletLvl1"/>
        <w:numPr>
          <w:ilvl w:val="0"/>
          <w:numId w:val="9"/>
        </w:numPr>
      </w:pPr>
      <w:r>
        <w:t xml:space="preserve">73 women were </w:t>
      </w:r>
      <w:r w:rsidR="00275D65">
        <w:t>BIRADS</w:t>
      </w:r>
      <w:r>
        <w:t xml:space="preserve"> category 3</w:t>
      </w:r>
    </w:p>
    <w:p w14:paraId="559813D7" w14:textId="202161C3" w:rsidR="00F566A7" w:rsidRDefault="00F566A7" w:rsidP="00522F1A">
      <w:pPr>
        <w:pStyle w:val="List-BulletLvl1"/>
        <w:numPr>
          <w:ilvl w:val="0"/>
          <w:numId w:val="9"/>
        </w:numPr>
      </w:pPr>
      <w:r>
        <w:t xml:space="preserve">55 women were </w:t>
      </w:r>
      <w:r w:rsidR="00275D65">
        <w:t>BIRADS</w:t>
      </w:r>
      <w:r>
        <w:t xml:space="preserve"> category 4, and </w:t>
      </w:r>
    </w:p>
    <w:p w14:paraId="463E0994" w14:textId="71924A0F" w:rsidR="00F566A7" w:rsidRDefault="00F566A7" w:rsidP="00522F1A">
      <w:pPr>
        <w:pStyle w:val="List-BulletLvl1"/>
        <w:numPr>
          <w:ilvl w:val="0"/>
          <w:numId w:val="9"/>
        </w:numPr>
      </w:pPr>
      <w:proofErr w:type="gramStart"/>
      <w:r>
        <w:t>one</w:t>
      </w:r>
      <w:proofErr w:type="gramEnd"/>
      <w:r>
        <w:t xml:space="preserve"> women was </w:t>
      </w:r>
      <w:r w:rsidR="00275D65">
        <w:t>BIRADS</w:t>
      </w:r>
      <w:r>
        <w:t xml:space="preserve"> category 5.</w:t>
      </w:r>
    </w:p>
    <w:p w14:paraId="550250E0" w14:textId="77777777" w:rsidR="00F566A7" w:rsidRDefault="00F566A7" w:rsidP="00F566A7">
      <w:pPr>
        <w:pStyle w:val="BodyText"/>
      </w:pPr>
      <w:r>
        <w:t>The recall rate was 8.4% (143/1,696). PPV</w:t>
      </w:r>
      <w:r>
        <w:rPr>
          <w:vertAlign w:val="subscript"/>
        </w:rPr>
        <w:t>1</w:t>
      </w:r>
      <w:r>
        <w:t xml:space="preserve"> was 9.1% (13/143). An additional 8.4% of women were recalled due to MBI findings, and MBI detected 7.7 cancers per 1000 screening examinations. The lack of one-year follow-up information on a number of image sets (966 of 1,696) precluded this study from determining the total number of interval cancers and the absolute sensitivity and specificity of MBI.</w:t>
      </w:r>
    </w:p>
    <w:p w14:paraId="54E5809C" w14:textId="139F2B67" w:rsidR="00F566A7" w:rsidRDefault="00F566A7" w:rsidP="004757B9">
      <w:pPr>
        <w:pStyle w:val="BodyText"/>
      </w:pPr>
      <w:r>
        <w:t>Another retrospective review reported the performance of MBI in women with dense (</w:t>
      </w:r>
      <w:r w:rsidR="00275D65">
        <w:t>BIRADS</w:t>
      </w:r>
      <w:r>
        <w:t xml:space="preserve">3-4) breasts, recent negative mammography findings and who were considered at increased risk due to one or more risk factors, primarily including personal or family history of breast cancer </w:t>
      </w:r>
      <w:r>
        <w:lastRenderedPageBreak/>
        <w:t>(Brem</w:t>
      </w:r>
      <w:r w:rsidR="00675B1D">
        <w:t xml:space="preserve"> et al.</w:t>
      </w:r>
      <w:r>
        <w:t xml:space="preserve">, 2016). MBI screening in these women resulted in an incremental CDR of 16.5 cancers per 1,000 screening examinations </w:t>
      </w:r>
      <w:r w:rsidRPr="00595156">
        <w:t xml:space="preserve">relative </w:t>
      </w:r>
      <w:r w:rsidRPr="00891ADB">
        <w:t>to</w:t>
      </w:r>
      <w:r w:rsidRPr="00595156">
        <w:t xml:space="preserve"> mammography</w:t>
      </w:r>
      <w:r w:rsidR="00140C25">
        <w:t>;</w:t>
      </w:r>
      <w:r>
        <w:t xml:space="preserve"> this is within the range of </w:t>
      </w:r>
      <w:r w:rsidR="00140C25">
        <w:t xml:space="preserve">other </w:t>
      </w:r>
      <w:r>
        <w:t>report</w:t>
      </w:r>
      <w:r w:rsidR="00140C25">
        <w:t>ed</w:t>
      </w:r>
      <w:r>
        <w:t xml:space="preserve"> finding</w:t>
      </w:r>
      <w:r w:rsidR="00140C25">
        <w:t>s</w:t>
      </w:r>
      <w:r>
        <w:t xml:space="preserve"> for MRI supplemental </w:t>
      </w:r>
      <w:r w:rsidR="00BC46C7">
        <w:t>testing</w:t>
      </w:r>
      <w:r>
        <w:t xml:space="preserve"> (</w:t>
      </w:r>
      <w:r w:rsidRPr="00595156">
        <w:t>Berg, 2012</w:t>
      </w:r>
      <w:r w:rsidR="004757B9">
        <w:t>;</w:t>
      </w:r>
      <w:r w:rsidRPr="00595156">
        <w:t xml:space="preserve"> Kriege 2006; Kuhl, 2014)</w:t>
      </w:r>
      <w:r>
        <w:t xml:space="preserve">. MBI supplemental </w:t>
      </w:r>
      <w:r w:rsidR="00BC46C7">
        <w:t>testing</w:t>
      </w:r>
      <w:r>
        <w:t xml:space="preserve"> led to additional recalls in 25% of women, considerably higher than the recall rate reported for the other MBI studies listed above (5.9–8.4%). This difference may be partially explained by a known greater likelihood of radiologists to recall women with multiple risk factors. </w:t>
      </w:r>
    </w:p>
    <w:p w14:paraId="0383B558" w14:textId="0D7F99E6" w:rsidR="00F566A7" w:rsidRDefault="00F566A7" w:rsidP="004757B9">
      <w:pPr>
        <w:pStyle w:val="BodyText"/>
      </w:pPr>
      <w:r>
        <w:t xml:space="preserve">One important measure of supplemental </w:t>
      </w:r>
      <w:r w:rsidR="002D74B6">
        <w:t xml:space="preserve">testing </w:t>
      </w:r>
      <w:r>
        <w:t xml:space="preserve">effectiveness is the relative detection of clinically important cancers versus non-invasive cancers that may contribute to overdiagnosis. In this review, of the reported 41 </w:t>
      </w:r>
      <w:r w:rsidRPr="00891ADB">
        <w:t>malignancies</w:t>
      </w:r>
      <w:r>
        <w:t xml:space="preserve"> detected only by supplemental MBI </w:t>
      </w:r>
      <w:r w:rsidR="002D74B6">
        <w:t>imaging</w:t>
      </w:r>
      <w:r>
        <w:t>, 31 (76%) were invasive and 10 (24%) had invasive lobular histology. The studies also revealed a wide range of tumour sizes that were occult on mammography in dense breasts.</w:t>
      </w:r>
    </w:p>
    <w:p w14:paraId="56B72A46" w14:textId="47AFBDC1" w:rsidR="00F566A7" w:rsidRDefault="00F566A7" w:rsidP="004757B9">
      <w:pPr>
        <w:pStyle w:val="BodyText"/>
      </w:pPr>
      <w:r w:rsidRPr="004757B9">
        <w:t>Despite the promising results such as increased sensitivity and CDR of MBI compared to FFDM alone, for women with dense breasts considerable barriers still exist to the widespread adoption of MBI. MBI has not yet been validated as an effective screening tool in large prospective studies (Holbrook</w:t>
      </w:r>
      <w:r w:rsidR="00140C25">
        <w:t xml:space="preserve"> &amp; Newel</w:t>
      </w:r>
      <w:r w:rsidRPr="004757B9">
        <w:t>, 2015). In addition, whole-body radiation dose remains a significant concern, with a radiation dose estimated to be 10–20 times that of mammography for patients in studies such as Rhodes et al. (2011) and Brem</w:t>
      </w:r>
      <w:r w:rsidR="00675B1D">
        <w:t xml:space="preserve"> et al.</w:t>
      </w:r>
      <w:r w:rsidRPr="004757B9">
        <w:t xml:space="preserve"> (2016)</w:t>
      </w:r>
      <w:r w:rsidR="00CE7FC0">
        <w:t>,</w:t>
      </w:r>
      <w:r w:rsidRPr="004757B9">
        <w:t xml:space="preserve"> who used doses of </w:t>
      </w:r>
      <w:r w:rsidRPr="004757B9">
        <w:rPr>
          <w:lang w:val="en-US"/>
        </w:rPr>
        <w:t>590–1190 MBq (16–32 mCi</w:t>
      </w:r>
      <w:r w:rsidRPr="004757B9">
        <w:t xml:space="preserve">) </w:t>
      </w:r>
      <w:r w:rsidRPr="004757B9">
        <w:rPr>
          <w:rFonts w:cstheme="minorHAnsi"/>
        </w:rPr>
        <w:t xml:space="preserve">of 99mTc-sestamibi </w:t>
      </w:r>
      <w:r w:rsidR="00140C25">
        <w:rPr>
          <w:rFonts w:cstheme="minorHAnsi"/>
        </w:rPr>
        <w:t>(</w:t>
      </w:r>
      <w:r w:rsidRPr="004757B9">
        <w:rPr>
          <w:rFonts w:cstheme="minorHAnsi"/>
        </w:rPr>
        <w:t>Hendrick,</w:t>
      </w:r>
      <w:r w:rsidRPr="004757B9">
        <w:t xml:space="preserve"> 2010).</w:t>
      </w:r>
      <w:r w:rsidR="00CE7FC0">
        <w:rPr>
          <w:rFonts w:cstheme="minorHAnsi"/>
        </w:rPr>
        <w:t xml:space="preserve"> That said, more recent studies have been finding promising results using </w:t>
      </w:r>
      <w:r w:rsidRPr="004757B9">
        <w:rPr>
          <w:rFonts w:cstheme="minorHAnsi"/>
        </w:rPr>
        <w:t xml:space="preserve">a lower dose </w:t>
      </w:r>
      <w:r w:rsidR="00CE738F" w:rsidRPr="004757B9">
        <w:rPr>
          <w:rFonts w:cstheme="minorHAnsi"/>
        </w:rPr>
        <w:t>of 8</w:t>
      </w:r>
      <w:r w:rsidRPr="004757B9">
        <w:rPr>
          <w:rFonts w:cstheme="minorHAnsi"/>
        </w:rPr>
        <w:t xml:space="preserve"> to 30 mCi</w:t>
      </w:r>
      <w:r w:rsidR="00CE7FC0">
        <w:rPr>
          <w:rFonts w:cstheme="minorHAnsi"/>
        </w:rPr>
        <w:t>, corresponding to a</w:t>
      </w:r>
      <w:r w:rsidRPr="004757B9">
        <w:rPr>
          <w:rFonts w:cstheme="minorHAnsi"/>
        </w:rPr>
        <w:t xml:space="preserve"> smaller radiation (2.4 mSv) dose</w:t>
      </w:r>
      <w:r w:rsidR="00CE7FC0">
        <w:rPr>
          <w:rFonts w:cstheme="minorHAnsi"/>
        </w:rPr>
        <w:t>,</w:t>
      </w:r>
      <w:r w:rsidRPr="004757B9">
        <w:rPr>
          <w:rFonts w:cstheme="minorHAnsi"/>
        </w:rPr>
        <w:t xml:space="preserve"> which</w:t>
      </w:r>
      <w:r w:rsidR="00891ADB" w:rsidRPr="004757B9">
        <w:rPr>
          <w:rFonts w:cstheme="minorHAnsi"/>
        </w:rPr>
        <w:t xml:space="preserve"> </w:t>
      </w:r>
      <w:r w:rsidRPr="004757B9">
        <w:rPr>
          <w:rFonts w:cstheme="minorHAnsi"/>
        </w:rPr>
        <w:t>is closer to that of mammography and tomosynthesis (0.5 and 1.2mSv</w:t>
      </w:r>
      <w:r w:rsidR="007770AA">
        <w:rPr>
          <w:rFonts w:cstheme="minorHAnsi"/>
        </w:rPr>
        <w:t>, respectively</w:t>
      </w:r>
      <w:r w:rsidR="00140C25">
        <w:rPr>
          <w:rFonts w:cstheme="minorHAnsi"/>
        </w:rPr>
        <w:t xml:space="preserve">; </w:t>
      </w:r>
      <w:r w:rsidRPr="004757B9">
        <w:rPr>
          <w:rFonts w:cstheme="minorHAnsi"/>
        </w:rPr>
        <w:t xml:space="preserve">Hruska, 2017). This </w:t>
      </w:r>
      <w:r w:rsidR="00CE7FC0">
        <w:rPr>
          <w:rFonts w:cstheme="minorHAnsi"/>
        </w:rPr>
        <w:t xml:space="preserve">slight increase in radiation </w:t>
      </w:r>
      <w:r w:rsidRPr="004757B9">
        <w:rPr>
          <w:rFonts w:cstheme="minorHAnsi"/>
        </w:rPr>
        <w:t xml:space="preserve">may be more acceptable </w:t>
      </w:r>
      <w:r w:rsidRPr="004757B9">
        <w:t>for women with dense breasts, given the much higher sensitivity for MBI vs FFDM. Further clinical studies are needed, alongside social studies which educate the medical and lay communities about the risk of radiation at low medical imaging doses (Hruska, 2017).</w:t>
      </w:r>
    </w:p>
    <w:p w14:paraId="0702123A" w14:textId="77777777" w:rsidR="003A536A" w:rsidRPr="00A73E92" w:rsidRDefault="003A536A" w:rsidP="00A73E92">
      <w:pPr>
        <w:pStyle w:val="BodyText"/>
        <w:rPr>
          <w:rFonts w:asciiTheme="majorHAnsi" w:hAnsiTheme="majorHAnsi"/>
          <w:b/>
          <w:color w:val="36424A" w:themeColor="text2"/>
          <w:sz w:val="24"/>
        </w:rPr>
      </w:pPr>
      <w:r w:rsidRPr="00A73E92">
        <w:rPr>
          <w:rFonts w:asciiTheme="majorHAnsi" w:hAnsiTheme="majorHAnsi"/>
          <w:b/>
          <w:color w:val="36424A" w:themeColor="text2"/>
          <w:sz w:val="24"/>
        </w:rPr>
        <w:t>Ultrasonography</w:t>
      </w:r>
    </w:p>
    <w:p w14:paraId="7581F390" w14:textId="602D0910" w:rsidR="003A536A" w:rsidRDefault="003A536A" w:rsidP="003A536A">
      <w:pPr>
        <w:pStyle w:val="BodyText-GREEN"/>
        <w:rPr>
          <w:color w:val="auto"/>
        </w:rPr>
      </w:pPr>
      <w:r w:rsidRPr="008640FE">
        <w:rPr>
          <w:color w:val="auto"/>
        </w:rPr>
        <w:t xml:space="preserve">No </w:t>
      </w:r>
      <w:r>
        <w:rPr>
          <w:color w:val="auto"/>
        </w:rPr>
        <w:t>reviews</w:t>
      </w:r>
      <w:r w:rsidRPr="008640FE">
        <w:rPr>
          <w:color w:val="auto"/>
        </w:rPr>
        <w:t xml:space="preserve"> demonstrating mortality reduction in women who receive</w:t>
      </w:r>
      <w:r>
        <w:rPr>
          <w:color w:val="auto"/>
        </w:rPr>
        <w:t>d</w:t>
      </w:r>
      <w:r w:rsidRPr="008640FE">
        <w:rPr>
          <w:color w:val="auto"/>
        </w:rPr>
        <w:t xml:space="preserve"> supplemental </w:t>
      </w:r>
      <w:r w:rsidR="00BC46C7">
        <w:rPr>
          <w:color w:val="auto"/>
        </w:rPr>
        <w:t>testing</w:t>
      </w:r>
      <w:r w:rsidRPr="008640FE">
        <w:rPr>
          <w:color w:val="auto"/>
        </w:rPr>
        <w:t xml:space="preserve"> </w:t>
      </w:r>
      <w:r>
        <w:rPr>
          <w:color w:val="auto"/>
        </w:rPr>
        <w:t xml:space="preserve">with </w:t>
      </w:r>
      <w:r w:rsidRPr="008640FE">
        <w:rPr>
          <w:color w:val="auto"/>
        </w:rPr>
        <w:t xml:space="preserve">ultrasound exist. Data on supplemental </w:t>
      </w:r>
      <w:r w:rsidR="00BC46C7">
        <w:rPr>
          <w:color w:val="auto"/>
        </w:rPr>
        <w:t>testing</w:t>
      </w:r>
      <w:r w:rsidRPr="008640FE">
        <w:rPr>
          <w:color w:val="auto"/>
        </w:rPr>
        <w:t xml:space="preserve"> </w:t>
      </w:r>
      <w:r>
        <w:rPr>
          <w:color w:val="auto"/>
        </w:rPr>
        <w:t xml:space="preserve">with </w:t>
      </w:r>
      <w:r w:rsidRPr="008640FE">
        <w:rPr>
          <w:color w:val="auto"/>
        </w:rPr>
        <w:t xml:space="preserve">ultrasound in non-high-risk women with dense breasts and negative mammography is </w:t>
      </w:r>
      <w:r>
        <w:rPr>
          <w:color w:val="auto"/>
        </w:rPr>
        <w:t xml:space="preserve">also </w:t>
      </w:r>
      <w:r w:rsidRPr="008640FE">
        <w:rPr>
          <w:color w:val="auto"/>
        </w:rPr>
        <w:t>limited</w:t>
      </w:r>
      <w:r>
        <w:rPr>
          <w:color w:val="auto"/>
        </w:rPr>
        <w:t>. However, we identified four systematic reviews and t</w:t>
      </w:r>
      <w:r w:rsidR="00EE0E7C">
        <w:rPr>
          <w:color w:val="auto"/>
        </w:rPr>
        <w:t>hree</w:t>
      </w:r>
      <w:r>
        <w:rPr>
          <w:color w:val="auto"/>
        </w:rPr>
        <w:t xml:space="preserve"> narrative reviews exploring the role of ultrasound for supplemental </w:t>
      </w:r>
      <w:r w:rsidR="002D74B6">
        <w:rPr>
          <w:color w:val="auto"/>
        </w:rPr>
        <w:t xml:space="preserve">imaging </w:t>
      </w:r>
      <w:r>
        <w:rPr>
          <w:color w:val="auto"/>
        </w:rPr>
        <w:t>of women (although some included more information about women with more dense breasts than others).</w:t>
      </w:r>
    </w:p>
    <w:p w14:paraId="1569D9DF" w14:textId="77777777" w:rsidR="003A536A" w:rsidRPr="00E44152" w:rsidRDefault="003A536A" w:rsidP="003A536A">
      <w:pPr>
        <w:pStyle w:val="BodyText-GREEN"/>
        <w:rPr>
          <w:b/>
        </w:rPr>
      </w:pPr>
      <w:r w:rsidRPr="00345CCE">
        <w:rPr>
          <w:b/>
          <w:color w:val="auto"/>
        </w:rPr>
        <w:t>Systematic reviews</w:t>
      </w:r>
    </w:p>
    <w:p w14:paraId="18D7EB8C" w14:textId="3AC1A732" w:rsidR="003A536A" w:rsidRDefault="003A536A" w:rsidP="003A536A">
      <w:pPr>
        <w:pStyle w:val="BodyText"/>
      </w:pPr>
      <w:r>
        <w:t>In 2013, a Cochrane review (</w:t>
      </w:r>
      <w:r w:rsidRPr="00FB0954">
        <w:t>Gartlehner</w:t>
      </w:r>
      <w:r>
        <w:t xml:space="preserve"> et al., 2013)</w:t>
      </w:r>
      <w:r w:rsidRPr="00FB0954">
        <w:t xml:space="preserve"> </w:t>
      </w:r>
      <w:r>
        <w:t>was undertaken to a</w:t>
      </w:r>
      <w:r w:rsidRPr="00FB0954">
        <w:t>ssess the comparative effectiveness and safety of</w:t>
      </w:r>
      <w:r>
        <w:t xml:space="preserve"> </w:t>
      </w:r>
      <w:r w:rsidRPr="00FB0954">
        <w:t xml:space="preserve">mammography in combination with breast ultrasonography </w:t>
      </w:r>
      <w:r>
        <w:t xml:space="preserve">compared to </w:t>
      </w:r>
      <w:r w:rsidRPr="00FB0954">
        <w:t xml:space="preserve">mammography for breast cancer screening for women </w:t>
      </w:r>
      <w:r>
        <w:t xml:space="preserve">aged 40-75 years </w:t>
      </w:r>
      <w:r w:rsidRPr="00FB0954">
        <w:t>at average risk of breast cancer</w:t>
      </w:r>
      <w:r>
        <w:t xml:space="preserve"> (this was defined as </w:t>
      </w:r>
      <w:r w:rsidRPr="003E50AF">
        <w:t>a lifetime risk of</w:t>
      </w:r>
      <w:r>
        <w:t xml:space="preserve"> </w:t>
      </w:r>
      <w:r w:rsidRPr="003E50AF">
        <w:t>less than 15%</w:t>
      </w:r>
      <w:r>
        <w:t xml:space="preserve"> </w:t>
      </w:r>
      <w:r w:rsidRPr="003E50AF">
        <w:t>or who have dense breasts without any additional risk factors for breast cancer</w:t>
      </w:r>
      <w:r>
        <w:t>). The main inclusion criteria were RCTs with either individual or cluster randomisation and prospective, controlled non-randomised studies with a low risk of bias and a sample size of at least 500 participants. Studies needed to have a follow-up period of at least one year and had to include at least one relevant outcome. This Cochrane review did</w:t>
      </w:r>
      <w:r w:rsidRPr="003E50AF">
        <w:t xml:space="preserve"> not ﬁnd any controlled studies assessing the incremental beneﬁts and harms of adjunct screening ultrasonography in women at average risk for breast cancer.</w:t>
      </w:r>
      <w:r w:rsidR="00BB5A86">
        <w:t xml:space="preserve"> Based on extrapolations from women at elevated risk of breast cancer, they found that false-positive recall rates would exceed 98% for women at average risk screened using ultrasonography. Overall, the authors concluded that there is no methodologically sound evidence available to justify the </w:t>
      </w:r>
      <w:r w:rsidR="00BB5A86">
        <w:lastRenderedPageBreak/>
        <w:t xml:space="preserve">routine use of ultrasonography for supplemental </w:t>
      </w:r>
      <w:r w:rsidR="00BC46C7">
        <w:t>testing</w:t>
      </w:r>
      <w:r w:rsidR="00BB5A86">
        <w:t xml:space="preserve"> in women at average risk of breast cancer, or for women with dense or very dense breasts.</w:t>
      </w:r>
    </w:p>
    <w:p w14:paraId="269C6517" w14:textId="5EBFC8FB" w:rsidR="00A514D4" w:rsidRDefault="003A536A" w:rsidP="003A536A">
      <w:pPr>
        <w:pStyle w:val="BodyText"/>
      </w:pPr>
      <w:r>
        <w:t xml:space="preserve">In 2015, Scheel </w:t>
      </w:r>
      <w:r w:rsidR="00852B97">
        <w:t>and colleagues</w:t>
      </w:r>
      <w:r>
        <w:t xml:space="preserve"> undertook a </w:t>
      </w:r>
      <w:r w:rsidRPr="000D3D3D">
        <w:t xml:space="preserve">systematic review </w:t>
      </w:r>
      <w:r>
        <w:t xml:space="preserve">examining </w:t>
      </w:r>
      <w:r w:rsidRPr="000D3D3D">
        <w:t xml:space="preserve">studies </w:t>
      </w:r>
      <w:r w:rsidR="00932EC5">
        <w:t xml:space="preserve">published </w:t>
      </w:r>
      <w:r w:rsidR="00932EC5" w:rsidRPr="000D3D3D">
        <w:t>from January 2000 through April 2013</w:t>
      </w:r>
      <w:r w:rsidR="00932EC5">
        <w:t xml:space="preserve"> that </w:t>
      </w:r>
      <w:r w:rsidRPr="000D3D3D">
        <w:t>us</w:t>
      </w:r>
      <w:r w:rsidR="00932EC5">
        <w:t>ed</w:t>
      </w:r>
      <w:r w:rsidRPr="000D3D3D">
        <w:t xml:space="preserve"> either</w:t>
      </w:r>
      <w:r>
        <w:t xml:space="preserve"> a</w:t>
      </w:r>
      <w:r w:rsidRPr="00DF62AF">
        <w:t xml:space="preserve">utomated breast </w:t>
      </w:r>
      <w:r>
        <w:t>ultrasound (</w:t>
      </w:r>
      <w:r w:rsidRPr="000D3D3D">
        <w:t>ABUS</w:t>
      </w:r>
      <w:r>
        <w:t>)</w:t>
      </w:r>
      <w:r w:rsidRPr="000D3D3D">
        <w:t xml:space="preserve"> or handheld </w:t>
      </w:r>
      <w:r>
        <w:t>ultrasound</w:t>
      </w:r>
      <w:r w:rsidRPr="000D3D3D">
        <w:t xml:space="preserve"> (HHUS) as an adjunct to screening mammography</w:t>
      </w:r>
      <w:r>
        <w:t xml:space="preserve"> for women with heterogeneously or extremely dense breasts</w:t>
      </w:r>
      <w:r w:rsidR="00A514D4">
        <w:t xml:space="preserve"> </w:t>
      </w:r>
      <w:r w:rsidR="00A514D4" w:rsidRPr="003D60DC">
        <w:t xml:space="preserve">(see </w:t>
      </w:r>
      <w:r w:rsidR="00A514D4">
        <w:t>T</w:t>
      </w:r>
      <w:r w:rsidR="00A514D4" w:rsidRPr="003D60DC">
        <w:t xml:space="preserve">able </w:t>
      </w:r>
      <w:r w:rsidR="006465B1">
        <w:t>20</w:t>
      </w:r>
      <w:r w:rsidR="00A514D4">
        <w:t>, overleaf</w:t>
      </w:r>
      <w:r w:rsidR="00A514D4" w:rsidRPr="003D60DC">
        <w:t>)</w:t>
      </w:r>
      <w:r>
        <w:t xml:space="preserve">. Included studies were both retrospective and prospective </w:t>
      </w:r>
      <w:r w:rsidR="00A514D4">
        <w:t>in design. P</w:t>
      </w:r>
      <w:r>
        <w:t xml:space="preserve">articipants </w:t>
      </w:r>
      <w:r w:rsidR="00A514D4">
        <w:t xml:space="preserve">included in the studies were </w:t>
      </w:r>
      <w:r>
        <w:t>of varying ages</w:t>
      </w:r>
      <w:r w:rsidR="00A514D4">
        <w:t>, with</w:t>
      </w:r>
      <w:r>
        <w:t xml:space="preserve"> </w:t>
      </w:r>
      <w:r w:rsidR="00A514D4">
        <w:t>m</w:t>
      </w:r>
      <w:r w:rsidRPr="00DF62AF">
        <w:t>ean ages rang</w:t>
      </w:r>
      <w:r w:rsidR="00A514D4">
        <w:t>ing</w:t>
      </w:r>
      <w:r w:rsidRPr="00DF62AF">
        <w:t xml:space="preserve"> from 45 to 65 years</w:t>
      </w:r>
      <w:r>
        <w:t xml:space="preserve"> (HHUS) and </w:t>
      </w:r>
      <w:r w:rsidRPr="00DF62AF">
        <w:t>53 to 57 years</w:t>
      </w:r>
      <w:r w:rsidR="00A514D4">
        <w:t xml:space="preserve"> (</w:t>
      </w:r>
      <w:r w:rsidRPr="00DF62AF">
        <w:t>ABUS</w:t>
      </w:r>
      <w:r w:rsidR="00A514D4">
        <w:t xml:space="preserve">). </w:t>
      </w:r>
      <w:r w:rsidRPr="003D60DC">
        <w:t>Melnikow</w:t>
      </w:r>
      <w:r>
        <w:t xml:space="preserve"> et al. (2016) also reviewed ten out of the 12 studies included in Scheel </w:t>
      </w:r>
      <w:r w:rsidR="00852B97">
        <w:t>and colleagues</w:t>
      </w:r>
      <w:r>
        <w:t xml:space="preserve">’ work. </w:t>
      </w:r>
      <w:r w:rsidR="005A60FF">
        <w:t xml:space="preserve">Comparisons between these two reviews </w:t>
      </w:r>
      <w:r w:rsidR="00EE47EE">
        <w:t xml:space="preserve">are </w:t>
      </w:r>
      <w:r w:rsidR="005A60FF">
        <w:t>difficult, as limited analysis and study details are provided by the Melnikow et al. review.</w:t>
      </w:r>
    </w:p>
    <w:p w14:paraId="370C6F8D" w14:textId="64590579" w:rsidR="003A536A" w:rsidRPr="00A43212" w:rsidRDefault="003A536A" w:rsidP="003A536A">
      <w:pPr>
        <w:pStyle w:val="BodyText"/>
      </w:pPr>
      <w:r>
        <w:t>Scheel et al. (2015) reported a median CDR for all adjunct breast ultrasound of 4.2 cancers per 1000 screening examinations</w:t>
      </w:r>
      <w:r w:rsidR="00A514D4">
        <w:t>.</w:t>
      </w:r>
      <w:r>
        <w:t xml:space="preserve"> Melnikow et al. (2016)</w:t>
      </w:r>
      <w:r w:rsidR="00A514D4">
        <w:t xml:space="preserve"> </w:t>
      </w:r>
      <w:r>
        <w:t xml:space="preserve">reported </w:t>
      </w:r>
      <w:r w:rsidR="00A514D4">
        <w:t xml:space="preserve">a slightly higher CDR, at </w:t>
      </w:r>
      <w:r>
        <w:t xml:space="preserve">4.4 cancers detected per 1000 screening examinations. The authors noted that three of the studies included in the analysis were </w:t>
      </w:r>
      <w:r w:rsidR="00852B97">
        <w:t>conducted</w:t>
      </w:r>
      <w:r>
        <w:t xml:space="preserve"> in Connecticut after it passed legislation requiring breast density notification to women. In these three studies, the additional biopsy rate and additional </w:t>
      </w:r>
      <w:r w:rsidR="00761B6F">
        <w:t>CDR</w:t>
      </w:r>
      <w:r>
        <w:t xml:space="preserve"> ranged from 32.8 to 71 biopsies per 1000 examinations and 1.8 to 4.6 cancers per 1000 screening examinations. This is much lower than the mean values reported</w:t>
      </w:r>
      <w:r w:rsidR="005A60FF">
        <w:t xml:space="preserve"> for the whole sample</w:t>
      </w:r>
      <w:r>
        <w:t xml:space="preserve"> by the Melnikow and Scheel studies</w:t>
      </w:r>
      <w:r w:rsidR="005A60FF">
        <w:t>,</w:t>
      </w:r>
      <w:r>
        <w:t xml:space="preserve"> and is likely to reflect t</w:t>
      </w:r>
      <w:r w:rsidRPr="00AA1E31">
        <w:t xml:space="preserve">he routine clinical use of adjunct </w:t>
      </w:r>
      <w:r>
        <w:t>ultrasound</w:t>
      </w:r>
      <w:r w:rsidRPr="00AA1E31">
        <w:t xml:space="preserve"> and the populations receiving adjunct breast </w:t>
      </w:r>
      <w:r>
        <w:t>ultrasound in this state.</w:t>
      </w:r>
    </w:p>
    <w:p w14:paraId="732035A2" w14:textId="7F8B6ADB" w:rsidR="003A536A" w:rsidRDefault="003A536A" w:rsidP="003A536A">
      <w:pPr>
        <w:pStyle w:val="BodyText"/>
      </w:pPr>
      <w:r w:rsidRPr="00AF5876">
        <w:t xml:space="preserve">Most of the breast cancers identified by adjunctive </w:t>
      </w:r>
      <w:r>
        <w:t>ultrasound</w:t>
      </w:r>
      <w:r w:rsidRPr="00AF5876">
        <w:t xml:space="preserve"> were small in size and node negative in stage.</w:t>
      </w:r>
      <w:r>
        <w:t xml:space="preserve"> Scheel et al. suggested that t</w:t>
      </w:r>
      <w:r w:rsidRPr="00AF5876">
        <w:t>hese are the cancers that are potentially curable by early detection and amenable to less aggressive treatment. Women with screen-detected breast cancers are more likely to be eligible for lumpectomy rather than mastectomy and may not require systemic chemotherapy compared with women whose breast cancers present clinically between screens.</w:t>
      </w:r>
      <w:bookmarkStart w:id="96" w:name="bbib12"/>
      <w:r w:rsidRPr="00AF5876">
        <w:fldChar w:fldCharType="begin"/>
      </w:r>
      <w:r w:rsidRPr="00AF5876">
        <w:instrText xml:space="preserve"> HYPERLINK "https://www-sciencedirect-com.ezproxy.otago.ac.nz/science/article/pii/S0002937814006280" \l "bib12" </w:instrText>
      </w:r>
      <w:r w:rsidRPr="00AF5876">
        <w:fldChar w:fldCharType="end"/>
      </w:r>
      <w:bookmarkEnd w:id="96"/>
      <w:r>
        <w:t xml:space="preserve"> </w:t>
      </w:r>
      <w:r w:rsidRPr="00AF5876">
        <w:t xml:space="preserve">Thus, earlier detection with screening </w:t>
      </w:r>
      <w:r>
        <w:t>ultrasound</w:t>
      </w:r>
      <w:r w:rsidRPr="00AF5876">
        <w:t xml:space="preserve"> may improve both quality and quantity of life.</w:t>
      </w:r>
      <w:r>
        <w:t xml:space="preserve"> </w:t>
      </w:r>
      <w:r w:rsidRPr="00AF5876">
        <w:t xml:space="preserve">Conversely, some of these early-stage cancers may not have progressed significantly before the next routine screening examination with mammography. Thus, they may ultimately have been detected and cured </w:t>
      </w:r>
      <w:r w:rsidR="000E50EE">
        <w:t>following</w:t>
      </w:r>
      <w:r w:rsidRPr="00AF5876">
        <w:t xml:space="preserve"> mammographic screening alone.</w:t>
      </w:r>
      <w:r w:rsidR="00BB2B6B">
        <w:t xml:space="preserve"> </w:t>
      </w:r>
    </w:p>
    <w:p w14:paraId="35B677A5" w14:textId="0E140A19" w:rsidR="003A536A" w:rsidRDefault="003A536A" w:rsidP="003A536A">
      <w:pPr>
        <w:pStyle w:val="BodyText"/>
      </w:pPr>
      <w:r w:rsidRPr="00B9218E">
        <w:t xml:space="preserve">An additional concern related to detecting additional breast cancers with adjunctive </w:t>
      </w:r>
      <w:r>
        <w:t xml:space="preserve">ultrasound </w:t>
      </w:r>
      <w:r w:rsidRPr="00B9218E">
        <w:t xml:space="preserve">is the high number of breast biopsies performed during the diagnostic process. The biopsy rate for HHUS after negative mammography ranged from </w:t>
      </w:r>
      <w:r w:rsidR="000E50EE">
        <w:t>12</w:t>
      </w:r>
      <w:r w:rsidRPr="00B9218E">
        <w:t xml:space="preserve"> to 107 per 1</w:t>
      </w:r>
      <w:r w:rsidR="000E50EE">
        <w:t>,</w:t>
      </w:r>
      <w:r w:rsidRPr="00B9218E">
        <w:t xml:space="preserve">000 women screened, with a median of 56. This is more than </w:t>
      </w:r>
      <w:r>
        <w:t>five</w:t>
      </w:r>
      <w:r w:rsidRPr="00B9218E">
        <w:t xml:space="preserve"> times greater than the approximately 10 biopsies performed per 1</w:t>
      </w:r>
      <w:r w:rsidR="000E50EE">
        <w:t>,</w:t>
      </w:r>
      <w:r w:rsidRPr="00B9218E">
        <w:t>000 women screened with mammograph</w:t>
      </w:r>
      <w:r>
        <w:t>y reported previously (Rosenburg et al., 2006).</w:t>
      </w:r>
      <w:r w:rsidR="00BB2B6B">
        <w:t xml:space="preserve"> </w:t>
      </w:r>
      <w:r w:rsidRPr="00B9218E">
        <w:t xml:space="preserve">Given that the chance of biopsy recommendation with adjunct </w:t>
      </w:r>
      <w:r>
        <w:t>ultrasound</w:t>
      </w:r>
      <w:r w:rsidRPr="00B9218E">
        <w:t xml:space="preserve"> screening is far higher than with screening mammography and the </w:t>
      </w:r>
      <w:r w:rsidR="00761B6F">
        <w:t>CDR</w:t>
      </w:r>
      <w:r w:rsidRPr="00B9218E">
        <w:t xml:space="preserve"> is lower, it will be</w:t>
      </w:r>
      <w:r w:rsidR="00BB2B6B">
        <w:t xml:space="preserve"> </w:t>
      </w:r>
      <w:r w:rsidRPr="00B9218E">
        <w:t xml:space="preserve">important to consider an individual woman’s preferences when deciding whether to pursue adjunctive </w:t>
      </w:r>
      <w:r>
        <w:t xml:space="preserve">ultrasound </w:t>
      </w:r>
      <w:r w:rsidRPr="00B9218E">
        <w:t>screening.</w:t>
      </w:r>
    </w:p>
    <w:p w14:paraId="3418CF15" w14:textId="578E3B30" w:rsidR="003A536A" w:rsidRDefault="003A536A" w:rsidP="003A536A">
      <w:pPr>
        <w:pStyle w:val="NormalWeb"/>
        <w:spacing w:before="0" w:beforeAutospacing="0" w:after="0" w:afterAutospacing="0"/>
      </w:pPr>
    </w:p>
    <w:p w14:paraId="59253DEB" w14:textId="77777777" w:rsidR="00FE4BF1" w:rsidRDefault="00FE4BF1" w:rsidP="00712099">
      <w:pPr>
        <w:pStyle w:val="Caption"/>
        <w:jc w:val="both"/>
        <w:sectPr w:rsidR="00FE4BF1" w:rsidSect="0055619E">
          <w:pgSz w:w="11907" w:h="16839" w:code="9"/>
          <w:pgMar w:top="1418" w:right="1418" w:bottom="1418" w:left="1418" w:header="964" w:footer="964" w:gutter="0"/>
          <w:cols w:space="708"/>
          <w:docGrid w:linePitch="360"/>
        </w:sectPr>
      </w:pPr>
    </w:p>
    <w:p w14:paraId="2F6DD0C7" w14:textId="6A58D21D" w:rsidR="00712099" w:rsidRDefault="00712099" w:rsidP="00712099">
      <w:pPr>
        <w:pStyle w:val="Caption"/>
        <w:jc w:val="both"/>
      </w:pPr>
      <w:r>
        <w:lastRenderedPageBreak/>
        <w:t>Table 20</w:t>
      </w:r>
      <w:r w:rsidR="00286C5A">
        <w:t xml:space="preserve">. </w:t>
      </w:r>
      <w:r>
        <w:t>Studies included in Scheel et al. (2015)</w:t>
      </w:r>
    </w:p>
    <w:p w14:paraId="57240587" w14:textId="5DAF4E71" w:rsidR="00712099" w:rsidRPr="00712099" w:rsidRDefault="00712099" w:rsidP="00712099">
      <w:pPr>
        <w:rPr>
          <w:b/>
          <w:sz w:val="18"/>
          <w:szCs w:val="18"/>
        </w:rPr>
      </w:pPr>
      <w:r w:rsidRPr="00712099">
        <w:rPr>
          <w:b/>
          <w:sz w:val="18"/>
          <w:szCs w:val="18"/>
        </w:rPr>
        <w:t>20A: HHUS</w:t>
      </w:r>
    </w:p>
    <w:tbl>
      <w:tblPr>
        <w:tblStyle w:val="ACGreen-BasicTable"/>
        <w:tblW w:w="5002" w:type="pct"/>
        <w:tblInd w:w="0" w:type="dxa"/>
        <w:tblLook w:val="04A0" w:firstRow="1" w:lastRow="0" w:firstColumn="1" w:lastColumn="0" w:noHBand="0" w:noVBand="1"/>
        <w:tblDescription w:val="The table summarises ten HHUS studies, providing information on years of study, study design, location, number of women, mean age in years, mammographic breast density, biopsy rate (per 1000 examinations), CDR (per 1000 examinations), invasive cancers (number and percentage), mean invasive cancer size (mm), and node negative number and percentage.&#10;Crystal et al., 2003, conducted a study from 2000-2002, in Israel. The study design was not reported. The study included 1517 women at a mean age of 52.1 years. The mammographic breast density was “scattered, heterogeneously and extremely dense” with a biopsy rate (per 1000 examinations) of 25 and a CDR (per 1000 examinations) of 4.6. The invasive cancers, n, %, was 7 (100), the mean invasive cancer size, mm, was 9.6, and the node negative n, % was 6 (86).&#10;De Felice et al., 2007 conducted a prospective study from 2000-2006, in Italy. The study included 1754 women at a mean age of 65 years. The mammographic breast density was “heterogeneously and extremely dense”. The biopsy rate (per 1000 examinations) was 106.6 and the CDR (per 1000 examinations) was 6.8. The invasive cancers, n, % was 10 (83), the mean invasive cancer size, mm, was 10, and the node negative, n, % was NR.&#10;Brancato, et al., 2007 conducted a study from 2003-2006, in Italy. The study design was not reported. The study included 5227 women at the mean age of 51.9 years. The mammographic breast density was “heterogeneously and extremely dense”. The biopsy rate (per 1000 examinations) was 11.9, and the CDR (per 1000 examinations) was 0.3. The invasive cancers, n, % was 2 (100), the mean invasive cancer size, mm was NR, and the node negative, n, %, was NR.&#10;Corsetti, et al., 2008 conducted a retrospective study from 2000-2007, in Italy. The study included 9157 women at the mean age of 52 years. The mammographic breast density was “heterogeneously and extremely dense”. The biopsy rate (per 1000 examinations) was 56.1, and the CDR (per 1000 examinations) was 4. The invasive cancers, n, %, was 36 (97), the mean invasive cancer size, mm, was NR, and the node negative, n, %, was 29 (86).&#10;Berg, 2008 conducted a prospective study from 2004-2006, in the United States. The study included 2501 women at the mean age of 55 years. The mammographic breast density was “heterogeneously and extremely dense”. The biopsy rate (per 1000 examinations) was 68, and the CDR (per 1000 examinations) was 4.4. The invasive cancers, n, %, was 10 (91), the mean invasive cancer size, mm, was 10, and the node negative, n, %, was 8 (89).&#10;Leong et al., 2012 conducted a prospective study from 2002-2004, in Singapore. The study included 141 women at the mean age of 45.1 years. Mammographic breast density was “heterogeneously and extremely dense”. The biopsy rate (per 1000 examinations) was 99.3, the CDR (per 1000 examinations) was 14. Invasive cancers, n, % was 1 (50), mean invasive cancer size, mm, was 13, and the node negative, n, % was 1 (100).&#10;Hooley et al., 2012 conducted a retrospective study from 2009-2010, in the United States (Connecticut). The study included 648 women at the mean age of 52 years. The mammographic breast density was “heterogeneously and extremely dense”. The biopsy rate (per 1000 examinations) was 71, and the CDR (per 1000 examinations) was 4.6. Invasive cancer size, mm, was 2 (67), mean invasive cancer size, mm, was 6.5, and the node negative, n, %, was 2 (100).&#10;Weigert and Steenbergen, 2012 conducted a retrospective study from 2009-2010, in the United States (Connecticut). The study included 8647 women, mean age was not reported. The mammographic breast density was “heterogeneously and extremely dense”. The biopsy rate (per 1000 examinations) was 48.3, and the CDR rate (per 1000 examinations) was 3.2. The invasive cancers, n, %, was 24 (85), the mean invasive cancer size, mm, was 19, and the node negative, n, % was NR.&#10;Parris et al., 2013 conducted a retrospective study from 2009-2010, in the United States (Connecticut). The study included 5519 women at the mean age of 52 years. The mammographic breast density was “heterogeneously and extremely dense”. The biopsy rate (per 1000 examinations) of 32.8, and a CDR (per 1000 examinations) of 1.8. The invasive cancers, n, % was 9 (90), the mean invasive cancer size, mm was 9.7, and the node negative, n, % was 7 (78).&#10;Girardi et al., 2013 conducted a retrospective study from 2009-2010, in Italy. The study included 9960 women at the mean age of 51 years. The mammographic breast density was “heterogeneously and extremely dense”. The biopsy rate (per 1000 examinations) was not reported, and a CDR (per 1000 examinations) of 2.2. The invasive cancers, n, % was NR, the mean invasive cancer size, mm, was 8, and the node negative, n, % was NR."/>
      </w:tblPr>
      <w:tblGrid>
        <w:gridCol w:w="1085"/>
        <w:gridCol w:w="904"/>
        <w:gridCol w:w="1327"/>
        <w:gridCol w:w="1302"/>
        <w:gridCol w:w="1002"/>
        <w:gridCol w:w="907"/>
        <w:gridCol w:w="1615"/>
        <w:gridCol w:w="1397"/>
        <w:gridCol w:w="1400"/>
        <w:gridCol w:w="1008"/>
        <w:gridCol w:w="1005"/>
        <w:gridCol w:w="1047"/>
      </w:tblGrid>
      <w:tr w:rsidR="00FE4BF1" w:rsidRPr="00FE4BF1" w14:paraId="34C1A890" w14:textId="77777777" w:rsidTr="00F66F74">
        <w:trPr>
          <w:cnfStyle w:val="100000000000" w:firstRow="1" w:lastRow="0" w:firstColumn="0" w:lastColumn="0" w:oddVBand="0" w:evenVBand="0" w:oddHBand="0" w:evenHBand="0" w:firstRowFirstColumn="0" w:firstRowLastColumn="0" w:lastRowFirstColumn="0" w:lastRowLastColumn="0"/>
          <w:trHeight w:val="810"/>
        </w:trPr>
        <w:tc>
          <w:tcPr>
            <w:tcW w:w="387" w:type="pct"/>
            <w:tcBorders>
              <w:top w:val="nil"/>
            </w:tcBorders>
            <w:hideMark/>
          </w:tcPr>
          <w:p w14:paraId="04C53C03"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Study</w:t>
            </w:r>
          </w:p>
        </w:tc>
        <w:tc>
          <w:tcPr>
            <w:tcW w:w="323" w:type="pct"/>
            <w:tcBorders>
              <w:top w:val="nil"/>
            </w:tcBorders>
            <w:hideMark/>
          </w:tcPr>
          <w:p w14:paraId="1D9BF830"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Years of study</w:t>
            </w:r>
          </w:p>
        </w:tc>
        <w:tc>
          <w:tcPr>
            <w:tcW w:w="474" w:type="pct"/>
            <w:tcBorders>
              <w:top w:val="nil"/>
            </w:tcBorders>
            <w:hideMark/>
          </w:tcPr>
          <w:p w14:paraId="038D0CA7"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Study design</w:t>
            </w:r>
          </w:p>
        </w:tc>
        <w:tc>
          <w:tcPr>
            <w:tcW w:w="465" w:type="pct"/>
            <w:tcBorders>
              <w:top w:val="nil"/>
            </w:tcBorders>
            <w:hideMark/>
          </w:tcPr>
          <w:p w14:paraId="552B1385"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Location</w:t>
            </w:r>
          </w:p>
        </w:tc>
        <w:tc>
          <w:tcPr>
            <w:tcW w:w="358" w:type="pct"/>
            <w:tcBorders>
              <w:top w:val="nil"/>
            </w:tcBorders>
            <w:hideMark/>
          </w:tcPr>
          <w:p w14:paraId="7098BFA3"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Number of women</w:t>
            </w:r>
          </w:p>
        </w:tc>
        <w:tc>
          <w:tcPr>
            <w:tcW w:w="324" w:type="pct"/>
            <w:tcBorders>
              <w:top w:val="nil"/>
            </w:tcBorders>
            <w:hideMark/>
          </w:tcPr>
          <w:p w14:paraId="2EFCC6C1"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Mean age, y</w:t>
            </w:r>
          </w:p>
        </w:tc>
        <w:tc>
          <w:tcPr>
            <w:tcW w:w="577" w:type="pct"/>
            <w:tcBorders>
              <w:top w:val="nil"/>
            </w:tcBorders>
            <w:hideMark/>
          </w:tcPr>
          <w:p w14:paraId="32619B61"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Mammographic breast density</w:t>
            </w:r>
          </w:p>
        </w:tc>
        <w:tc>
          <w:tcPr>
            <w:tcW w:w="499" w:type="pct"/>
            <w:tcBorders>
              <w:top w:val="nil"/>
            </w:tcBorders>
          </w:tcPr>
          <w:p w14:paraId="659293BB"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Biopsy rate (per 1000 examinations)</w:t>
            </w:r>
          </w:p>
        </w:tc>
        <w:tc>
          <w:tcPr>
            <w:tcW w:w="500" w:type="pct"/>
            <w:tcBorders>
              <w:top w:val="nil"/>
            </w:tcBorders>
            <w:hideMark/>
          </w:tcPr>
          <w:p w14:paraId="433A4F51" w14:textId="77777777" w:rsidR="00FE4BF1" w:rsidRPr="00FE4BF1" w:rsidRDefault="00FE4BF1" w:rsidP="00F66F74">
            <w:pPr>
              <w:jc w:val="center"/>
              <w:rPr>
                <w:rFonts w:eastAsia="Times New Roman" w:cstheme="majorHAnsi"/>
                <w:bCs/>
                <w:color w:val="auto"/>
                <w:sz w:val="18"/>
                <w:szCs w:val="18"/>
                <w:lang w:eastAsia="en-NZ"/>
              </w:rPr>
            </w:pPr>
            <w:bookmarkStart w:id="97" w:name="RANGE!J3"/>
            <w:r w:rsidRPr="00FE4BF1">
              <w:rPr>
                <w:rFonts w:eastAsia="Times New Roman" w:cstheme="majorHAnsi"/>
                <w:bCs/>
                <w:color w:val="auto"/>
                <w:sz w:val="18"/>
                <w:szCs w:val="18"/>
                <w:lang w:eastAsia="en-NZ"/>
              </w:rPr>
              <w:t>CDR (per 1000 examinations)</w:t>
            </w:r>
            <w:bookmarkEnd w:id="97"/>
          </w:p>
        </w:tc>
        <w:tc>
          <w:tcPr>
            <w:tcW w:w="360" w:type="pct"/>
            <w:tcBorders>
              <w:top w:val="nil"/>
            </w:tcBorders>
            <w:hideMark/>
          </w:tcPr>
          <w:p w14:paraId="2F019CDC"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Invasive cancers, n, %</w:t>
            </w:r>
          </w:p>
        </w:tc>
        <w:tc>
          <w:tcPr>
            <w:tcW w:w="359" w:type="pct"/>
            <w:tcBorders>
              <w:top w:val="nil"/>
            </w:tcBorders>
            <w:hideMark/>
          </w:tcPr>
          <w:p w14:paraId="6BEB73DE"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Mean invasive cancer size, mm</w:t>
            </w:r>
          </w:p>
        </w:tc>
        <w:tc>
          <w:tcPr>
            <w:tcW w:w="374" w:type="pct"/>
            <w:tcBorders>
              <w:top w:val="nil"/>
            </w:tcBorders>
            <w:hideMark/>
          </w:tcPr>
          <w:p w14:paraId="42C90495" w14:textId="77777777" w:rsidR="00FE4BF1" w:rsidRPr="00FE4BF1" w:rsidRDefault="00FE4BF1" w:rsidP="00F66F74">
            <w:pPr>
              <w:jc w:val="center"/>
              <w:rPr>
                <w:rFonts w:eastAsia="Times New Roman" w:cstheme="majorHAnsi"/>
                <w:bCs/>
                <w:color w:val="auto"/>
                <w:sz w:val="18"/>
                <w:szCs w:val="18"/>
                <w:lang w:eastAsia="en-NZ"/>
              </w:rPr>
            </w:pPr>
            <w:bookmarkStart w:id="98" w:name="RANGE!M3"/>
            <w:r w:rsidRPr="00FE4BF1">
              <w:rPr>
                <w:rFonts w:eastAsia="Times New Roman" w:cstheme="majorHAnsi"/>
                <w:bCs/>
                <w:color w:val="auto"/>
                <w:sz w:val="18"/>
                <w:szCs w:val="18"/>
                <w:lang w:eastAsia="en-NZ"/>
              </w:rPr>
              <w:t>Node negative, n, %</w:t>
            </w:r>
            <w:bookmarkEnd w:id="98"/>
          </w:p>
        </w:tc>
      </w:tr>
      <w:tr w:rsidR="00FE4BF1" w:rsidRPr="00A514D4" w14:paraId="4A4080FC" w14:textId="77777777" w:rsidTr="00F66F74">
        <w:trPr>
          <w:trHeight w:val="793"/>
        </w:trPr>
        <w:tc>
          <w:tcPr>
            <w:tcW w:w="387" w:type="pct"/>
            <w:vAlign w:val="center"/>
            <w:hideMark/>
          </w:tcPr>
          <w:p w14:paraId="046C6D64" w14:textId="77777777" w:rsidR="00FE4BF1" w:rsidRPr="00A514D4" w:rsidRDefault="00FE4BF1" w:rsidP="00F66F74">
            <w:pPr>
              <w:rPr>
                <w:rFonts w:eastAsia="Times New Roman" w:cstheme="majorHAnsi"/>
                <w:bCs/>
                <w:sz w:val="18"/>
                <w:szCs w:val="18"/>
                <w:lang w:eastAsia="en-NZ"/>
              </w:rPr>
            </w:pPr>
            <w:r w:rsidRPr="00A514D4">
              <w:rPr>
                <w:rFonts w:eastAsia="Times New Roman" w:cstheme="majorHAnsi"/>
                <w:sz w:val="18"/>
                <w:szCs w:val="18"/>
                <w:lang w:eastAsia="en-NZ"/>
              </w:rPr>
              <w:t>Crystal et al.</w:t>
            </w:r>
            <w:r>
              <w:rPr>
                <w:rFonts w:eastAsia="Times New Roman" w:cstheme="majorHAnsi"/>
                <w:sz w:val="18"/>
                <w:szCs w:val="18"/>
                <w:lang w:eastAsia="en-NZ"/>
              </w:rPr>
              <w:t xml:space="preserve"> (</w:t>
            </w:r>
            <w:r w:rsidRPr="00A514D4">
              <w:rPr>
                <w:rFonts w:eastAsia="Times New Roman" w:cstheme="majorHAnsi"/>
                <w:sz w:val="18"/>
                <w:szCs w:val="18"/>
                <w:lang w:eastAsia="en-NZ"/>
              </w:rPr>
              <w:t>2003</w:t>
            </w:r>
            <w:r>
              <w:rPr>
                <w:rFonts w:eastAsia="Times New Roman" w:cstheme="majorHAnsi"/>
                <w:sz w:val="18"/>
                <w:szCs w:val="18"/>
                <w:lang w:eastAsia="en-NZ"/>
              </w:rPr>
              <w:t>)</w:t>
            </w:r>
          </w:p>
        </w:tc>
        <w:tc>
          <w:tcPr>
            <w:tcW w:w="323" w:type="pct"/>
            <w:vAlign w:val="center"/>
            <w:hideMark/>
          </w:tcPr>
          <w:p w14:paraId="4EAD36F8"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2000-2002</w:t>
            </w:r>
          </w:p>
        </w:tc>
        <w:tc>
          <w:tcPr>
            <w:tcW w:w="474" w:type="pct"/>
            <w:vAlign w:val="center"/>
            <w:hideMark/>
          </w:tcPr>
          <w:p w14:paraId="6622B749"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465" w:type="pct"/>
            <w:vAlign w:val="center"/>
            <w:hideMark/>
          </w:tcPr>
          <w:p w14:paraId="5CDE5AA3"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Israel</w:t>
            </w:r>
          </w:p>
        </w:tc>
        <w:tc>
          <w:tcPr>
            <w:tcW w:w="358" w:type="pct"/>
            <w:vAlign w:val="center"/>
            <w:hideMark/>
          </w:tcPr>
          <w:p w14:paraId="5948075D"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1517</w:t>
            </w:r>
          </w:p>
        </w:tc>
        <w:tc>
          <w:tcPr>
            <w:tcW w:w="324" w:type="pct"/>
            <w:vAlign w:val="center"/>
            <w:hideMark/>
          </w:tcPr>
          <w:p w14:paraId="3B4F670F"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52.1</w:t>
            </w:r>
          </w:p>
        </w:tc>
        <w:tc>
          <w:tcPr>
            <w:tcW w:w="577" w:type="pct"/>
            <w:vAlign w:val="center"/>
            <w:hideMark/>
          </w:tcPr>
          <w:p w14:paraId="70316FFB"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Scattered, heterogeneously and extremely dense</w:t>
            </w:r>
          </w:p>
        </w:tc>
        <w:tc>
          <w:tcPr>
            <w:tcW w:w="499" w:type="pct"/>
            <w:vAlign w:val="center"/>
          </w:tcPr>
          <w:p w14:paraId="33A1DF9A" w14:textId="77777777" w:rsidR="00FE4BF1" w:rsidRPr="00A514D4" w:rsidRDefault="00FE4BF1" w:rsidP="00F66F74">
            <w:pPr>
              <w:jc w:val="center"/>
              <w:rPr>
                <w:rFonts w:eastAsia="Times New Roman" w:cstheme="majorHAnsi"/>
                <w:sz w:val="18"/>
                <w:szCs w:val="18"/>
                <w:lang w:eastAsia="en-NZ"/>
              </w:rPr>
            </w:pPr>
            <w:r w:rsidRPr="00A514D4">
              <w:rPr>
                <w:rFonts w:ascii="Arial" w:hAnsi="Arial" w:cs="Arial"/>
                <w:sz w:val="14"/>
                <w:szCs w:val="14"/>
              </w:rPr>
              <w:t>25</w:t>
            </w:r>
          </w:p>
        </w:tc>
        <w:tc>
          <w:tcPr>
            <w:tcW w:w="500" w:type="pct"/>
            <w:vAlign w:val="center"/>
            <w:hideMark/>
          </w:tcPr>
          <w:p w14:paraId="640BF4AE"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4.6</w:t>
            </w:r>
          </w:p>
        </w:tc>
        <w:tc>
          <w:tcPr>
            <w:tcW w:w="360" w:type="pct"/>
            <w:vAlign w:val="center"/>
            <w:hideMark/>
          </w:tcPr>
          <w:p w14:paraId="39B699F8"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7 (100)</w:t>
            </w:r>
          </w:p>
        </w:tc>
        <w:tc>
          <w:tcPr>
            <w:tcW w:w="359" w:type="pct"/>
            <w:vAlign w:val="center"/>
            <w:hideMark/>
          </w:tcPr>
          <w:p w14:paraId="2D3D8202"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9.6</w:t>
            </w:r>
          </w:p>
        </w:tc>
        <w:tc>
          <w:tcPr>
            <w:tcW w:w="374" w:type="pct"/>
            <w:vAlign w:val="center"/>
            <w:hideMark/>
          </w:tcPr>
          <w:p w14:paraId="2BB14212"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6 (86)</w:t>
            </w:r>
          </w:p>
        </w:tc>
      </w:tr>
      <w:tr w:rsidR="00FE4BF1" w:rsidRPr="00A514D4" w14:paraId="446E87E6" w14:textId="77777777" w:rsidTr="00F66F74">
        <w:trPr>
          <w:trHeight w:val="100"/>
        </w:trPr>
        <w:tc>
          <w:tcPr>
            <w:tcW w:w="387" w:type="pct"/>
            <w:vAlign w:val="center"/>
            <w:hideMark/>
          </w:tcPr>
          <w:p w14:paraId="27A11239" w14:textId="77777777" w:rsidR="00FE4BF1" w:rsidRPr="00A514D4" w:rsidRDefault="00FE4BF1" w:rsidP="00F66F74">
            <w:pPr>
              <w:rPr>
                <w:rFonts w:eastAsia="Times New Roman" w:cstheme="majorHAnsi"/>
                <w:sz w:val="18"/>
                <w:szCs w:val="18"/>
                <w:lang w:eastAsia="en-NZ"/>
              </w:rPr>
            </w:pPr>
            <w:r w:rsidRPr="00A514D4">
              <w:rPr>
                <w:rFonts w:eastAsia="Times New Roman" w:cstheme="majorHAnsi"/>
                <w:sz w:val="18"/>
                <w:szCs w:val="18"/>
                <w:lang w:eastAsia="en-NZ"/>
              </w:rPr>
              <w:t>De Felice et al.</w:t>
            </w:r>
            <w:r>
              <w:rPr>
                <w:rFonts w:eastAsia="Times New Roman" w:cstheme="majorHAnsi"/>
                <w:sz w:val="18"/>
                <w:szCs w:val="18"/>
                <w:lang w:eastAsia="en-NZ"/>
              </w:rPr>
              <w:t xml:space="preserve"> (</w:t>
            </w:r>
            <w:r w:rsidRPr="00A514D4">
              <w:rPr>
                <w:rFonts w:eastAsia="Times New Roman" w:cstheme="majorHAnsi"/>
                <w:sz w:val="18"/>
                <w:szCs w:val="18"/>
                <w:lang w:eastAsia="en-NZ"/>
              </w:rPr>
              <w:t>2007</w:t>
            </w:r>
            <w:r>
              <w:rPr>
                <w:rFonts w:eastAsia="Times New Roman" w:cstheme="majorHAnsi"/>
                <w:sz w:val="18"/>
                <w:szCs w:val="18"/>
                <w:lang w:eastAsia="en-NZ"/>
              </w:rPr>
              <w:t>)</w:t>
            </w:r>
          </w:p>
        </w:tc>
        <w:tc>
          <w:tcPr>
            <w:tcW w:w="323" w:type="pct"/>
            <w:vAlign w:val="center"/>
            <w:hideMark/>
          </w:tcPr>
          <w:p w14:paraId="6944E3E7"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2000-2006</w:t>
            </w:r>
          </w:p>
        </w:tc>
        <w:tc>
          <w:tcPr>
            <w:tcW w:w="474" w:type="pct"/>
            <w:vAlign w:val="center"/>
            <w:hideMark/>
          </w:tcPr>
          <w:p w14:paraId="12E814E6"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Prospective</w:t>
            </w:r>
          </w:p>
        </w:tc>
        <w:tc>
          <w:tcPr>
            <w:tcW w:w="465" w:type="pct"/>
            <w:vAlign w:val="center"/>
            <w:hideMark/>
          </w:tcPr>
          <w:p w14:paraId="6C767852"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Italy</w:t>
            </w:r>
          </w:p>
        </w:tc>
        <w:tc>
          <w:tcPr>
            <w:tcW w:w="358" w:type="pct"/>
            <w:vAlign w:val="center"/>
            <w:hideMark/>
          </w:tcPr>
          <w:p w14:paraId="17F2C78B"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1754</w:t>
            </w:r>
          </w:p>
        </w:tc>
        <w:tc>
          <w:tcPr>
            <w:tcW w:w="324" w:type="pct"/>
            <w:vAlign w:val="center"/>
            <w:hideMark/>
          </w:tcPr>
          <w:p w14:paraId="57DDECBF"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65</w:t>
            </w:r>
          </w:p>
        </w:tc>
        <w:tc>
          <w:tcPr>
            <w:tcW w:w="577" w:type="pct"/>
            <w:vAlign w:val="center"/>
            <w:hideMark/>
          </w:tcPr>
          <w:p w14:paraId="77D03FA3"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0B2651C5" w14:textId="77777777" w:rsidR="00FE4BF1" w:rsidRPr="00A514D4" w:rsidRDefault="00FE4BF1" w:rsidP="00F66F74">
            <w:pPr>
              <w:jc w:val="center"/>
              <w:rPr>
                <w:rFonts w:eastAsia="Times New Roman" w:cstheme="majorHAnsi"/>
                <w:sz w:val="18"/>
                <w:szCs w:val="18"/>
                <w:lang w:eastAsia="en-NZ"/>
              </w:rPr>
            </w:pPr>
            <w:r w:rsidRPr="00A514D4">
              <w:rPr>
                <w:rFonts w:ascii="Arial" w:hAnsi="Arial" w:cs="Arial"/>
                <w:sz w:val="14"/>
                <w:szCs w:val="14"/>
              </w:rPr>
              <w:t>106.6</w:t>
            </w:r>
          </w:p>
        </w:tc>
        <w:tc>
          <w:tcPr>
            <w:tcW w:w="500" w:type="pct"/>
            <w:vAlign w:val="center"/>
            <w:hideMark/>
          </w:tcPr>
          <w:p w14:paraId="581BA84A"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6.8</w:t>
            </w:r>
          </w:p>
        </w:tc>
        <w:tc>
          <w:tcPr>
            <w:tcW w:w="360" w:type="pct"/>
            <w:vAlign w:val="center"/>
            <w:hideMark/>
          </w:tcPr>
          <w:p w14:paraId="381401CA"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10 (83)</w:t>
            </w:r>
          </w:p>
        </w:tc>
        <w:tc>
          <w:tcPr>
            <w:tcW w:w="359" w:type="pct"/>
            <w:vAlign w:val="center"/>
            <w:hideMark/>
          </w:tcPr>
          <w:p w14:paraId="7295733A"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10</w:t>
            </w:r>
          </w:p>
        </w:tc>
        <w:tc>
          <w:tcPr>
            <w:tcW w:w="374" w:type="pct"/>
            <w:vAlign w:val="center"/>
            <w:hideMark/>
          </w:tcPr>
          <w:p w14:paraId="6A7277E5"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NR</w:t>
            </w:r>
          </w:p>
        </w:tc>
      </w:tr>
      <w:tr w:rsidR="00FE4BF1" w:rsidRPr="00A514D4" w14:paraId="680C593A" w14:textId="77777777" w:rsidTr="00F66F74">
        <w:trPr>
          <w:trHeight w:val="765"/>
        </w:trPr>
        <w:tc>
          <w:tcPr>
            <w:tcW w:w="387" w:type="pct"/>
            <w:vAlign w:val="center"/>
            <w:hideMark/>
          </w:tcPr>
          <w:p w14:paraId="5F60581F" w14:textId="77777777" w:rsidR="00FE4BF1" w:rsidRPr="00A514D4" w:rsidRDefault="00FE4BF1" w:rsidP="00F66F74">
            <w:pPr>
              <w:rPr>
                <w:rFonts w:eastAsia="Times New Roman" w:cstheme="majorHAnsi"/>
                <w:sz w:val="18"/>
                <w:szCs w:val="18"/>
                <w:lang w:eastAsia="en-NZ"/>
              </w:rPr>
            </w:pPr>
            <w:r w:rsidRPr="00A514D4">
              <w:rPr>
                <w:rFonts w:eastAsia="Times New Roman" w:cstheme="majorHAnsi"/>
                <w:sz w:val="18"/>
                <w:szCs w:val="18"/>
                <w:lang w:eastAsia="en-NZ"/>
              </w:rPr>
              <w:t>Brancato, et al.</w:t>
            </w:r>
            <w:r>
              <w:rPr>
                <w:rFonts w:eastAsia="Times New Roman" w:cstheme="majorHAnsi"/>
                <w:sz w:val="18"/>
                <w:szCs w:val="18"/>
                <w:lang w:eastAsia="en-NZ"/>
              </w:rPr>
              <w:t xml:space="preserve"> (</w:t>
            </w:r>
            <w:r w:rsidRPr="00A514D4">
              <w:rPr>
                <w:rFonts w:eastAsia="Times New Roman" w:cstheme="majorHAnsi"/>
                <w:sz w:val="18"/>
                <w:szCs w:val="18"/>
                <w:lang w:eastAsia="en-NZ"/>
              </w:rPr>
              <w:t>2007</w:t>
            </w:r>
            <w:r>
              <w:rPr>
                <w:rFonts w:eastAsia="Times New Roman" w:cstheme="majorHAnsi"/>
                <w:sz w:val="18"/>
                <w:szCs w:val="18"/>
                <w:lang w:eastAsia="en-NZ"/>
              </w:rPr>
              <w:t>)</w:t>
            </w:r>
          </w:p>
        </w:tc>
        <w:tc>
          <w:tcPr>
            <w:tcW w:w="323" w:type="pct"/>
            <w:vAlign w:val="center"/>
            <w:hideMark/>
          </w:tcPr>
          <w:p w14:paraId="0E2187BD"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2003-2006</w:t>
            </w:r>
          </w:p>
        </w:tc>
        <w:tc>
          <w:tcPr>
            <w:tcW w:w="474" w:type="pct"/>
            <w:vAlign w:val="center"/>
            <w:hideMark/>
          </w:tcPr>
          <w:p w14:paraId="37611568"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465" w:type="pct"/>
            <w:vAlign w:val="center"/>
            <w:hideMark/>
          </w:tcPr>
          <w:p w14:paraId="227F1604"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Italy</w:t>
            </w:r>
          </w:p>
        </w:tc>
        <w:tc>
          <w:tcPr>
            <w:tcW w:w="358" w:type="pct"/>
            <w:vAlign w:val="center"/>
            <w:hideMark/>
          </w:tcPr>
          <w:p w14:paraId="007C6C20"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5227</w:t>
            </w:r>
          </w:p>
        </w:tc>
        <w:tc>
          <w:tcPr>
            <w:tcW w:w="324" w:type="pct"/>
            <w:vAlign w:val="center"/>
            <w:hideMark/>
          </w:tcPr>
          <w:p w14:paraId="404CC4D7"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51.9</w:t>
            </w:r>
          </w:p>
        </w:tc>
        <w:tc>
          <w:tcPr>
            <w:tcW w:w="577" w:type="pct"/>
            <w:vAlign w:val="center"/>
            <w:hideMark/>
          </w:tcPr>
          <w:p w14:paraId="5C28554E"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125D778B" w14:textId="77777777" w:rsidR="00FE4BF1" w:rsidRPr="00A514D4" w:rsidRDefault="00FE4BF1" w:rsidP="00F66F74">
            <w:pPr>
              <w:jc w:val="center"/>
              <w:rPr>
                <w:rFonts w:eastAsia="Times New Roman" w:cstheme="majorHAnsi"/>
                <w:sz w:val="18"/>
                <w:szCs w:val="18"/>
                <w:lang w:eastAsia="en-NZ"/>
              </w:rPr>
            </w:pPr>
            <w:r w:rsidRPr="00A514D4">
              <w:rPr>
                <w:rFonts w:ascii="Arial" w:hAnsi="Arial" w:cs="Arial"/>
                <w:sz w:val="14"/>
                <w:szCs w:val="14"/>
              </w:rPr>
              <w:t>11.9</w:t>
            </w:r>
          </w:p>
        </w:tc>
        <w:tc>
          <w:tcPr>
            <w:tcW w:w="500" w:type="pct"/>
            <w:vAlign w:val="center"/>
            <w:hideMark/>
          </w:tcPr>
          <w:p w14:paraId="26BFB9AF"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0.3</w:t>
            </w:r>
          </w:p>
        </w:tc>
        <w:tc>
          <w:tcPr>
            <w:tcW w:w="360" w:type="pct"/>
            <w:vAlign w:val="center"/>
            <w:hideMark/>
          </w:tcPr>
          <w:p w14:paraId="24432C2B"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2 (100)</w:t>
            </w:r>
          </w:p>
        </w:tc>
        <w:tc>
          <w:tcPr>
            <w:tcW w:w="359" w:type="pct"/>
            <w:vAlign w:val="center"/>
            <w:hideMark/>
          </w:tcPr>
          <w:p w14:paraId="40022CF0"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374" w:type="pct"/>
            <w:vAlign w:val="center"/>
            <w:hideMark/>
          </w:tcPr>
          <w:p w14:paraId="2E82B952" w14:textId="77777777" w:rsidR="00FE4BF1" w:rsidRPr="00A514D4" w:rsidRDefault="00FE4BF1" w:rsidP="00F66F74">
            <w:pPr>
              <w:jc w:val="center"/>
              <w:rPr>
                <w:rFonts w:eastAsia="Times New Roman" w:cstheme="majorHAnsi"/>
                <w:sz w:val="18"/>
                <w:szCs w:val="18"/>
                <w:lang w:eastAsia="en-NZ"/>
              </w:rPr>
            </w:pPr>
            <w:r w:rsidRPr="00A514D4">
              <w:rPr>
                <w:rFonts w:eastAsia="Times New Roman" w:cstheme="majorHAnsi"/>
                <w:sz w:val="18"/>
                <w:szCs w:val="18"/>
                <w:lang w:eastAsia="en-NZ"/>
              </w:rPr>
              <w:t>NR</w:t>
            </w:r>
          </w:p>
        </w:tc>
      </w:tr>
      <w:tr w:rsidR="003A536A" w:rsidRPr="00C931DC" w14:paraId="3E0012EC" w14:textId="77777777" w:rsidTr="00B87E4A">
        <w:trPr>
          <w:trHeight w:val="466"/>
        </w:trPr>
        <w:tc>
          <w:tcPr>
            <w:tcW w:w="387" w:type="pct"/>
            <w:vAlign w:val="center"/>
            <w:hideMark/>
          </w:tcPr>
          <w:p w14:paraId="194A9204" w14:textId="1418E509" w:rsidR="003A536A" w:rsidRPr="00A514D4" w:rsidRDefault="003A536A" w:rsidP="00AA3A61">
            <w:pPr>
              <w:rPr>
                <w:rFonts w:eastAsia="Times New Roman" w:cstheme="majorHAnsi"/>
                <w:sz w:val="18"/>
                <w:szCs w:val="18"/>
                <w:lang w:eastAsia="en-NZ"/>
              </w:rPr>
            </w:pPr>
            <w:r w:rsidRPr="00A514D4">
              <w:rPr>
                <w:rFonts w:eastAsia="Times New Roman" w:cstheme="majorHAnsi"/>
                <w:sz w:val="18"/>
                <w:szCs w:val="18"/>
                <w:lang w:eastAsia="en-NZ"/>
              </w:rPr>
              <w:t xml:space="preserve">Corsetti, </w:t>
            </w:r>
            <w:r w:rsidR="00F566A7" w:rsidRPr="00A514D4">
              <w:rPr>
                <w:rFonts w:eastAsia="Times New Roman" w:cstheme="majorHAnsi"/>
                <w:sz w:val="18"/>
                <w:szCs w:val="18"/>
                <w:lang w:eastAsia="en-NZ"/>
              </w:rPr>
              <w:t>et al.</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2008</w:t>
            </w:r>
            <w:r w:rsidR="00AA3A61">
              <w:rPr>
                <w:rFonts w:eastAsia="Times New Roman" w:cstheme="majorHAnsi"/>
                <w:sz w:val="18"/>
                <w:szCs w:val="18"/>
                <w:lang w:eastAsia="en-NZ"/>
              </w:rPr>
              <w:t>)</w:t>
            </w:r>
          </w:p>
        </w:tc>
        <w:tc>
          <w:tcPr>
            <w:tcW w:w="323" w:type="pct"/>
            <w:vAlign w:val="center"/>
            <w:hideMark/>
          </w:tcPr>
          <w:p w14:paraId="5CD050D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2000-2007</w:t>
            </w:r>
          </w:p>
        </w:tc>
        <w:tc>
          <w:tcPr>
            <w:tcW w:w="474" w:type="pct"/>
            <w:vAlign w:val="center"/>
            <w:hideMark/>
          </w:tcPr>
          <w:p w14:paraId="3EBAE49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Retrospective</w:t>
            </w:r>
          </w:p>
        </w:tc>
        <w:tc>
          <w:tcPr>
            <w:tcW w:w="465" w:type="pct"/>
            <w:vAlign w:val="center"/>
            <w:hideMark/>
          </w:tcPr>
          <w:p w14:paraId="22E1029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Italy</w:t>
            </w:r>
          </w:p>
        </w:tc>
        <w:tc>
          <w:tcPr>
            <w:tcW w:w="358" w:type="pct"/>
            <w:vAlign w:val="center"/>
            <w:hideMark/>
          </w:tcPr>
          <w:p w14:paraId="2D2D7DD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9157</w:t>
            </w:r>
          </w:p>
        </w:tc>
        <w:tc>
          <w:tcPr>
            <w:tcW w:w="324" w:type="pct"/>
            <w:vAlign w:val="center"/>
            <w:hideMark/>
          </w:tcPr>
          <w:p w14:paraId="4540E41D"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52</w:t>
            </w:r>
          </w:p>
        </w:tc>
        <w:tc>
          <w:tcPr>
            <w:tcW w:w="577" w:type="pct"/>
            <w:vAlign w:val="center"/>
            <w:hideMark/>
          </w:tcPr>
          <w:p w14:paraId="657C0BEB"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62E218FA"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56.1</w:t>
            </w:r>
          </w:p>
        </w:tc>
        <w:tc>
          <w:tcPr>
            <w:tcW w:w="500" w:type="pct"/>
            <w:vAlign w:val="center"/>
            <w:hideMark/>
          </w:tcPr>
          <w:p w14:paraId="16E50A2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w:t>
            </w:r>
          </w:p>
        </w:tc>
        <w:tc>
          <w:tcPr>
            <w:tcW w:w="360" w:type="pct"/>
            <w:vAlign w:val="center"/>
            <w:hideMark/>
          </w:tcPr>
          <w:p w14:paraId="6BC38A7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36 (97)</w:t>
            </w:r>
          </w:p>
        </w:tc>
        <w:tc>
          <w:tcPr>
            <w:tcW w:w="359" w:type="pct"/>
            <w:vAlign w:val="center"/>
            <w:hideMark/>
          </w:tcPr>
          <w:p w14:paraId="47A46461"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374" w:type="pct"/>
            <w:vAlign w:val="center"/>
            <w:hideMark/>
          </w:tcPr>
          <w:p w14:paraId="08ABB30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29 (86)</w:t>
            </w:r>
          </w:p>
        </w:tc>
      </w:tr>
      <w:tr w:rsidR="003A536A" w:rsidRPr="00C931DC" w14:paraId="53DE2F3A" w14:textId="77777777" w:rsidTr="00B87E4A">
        <w:trPr>
          <w:trHeight w:val="475"/>
        </w:trPr>
        <w:tc>
          <w:tcPr>
            <w:tcW w:w="387" w:type="pct"/>
            <w:vAlign w:val="center"/>
            <w:hideMark/>
          </w:tcPr>
          <w:p w14:paraId="23E2B97C" w14:textId="7CC7A9FD" w:rsidR="003A536A" w:rsidRPr="00A514D4" w:rsidRDefault="003A536A" w:rsidP="00AA3A61">
            <w:pPr>
              <w:rPr>
                <w:rFonts w:eastAsia="Times New Roman" w:cstheme="majorHAnsi"/>
                <w:sz w:val="18"/>
                <w:szCs w:val="18"/>
                <w:lang w:eastAsia="en-NZ"/>
              </w:rPr>
            </w:pPr>
            <w:r w:rsidRPr="00A514D4">
              <w:rPr>
                <w:rFonts w:eastAsia="Times New Roman" w:cstheme="majorHAnsi"/>
                <w:sz w:val="18"/>
                <w:szCs w:val="18"/>
                <w:lang w:eastAsia="en-NZ"/>
              </w:rPr>
              <w:t>Berg</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2008</w:t>
            </w:r>
            <w:r w:rsidR="00AA3A61">
              <w:rPr>
                <w:rFonts w:eastAsia="Times New Roman" w:cstheme="majorHAnsi"/>
                <w:sz w:val="18"/>
                <w:szCs w:val="18"/>
                <w:lang w:eastAsia="en-NZ"/>
              </w:rPr>
              <w:t>)</w:t>
            </w:r>
          </w:p>
        </w:tc>
        <w:tc>
          <w:tcPr>
            <w:tcW w:w="323" w:type="pct"/>
            <w:vAlign w:val="center"/>
            <w:hideMark/>
          </w:tcPr>
          <w:p w14:paraId="4BF2840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2004-2006</w:t>
            </w:r>
          </w:p>
        </w:tc>
        <w:tc>
          <w:tcPr>
            <w:tcW w:w="474" w:type="pct"/>
            <w:vAlign w:val="center"/>
            <w:hideMark/>
          </w:tcPr>
          <w:p w14:paraId="31C0641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Prospective</w:t>
            </w:r>
          </w:p>
        </w:tc>
        <w:tc>
          <w:tcPr>
            <w:tcW w:w="465" w:type="pct"/>
            <w:vAlign w:val="center"/>
            <w:hideMark/>
          </w:tcPr>
          <w:p w14:paraId="3CCD059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United States</w:t>
            </w:r>
          </w:p>
        </w:tc>
        <w:tc>
          <w:tcPr>
            <w:tcW w:w="358" w:type="pct"/>
            <w:vAlign w:val="center"/>
            <w:hideMark/>
          </w:tcPr>
          <w:p w14:paraId="205BA0D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2501</w:t>
            </w:r>
          </w:p>
        </w:tc>
        <w:tc>
          <w:tcPr>
            <w:tcW w:w="324" w:type="pct"/>
            <w:vAlign w:val="center"/>
            <w:hideMark/>
          </w:tcPr>
          <w:p w14:paraId="7636E432"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55</w:t>
            </w:r>
          </w:p>
        </w:tc>
        <w:tc>
          <w:tcPr>
            <w:tcW w:w="577" w:type="pct"/>
            <w:vAlign w:val="center"/>
            <w:hideMark/>
          </w:tcPr>
          <w:p w14:paraId="32DD4EE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6F2977D7"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68</w:t>
            </w:r>
          </w:p>
        </w:tc>
        <w:tc>
          <w:tcPr>
            <w:tcW w:w="500" w:type="pct"/>
            <w:vAlign w:val="center"/>
            <w:hideMark/>
          </w:tcPr>
          <w:p w14:paraId="24E7779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4.4</w:t>
            </w:r>
          </w:p>
        </w:tc>
        <w:tc>
          <w:tcPr>
            <w:tcW w:w="360" w:type="pct"/>
            <w:vAlign w:val="center"/>
            <w:hideMark/>
          </w:tcPr>
          <w:p w14:paraId="5EE347FF"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10 (91)</w:t>
            </w:r>
          </w:p>
        </w:tc>
        <w:tc>
          <w:tcPr>
            <w:tcW w:w="359" w:type="pct"/>
            <w:vAlign w:val="center"/>
            <w:hideMark/>
          </w:tcPr>
          <w:p w14:paraId="504DFCAB"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10</w:t>
            </w:r>
          </w:p>
        </w:tc>
        <w:tc>
          <w:tcPr>
            <w:tcW w:w="374" w:type="pct"/>
            <w:vAlign w:val="center"/>
            <w:hideMark/>
          </w:tcPr>
          <w:p w14:paraId="5AE30FB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8 (89)</w:t>
            </w:r>
          </w:p>
        </w:tc>
      </w:tr>
      <w:tr w:rsidR="003A536A" w:rsidRPr="00C931DC" w14:paraId="08789E92" w14:textId="77777777" w:rsidTr="00B87E4A">
        <w:trPr>
          <w:trHeight w:val="627"/>
        </w:trPr>
        <w:tc>
          <w:tcPr>
            <w:tcW w:w="387" w:type="pct"/>
            <w:vAlign w:val="center"/>
            <w:hideMark/>
          </w:tcPr>
          <w:p w14:paraId="0DC69ED0" w14:textId="3AD6BA33" w:rsidR="003A536A" w:rsidRPr="00A514D4" w:rsidRDefault="003A536A" w:rsidP="00AA3A61">
            <w:pPr>
              <w:rPr>
                <w:rFonts w:eastAsia="Times New Roman" w:cstheme="majorHAnsi"/>
                <w:sz w:val="18"/>
                <w:szCs w:val="18"/>
                <w:lang w:eastAsia="en-NZ"/>
              </w:rPr>
            </w:pPr>
            <w:r w:rsidRPr="00A514D4">
              <w:rPr>
                <w:rFonts w:eastAsia="Times New Roman" w:cstheme="majorHAnsi"/>
                <w:sz w:val="18"/>
                <w:szCs w:val="18"/>
                <w:lang w:eastAsia="en-NZ"/>
              </w:rPr>
              <w:t>Leong</w:t>
            </w:r>
            <w:r w:rsidR="00F566A7" w:rsidRPr="00A514D4">
              <w:rPr>
                <w:rFonts w:eastAsia="Times New Roman" w:cstheme="majorHAnsi"/>
                <w:sz w:val="18"/>
                <w:szCs w:val="18"/>
                <w:lang w:eastAsia="en-NZ"/>
              </w:rPr>
              <w:t xml:space="preserve"> et al.</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2012</w:t>
            </w:r>
            <w:r w:rsidR="00AA3A61">
              <w:rPr>
                <w:rFonts w:eastAsia="Times New Roman" w:cstheme="majorHAnsi"/>
                <w:sz w:val="18"/>
                <w:szCs w:val="18"/>
                <w:lang w:eastAsia="en-NZ"/>
              </w:rPr>
              <w:t>)</w:t>
            </w:r>
          </w:p>
        </w:tc>
        <w:tc>
          <w:tcPr>
            <w:tcW w:w="323" w:type="pct"/>
            <w:vAlign w:val="center"/>
            <w:hideMark/>
          </w:tcPr>
          <w:p w14:paraId="17C743C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2002-2004</w:t>
            </w:r>
          </w:p>
        </w:tc>
        <w:tc>
          <w:tcPr>
            <w:tcW w:w="474" w:type="pct"/>
            <w:vAlign w:val="center"/>
            <w:hideMark/>
          </w:tcPr>
          <w:p w14:paraId="527F8481"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Prospective</w:t>
            </w:r>
          </w:p>
        </w:tc>
        <w:tc>
          <w:tcPr>
            <w:tcW w:w="465" w:type="pct"/>
            <w:vAlign w:val="center"/>
            <w:hideMark/>
          </w:tcPr>
          <w:p w14:paraId="010B1B97"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Singapore</w:t>
            </w:r>
          </w:p>
        </w:tc>
        <w:tc>
          <w:tcPr>
            <w:tcW w:w="358" w:type="pct"/>
            <w:vAlign w:val="center"/>
            <w:hideMark/>
          </w:tcPr>
          <w:p w14:paraId="222E115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141</w:t>
            </w:r>
          </w:p>
        </w:tc>
        <w:tc>
          <w:tcPr>
            <w:tcW w:w="324" w:type="pct"/>
            <w:vAlign w:val="center"/>
            <w:hideMark/>
          </w:tcPr>
          <w:p w14:paraId="5C5C6497"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45.1</w:t>
            </w:r>
          </w:p>
        </w:tc>
        <w:tc>
          <w:tcPr>
            <w:tcW w:w="577" w:type="pct"/>
            <w:vAlign w:val="center"/>
            <w:hideMark/>
          </w:tcPr>
          <w:p w14:paraId="5F8BD15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11EB5FC9"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99.3</w:t>
            </w:r>
          </w:p>
        </w:tc>
        <w:tc>
          <w:tcPr>
            <w:tcW w:w="500" w:type="pct"/>
            <w:vAlign w:val="center"/>
            <w:hideMark/>
          </w:tcPr>
          <w:p w14:paraId="0DC65FB0"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14</w:t>
            </w:r>
          </w:p>
        </w:tc>
        <w:tc>
          <w:tcPr>
            <w:tcW w:w="360" w:type="pct"/>
            <w:vAlign w:val="center"/>
            <w:hideMark/>
          </w:tcPr>
          <w:p w14:paraId="0E51A93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 (50)</w:t>
            </w:r>
          </w:p>
        </w:tc>
        <w:tc>
          <w:tcPr>
            <w:tcW w:w="359" w:type="pct"/>
            <w:vAlign w:val="center"/>
            <w:hideMark/>
          </w:tcPr>
          <w:p w14:paraId="6DD5B1B7"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13</w:t>
            </w:r>
          </w:p>
        </w:tc>
        <w:tc>
          <w:tcPr>
            <w:tcW w:w="374" w:type="pct"/>
            <w:vAlign w:val="center"/>
            <w:hideMark/>
          </w:tcPr>
          <w:p w14:paraId="3A0FBAA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 (100)</w:t>
            </w:r>
          </w:p>
        </w:tc>
      </w:tr>
      <w:tr w:rsidR="003A536A" w:rsidRPr="00C931DC" w14:paraId="5F75C246" w14:textId="77777777" w:rsidTr="00B87E4A">
        <w:trPr>
          <w:trHeight w:val="469"/>
        </w:trPr>
        <w:tc>
          <w:tcPr>
            <w:tcW w:w="387" w:type="pct"/>
            <w:vAlign w:val="center"/>
            <w:hideMark/>
          </w:tcPr>
          <w:p w14:paraId="1667EADC" w14:textId="461EF7C7" w:rsidR="003A536A" w:rsidRPr="00A514D4" w:rsidRDefault="003A536A" w:rsidP="00AA3A61">
            <w:pPr>
              <w:rPr>
                <w:rFonts w:eastAsia="Times New Roman" w:cstheme="majorHAnsi"/>
                <w:sz w:val="18"/>
                <w:szCs w:val="18"/>
                <w:lang w:eastAsia="en-NZ"/>
              </w:rPr>
            </w:pPr>
            <w:r w:rsidRPr="00A514D4">
              <w:rPr>
                <w:rFonts w:eastAsia="Times New Roman" w:cstheme="majorHAnsi"/>
                <w:sz w:val="18"/>
                <w:szCs w:val="18"/>
                <w:lang w:eastAsia="en-NZ"/>
              </w:rPr>
              <w:t>Hooley</w:t>
            </w:r>
            <w:r w:rsidR="00F566A7" w:rsidRPr="00A514D4">
              <w:rPr>
                <w:rFonts w:eastAsia="Times New Roman" w:cstheme="majorHAnsi"/>
                <w:sz w:val="18"/>
                <w:szCs w:val="18"/>
                <w:lang w:eastAsia="en-NZ"/>
              </w:rPr>
              <w:t xml:space="preserve"> et al.</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2012</w:t>
            </w:r>
            <w:r w:rsidR="00AA3A61">
              <w:rPr>
                <w:rFonts w:eastAsia="Times New Roman" w:cstheme="majorHAnsi"/>
                <w:sz w:val="18"/>
                <w:szCs w:val="18"/>
                <w:lang w:eastAsia="en-NZ"/>
              </w:rPr>
              <w:t>)</w:t>
            </w:r>
          </w:p>
        </w:tc>
        <w:tc>
          <w:tcPr>
            <w:tcW w:w="323" w:type="pct"/>
            <w:vAlign w:val="center"/>
            <w:hideMark/>
          </w:tcPr>
          <w:p w14:paraId="2BA9A6A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2009-2010</w:t>
            </w:r>
          </w:p>
        </w:tc>
        <w:tc>
          <w:tcPr>
            <w:tcW w:w="474" w:type="pct"/>
            <w:vAlign w:val="center"/>
            <w:hideMark/>
          </w:tcPr>
          <w:p w14:paraId="266B3F5E"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Retrospective</w:t>
            </w:r>
          </w:p>
        </w:tc>
        <w:tc>
          <w:tcPr>
            <w:tcW w:w="465" w:type="pct"/>
            <w:vAlign w:val="center"/>
            <w:hideMark/>
          </w:tcPr>
          <w:p w14:paraId="7B6AC5C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United States (Connecticut)</w:t>
            </w:r>
          </w:p>
        </w:tc>
        <w:tc>
          <w:tcPr>
            <w:tcW w:w="358" w:type="pct"/>
            <w:vAlign w:val="center"/>
            <w:hideMark/>
          </w:tcPr>
          <w:p w14:paraId="4A331C5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648</w:t>
            </w:r>
          </w:p>
        </w:tc>
        <w:tc>
          <w:tcPr>
            <w:tcW w:w="324" w:type="pct"/>
            <w:vAlign w:val="center"/>
            <w:hideMark/>
          </w:tcPr>
          <w:p w14:paraId="25D331E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52</w:t>
            </w:r>
          </w:p>
        </w:tc>
        <w:tc>
          <w:tcPr>
            <w:tcW w:w="577" w:type="pct"/>
            <w:vAlign w:val="center"/>
            <w:hideMark/>
          </w:tcPr>
          <w:p w14:paraId="322E9E9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41871D16"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71</w:t>
            </w:r>
          </w:p>
        </w:tc>
        <w:tc>
          <w:tcPr>
            <w:tcW w:w="500" w:type="pct"/>
            <w:vAlign w:val="center"/>
            <w:hideMark/>
          </w:tcPr>
          <w:p w14:paraId="7773B61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4.6</w:t>
            </w:r>
          </w:p>
        </w:tc>
        <w:tc>
          <w:tcPr>
            <w:tcW w:w="360" w:type="pct"/>
            <w:vAlign w:val="center"/>
            <w:hideMark/>
          </w:tcPr>
          <w:p w14:paraId="2D1DC682"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 (67)</w:t>
            </w:r>
          </w:p>
        </w:tc>
        <w:tc>
          <w:tcPr>
            <w:tcW w:w="359" w:type="pct"/>
            <w:vAlign w:val="center"/>
            <w:hideMark/>
          </w:tcPr>
          <w:p w14:paraId="6A55329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6.5</w:t>
            </w:r>
          </w:p>
        </w:tc>
        <w:tc>
          <w:tcPr>
            <w:tcW w:w="374" w:type="pct"/>
            <w:vAlign w:val="center"/>
            <w:hideMark/>
          </w:tcPr>
          <w:p w14:paraId="6182514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 (100)</w:t>
            </w:r>
          </w:p>
        </w:tc>
      </w:tr>
      <w:tr w:rsidR="003A536A" w:rsidRPr="00C931DC" w14:paraId="6EB47B08" w14:textId="77777777" w:rsidTr="00B87E4A">
        <w:trPr>
          <w:trHeight w:val="465"/>
        </w:trPr>
        <w:tc>
          <w:tcPr>
            <w:tcW w:w="387" w:type="pct"/>
            <w:vAlign w:val="center"/>
            <w:hideMark/>
          </w:tcPr>
          <w:p w14:paraId="43AAE653" w14:textId="6F850FE1"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lastRenderedPageBreak/>
              <w:t>Weigert</w:t>
            </w:r>
            <w:r w:rsidR="00F566A7" w:rsidRPr="00A514D4">
              <w:rPr>
                <w:rFonts w:eastAsia="Times New Roman" w:cstheme="majorHAnsi"/>
                <w:sz w:val="18"/>
                <w:szCs w:val="18"/>
                <w:lang w:eastAsia="en-NZ"/>
              </w:rPr>
              <w:t xml:space="preserve"> </w:t>
            </w:r>
            <w:r w:rsidR="00AA3A61">
              <w:rPr>
                <w:rFonts w:eastAsia="Times New Roman" w:cstheme="majorHAnsi"/>
                <w:sz w:val="18"/>
                <w:szCs w:val="18"/>
                <w:lang w:eastAsia="en-NZ"/>
              </w:rPr>
              <w:t>&amp;</w:t>
            </w:r>
            <w:r w:rsidR="00F566A7" w:rsidRPr="00A514D4">
              <w:rPr>
                <w:rFonts w:eastAsia="Times New Roman" w:cstheme="majorHAnsi"/>
                <w:sz w:val="18"/>
                <w:szCs w:val="18"/>
                <w:lang w:eastAsia="en-NZ"/>
              </w:rPr>
              <w:t xml:space="preserve"> Steenbergen</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2012</w:t>
            </w:r>
            <w:r w:rsidR="00AA3A61">
              <w:rPr>
                <w:rFonts w:eastAsia="Times New Roman" w:cstheme="majorHAnsi"/>
                <w:sz w:val="18"/>
                <w:szCs w:val="18"/>
                <w:lang w:eastAsia="en-NZ"/>
              </w:rPr>
              <w:t>)</w:t>
            </w:r>
          </w:p>
        </w:tc>
        <w:tc>
          <w:tcPr>
            <w:tcW w:w="323" w:type="pct"/>
            <w:vAlign w:val="center"/>
            <w:hideMark/>
          </w:tcPr>
          <w:p w14:paraId="0E52D167"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2009-2010</w:t>
            </w:r>
          </w:p>
        </w:tc>
        <w:tc>
          <w:tcPr>
            <w:tcW w:w="474" w:type="pct"/>
            <w:vAlign w:val="center"/>
            <w:hideMark/>
          </w:tcPr>
          <w:p w14:paraId="1A38085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Retrospective</w:t>
            </w:r>
          </w:p>
        </w:tc>
        <w:tc>
          <w:tcPr>
            <w:tcW w:w="465" w:type="pct"/>
            <w:vAlign w:val="center"/>
            <w:hideMark/>
          </w:tcPr>
          <w:p w14:paraId="72A442E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United States (Connecticut)</w:t>
            </w:r>
          </w:p>
        </w:tc>
        <w:tc>
          <w:tcPr>
            <w:tcW w:w="358" w:type="pct"/>
            <w:vAlign w:val="center"/>
            <w:hideMark/>
          </w:tcPr>
          <w:p w14:paraId="22A851B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8647</w:t>
            </w:r>
          </w:p>
        </w:tc>
        <w:tc>
          <w:tcPr>
            <w:tcW w:w="324" w:type="pct"/>
            <w:vAlign w:val="center"/>
            <w:hideMark/>
          </w:tcPr>
          <w:p w14:paraId="2E53CE9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577" w:type="pct"/>
            <w:vAlign w:val="center"/>
            <w:hideMark/>
          </w:tcPr>
          <w:p w14:paraId="60297362"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313C7276"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48.3</w:t>
            </w:r>
          </w:p>
        </w:tc>
        <w:tc>
          <w:tcPr>
            <w:tcW w:w="500" w:type="pct"/>
            <w:vAlign w:val="center"/>
            <w:hideMark/>
          </w:tcPr>
          <w:p w14:paraId="76FFD601"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3.2</w:t>
            </w:r>
          </w:p>
        </w:tc>
        <w:tc>
          <w:tcPr>
            <w:tcW w:w="360" w:type="pct"/>
            <w:vAlign w:val="center"/>
            <w:hideMark/>
          </w:tcPr>
          <w:p w14:paraId="4FC1ECF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24 (85)</w:t>
            </w:r>
          </w:p>
        </w:tc>
        <w:tc>
          <w:tcPr>
            <w:tcW w:w="359" w:type="pct"/>
            <w:vAlign w:val="center"/>
            <w:hideMark/>
          </w:tcPr>
          <w:p w14:paraId="5DAC51F0"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19</w:t>
            </w:r>
          </w:p>
        </w:tc>
        <w:tc>
          <w:tcPr>
            <w:tcW w:w="374" w:type="pct"/>
            <w:vAlign w:val="center"/>
            <w:hideMark/>
          </w:tcPr>
          <w:p w14:paraId="36D0435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r>
      <w:tr w:rsidR="003A536A" w:rsidRPr="00C931DC" w14:paraId="64593106" w14:textId="77777777" w:rsidTr="00B87E4A">
        <w:trPr>
          <w:trHeight w:val="730"/>
        </w:trPr>
        <w:tc>
          <w:tcPr>
            <w:tcW w:w="387" w:type="pct"/>
            <w:vAlign w:val="center"/>
            <w:hideMark/>
          </w:tcPr>
          <w:p w14:paraId="1CE0C99C" w14:textId="787B7B48"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Parris</w:t>
            </w:r>
            <w:r w:rsidR="00F566A7" w:rsidRPr="00A514D4">
              <w:rPr>
                <w:rFonts w:eastAsia="Times New Roman" w:cstheme="majorHAnsi"/>
                <w:sz w:val="18"/>
                <w:szCs w:val="18"/>
                <w:lang w:eastAsia="en-NZ"/>
              </w:rPr>
              <w:t xml:space="preserve"> et al.</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2013</w:t>
            </w:r>
            <w:r w:rsidR="00AA3A61">
              <w:rPr>
                <w:rFonts w:eastAsia="Times New Roman" w:cstheme="majorHAnsi"/>
                <w:sz w:val="18"/>
                <w:szCs w:val="18"/>
                <w:lang w:eastAsia="en-NZ"/>
              </w:rPr>
              <w:t>)</w:t>
            </w:r>
          </w:p>
        </w:tc>
        <w:tc>
          <w:tcPr>
            <w:tcW w:w="323" w:type="pct"/>
            <w:vAlign w:val="center"/>
            <w:hideMark/>
          </w:tcPr>
          <w:p w14:paraId="76A32821"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2009-2010</w:t>
            </w:r>
          </w:p>
        </w:tc>
        <w:tc>
          <w:tcPr>
            <w:tcW w:w="474" w:type="pct"/>
            <w:vAlign w:val="center"/>
            <w:hideMark/>
          </w:tcPr>
          <w:p w14:paraId="6C477E9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Retrospective</w:t>
            </w:r>
          </w:p>
        </w:tc>
        <w:tc>
          <w:tcPr>
            <w:tcW w:w="465" w:type="pct"/>
            <w:vAlign w:val="center"/>
            <w:hideMark/>
          </w:tcPr>
          <w:p w14:paraId="0DD113FF"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United States (Connecticut)</w:t>
            </w:r>
          </w:p>
        </w:tc>
        <w:tc>
          <w:tcPr>
            <w:tcW w:w="358" w:type="pct"/>
            <w:vAlign w:val="center"/>
            <w:hideMark/>
          </w:tcPr>
          <w:p w14:paraId="28F8D1B7"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5519</w:t>
            </w:r>
          </w:p>
        </w:tc>
        <w:tc>
          <w:tcPr>
            <w:tcW w:w="324" w:type="pct"/>
            <w:vAlign w:val="center"/>
            <w:hideMark/>
          </w:tcPr>
          <w:p w14:paraId="6C92162C"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52</w:t>
            </w:r>
          </w:p>
        </w:tc>
        <w:tc>
          <w:tcPr>
            <w:tcW w:w="577" w:type="pct"/>
            <w:vAlign w:val="center"/>
            <w:hideMark/>
          </w:tcPr>
          <w:p w14:paraId="3B6974C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57B17ADD"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32.8</w:t>
            </w:r>
          </w:p>
        </w:tc>
        <w:tc>
          <w:tcPr>
            <w:tcW w:w="500" w:type="pct"/>
            <w:vAlign w:val="center"/>
            <w:hideMark/>
          </w:tcPr>
          <w:p w14:paraId="4EC34D32"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1.8</w:t>
            </w:r>
          </w:p>
        </w:tc>
        <w:tc>
          <w:tcPr>
            <w:tcW w:w="360" w:type="pct"/>
            <w:vAlign w:val="center"/>
            <w:hideMark/>
          </w:tcPr>
          <w:p w14:paraId="357559FF"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9 (90)</w:t>
            </w:r>
          </w:p>
        </w:tc>
        <w:tc>
          <w:tcPr>
            <w:tcW w:w="359" w:type="pct"/>
            <w:vAlign w:val="center"/>
            <w:hideMark/>
          </w:tcPr>
          <w:p w14:paraId="720A558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9.7</w:t>
            </w:r>
          </w:p>
        </w:tc>
        <w:tc>
          <w:tcPr>
            <w:tcW w:w="374" w:type="pct"/>
            <w:vAlign w:val="center"/>
            <w:hideMark/>
          </w:tcPr>
          <w:p w14:paraId="117F868B"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7 (78)</w:t>
            </w:r>
          </w:p>
        </w:tc>
      </w:tr>
      <w:tr w:rsidR="003A536A" w:rsidRPr="00C931DC" w14:paraId="2C9BE328" w14:textId="77777777" w:rsidTr="00B87E4A">
        <w:trPr>
          <w:trHeight w:val="482"/>
        </w:trPr>
        <w:tc>
          <w:tcPr>
            <w:tcW w:w="387" w:type="pct"/>
            <w:vAlign w:val="center"/>
            <w:hideMark/>
          </w:tcPr>
          <w:p w14:paraId="4CBAABAA" w14:textId="426672F6"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Girardi</w:t>
            </w:r>
            <w:r w:rsidR="00F566A7" w:rsidRPr="00A514D4">
              <w:rPr>
                <w:rFonts w:eastAsia="Times New Roman" w:cstheme="majorHAnsi"/>
                <w:sz w:val="18"/>
                <w:szCs w:val="18"/>
                <w:lang w:eastAsia="en-NZ"/>
              </w:rPr>
              <w:t xml:space="preserve"> et al.</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2013</w:t>
            </w:r>
            <w:r w:rsidR="00AA3A61">
              <w:rPr>
                <w:rFonts w:eastAsia="Times New Roman" w:cstheme="majorHAnsi"/>
                <w:sz w:val="18"/>
                <w:szCs w:val="18"/>
                <w:lang w:eastAsia="en-NZ"/>
              </w:rPr>
              <w:t>)</w:t>
            </w:r>
          </w:p>
        </w:tc>
        <w:tc>
          <w:tcPr>
            <w:tcW w:w="323" w:type="pct"/>
            <w:vAlign w:val="center"/>
            <w:hideMark/>
          </w:tcPr>
          <w:p w14:paraId="3058759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2009-2010</w:t>
            </w:r>
          </w:p>
        </w:tc>
        <w:tc>
          <w:tcPr>
            <w:tcW w:w="474" w:type="pct"/>
            <w:vAlign w:val="center"/>
            <w:hideMark/>
          </w:tcPr>
          <w:p w14:paraId="4CA4241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Retrospective</w:t>
            </w:r>
          </w:p>
        </w:tc>
        <w:tc>
          <w:tcPr>
            <w:tcW w:w="465" w:type="pct"/>
            <w:vAlign w:val="center"/>
            <w:hideMark/>
          </w:tcPr>
          <w:p w14:paraId="500907A1"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Italy</w:t>
            </w:r>
          </w:p>
        </w:tc>
        <w:tc>
          <w:tcPr>
            <w:tcW w:w="358" w:type="pct"/>
            <w:vAlign w:val="center"/>
            <w:hideMark/>
          </w:tcPr>
          <w:p w14:paraId="057688B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9960</w:t>
            </w:r>
          </w:p>
        </w:tc>
        <w:tc>
          <w:tcPr>
            <w:tcW w:w="324" w:type="pct"/>
            <w:vAlign w:val="center"/>
            <w:hideMark/>
          </w:tcPr>
          <w:p w14:paraId="2F67135E"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51</w:t>
            </w:r>
          </w:p>
        </w:tc>
        <w:tc>
          <w:tcPr>
            <w:tcW w:w="577" w:type="pct"/>
            <w:vAlign w:val="center"/>
            <w:hideMark/>
          </w:tcPr>
          <w:p w14:paraId="205EDCE9" w14:textId="77777777" w:rsidR="003A536A" w:rsidRPr="00A514D4" w:rsidRDefault="003A536A" w:rsidP="003A536A">
            <w:pPr>
              <w:jc w:val="center"/>
              <w:rPr>
                <w:rFonts w:eastAsia="Times New Roman" w:cstheme="majorHAnsi"/>
                <w:sz w:val="18"/>
                <w:szCs w:val="18"/>
                <w:lang w:eastAsia="en-NZ"/>
              </w:rPr>
            </w:pPr>
            <w:bookmarkStart w:id="99" w:name="RANGE!H14"/>
            <w:r w:rsidRPr="00A514D4">
              <w:rPr>
                <w:rFonts w:eastAsia="Times New Roman" w:cstheme="majorHAnsi"/>
                <w:sz w:val="18"/>
                <w:szCs w:val="18"/>
                <w:lang w:eastAsia="en-NZ"/>
              </w:rPr>
              <w:t>Heterogeneously and extremely dense</w:t>
            </w:r>
            <w:bookmarkEnd w:id="99"/>
          </w:p>
        </w:tc>
        <w:tc>
          <w:tcPr>
            <w:tcW w:w="499" w:type="pct"/>
            <w:vAlign w:val="center"/>
          </w:tcPr>
          <w:p w14:paraId="724D8F5D"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NR</w:t>
            </w:r>
          </w:p>
        </w:tc>
        <w:tc>
          <w:tcPr>
            <w:tcW w:w="500" w:type="pct"/>
            <w:vAlign w:val="center"/>
            <w:hideMark/>
          </w:tcPr>
          <w:p w14:paraId="2481CFE2"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2.2</w:t>
            </w:r>
          </w:p>
        </w:tc>
        <w:tc>
          <w:tcPr>
            <w:tcW w:w="360" w:type="pct"/>
            <w:vAlign w:val="center"/>
            <w:hideMark/>
          </w:tcPr>
          <w:p w14:paraId="2310D690"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359" w:type="pct"/>
            <w:vAlign w:val="center"/>
            <w:hideMark/>
          </w:tcPr>
          <w:p w14:paraId="58041466"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8</w:t>
            </w:r>
          </w:p>
        </w:tc>
        <w:tc>
          <w:tcPr>
            <w:tcW w:w="374" w:type="pct"/>
            <w:vAlign w:val="center"/>
            <w:hideMark/>
          </w:tcPr>
          <w:p w14:paraId="2F8F6ED6"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r>
    </w:tbl>
    <w:p w14:paraId="104E9718" w14:textId="54EFDDF3" w:rsidR="00FE4BF1" w:rsidRDefault="00FE4BF1"/>
    <w:p w14:paraId="69D7B625" w14:textId="7C4CC23E" w:rsidR="00FE4BF1" w:rsidRPr="00712099" w:rsidRDefault="00FE4BF1" w:rsidP="00FE4BF1">
      <w:pPr>
        <w:rPr>
          <w:b/>
          <w:sz w:val="18"/>
          <w:szCs w:val="18"/>
        </w:rPr>
      </w:pPr>
      <w:r w:rsidRPr="00712099">
        <w:rPr>
          <w:b/>
          <w:sz w:val="18"/>
          <w:szCs w:val="18"/>
        </w:rPr>
        <w:t>20</w:t>
      </w:r>
      <w:r>
        <w:rPr>
          <w:b/>
          <w:sz w:val="18"/>
          <w:szCs w:val="18"/>
        </w:rPr>
        <w:t>B</w:t>
      </w:r>
      <w:r w:rsidRPr="00712099">
        <w:rPr>
          <w:b/>
          <w:sz w:val="18"/>
          <w:szCs w:val="18"/>
        </w:rPr>
        <w:t xml:space="preserve">: </w:t>
      </w:r>
      <w:r>
        <w:rPr>
          <w:b/>
          <w:sz w:val="18"/>
          <w:szCs w:val="18"/>
        </w:rPr>
        <w:t>AB</w:t>
      </w:r>
      <w:r w:rsidRPr="00712099">
        <w:rPr>
          <w:b/>
          <w:sz w:val="18"/>
          <w:szCs w:val="18"/>
        </w:rPr>
        <w:t>US</w:t>
      </w:r>
    </w:p>
    <w:tbl>
      <w:tblPr>
        <w:tblStyle w:val="ACGreen-BasicTable"/>
        <w:tblW w:w="5002" w:type="pct"/>
        <w:tblInd w:w="0" w:type="dxa"/>
        <w:tblLook w:val="04A0" w:firstRow="1" w:lastRow="0" w:firstColumn="1" w:lastColumn="0" w:noHBand="0" w:noVBand="1"/>
        <w:tblDescription w:val="The table summarises two ABUS studies, providing information on years of study, study design, location, number of women, mean age in years, mammographic breast density, biopsy rate (per 1000 examinations), CDR (per 1000 examinations), invasive cancers (number and percentage), mean invasive cancer size (mm), and node negative number and percentage.&#10;Kelly et al., 2010 conducted a prospective study from 2003-2007, in the United States. The study included 4419 women at a mean age of 53 years. The mammographic breast density was “heterogeneously and extremely dense”. The biopsy rate (per 1000 examinations) was 11.7, the CDR (per 1000 examinations) was 3.6. The invasive cancers, n, % was 22 (96), the mean invasive cancer size, mm, was NR, and the node negative, n, % was NR.&#10;Guiliano and Giuliano, 2013 conducted a prospective study from 2010-2011, in the United States. The study included 3418 women at the mean age of 57 years. Mammographic breast density was “heterogeneously and extremely dense”. The biopsy rate (per 1000 examinations) was NR, and the CDR (per 1000 examinations) was 12.3. Invasive cancers was 42 (100), mean invasive cancer size, mm, was 14.3, and node negative, n, % was 41 (98).&#10;"/>
      </w:tblPr>
      <w:tblGrid>
        <w:gridCol w:w="1085"/>
        <w:gridCol w:w="904"/>
        <w:gridCol w:w="1327"/>
        <w:gridCol w:w="1302"/>
        <w:gridCol w:w="1002"/>
        <w:gridCol w:w="907"/>
        <w:gridCol w:w="1615"/>
        <w:gridCol w:w="1397"/>
        <w:gridCol w:w="1400"/>
        <w:gridCol w:w="1008"/>
        <w:gridCol w:w="1005"/>
        <w:gridCol w:w="1047"/>
      </w:tblGrid>
      <w:tr w:rsidR="00FE4BF1" w:rsidRPr="00FE4BF1" w14:paraId="2B867DEB" w14:textId="77777777" w:rsidTr="00F66F74">
        <w:trPr>
          <w:cnfStyle w:val="100000000000" w:firstRow="1" w:lastRow="0" w:firstColumn="0" w:lastColumn="0" w:oddVBand="0" w:evenVBand="0" w:oddHBand="0" w:evenHBand="0" w:firstRowFirstColumn="0" w:firstRowLastColumn="0" w:lastRowFirstColumn="0" w:lastRowLastColumn="0"/>
          <w:trHeight w:val="810"/>
        </w:trPr>
        <w:tc>
          <w:tcPr>
            <w:tcW w:w="387" w:type="pct"/>
            <w:tcBorders>
              <w:top w:val="nil"/>
            </w:tcBorders>
            <w:hideMark/>
          </w:tcPr>
          <w:p w14:paraId="3DE3A4DA"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Study</w:t>
            </w:r>
          </w:p>
        </w:tc>
        <w:tc>
          <w:tcPr>
            <w:tcW w:w="323" w:type="pct"/>
            <w:tcBorders>
              <w:top w:val="nil"/>
            </w:tcBorders>
            <w:hideMark/>
          </w:tcPr>
          <w:p w14:paraId="61381F40"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Years of study</w:t>
            </w:r>
          </w:p>
        </w:tc>
        <w:tc>
          <w:tcPr>
            <w:tcW w:w="474" w:type="pct"/>
            <w:tcBorders>
              <w:top w:val="nil"/>
            </w:tcBorders>
            <w:hideMark/>
          </w:tcPr>
          <w:p w14:paraId="4113D535"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Study design</w:t>
            </w:r>
          </w:p>
        </w:tc>
        <w:tc>
          <w:tcPr>
            <w:tcW w:w="465" w:type="pct"/>
            <w:tcBorders>
              <w:top w:val="nil"/>
            </w:tcBorders>
            <w:hideMark/>
          </w:tcPr>
          <w:p w14:paraId="30E72EDE"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Location</w:t>
            </w:r>
          </w:p>
        </w:tc>
        <w:tc>
          <w:tcPr>
            <w:tcW w:w="358" w:type="pct"/>
            <w:tcBorders>
              <w:top w:val="nil"/>
            </w:tcBorders>
            <w:hideMark/>
          </w:tcPr>
          <w:p w14:paraId="2FFDC19B"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Number of women</w:t>
            </w:r>
          </w:p>
        </w:tc>
        <w:tc>
          <w:tcPr>
            <w:tcW w:w="324" w:type="pct"/>
            <w:tcBorders>
              <w:top w:val="nil"/>
            </w:tcBorders>
            <w:hideMark/>
          </w:tcPr>
          <w:p w14:paraId="34F931AC"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Mean age, y</w:t>
            </w:r>
          </w:p>
        </w:tc>
        <w:tc>
          <w:tcPr>
            <w:tcW w:w="577" w:type="pct"/>
            <w:tcBorders>
              <w:top w:val="nil"/>
            </w:tcBorders>
            <w:hideMark/>
          </w:tcPr>
          <w:p w14:paraId="56F36F92"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Mammographic breast density</w:t>
            </w:r>
          </w:p>
        </w:tc>
        <w:tc>
          <w:tcPr>
            <w:tcW w:w="499" w:type="pct"/>
            <w:tcBorders>
              <w:top w:val="nil"/>
            </w:tcBorders>
          </w:tcPr>
          <w:p w14:paraId="540C16F2"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Biopsy rate (per 1000 examinations)</w:t>
            </w:r>
          </w:p>
        </w:tc>
        <w:tc>
          <w:tcPr>
            <w:tcW w:w="500" w:type="pct"/>
            <w:tcBorders>
              <w:top w:val="nil"/>
            </w:tcBorders>
            <w:hideMark/>
          </w:tcPr>
          <w:p w14:paraId="6ED912C2"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CDR (per 1000 examinations)</w:t>
            </w:r>
          </w:p>
        </w:tc>
        <w:tc>
          <w:tcPr>
            <w:tcW w:w="360" w:type="pct"/>
            <w:tcBorders>
              <w:top w:val="nil"/>
            </w:tcBorders>
            <w:hideMark/>
          </w:tcPr>
          <w:p w14:paraId="18B19C4F"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Invasive cancers, n, %</w:t>
            </w:r>
          </w:p>
        </w:tc>
        <w:tc>
          <w:tcPr>
            <w:tcW w:w="359" w:type="pct"/>
            <w:tcBorders>
              <w:top w:val="nil"/>
            </w:tcBorders>
            <w:hideMark/>
          </w:tcPr>
          <w:p w14:paraId="70C631AD"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Mean invasive cancer size, mm</w:t>
            </w:r>
          </w:p>
        </w:tc>
        <w:tc>
          <w:tcPr>
            <w:tcW w:w="374" w:type="pct"/>
            <w:tcBorders>
              <w:top w:val="nil"/>
            </w:tcBorders>
            <w:hideMark/>
          </w:tcPr>
          <w:p w14:paraId="7E6CB5C7" w14:textId="77777777" w:rsidR="00FE4BF1" w:rsidRPr="00FE4BF1" w:rsidRDefault="00FE4BF1" w:rsidP="00F66F74">
            <w:pPr>
              <w:jc w:val="center"/>
              <w:rPr>
                <w:rFonts w:eastAsia="Times New Roman" w:cstheme="majorHAnsi"/>
                <w:bCs/>
                <w:color w:val="auto"/>
                <w:sz w:val="18"/>
                <w:szCs w:val="18"/>
                <w:lang w:eastAsia="en-NZ"/>
              </w:rPr>
            </w:pPr>
            <w:r w:rsidRPr="00FE4BF1">
              <w:rPr>
                <w:rFonts w:eastAsia="Times New Roman" w:cstheme="majorHAnsi"/>
                <w:bCs/>
                <w:color w:val="auto"/>
                <w:sz w:val="18"/>
                <w:szCs w:val="18"/>
                <w:lang w:eastAsia="en-NZ"/>
              </w:rPr>
              <w:t>Node negative, n, %</w:t>
            </w:r>
          </w:p>
        </w:tc>
      </w:tr>
      <w:tr w:rsidR="003A536A" w:rsidRPr="00C931DC" w14:paraId="24ED2E4F" w14:textId="77777777" w:rsidTr="00B87E4A">
        <w:trPr>
          <w:trHeight w:val="559"/>
        </w:trPr>
        <w:tc>
          <w:tcPr>
            <w:tcW w:w="387" w:type="pct"/>
            <w:vAlign w:val="center"/>
            <w:hideMark/>
          </w:tcPr>
          <w:p w14:paraId="2C869FEB" w14:textId="48A54D3D"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Kelly</w:t>
            </w:r>
            <w:r w:rsidR="00F566A7" w:rsidRPr="00A514D4">
              <w:rPr>
                <w:rFonts w:eastAsia="Times New Roman" w:cstheme="majorHAnsi"/>
                <w:sz w:val="18"/>
                <w:szCs w:val="18"/>
                <w:lang w:eastAsia="en-NZ"/>
              </w:rPr>
              <w:t xml:space="preserve"> et al.</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2010</w:t>
            </w:r>
            <w:r w:rsidR="00AA3A61">
              <w:rPr>
                <w:rFonts w:eastAsia="Times New Roman" w:cstheme="majorHAnsi"/>
                <w:sz w:val="18"/>
                <w:szCs w:val="18"/>
                <w:lang w:eastAsia="en-NZ"/>
              </w:rPr>
              <w:t>)</w:t>
            </w:r>
          </w:p>
        </w:tc>
        <w:tc>
          <w:tcPr>
            <w:tcW w:w="323" w:type="pct"/>
            <w:vAlign w:val="center"/>
            <w:hideMark/>
          </w:tcPr>
          <w:p w14:paraId="43B1D6D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2003-2007</w:t>
            </w:r>
          </w:p>
        </w:tc>
        <w:tc>
          <w:tcPr>
            <w:tcW w:w="474" w:type="pct"/>
            <w:vAlign w:val="center"/>
            <w:hideMark/>
          </w:tcPr>
          <w:p w14:paraId="188B88C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Prospective</w:t>
            </w:r>
          </w:p>
        </w:tc>
        <w:tc>
          <w:tcPr>
            <w:tcW w:w="465" w:type="pct"/>
            <w:vAlign w:val="center"/>
            <w:hideMark/>
          </w:tcPr>
          <w:p w14:paraId="3C0A8372"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United States</w:t>
            </w:r>
          </w:p>
        </w:tc>
        <w:tc>
          <w:tcPr>
            <w:tcW w:w="358" w:type="pct"/>
            <w:vAlign w:val="center"/>
            <w:hideMark/>
          </w:tcPr>
          <w:p w14:paraId="7A6187C0"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4419</w:t>
            </w:r>
          </w:p>
        </w:tc>
        <w:tc>
          <w:tcPr>
            <w:tcW w:w="324" w:type="pct"/>
            <w:vAlign w:val="center"/>
            <w:hideMark/>
          </w:tcPr>
          <w:p w14:paraId="0AA1BAB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53</w:t>
            </w:r>
          </w:p>
        </w:tc>
        <w:tc>
          <w:tcPr>
            <w:tcW w:w="577" w:type="pct"/>
            <w:vAlign w:val="center"/>
            <w:hideMark/>
          </w:tcPr>
          <w:p w14:paraId="798438DE"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6086A6AA"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11.7</w:t>
            </w:r>
          </w:p>
        </w:tc>
        <w:tc>
          <w:tcPr>
            <w:tcW w:w="500" w:type="pct"/>
            <w:vAlign w:val="center"/>
            <w:hideMark/>
          </w:tcPr>
          <w:p w14:paraId="28B4B81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3.6</w:t>
            </w:r>
          </w:p>
        </w:tc>
        <w:tc>
          <w:tcPr>
            <w:tcW w:w="360" w:type="pct"/>
            <w:vAlign w:val="center"/>
            <w:hideMark/>
          </w:tcPr>
          <w:p w14:paraId="3806957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22 (96)</w:t>
            </w:r>
          </w:p>
        </w:tc>
        <w:tc>
          <w:tcPr>
            <w:tcW w:w="359" w:type="pct"/>
            <w:vAlign w:val="center"/>
            <w:hideMark/>
          </w:tcPr>
          <w:p w14:paraId="6FA07A3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c>
          <w:tcPr>
            <w:tcW w:w="374" w:type="pct"/>
            <w:vAlign w:val="center"/>
            <w:hideMark/>
          </w:tcPr>
          <w:p w14:paraId="7A7CE86A"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NR</w:t>
            </w:r>
          </w:p>
        </w:tc>
      </w:tr>
      <w:tr w:rsidR="003A536A" w:rsidRPr="00C931DC" w14:paraId="11FD073D" w14:textId="77777777" w:rsidTr="00B87E4A">
        <w:trPr>
          <w:trHeight w:val="587"/>
        </w:trPr>
        <w:tc>
          <w:tcPr>
            <w:tcW w:w="387" w:type="pct"/>
            <w:vAlign w:val="center"/>
            <w:hideMark/>
          </w:tcPr>
          <w:p w14:paraId="3A1653A8" w14:textId="06104BE9"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Guiliano</w:t>
            </w:r>
            <w:r w:rsidR="00F566A7" w:rsidRPr="00A514D4">
              <w:rPr>
                <w:rFonts w:eastAsia="Times New Roman" w:cstheme="majorHAnsi"/>
                <w:sz w:val="18"/>
                <w:szCs w:val="18"/>
                <w:lang w:eastAsia="en-NZ"/>
              </w:rPr>
              <w:t xml:space="preserve"> </w:t>
            </w:r>
            <w:r w:rsidR="00AA3A61">
              <w:rPr>
                <w:rFonts w:eastAsia="Times New Roman" w:cstheme="majorHAnsi"/>
                <w:sz w:val="18"/>
                <w:szCs w:val="18"/>
                <w:lang w:eastAsia="en-NZ"/>
              </w:rPr>
              <w:t xml:space="preserve">&amp; </w:t>
            </w:r>
            <w:r w:rsidR="00F566A7" w:rsidRPr="00A514D4">
              <w:rPr>
                <w:rFonts w:eastAsia="Times New Roman" w:cstheme="majorHAnsi"/>
                <w:sz w:val="18"/>
                <w:szCs w:val="18"/>
                <w:lang w:eastAsia="en-NZ"/>
              </w:rPr>
              <w:t>Giuliano</w:t>
            </w:r>
            <w:r w:rsidR="00AA3A61">
              <w:rPr>
                <w:rFonts w:eastAsia="Times New Roman" w:cstheme="majorHAnsi"/>
                <w:sz w:val="18"/>
                <w:szCs w:val="18"/>
                <w:lang w:eastAsia="en-NZ"/>
              </w:rPr>
              <w:t xml:space="preserve"> (</w:t>
            </w:r>
            <w:r w:rsidRPr="00A514D4">
              <w:rPr>
                <w:rFonts w:eastAsia="Times New Roman" w:cstheme="majorHAnsi"/>
                <w:sz w:val="18"/>
                <w:szCs w:val="18"/>
                <w:lang w:eastAsia="en-NZ"/>
              </w:rPr>
              <w:t>2013</w:t>
            </w:r>
            <w:r w:rsidR="00AA3A61">
              <w:rPr>
                <w:rFonts w:eastAsia="Times New Roman" w:cstheme="majorHAnsi"/>
                <w:sz w:val="18"/>
                <w:szCs w:val="18"/>
                <w:lang w:eastAsia="en-NZ"/>
              </w:rPr>
              <w:t>)</w:t>
            </w:r>
          </w:p>
        </w:tc>
        <w:tc>
          <w:tcPr>
            <w:tcW w:w="323" w:type="pct"/>
            <w:vAlign w:val="center"/>
            <w:hideMark/>
          </w:tcPr>
          <w:p w14:paraId="05942E66"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2010-2011</w:t>
            </w:r>
          </w:p>
        </w:tc>
        <w:tc>
          <w:tcPr>
            <w:tcW w:w="474" w:type="pct"/>
            <w:vAlign w:val="center"/>
            <w:hideMark/>
          </w:tcPr>
          <w:p w14:paraId="20C4B4C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Prospective</w:t>
            </w:r>
          </w:p>
        </w:tc>
        <w:tc>
          <w:tcPr>
            <w:tcW w:w="465" w:type="pct"/>
            <w:vAlign w:val="center"/>
            <w:hideMark/>
          </w:tcPr>
          <w:p w14:paraId="3558193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United States</w:t>
            </w:r>
          </w:p>
        </w:tc>
        <w:tc>
          <w:tcPr>
            <w:tcW w:w="358" w:type="pct"/>
            <w:vAlign w:val="center"/>
            <w:hideMark/>
          </w:tcPr>
          <w:p w14:paraId="0FCB8A61"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3418</w:t>
            </w:r>
          </w:p>
        </w:tc>
        <w:tc>
          <w:tcPr>
            <w:tcW w:w="324" w:type="pct"/>
            <w:vAlign w:val="center"/>
            <w:hideMark/>
          </w:tcPr>
          <w:p w14:paraId="0E885E58"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57</w:t>
            </w:r>
          </w:p>
        </w:tc>
        <w:tc>
          <w:tcPr>
            <w:tcW w:w="577" w:type="pct"/>
            <w:vAlign w:val="center"/>
            <w:hideMark/>
          </w:tcPr>
          <w:p w14:paraId="209804CD"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Heterogeneously and extremely dense</w:t>
            </w:r>
          </w:p>
        </w:tc>
        <w:tc>
          <w:tcPr>
            <w:tcW w:w="499" w:type="pct"/>
            <w:vAlign w:val="center"/>
          </w:tcPr>
          <w:p w14:paraId="02FCF41C" w14:textId="77777777" w:rsidR="003A536A" w:rsidRPr="00A514D4" w:rsidRDefault="003A536A" w:rsidP="003A536A">
            <w:pPr>
              <w:jc w:val="center"/>
              <w:rPr>
                <w:rFonts w:eastAsia="Times New Roman" w:cstheme="majorHAnsi"/>
                <w:sz w:val="18"/>
                <w:szCs w:val="18"/>
                <w:lang w:eastAsia="en-NZ"/>
              </w:rPr>
            </w:pPr>
            <w:r w:rsidRPr="00A514D4">
              <w:rPr>
                <w:rFonts w:ascii="Arial" w:hAnsi="Arial" w:cs="Arial"/>
                <w:sz w:val="14"/>
                <w:szCs w:val="14"/>
              </w:rPr>
              <w:t>NR</w:t>
            </w:r>
          </w:p>
        </w:tc>
        <w:tc>
          <w:tcPr>
            <w:tcW w:w="500" w:type="pct"/>
            <w:vAlign w:val="center"/>
            <w:hideMark/>
          </w:tcPr>
          <w:p w14:paraId="3D2D7C29"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12.3</w:t>
            </w:r>
          </w:p>
        </w:tc>
        <w:tc>
          <w:tcPr>
            <w:tcW w:w="360" w:type="pct"/>
            <w:vAlign w:val="center"/>
            <w:hideMark/>
          </w:tcPr>
          <w:p w14:paraId="15010E43"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42 (100)</w:t>
            </w:r>
          </w:p>
        </w:tc>
        <w:tc>
          <w:tcPr>
            <w:tcW w:w="359" w:type="pct"/>
            <w:vAlign w:val="center"/>
            <w:hideMark/>
          </w:tcPr>
          <w:p w14:paraId="648CD0E4"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14.3</w:t>
            </w:r>
          </w:p>
        </w:tc>
        <w:tc>
          <w:tcPr>
            <w:tcW w:w="374" w:type="pct"/>
            <w:vAlign w:val="center"/>
            <w:hideMark/>
          </w:tcPr>
          <w:p w14:paraId="0936AFA5" w14:textId="77777777" w:rsidR="003A536A" w:rsidRPr="00A514D4" w:rsidRDefault="003A536A" w:rsidP="003A536A">
            <w:pPr>
              <w:jc w:val="center"/>
              <w:rPr>
                <w:rFonts w:eastAsia="Times New Roman" w:cstheme="majorHAnsi"/>
                <w:sz w:val="18"/>
                <w:szCs w:val="18"/>
                <w:lang w:eastAsia="en-NZ"/>
              </w:rPr>
            </w:pPr>
            <w:r w:rsidRPr="00A514D4">
              <w:rPr>
                <w:rFonts w:eastAsia="Times New Roman" w:cstheme="majorHAnsi"/>
                <w:sz w:val="18"/>
                <w:szCs w:val="18"/>
                <w:lang w:eastAsia="en-NZ"/>
              </w:rPr>
              <w:t>41 (98)</w:t>
            </w:r>
          </w:p>
        </w:tc>
      </w:tr>
    </w:tbl>
    <w:p w14:paraId="330B6EC7" w14:textId="77777777" w:rsidR="003A536A" w:rsidRDefault="003A536A" w:rsidP="003A536A">
      <w:pPr>
        <w:pStyle w:val="BodyText"/>
      </w:pPr>
    </w:p>
    <w:p w14:paraId="58A583EF" w14:textId="77777777" w:rsidR="003A536A" w:rsidRDefault="003A536A" w:rsidP="003A536A">
      <w:pPr>
        <w:pStyle w:val="BodyText"/>
        <w:sectPr w:rsidR="003A536A" w:rsidSect="00C931DC">
          <w:pgSz w:w="16839" w:h="11907" w:orient="landscape" w:code="9"/>
          <w:pgMar w:top="1418" w:right="1418" w:bottom="1418" w:left="1418" w:header="964" w:footer="964" w:gutter="0"/>
          <w:cols w:space="708"/>
          <w:docGrid w:linePitch="360"/>
        </w:sectPr>
      </w:pPr>
    </w:p>
    <w:p w14:paraId="60C35824" w14:textId="3237F0B9" w:rsidR="003A536A" w:rsidRDefault="008D405F" w:rsidP="003A536A">
      <w:pPr>
        <w:pStyle w:val="BodyText"/>
      </w:pPr>
      <w:r>
        <w:lastRenderedPageBreak/>
        <w:t xml:space="preserve">Melnikow </w:t>
      </w:r>
      <w:r w:rsidR="003A536A">
        <w:t>et al. (2016) also reported on ultrasound. The</w:t>
      </w:r>
      <w:r w:rsidR="003A536A" w:rsidRPr="00BE6124">
        <w:t xml:space="preserve"> values reported</w:t>
      </w:r>
      <w:r w:rsidR="003A536A">
        <w:t xml:space="preserve"> below</w:t>
      </w:r>
      <w:r w:rsidR="003A536A" w:rsidRPr="00BE6124">
        <w:t xml:space="preserve"> represent the sensitivity and specificity for detection of additional cancers in women with negative mammography. Similarly,</w:t>
      </w:r>
      <w:r w:rsidR="003A536A">
        <w:t xml:space="preserve"> the</w:t>
      </w:r>
      <w:r w:rsidR="003A536A" w:rsidRPr="00BE6124">
        <w:t xml:space="preserve"> defined </w:t>
      </w:r>
      <w:r w:rsidR="00761B6F">
        <w:t>CDR</w:t>
      </w:r>
      <w:r w:rsidR="003A536A" w:rsidRPr="00BE6124">
        <w:t xml:space="preserve">, recall rates and biopsy rates include only those additional cancers, recalls, and biopsies related to supplemental </w:t>
      </w:r>
      <w:r w:rsidR="00BC46C7">
        <w:t>testing</w:t>
      </w:r>
      <w:r w:rsidR="003A536A" w:rsidRPr="00BE6124">
        <w:t xml:space="preserve"> after negative mammography.</w:t>
      </w:r>
      <w:r w:rsidR="003A536A">
        <w:t xml:space="preserve"> No details were provided about the </w:t>
      </w:r>
      <w:r w:rsidR="00852B97">
        <w:t xml:space="preserve">sampling </w:t>
      </w:r>
      <w:r w:rsidR="003A536A">
        <w:t xml:space="preserve">population </w:t>
      </w:r>
      <w:r w:rsidR="00852B97">
        <w:t>for these studies,</w:t>
      </w:r>
      <w:r w:rsidR="003A536A">
        <w:t xml:space="preserve"> no pooled analysis was </w:t>
      </w:r>
      <w:r w:rsidR="00CE738F">
        <w:t>completed,</w:t>
      </w:r>
      <w:r w:rsidR="003A536A">
        <w:t xml:space="preserve"> and no </w:t>
      </w:r>
      <w:r w:rsidR="003A536A" w:rsidRPr="00CE738F">
        <w:rPr>
          <w:i/>
        </w:rPr>
        <w:t>p</w:t>
      </w:r>
      <w:r w:rsidR="003A536A">
        <w:t xml:space="preserve"> values were calculated. The results of these are summarised below</w:t>
      </w:r>
      <w:r w:rsidR="003D60DC">
        <w:t xml:space="preserve"> in </w:t>
      </w:r>
      <w:r w:rsidR="0094389D">
        <w:t xml:space="preserve">Table </w:t>
      </w:r>
      <w:r w:rsidR="006465B1">
        <w:t>21</w:t>
      </w:r>
      <w:r w:rsidR="003A536A">
        <w:t>:</w:t>
      </w:r>
    </w:p>
    <w:p w14:paraId="411941A2" w14:textId="22882C78" w:rsidR="003A536A" w:rsidRDefault="003D60DC" w:rsidP="003A536A">
      <w:pPr>
        <w:pStyle w:val="Caption"/>
      </w:pPr>
      <w:r>
        <w:t xml:space="preserve">Table </w:t>
      </w:r>
      <w:r w:rsidR="006465B1">
        <w:t>21</w:t>
      </w:r>
      <w:r w:rsidR="003A536A">
        <w:t xml:space="preserve">. Summary of studies presented in </w:t>
      </w:r>
      <w:r w:rsidR="008D405F">
        <w:t xml:space="preserve">Melnikow </w:t>
      </w:r>
      <w:r w:rsidR="003A536A">
        <w:t>et al.</w:t>
      </w:r>
      <w:r w:rsidR="0094389D">
        <w:t xml:space="preserve"> (</w:t>
      </w:r>
      <w:r w:rsidR="003A536A">
        <w:t>2016</w:t>
      </w:r>
      <w:r w:rsidR="0094389D">
        <w:t>)</w:t>
      </w:r>
    </w:p>
    <w:tbl>
      <w:tblPr>
        <w:tblStyle w:val="ACGreen-BasicTable"/>
        <w:tblW w:w="0" w:type="auto"/>
        <w:tblLook w:val="04A0" w:firstRow="1" w:lastRow="0" w:firstColumn="1" w:lastColumn="0" w:noHBand="0" w:noVBand="1"/>
        <w:tblDescription w:val="&#10;Two ultrasound studies, results comprising of 10,638 exams, by Berg in 2012 ([ACRIN 6666) and Corsetti in 2011. The sensitivity was 80-83%, specificity was 86 -94%, PPV was 3-8%, Additional CDR was 4.4 per 1000 (89-93% invasive), and recall rate of 14%.&#10;"/>
      </w:tblPr>
      <w:tblGrid>
        <w:gridCol w:w="2064"/>
        <w:gridCol w:w="1275"/>
        <w:gridCol w:w="1418"/>
        <w:gridCol w:w="1245"/>
        <w:gridCol w:w="1502"/>
        <w:gridCol w:w="1499"/>
      </w:tblGrid>
      <w:tr w:rsidR="00345CCE" w:rsidRPr="00345CCE" w14:paraId="661B0478" w14:textId="77777777" w:rsidTr="003A536A">
        <w:trPr>
          <w:cnfStyle w:val="100000000000" w:firstRow="1" w:lastRow="0" w:firstColumn="0" w:lastColumn="0" w:oddVBand="0" w:evenVBand="0" w:oddHBand="0" w:evenHBand="0" w:firstRowFirstColumn="0" w:firstRowLastColumn="0" w:lastRowFirstColumn="0" w:lastRowLastColumn="0"/>
        </w:trPr>
        <w:tc>
          <w:tcPr>
            <w:tcW w:w="2065" w:type="dxa"/>
          </w:tcPr>
          <w:p w14:paraId="00F7B48E" w14:textId="77777777" w:rsidR="003A536A" w:rsidRPr="00345CCE" w:rsidRDefault="003A536A" w:rsidP="003A536A">
            <w:pPr>
              <w:pStyle w:val="BodyText"/>
              <w:rPr>
                <w:color w:val="auto"/>
                <w:sz w:val="18"/>
              </w:rPr>
            </w:pPr>
          </w:p>
        </w:tc>
        <w:tc>
          <w:tcPr>
            <w:tcW w:w="1275" w:type="dxa"/>
            <w:vAlign w:val="center"/>
          </w:tcPr>
          <w:p w14:paraId="39D650C0" w14:textId="77777777" w:rsidR="003A536A" w:rsidRPr="00345CCE" w:rsidRDefault="003A536A" w:rsidP="003A536A">
            <w:pPr>
              <w:pStyle w:val="BodyText"/>
              <w:jc w:val="center"/>
              <w:rPr>
                <w:color w:val="auto"/>
                <w:sz w:val="18"/>
              </w:rPr>
            </w:pPr>
            <w:r w:rsidRPr="00345CCE">
              <w:rPr>
                <w:color w:val="auto"/>
                <w:sz w:val="18"/>
              </w:rPr>
              <w:t>Sensitivity</w:t>
            </w:r>
          </w:p>
        </w:tc>
        <w:tc>
          <w:tcPr>
            <w:tcW w:w="1418" w:type="dxa"/>
            <w:vAlign w:val="center"/>
          </w:tcPr>
          <w:p w14:paraId="6DE4B32F" w14:textId="77777777" w:rsidR="003A536A" w:rsidRPr="00345CCE" w:rsidRDefault="003A536A" w:rsidP="003A536A">
            <w:pPr>
              <w:pStyle w:val="BodyText"/>
              <w:jc w:val="center"/>
              <w:rPr>
                <w:color w:val="auto"/>
                <w:sz w:val="18"/>
              </w:rPr>
            </w:pPr>
            <w:r w:rsidRPr="00345CCE">
              <w:rPr>
                <w:color w:val="auto"/>
                <w:sz w:val="18"/>
              </w:rPr>
              <w:t>Specificity</w:t>
            </w:r>
          </w:p>
        </w:tc>
        <w:tc>
          <w:tcPr>
            <w:tcW w:w="1245" w:type="dxa"/>
            <w:vAlign w:val="center"/>
          </w:tcPr>
          <w:p w14:paraId="79BB0AC8" w14:textId="77777777" w:rsidR="003A536A" w:rsidRPr="00345CCE" w:rsidRDefault="003A536A" w:rsidP="003A536A">
            <w:pPr>
              <w:pStyle w:val="BodyText"/>
              <w:jc w:val="center"/>
              <w:rPr>
                <w:color w:val="auto"/>
                <w:sz w:val="18"/>
              </w:rPr>
            </w:pPr>
            <w:r w:rsidRPr="00345CCE">
              <w:rPr>
                <w:color w:val="auto"/>
                <w:sz w:val="18"/>
              </w:rPr>
              <w:t>PPV</w:t>
            </w:r>
          </w:p>
        </w:tc>
        <w:tc>
          <w:tcPr>
            <w:tcW w:w="1502" w:type="dxa"/>
            <w:vAlign w:val="center"/>
          </w:tcPr>
          <w:p w14:paraId="17998C7A" w14:textId="77777777" w:rsidR="003A536A" w:rsidRPr="00345CCE" w:rsidRDefault="003A536A" w:rsidP="003A536A">
            <w:pPr>
              <w:pStyle w:val="BodyText"/>
              <w:jc w:val="center"/>
              <w:rPr>
                <w:color w:val="auto"/>
                <w:sz w:val="18"/>
              </w:rPr>
            </w:pPr>
            <w:r w:rsidRPr="00345CCE">
              <w:rPr>
                <w:color w:val="auto"/>
                <w:sz w:val="18"/>
              </w:rPr>
              <w:t>Additional CDR</w:t>
            </w:r>
          </w:p>
        </w:tc>
        <w:tc>
          <w:tcPr>
            <w:tcW w:w="1499" w:type="dxa"/>
            <w:vAlign w:val="center"/>
          </w:tcPr>
          <w:p w14:paraId="78AED47F" w14:textId="77777777" w:rsidR="003A536A" w:rsidRPr="00345CCE" w:rsidRDefault="003A536A" w:rsidP="003A536A">
            <w:pPr>
              <w:pStyle w:val="BodyText"/>
              <w:jc w:val="center"/>
              <w:rPr>
                <w:color w:val="auto"/>
                <w:sz w:val="18"/>
              </w:rPr>
            </w:pPr>
            <w:r w:rsidRPr="00345CCE">
              <w:rPr>
                <w:color w:val="auto"/>
                <w:sz w:val="18"/>
              </w:rPr>
              <w:t>Recall rate</w:t>
            </w:r>
          </w:p>
        </w:tc>
      </w:tr>
      <w:tr w:rsidR="003A536A" w:rsidRPr="00EA6568" w14:paraId="3C39D0B4" w14:textId="77777777" w:rsidTr="003A536A">
        <w:trPr>
          <w:trHeight w:val="983"/>
        </w:trPr>
        <w:tc>
          <w:tcPr>
            <w:tcW w:w="2065" w:type="dxa"/>
          </w:tcPr>
          <w:p w14:paraId="35876502" w14:textId="77777777" w:rsidR="003A536A" w:rsidRPr="00EA6568" w:rsidRDefault="003A536A" w:rsidP="003A536A">
            <w:pPr>
              <w:pStyle w:val="BodyText"/>
              <w:spacing w:before="0" w:after="0" w:line="240" w:lineRule="auto"/>
              <w:jc w:val="center"/>
              <w:rPr>
                <w:b/>
                <w:sz w:val="18"/>
              </w:rPr>
            </w:pPr>
            <w:r w:rsidRPr="00EA6568">
              <w:rPr>
                <w:b/>
                <w:sz w:val="18"/>
              </w:rPr>
              <w:t>Ultrasound</w:t>
            </w:r>
          </w:p>
          <w:p w14:paraId="263AC968" w14:textId="77777777" w:rsidR="003A536A" w:rsidRDefault="003A536A" w:rsidP="003A536A">
            <w:pPr>
              <w:pStyle w:val="BodyText"/>
              <w:spacing w:before="0" w:after="0" w:line="240" w:lineRule="auto"/>
              <w:jc w:val="center"/>
              <w:rPr>
                <w:sz w:val="18"/>
              </w:rPr>
            </w:pPr>
            <w:r w:rsidRPr="00EA6568">
              <w:rPr>
                <w:sz w:val="18"/>
              </w:rPr>
              <w:t>(2 studies, results comprising of 10,638 exams)</w:t>
            </w:r>
          </w:p>
          <w:p w14:paraId="384D5FCA" w14:textId="77777777" w:rsidR="003A536A" w:rsidRPr="00EA6568" w:rsidRDefault="003A536A" w:rsidP="003A536A">
            <w:pPr>
              <w:pStyle w:val="BodyText"/>
              <w:spacing w:before="0" w:after="0" w:line="240" w:lineRule="auto"/>
              <w:jc w:val="center"/>
              <w:rPr>
                <w:sz w:val="18"/>
              </w:rPr>
            </w:pPr>
            <w:r>
              <w:rPr>
                <w:sz w:val="18"/>
              </w:rPr>
              <w:t>Berg, 2012 ([ACRIN 6666</w:t>
            </w:r>
            <w:r w:rsidRPr="00FA1B61">
              <w:rPr>
                <w:sz w:val="18"/>
              </w:rPr>
              <w:t>)</w:t>
            </w:r>
            <w:r>
              <w:rPr>
                <w:sz w:val="18"/>
              </w:rPr>
              <w:t xml:space="preserve"> +Corsetti, 2011</w:t>
            </w:r>
          </w:p>
        </w:tc>
        <w:tc>
          <w:tcPr>
            <w:tcW w:w="1275" w:type="dxa"/>
            <w:vAlign w:val="center"/>
          </w:tcPr>
          <w:p w14:paraId="0B60AD64" w14:textId="77777777" w:rsidR="003A536A" w:rsidRPr="00EA6568" w:rsidRDefault="003A536A" w:rsidP="003A536A">
            <w:pPr>
              <w:pStyle w:val="BodyText"/>
              <w:spacing w:before="0" w:after="0"/>
              <w:jc w:val="center"/>
              <w:rPr>
                <w:sz w:val="18"/>
              </w:rPr>
            </w:pPr>
            <w:r>
              <w:rPr>
                <w:sz w:val="18"/>
              </w:rPr>
              <w:t>80-83%</w:t>
            </w:r>
          </w:p>
        </w:tc>
        <w:tc>
          <w:tcPr>
            <w:tcW w:w="1418" w:type="dxa"/>
            <w:vAlign w:val="center"/>
          </w:tcPr>
          <w:p w14:paraId="16E8831D" w14:textId="77777777" w:rsidR="003A536A" w:rsidRPr="00EA6568" w:rsidRDefault="003A536A" w:rsidP="003A536A">
            <w:pPr>
              <w:pStyle w:val="BodyText"/>
              <w:spacing w:before="0" w:after="0"/>
              <w:jc w:val="center"/>
              <w:rPr>
                <w:sz w:val="18"/>
              </w:rPr>
            </w:pPr>
            <w:r>
              <w:rPr>
                <w:sz w:val="18"/>
              </w:rPr>
              <w:t>86 -94%</w:t>
            </w:r>
          </w:p>
        </w:tc>
        <w:tc>
          <w:tcPr>
            <w:tcW w:w="1245" w:type="dxa"/>
            <w:vAlign w:val="center"/>
          </w:tcPr>
          <w:p w14:paraId="70FAA255" w14:textId="77777777" w:rsidR="003A536A" w:rsidRPr="00EA6568" w:rsidRDefault="003A536A" w:rsidP="003A536A">
            <w:pPr>
              <w:pStyle w:val="BodyText"/>
              <w:spacing w:before="0" w:after="0"/>
              <w:jc w:val="center"/>
              <w:rPr>
                <w:sz w:val="18"/>
              </w:rPr>
            </w:pPr>
            <w:r>
              <w:rPr>
                <w:sz w:val="18"/>
              </w:rPr>
              <w:t>3-8%</w:t>
            </w:r>
          </w:p>
        </w:tc>
        <w:tc>
          <w:tcPr>
            <w:tcW w:w="1502" w:type="dxa"/>
            <w:vAlign w:val="center"/>
          </w:tcPr>
          <w:p w14:paraId="5A329CED" w14:textId="77777777" w:rsidR="003A536A" w:rsidRPr="00EA6568" w:rsidRDefault="003A536A" w:rsidP="003A536A">
            <w:pPr>
              <w:pStyle w:val="BodyText"/>
              <w:spacing w:before="0" w:after="0"/>
              <w:jc w:val="center"/>
              <w:rPr>
                <w:sz w:val="18"/>
              </w:rPr>
            </w:pPr>
            <w:r>
              <w:rPr>
                <w:sz w:val="18"/>
              </w:rPr>
              <w:t>4.4 per 1000 (89-93% invasive)</w:t>
            </w:r>
          </w:p>
        </w:tc>
        <w:tc>
          <w:tcPr>
            <w:tcW w:w="1499" w:type="dxa"/>
            <w:vAlign w:val="center"/>
          </w:tcPr>
          <w:p w14:paraId="62BB0849" w14:textId="77777777" w:rsidR="003A536A" w:rsidRPr="00EA6568" w:rsidRDefault="003A536A" w:rsidP="003A536A">
            <w:pPr>
              <w:pStyle w:val="BodyText"/>
              <w:spacing w:before="0" w:after="0"/>
              <w:jc w:val="center"/>
              <w:rPr>
                <w:sz w:val="18"/>
              </w:rPr>
            </w:pPr>
            <w:r>
              <w:rPr>
                <w:sz w:val="18"/>
              </w:rPr>
              <w:t>14%</w:t>
            </w:r>
          </w:p>
        </w:tc>
      </w:tr>
    </w:tbl>
    <w:p w14:paraId="110870B8" w14:textId="5B13054E" w:rsidR="003A536A" w:rsidRPr="00345CCE" w:rsidRDefault="003A536A" w:rsidP="003A536A">
      <w:pPr>
        <w:pStyle w:val="BodyText"/>
        <w:rPr>
          <w:b/>
        </w:rPr>
      </w:pPr>
      <w:r w:rsidRPr="00345CCE">
        <w:rPr>
          <w:b/>
        </w:rPr>
        <w:t xml:space="preserve">Narrative </w:t>
      </w:r>
      <w:r w:rsidR="00852B97" w:rsidRPr="00345CCE">
        <w:rPr>
          <w:b/>
        </w:rPr>
        <w:t>r</w:t>
      </w:r>
      <w:r w:rsidRPr="00345CCE">
        <w:rPr>
          <w:b/>
        </w:rPr>
        <w:t>eview</w:t>
      </w:r>
      <w:r w:rsidR="00852B97" w:rsidRPr="00345CCE">
        <w:rPr>
          <w:b/>
        </w:rPr>
        <w:t>s</w:t>
      </w:r>
    </w:p>
    <w:p w14:paraId="0BD908D5" w14:textId="271AAE98" w:rsidR="003A536A" w:rsidRDefault="003A536A" w:rsidP="003A536A">
      <w:pPr>
        <w:pStyle w:val="BodyText"/>
      </w:pPr>
      <w:r>
        <w:t>Lourenco and Mainiero</w:t>
      </w:r>
      <w:r w:rsidR="004757B9">
        <w:t xml:space="preserve"> (</w:t>
      </w:r>
      <w:r>
        <w:t>2016</w:t>
      </w:r>
      <w:r w:rsidR="004757B9">
        <w:t>)</w:t>
      </w:r>
      <w:r>
        <w:t>, in their narrative review, provided a commentary of 75 studies of varying design and quality and evaluated</w:t>
      </w:r>
      <w:r w:rsidRPr="000101C3">
        <w:t xml:space="preserve"> established and newer alternative breast imaging technologies as well as recent data</w:t>
      </w:r>
      <w:r>
        <w:t xml:space="preserve"> regarding their role in optimis</w:t>
      </w:r>
      <w:r w:rsidRPr="000101C3">
        <w:t>ing patient care</w:t>
      </w:r>
      <w:r>
        <w:t>. One of the main studies was the ACRIN 6666 study. In the American College of Radiology Imaging Network (ACRIN) 6666 prospective trial</w:t>
      </w:r>
      <w:r w:rsidR="00F7103D">
        <w:t xml:space="preserve"> of 2</w:t>
      </w:r>
      <w:r w:rsidR="00852B97">
        <w:t>,</w:t>
      </w:r>
      <w:r w:rsidR="00F7103D">
        <w:t>712 women</w:t>
      </w:r>
      <w:r>
        <w:t>,</w:t>
      </w:r>
      <w:r w:rsidR="00F7103D">
        <w:t xml:space="preserve"> </w:t>
      </w:r>
      <w:r>
        <w:t xml:space="preserve">supplemental </w:t>
      </w:r>
      <w:r w:rsidR="00BC46C7">
        <w:t>testing</w:t>
      </w:r>
      <w:r>
        <w:t xml:space="preserve"> ultrasound resulted in added detection (after mammography) of 3-4 cancers per 1</w:t>
      </w:r>
      <w:r w:rsidR="000E50EE">
        <w:t>,</w:t>
      </w:r>
      <w:r>
        <w:t>000 screening examinations in incidence studies compared to FFDM alone.</w:t>
      </w:r>
      <w:r w:rsidRPr="00F21973">
        <w:t xml:space="preserve"> </w:t>
      </w:r>
      <w:r>
        <w:t>Most of the additional cancers were node-negative invasive cancers</w:t>
      </w:r>
      <w:r w:rsidR="00F7103D">
        <w:t xml:space="preserve"> (Berg et al, 2008)</w:t>
      </w:r>
      <w:r>
        <w:t xml:space="preserve">. The incidence rounds of the trial also reported that </w:t>
      </w:r>
      <w:r w:rsidR="00962232" w:rsidRPr="0044553E">
        <w:t>supplementa</w:t>
      </w:r>
      <w:r w:rsidR="00962232">
        <w:t>l</w:t>
      </w:r>
      <w:r>
        <w:t xml:space="preserve"> ultrasound resulted in biopsy in 5% of women compared with 2% of women referred for biopsy based on mammography alone</w:t>
      </w:r>
      <w:r w:rsidR="000E50EE">
        <w:t>,</w:t>
      </w:r>
      <w:r>
        <w:t xml:space="preserve"> and a low PPV</w:t>
      </w:r>
      <w:r w:rsidR="00852B97">
        <w:rPr>
          <w:vertAlign w:val="subscript"/>
        </w:rPr>
        <w:t>1</w:t>
      </w:r>
      <w:r>
        <w:t xml:space="preserve"> of 6.8%. </w:t>
      </w:r>
    </w:p>
    <w:p w14:paraId="20347985" w14:textId="5C50D274" w:rsidR="003A536A" w:rsidRDefault="003A536A" w:rsidP="003A536A">
      <w:pPr>
        <w:pStyle w:val="BodyText"/>
      </w:pPr>
      <w:r w:rsidRPr="00F21973">
        <w:t>For comparison,</w:t>
      </w:r>
      <w:r>
        <w:t xml:space="preserve"> Lourenco and Mainiero</w:t>
      </w:r>
      <w:r w:rsidR="00852B97">
        <w:t xml:space="preserve"> (</w:t>
      </w:r>
      <w:r>
        <w:t>2016</w:t>
      </w:r>
      <w:r w:rsidR="00852B97">
        <w:t>)</w:t>
      </w:r>
      <w:r>
        <w:t xml:space="preserve"> reported that </w:t>
      </w:r>
      <w:r w:rsidRPr="00F21973">
        <w:t xml:space="preserve">MRI detects an additional 11-18 cancers per 1000 </w:t>
      </w:r>
      <w:r>
        <w:t xml:space="preserve">screening </w:t>
      </w:r>
      <w:r w:rsidRPr="00F21973">
        <w:t>examinations</w:t>
      </w:r>
      <w:r>
        <w:t xml:space="preserve"> for women with dense breasts</w:t>
      </w:r>
      <w:r w:rsidRPr="00F21973">
        <w:t>, depen</w:t>
      </w:r>
      <w:r>
        <w:t xml:space="preserve">ding upon </w:t>
      </w:r>
      <w:r w:rsidR="00AB7545">
        <w:t>a woman’s</w:t>
      </w:r>
      <w:r>
        <w:t xml:space="preserve"> risk factors.</w:t>
      </w:r>
      <w:r w:rsidRPr="00F21973">
        <w:t xml:space="preserve"> In addition to being</w:t>
      </w:r>
      <w:r w:rsidR="00F7103D">
        <w:t xml:space="preserve"> </w:t>
      </w:r>
      <w:r w:rsidRPr="00F21973">
        <w:t xml:space="preserve">less sensitive than MRI, </w:t>
      </w:r>
      <w:r>
        <w:t>ultrasound</w:t>
      </w:r>
      <w:r w:rsidRPr="00F21973">
        <w:t xml:space="preserve"> </w:t>
      </w:r>
      <w:r>
        <w:t xml:space="preserve">has </w:t>
      </w:r>
      <w:r w:rsidRPr="00F21973">
        <w:t>poor</w:t>
      </w:r>
      <w:r>
        <w:t>er</w:t>
      </w:r>
      <w:r w:rsidRPr="00F21973">
        <w:t xml:space="preserve"> speciﬁcity, even when </w:t>
      </w:r>
      <w:r w:rsidR="00AB7545">
        <w:t>women</w:t>
      </w:r>
      <w:r w:rsidRPr="00F21973">
        <w:t xml:space="preserve"> have had prior </w:t>
      </w:r>
      <w:r>
        <w:t xml:space="preserve">ultrasound </w:t>
      </w:r>
      <w:r w:rsidRPr="00F21973">
        <w:t>screening (</w:t>
      </w:r>
      <w:r w:rsidR="00491761">
        <w:t>i.e.,</w:t>
      </w:r>
      <w:r w:rsidRPr="00F21973">
        <w:t xml:space="preserve"> incidence screening</w:t>
      </w:r>
      <w:r>
        <w:t>).</w:t>
      </w:r>
      <w:r w:rsidR="00BD100F">
        <w:t xml:space="preserve"> Berg and Mendelson (2014) also completed a narrative review of 85 studies looking at the use of ultrasound in breast screening, with a particular focus on the current evidence regarding the use of HHUS. The studies included were of varying design and quality. Based on findings from four studies including 1,037 women, Berg and Mendelson concluded that there is no added benefit to screening using ultrasound where MRI is already being performed. This is because ultrasound has not been found to be effective at identifying cancers occult to MRI, whereas MRI is able to detect cancers that are not detectable by ultrasound. This aligns with conclusions drawn from other reviews </w:t>
      </w:r>
      <w:r w:rsidR="00182593">
        <w:t>previously discussed.</w:t>
      </w:r>
      <w:r w:rsidR="00BD100F">
        <w:t xml:space="preserve"> </w:t>
      </w:r>
    </w:p>
    <w:p w14:paraId="1826A841" w14:textId="21352145" w:rsidR="003A536A" w:rsidRDefault="003A536A" w:rsidP="003A536A">
      <w:pPr>
        <w:pStyle w:val="BodyText"/>
      </w:pPr>
      <w:r w:rsidRPr="00955C3F">
        <w:t xml:space="preserve">An </w:t>
      </w:r>
      <w:r>
        <w:t xml:space="preserve">integrative </w:t>
      </w:r>
      <w:r w:rsidRPr="0035031C">
        <w:t>review</w:t>
      </w:r>
      <w:r>
        <w:t xml:space="preserve"> of studies with a</w:t>
      </w:r>
      <w:r w:rsidRPr="0035031C">
        <w:t xml:space="preserve"> non</w:t>
      </w:r>
      <w:r>
        <w:t>-</w:t>
      </w:r>
      <w:r w:rsidRPr="0035031C">
        <w:t xml:space="preserve">randomized prospective design </w:t>
      </w:r>
      <w:r>
        <w:t xml:space="preserve">sought to appraise </w:t>
      </w:r>
      <w:r w:rsidRPr="0035031C">
        <w:t>breast cancer screening studies utili</w:t>
      </w:r>
      <w:r>
        <w:t>s</w:t>
      </w:r>
      <w:r w:rsidRPr="0035031C">
        <w:t xml:space="preserve">ing mammography, ultrasound, or breast </w:t>
      </w:r>
      <w:r>
        <w:t>MRI</w:t>
      </w:r>
      <w:r w:rsidR="00852B97">
        <w:t xml:space="preserve"> (Ravet et al., 2010)</w:t>
      </w:r>
      <w:r>
        <w:t xml:space="preserve">. As a subset of this review, four studies </w:t>
      </w:r>
      <w:r w:rsidRPr="0035031C">
        <w:t>compared mammography to that of ultrasound in women with dense breast</w:t>
      </w:r>
      <w:r>
        <w:t>s</w:t>
      </w:r>
      <w:r w:rsidRPr="0035031C">
        <w:t xml:space="preserve"> </w:t>
      </w:r>
      <w:r>
        <w:t>(</w:t>
      </w:r>
      <w:r w:rsidRPr="0035031C">
        <w:t>with density being deﬁned as a</w:t>
      </w:r>
      <w:r>
        <w:t xml:space="preserve"> </w:t>
      </w:r>
      <w:r w:rsidR="00275D65">
        <w:t>BIRADS</w:t>
      </w:r>
      <w:r w:rsidRPr="00955C3F">
        <w:t xml:space="preserve"> density category of 2–4</w:t>
      </w:r>
      <w:r>
        <w:t xml:space="preserve"> </w:t>
      </w:r>
      <w:r w:rsidR="00852B97">
        <w:t>[</w:t>
      </w:r>
      <w:r>
        <w:t>approximately 75% of women</w:t>
      </w:r>
      <w:r w:rsidR="00852B97">
        <w:t>])</w:t>
      </w:r>
      <w:r>
        <w:t xml:space="preserve"> </w:t>
      </w:r>
      <w:r w:rsidRPr="00955C3F">
        <w:t xml:space="preserve">according to the mammogram. All four studies found an increase in the diagnosis of breast cancer by ultrasound in women with dense breast tissue however </w:t>
      </w:r>
      <w:r w:rsidRPr="00955C3F">
        <w:lastRenderedPageBreak/>
        <w:t>different metric</w:t>
      </w:r>
      <w:r>
        <w:t>s</w:t>
      </w:r>
      <w:r w:rsidRPr="00955C3F">
        <w:t xml:space="preserve"> were used so it is difficult to compare </w:t>
      </w:r>
      <w:r w:rsidR="00852B97">
        <w:t>across studies</w:t>
      </w:r>
      <w:r w:rsidRPr="00955C3F">
        <w:t>. One study</w:t>
      </w:r>
      <w:r w:rsidR="0000251A">
        <w:t xml:space="preserve"> (Kolb et al., 2002</w:t>
      </w:r>
      <w:r w:rsidR="008D405F">
        <w:t>)</w:t>
      </w:r>
      <w:r w:rsidR="008D405F" w:rsidRPr="00955C3F">
        <w:t xml:space="preserve"> found</w:t>
      </w:r>
      <w:r w:rsidR="0000251A">
        <w:t xml:space="preserve"> </w:t>
      </w:r>
      <w:r w:rsidRPr="00955C3F">
        <w:t>the sensitivity of mammography decreased with an increase in density, whereas the sensitivity of ultrasound increased with an increase in density</w:t>
      </w:r>
      <w:r w:rsidR="00852B97">
        <w:t xml:space="preserve">; </w:t>
      </w:r>
      <w:r w:rsidRPr="00955C3F">
        <w:t xml:space="preserve">the sensitivity for mammography for </w:t>
      </w:r>
      <w:r w:rsidR="00275D65">
        <w:t>BIRADS</w:t>
      </w:r>
      <w:r w:rsidRPr="00955C3F">
        <w:t xml:space="preserve"> 4 was 47.8% and for ultrasound 76.1%. It</w:t>
      </w:r>
      <w:r w:rsidR="00852B97">
        <w:t xml:space="preserve"> was</w:t>
      </w:r>
      <w:r w:rsidRPr="00955C3F">
        <w:t xml:space="preserve"> recommended that women with a </w:t>
      </w:r>
      <w:r w:rsidR="00275D65">
        <w:t>BIRADS</w:t>
      </w:r>
      <w:r w:rsidRPr="00955C3F">
        <w:t xml:space="preserve"> density category of 2–4 should receive a yearly ultrasound along with mammography, however data was not presented to support this claim and the studies wer</w:t>
      </w:r>
      <w:r>
        <w:t xml:space="preserve">e small with large variability </w:t>
      </w:r>
      <w:r w:rsidR="00852B97">
        <w:t xml:space="preserve">in findings </w:t>
      </w:r>
      <w:r>
        <w:t>(Ravet et al., 2010).</w:t>
      </w:r>
    </w:p>
    <w:p w14:paraId="1E117D4A" w14:textId="45A8B856" w:rsidR="00C72BFF" w:rsidRPr="00C72BFF" w:rsidRDefault="00C72BFF" w:rsidP="003A536A">
      <w:pPr>
        <w:pStyle w:val="BodyText"/>
      </w:pPr>
      <w:r>
        <w:t>Burkett and Han</w:t>
      </w:r>
      <w:r w:rsidR="00CE738F">
        <w:t>n</w:t>
      </w:r>
      <w:r>
        <w:t>eman reviewed the literature (52 studies were included) to determine if</w:t>
      </w:r>
      <w:r w:rsidRPr="00C72BFF">
        <w:t xml:space="preserve"> supplemental </w:t>
      </w:r>
      <w:r w:rsidR="00BC46C7">
        <w:t>testing</w:t>
      </w:r>
      <w:r w:rsidRPr="00C72BFF">
        <w:t xml:space="preserve"> ultrasound may be beneficial </w:t>
      </w:r>
      <w:r w:rsidR="00852B97">
        <w:t>for</w:t>
      </w:r>
      <w:r w:rsidRPr="00C72BFF">
        <w:t xml:space="preserve"> women with dense breast tissue and intermediate or average risk for breast cancer, </w:t>
      </w:r>
      <w:r w:rsidR="00852B97">
        <w:t xml:space="preserve">including </w:t>
      </w:r>
      <w:r w:rsidRPr="00C72BFF">
        <w:t xml:space="preserve">women in specific ethnic populations or </w:t>
      </w:r>
      <w:r w:rsidR="00852B97">
        <w:t xml:space="preserve">of </w:t>
      </w:r>
      <w:r w:rsidRPr="00C72BFF">
        <w:t xml:space="preserve">younger ages. </w:t>
      </w:r>
    </w:p>
    <w:p w14:paraId="240EBE2B" w14:textId="74B4A124" w:rsidR="001609EC" w:rsidRDefault="00C72BFF" w:rsidP="003A536A">
      <w:pPr>
        <w:pStyle w:val="BodyText"/>
      </w:pPr>
      <w:r w:rsidRPr="001609EC">
        <w:t>In this</w:t>
      </w:r>
      <w:r w:rsidR="00F41695" w:rsidRPr="001609EC">
        <w:t xml:space="preserve"> </w:t>
      </w:r>
      <w:r w:rsidR="003579ED" w:rsidRPr="001609EC">
        <w:t>narrative</w:t>
      </w:r>
      <w:r w:rsidR="00F41695" w:rsidRPr="001609EC">
        <w:t xml:space="preserve"> review</w:t>
      </w:r>
      <w:r w:rsidR="001609EC">
        <w:t>,</w:t>
      </w:r>
      <w:r w:rsidR="00F41695" w:rsidRPr="001609EC">
        <w:t xml:space="preserve"> </w:t>
      </w:r>
      <w:r w:rsidR="00853B04" w:rsidRPr="001609EC">
        <w:t>the results from the Connecticut experiment</w:t>
      </w:r>
      <w:r w:rsidRPr="001609EC">
        <w:t xml:space="preserve"> were discussed to investigate the</w:t>
      </w:r>
      <w:r w:rsidR="00882126" w:rsidRPr="001609EC">
        <w:t xml:space="preserve"> role of</w:t>
      </w:r>
      <w:r w:rsidRPr="001609EC">
        <w:t xml:space="preserve"> supplemental imaging</w:t>
      </w:r>
      <w:r w:rsidR="00882126" w:rsidRPr="001609EC">
        <w:t xml:space="preserve"> for women with intermediate or average risk and increased breast density. Following implementation of breast density reporting laws, a multicent</w:t>
      </w:r>
      <w:r w:rsidR="001609EC">
        <w:t>re</w:t>
      </w:r>
      <w:r w:rsidR="00882126" w:rsidRPr="001609EC">
        <w:t xml:space="preserve"> retrospective study was conducted in Connecticut</w:t>
      </w:r>
      <w:r w:rsidR="00F41695" w:rsidRPr="001609EC">
        <w:t xml:space="preserve"> (Weigert and Steenbergen, 2012)</w:t>
      </w:r>
      <w:r w:rsidR="00882126" w:rsidRPr="001609EC">
        <w:t xml:space="preserve"> investigating the performance of supplemental </w:t>
      </w:r>
      <w:r w:rsidR="00BC46C7">
        <w:t>testing</w:t>
      </w:r>
      <w:r w:rsidR="00882126" w:rsidRPr="001609EC">
        <w:t xml:space="preserve"> ultrasound in women with dense but mammographically normal breasts</w:t>
      </w:r>
      <w:r w:rsidR="001609EC">
        <w:t>:</w:t>
      </w:r>
    </w:p>
    <w:p w14:paraId="1B4C58EC" w14:textId="49832BFF" w:rsidR="001609EC" w:rsidRDefault="003D79B2" w:rsidP="001609EC">
      <w:pPr>
        <w:pStyle w:val="List-BulletLvl1"/>
      </w:pPr>
      <w:r w:rsidRPr="001609EC">
        <w:t xml:space="preserve">86% (7,451/8,647) of the ultrasounds were </w:t>
      </w:r>
      <w:r w:rsidR="00275D65">
        <w:t>BIRADS</w:t>
      </w:r>
      <w:r w:rsidRPr="001609EC">
        <w:t xml:space="preserve"> 1 or 2</w:t>
      </w:r>
    </w:p>
    <w:p w14:paraId="0DC00292" w14:textId="3301816D" w:rsidR="001609EC" w:rsidRDefault="003D79B2" w:rsidP="001609EC">
      <w:pPr>
        <w:pStyle w:val="List-BulletLvl1"/>
      </w:pPr>
      <w:r w:rsidRPr="001609EC">
        <w:t xml:space="preserve">9% (767/8,647) were </w:t>
      </w:r>
      <w:r w:rsidR="00275D65">
        <w:t>BIRADS</w:t>
      </w:r>
      <w:r w:rsidRPr="001609EC">
        <w:t xml:space="preserve"> 3</w:t>
      </w:r>
    </w:p>
    <w:p w14:paraId="3750D980" w14:textId="30E378F2" w:rsidR="001609EC" w:rsidRDefault="003D79B2" w:rsidP="001609EC">
      <w:pPr>
        <w:pStyle w:val="List-BulletLvl1"/>
      </w:pPr>
      <w:r w:rsidRPr="001609EC">
        <w:t xml:space="preserve">5% (429/8,647) were </w:t>
      </w:r>
      <w:r w:rsidR="00275D65">
        <w:t>BIRADS</w:t>
      </w:r>
      <w:r w:rsidRPr="001609EC">
        <w:t xml:space="preserve"> 4 or 5</w:t>
      </w:r>
    </w:p>
    <w:p w14:paraId="200031CA" w14:textId="0925B91E" w:rsidR="00882126" w:rsidRPr="001609EC" w:rsidRDefault="00882126" w:rsidP="001609EC">
      <w:pPr>
        <w:pStyle w:val="BodyText"/>
      </w:pPr>
      <w:r w:rsidRPr="001609EC">
        <w:t>No specific risk factors were required in the inclusion criteria aside from at least 50% breast density on mammography.</w:t>
      </w:r>
      <w:r w:rsidR="00F41695" w:rsidRPr="001609EC">
        <w:t xml:space="preserve"> </w:t>
      </w:r>
      <w:r w:rsidR="00853B04" w:rsidRPr="001609EC">
        <w:t xml:space="preserve">The use of supplemental ultrasound </w:t>
      </w:r>
      <w:r w:rsidR="002D74B6">
        <w:t>imaging</w:t>
      </w:r>
      <w:r w:rsidR="002D74B6" w:rsidRPr="001609EC">
        <w:t xml:space="preserve"> </w:t>
      </w:r>
      <w:r w:rsidR="00853B04" w:rsidRPr="001609EC">
        <w:t>in women of average risk had high sensitivity and specificity and resulted in an additional 3.25 malignant lesions detected per 1</w:t>
      </w:r>
      <w:r w:rsidR="00852B97">
        <w:t>,</w:t>
      </w:r>
      <w:r w:rsidR="00853B04" w:rsidRPr="001609EC">
        <w:t xml:space="preserve">000 examinations when compared to mammography alone, a result consistent with the ACRIN 6666 study. </w:t>
      </w:r>
      <w:r w:rsidR="00F41695" w:rsidRPr="001609EC">
        <w:t xml:space="preserve">Table </w:t>
      </w:r>
      <w:r w:rsidR="006465B1">
        <w:t>22</w:t>
      </w:r>
      <w:r w:rsidR="00F41695" w:rsidRPr="001609EC">
        <w:t xml:space="preserve"> </w:t>
      </w:r>
      <w:r w:rsidR="00FA68C8">
        <w:t>(</w:t>
      </w:r>
      <w:r w:rsidR="00F41695" w:rsidRPr="001609EC">
        <w:t>below</w:t>
      </w:r>
      <w:r w:rsidR="00FA68C8">
        <w:t>)</w:t>
      </w:r>
      <w:r w:rsidR="00F41695" w:rsidRPr="001609EC">
        <w:t xml:space="preserve"> compare</w:t>
      </w:r>
      <w:r w:rsidR="00853B04" w:rsidRPr="001609EC">
        <w:t>s</w:t>
      </w:r>
      <w:r w:rsidR="00F41695" w:rsidRPr="001609EC">
        <w:t xml:space="preserve"> the </w:t>
      </w:r>
      <w:r w:rsidR="00853B04" w:rsidRPr="001609EC">
        <w:t>findings from the two studies</w:t>
      </w:r>
      <w:r w:rsidR="00F41695" w:rsidRPr="001609EC">
        <w:t>.</w:t>
      </w:r>
    </w:p>
    <w:p w14:paraId="4282C4CF" w14:textId="6B856102" w:rsidR="00F41695" w:rsidRDefault="00F41695" w:rsidP="00F41695">
      <w:pPr>
        <w:spacing w:line="330" w:lineRule="atLeast"/>
        <w:rPr>
          <w:b/>
          <w:color w:val="36424A" w:themeColor="text2"/>
          <w:sz w:val="18"/>
        </w:rPr>
      </w:pPr>
      <w:r w:rsidRPr="001609EC">
        <w:rPr>
          <w:b/>
          <w:color w:val="36424A" w:themeColor="text2"/>
          <w:sz w:val="18"/>
        </w:rPr>
        <w:t xml:space="preserve">Table </w:t>
      </w:r>
      <w:r w:rsidR="006465B1">
        <w:rPr>
          <w:b/>
          <w:color w:val="36424A" w:themeColor="text2"/>
          <w:sz w:val="18"/>
        </w:rPr>
        <w:t>22</w:t>
      </w:r>
      <w:r w:rsidRPr="001609EC">
        <w:rPr>
          <w:b/>
          <w:color w:val="36424A" w:themeColor="text2"/>
          <w:sz w:val="18"/>
        </w:rPr>
        <w:t>. C</w:t>
      </w:r>
      <w:r w:rsidR="003D79B2" w:rsidRPr="001609EC">
        <w:rPr>
          <w:b/>
          <w:color w:val="36424A" w:themeColor="text2"/>
          <w:sz w:val="18"/>
        </w:rPr>
        <w:t>onnecticut Experiment compared to the p</w:t>
      </w:r>
      <w:r w:rsidRPr="001609EC">
        <w:rPr>
          <w:b/>
          <w:color w:val="36424A" w:themeColor="text2"/>
          <w:sz w:val="18"/>
        </w:rPr>
        <w:t>rospective ACRIN 6666 Study</w:t>
      </w:r>
    </w:p>
    <w:tbl>
      <w:tblPr>
        <w:tblStyle w:val="ACGreen-BasicTable"/>
        <w:tblW w:w="0" w:type="auto"/>
        <w:tblLook w:val="04A0" w:firstRow="1" w:lastRow="0" w:firstColumn="1" w:lastColumn="0" w:noHBand="0" w:noVBand="1"/>
        <w:tblDescription w:val="The authors Weigert and Steenbergen in 2012 conducted a study on the Connecticut experiment had a sensitivity of 96.60%, a specificity of 94.90%, PPV was 6.70%, and Additional Cancer Detection per 1000 Examinations was 3.25.&#10;&#10;The authors Berg et al. in 2012 studied ACRIN 6666, and had a sensitivity of 76%, specificity of 84%, a PPV of 16%, amd Additional Cancer Detection per 1000 Examinations of 3.70.&#10;"/>
      </w:tblPr>
      <w:tblGrid>
        <w:gridCol w:w="1501"/>
        <w:gridCol w:w="1496"/>
        <w:gridCol w:w="1505"/>
        <w:gridCol w:w="1505"/>
        <w:gridCol w:w="1475"/>
        <w:gridCol w:w="1521"/>
      </w:tblGrid>
      <w:tr w:rsidR="00F85A06" w:rsidRPr="00F85A06" w14:paraId="56868D0E" w14:textId="77777777" w:rsidTr="009F2AEC">
        <w:trPr>
          <w:cnfStyle w:val="100000000000" w:firstRow="1" w:lastRow="0" w:firstColumn="0" w:lastColumn="0" w:oddVBand="0" w:evenVBand="0" w:oddHBand="0" w:evenHBand="0" w:firstRowFirstColumn="0" w:firstRowLastColumn="0" w:lastRowFirstColumn="0" w:lastRowLastColumn="0"/>
          <w:trHeight w:val="897"/>
        </w:trPr>
        <w:tc>
          <w:tcPr>
            <w:tcW w:w="1517" w:type="dxa"/>
          </w:tcPr>
          <w:p w14:paraId="3E3626BC" w14:textId="6F244AFF" w:rsidR="00F85A06" w:rsidRPr="00F85A06" w:rsidRDefault="00F85A06" w:rsidP="00F41695">
            <w:pPr>
              <w:spacing w:line="330" w:lineRule="atLeast"/>
              <w:rPr>
                <w:color w:val="auto"/>
                <w:sz w:val="18"/>
              </w:rPr>
            </w:pPr>
            <w:r w:rsidRPr="00F85A06">
              <w:rPr>
                <w:color w:val="auto"/>
                <w:sz w:val="18"/>
              </w:rPr>
              <w:t>Author</w:t>
            </w:r>
          </w:p>
        </w:tc>
        <w:tc>
          <w:tcPr>
            <w:tcW w:w="1514" w:type="dxa"/>
          </w:tcPr>
          <w:p w14:paraId="3E78DE07" w14:textId="4547955B" w:rsidR="00F85A06" w:rsidRPr="00F85A06" w:rsidRDefault="00F85A06" w:rsidP="00F41695">
            <w:pPr>
              <w:spacing w:line="330" w:lineRule="atLeast"/>
              <w:rPr>
                <w:color w:val="auto"/>
                <w:sz w:val="18"/>
              </w:rPr>
            </w:pPr>
            <w:r w:rsidRPr="00F85A06">
              <w:rPr>
                <w:color w:val="auto"/>
                <w:sz w:val="18"/>
              </w:rPr>
              <w:t>Study</w:t>
            </w:r>
          </w:p>
        </w:tc>
        <w:tc>
          <w:tcPr>
            <w:tcW w:w="1526" w:type="dxa"/>
          </w:tcPr>
          <w:p w14:paraId="3DEA8351" w14:textId="5EC83ED2" w:rsidR="00F85A06" w:rsidRPr="00F85A06" w:rsidRDefault="00F85A06" w:rsidP="00F41695">
            <w:pPr>
              <w:spacing w:line="330" w:lineRule="atLeast"/>
              <w:rPr>
                <w:color w:val="auto"/>
                <w:sz w:val="18"/>
              </w:rPr>
            </w:pPr>
            <w:r w:rsidRPr="00F85A06">
              <w:rPr>
                <w:color w:val="auto"/>
                <w:sz w:val="18"/>
              </w:rPr>
              <w:t>Sensitivity (%)</w:t>
            </w:r>
          </w:p>
        </w:tc>
        <w:tc>
          <w:tcPr>
            <w:tcW w:w="1526" w:type="dxa"/>
          </w:tcPr>
          <w:p w14:paraId="68BC8CEB" w14:textId="49F6F92C" w:rsidR="00F85A06" w:rsidRPr="00F85A06" w:rsidRDefault="00F85A06" w:rsidP="00F41695">
            <w:pPr>
              <w:spacing w:line="330" w:lineRule="atLeast"/>
              <w:rPr>
                <w:color w:val="auto"/>
                <w:sz w:val="18"/>
              </w:rPr>
            </w:pPr>
            <w:r w:rsidRPr="00F85A06">
              <w:rPr>
                <w:color w:val="auto"/>
                <w:sz w:val="18"/>
              </w:rPr>
              <w:t>Specificity (%)</w:t>
            </w:r>
          </w:p>
        </w:tc>
        <w:tc>
          <w:tcPr>
            <w:tcW w:w="1510" w:type="dxa"/>
          </w:tcPr>
          <w:p w14:paraId="2477130D" w14:textId="2C3F8EE6" w:rsidR="00F85A06" w:rsidRPr="00F85A06" w:rsidRDefault="00F85A06" w:rsidP="00F41695">
            <w:pPr>
              <w:spacing w:line="330" w:lineRule="atLeast"/>
              <w:rPr>
                <w:color w:val="auto"/>
                <w:sz w:val="18"/>
              </w:rPr>
            </w:pPr>
            <w:r w:rsidRPr="00F85A06">
              <w:rPr>
                <w:color w:val="auto"/>
                <w:sz w:val="18"/>
              </w:rPr>
              <w:t>PPV (%)</w:t>
            </w:r>
          </w:p>
        </w:tc>
        <w:tc>
          <w:tcPr>
            <w:tcW w:w="1534" w:type="dxa"/>
          </w:tcPr>
          <w:p w14:paraId="0722A0FC" w14:textId="51D9B60A" w:rsidR="00F85A06" w:rsidRPr="00F85A06" w:rsidRDefault="00F85A06" w:rsidP="00F41695">
            <w:pPr>
              <w:spacing w:line="330" w:lineRule="atLeast"/>
              <w:rPr>
                <w:color w:val="auto"/>
                <w:sz w:val="18"/>
              </w:rPr>
            </w:pPr>
            <w:r w:rsidRPr="00F85A06">
              <w:rPr>
                <w:color w:val="auto"/>
                <w:sz w:val="18"/>
              </w:rPr>
              <w:t>Additional cancer detection rate per 1000 examinations</w:t>
            </w:r>
          </w:p>
        </w:tc>
      </w:tr>
      <w:tr w:rsidR="00F85A06" w14:paraId="69F4C25F" w14:textId="77777777" w:rsidTr="00F85A06">
        <w:tc>
          <w:tcPr>
            <w:tcW w:w="1517" w:type="dxa"/>
          </w:tcPr>
          <w:p w14:paraId="02DE440E" w14:textId="15B04AAC" w:rsidR="00F85A06" w:rsidRDefault="00F85A06" w:rsidP="00F85A06">
            <w:pPr>
              <w:spacing w:line="330" w:lineRule="atLeast"/>
              <w:rPr>
                <w:b/>
                <w:color w:val="36424A" w:themeColor="text2"/>
                <w:sz w:val="18"/>
              </w:rPr>
            </w:pPr>
            <w:r w:rsidRPr="00FC14C7">
              <w:rPr>
                <w:sz w:val="18"/>
                <w:lang w:eastAsia="en-NZ"/>
              </w:rPr>
              <w:t xml:space="preserve">Weigert </w:t>
            </w:r>
            <w:r>
              <w:rPr>
                <w:sz w:val="18"/>
                <w:lang w:eastAsia="en-NZ"/>
              </w:rPr>
              <w:t xml:space="preserve">&amp; </w:t>
            </w:r>
            <w:r w:rsidRPr="00FC14C7">
              <w:rPr>
                <w:sz w:val="18"/>
                <w:lang w:eastAsia="en-NZ"/>
              </w:rPr>
              <w:t xml:space="preserve">Steenbergen </w:t>
            </w:r>
            <w:r>
              <w:rPr>
                <w:sz w:val="18"/>
                <w:lang w:eastAsia="en-NZ"/>
              </w:rPr>
              <w:t>(</w:t>
            </w:r>
            <w:r w:rsidRPr="00FC14C7">
              <w:rPr>
                <w:sz w:val="18"/>
                <w:lang w:eastAsia="en-NZ"/>
              </w:rPr>
              <w:t>2012</w:t>
            </w:r>
            <w:r>
              <w:rPr>
                <w:sz w:val="18"/>
                <w:lang w:eastAsia="en-NZ"/>
              </w:rPr>
              <w:t>)</w:t>
            </w:r>
          </w:p>
        </w:tc>
        <w:tc>
          <w:tcPr>
            <w:tcW w:w="1514" w:type="dxa"/>
            <w:vAlign w:val="center"/>
          </w:tcPr>
          <w:p w14:paraId="23E58B21" w14:textId="1D1B485B" w:rsidR="00F85A06" w:rsidRDefault="00F85A06" w:rsidP="00F85A06">
            <w:pPr>
              <w:spacing w:line="330" w:lineRule="atLeast"/>
              <w:rPr>
                <w:b/>
                <w:color w:val="36424A" w:themeColor="text2"/>
                <w:sz w:val="18"/>
              </w:rPr>
            </w:pPr>
            <w:r w:rsidRPr="00FC14C7">
              <w:rPr>
                <w:sz w:val="18"/>
                <w:lang w:eastAsia="en-NZ"/>
              </w:rPr>
              <w:t>Connecticut experiment</w:t>
            </w:r>
          </w:p>
        </w:tc>
        <w:tc>
          <w:tcPr>
            <w:tcW w:w="1526" w:type="dxa"/>
            <w:vAlign w:val="center"/>
          </w:tcPr>
          <w:p w14:paraId="381733C1" w14:textId="3AB37A30" w:rsidR="00F85A06" w:rsidRDefault="00F85A06" w:rsidP="00F85A06">
            <w:pPr>
              <w:spacing w:line="330" w:lineRule="atLeast"/>
              <w:rPr>
                <w:b/>
                <w:color w:val="36424A" w:themeColor="text2"/>
                <w:sz w:val="18"/>
              </w:rPr>
            </w:pPr>
            <w:r w:rsidRPr="00FC14C7">
              <w:rPr>
                <w:sz w:val="18"/>
                <w:lang w:eastAsia="en-NZ"/>
              </w:rPr>
              <w:t>96.60</w:t>
            </w:r>
          </w:p>
        </w:tc>
        <w:tc>
          <w:tcPr>
            <w:tcW w:w="1526" w:type="dxa"/>
            <w:vAlign w:val="center"/>
          </w:tcPr>
          <w:p w14:paraId="6D293785" w14:textId="126366F2" w:rsidR="00F85A06" w:rsidRDefault="00F85A06" w:rsidP="00F85A06">
            <w:pPr>
              <w:spacing w:line="330" w:lineRule="atLeast"/>
              <w:rPr>
                <w:b/>
                <w:color w:val="36424A" w:themeColor="text2"/>
                <w:sz w:val="18"/>
              </w:rPr>
            </w:pPr>
            <w:r w:rsidRPr="00FC14C7">
              <w:rPr>
                <w:sz w:val="18"/>
                <w:lang w:eastAsia="en-NZ"/>
              </w:rPr>
              <w:t>94.90</w:t>
            </w:r>
          </w:p>
        </w:tc>
        <w:tc>
          <w:tcPr>
            <w:tcW w:w="1510" w:type="dxa"/>
            <w:vAlign w:val="center"/>
          </w:tcPr>
          <w:p w14:paraId="6143E34C" w14:textId="0A710DC9" w:rsidR="00F85A06" w:rsidRDefault="00F85A06" w:rsidP="00F85A06">
            <w:pPr>
              <w:spacing w:line="330" w:lineRule="atLeast"/>
              <w:rPr>
                <w:b/>
                <w:color w:val="36424A" w:themeColor="text2"/>
                <w:sz w:val="18"/>
              </w:rPr>
            </w:pPr>
            <w:r w:rsidRPr="00FC14C7">
              <w:rPr>
                <w:sz w:val="18"/>
                <w:lang w:eastAsia="en-NZ"/>
              </w:rPr>
              <w:t>6.70</w:t>
            </w:r>
          </w:p>
        </w:tc>
        <w:tc>
          <w:tcPr>
            <w:tcW w:w="1534" w:type="dxa"/>
            <w:vAlign w:val="center"/>
          </w:tcPr>
          <w:p w14:paraId="0473CFBA" w14:textId="2E2A9084" w:rsidR="00F85A06" w:rsidRDefault="00F85A06" w:rsidP="00F85A06">
            <w:pPr>
              <w:spacing w:line="330" w:lineRule="atLeast"/>
              <w:rPr>
                <w:b/>
                <w:color w:val="36424A" w:themeColor="text2"/>
                <w:sz w:val="18"/>
              </w:rPr>
            </w:pPr>
            <w:r w:rsidRPr="00FC14C7">
              <w:rPr>
                <w:sz w:val="18"/>
                <w:lang w:eastAsia="en-NZ"/>
              </w:rPr>
              <w:t>3.25</w:t>
            </w:r>
          </w:p>
        </w:tc>
      </w:tr>
      <w:tr w:rsidR="00F85A06" w14:paraId="2822072A" w14:textId="77777777" w:rsidTr="00F85A06">
        <w:tc>
          <w:tcPr>
            <w:tcW w:w="1517" w:type="dxa"/>
            <w:vAlign w:val="center"/>
          </w:tcPr>
          <w:p w14:paraId="6DD1B25E" w14:textId="29472F04" w:rsidR="00F85A06" w:rsidRDefault="00F85A06" w:rsidP="00F85A06">
            <w:pPr>
              <w:spacing w:line="330" w:lineRule="atLeast"/>
              <w:rPr>
                <w:b/>
                <w:color w:val="36424A" w:themeColor="text2"/>
                <w:sz w:val="18"/>
              </w:rPr>
            </w:pPr>
            <w:r w:rsidRPr="00FC14C7">
              <w:rPr>
                <w:sz w:val="18"/>
                <w:lang w:eastAsia="en-NZ"/>
              </w:rPr>
              <w:t>Berg et al.</w:t>
            </w:r>
            <w:r>
              <w:rPr>
                <w:sz w:val="18"/>
                <w:lang w:eastAsia="en-NZ"/>
              </w:rPr>
              <w:t xml:space="preserve"> (</w:t>
            </w:r>
            <w:r w:rsidRPr="00FC14C7">
              <w:rPr>
                <w:sz w:val="18"/>
                <w:lang w:eastAsia="en-NZ"/>
              </w:rPr>
              <w:t>2012</w:t>
            </w:r>
            <w:r>
              <w:rPr>
                <w:sz w:val="18"/>
                <w:lang w:eastAsia="en-NZ"/>
              </w:rPr>
              <w:t>)</w:t>
            </w:r>
          </w:p>
        </w:tc>
        <w:tc>
          <w:tcPr>
            <w:tcW w:w="1514" w:type="dxa"/>
            <w:vAlign w:val="center"/>
          </w:tcPr>
          <w:p w14:paraId="20B4A3A8" w14:textId="2AE36566" w:rsidR="00F85A06" w:rsidRDefault="00F85A06" w:rsidP="00F85A06">
            <w:pPr>
              <w:spacing w:line="330" w:lineRule="atLeast"/>
              <w:rPr>
                <w:b/>
                <w:color w:val="36424A" w:themeColor="text2"/>
                <w:sz w:val="18"/>
              </w:rPr>
            </w:pPr>
            <w:r w:rsidRPr="00FC14C7">
              <w:rPr>
                <w:sz w:val="18"/>
                <w:lang w:eastAsia="en-NZ"/>
              </w:rPr>
              <w:t>ACRIN 6666</w:t>
            </w:r>
          </w:p>
        </w:tc>
        <w:tc>
          <w:tcPr>
            <w:tcW w:w="1526" w:type="dxa"/>
            <w:vAlign w:val="center"/>
          </w:tcPr>
          <w:p w14:paraId="4CF71FE6" w14:textId="70B5D5B0" w:rsidR="00F85A06" w:rsidRDefault="00F85A06" w:rsidP="00F85A06">
            <w:pPr>
              <w:spacing w:line="330" w:lineRule="atLeast"/>
              <w:rPr>
                <w:b/>
                <w:color w:val="36424A" w:themeColor="text2"/>
                <w:sz w:val="18"/>
              </w:rPr>
            </w:pPr>
            <w:r w:rsidRPr="00FC14C7">
              <w:rPr>
                <w:sz w:val="18"/>
                <w:lang w:eastAsia="en-NZ"/>
              </w:rPr>
              <w:t>76</w:t>
            </w:r>
          </w:p>
        </w:tc>
        <w:tc>
          <w:tcPr>
            <w:tcW w:w="1526" w:type="dxa"/>
            <w:vAlign w:val="center"/>
          </w:tcPr>
          <w:p w14:paraId="3F8F996A" w14:textId="0AD3C6C3" w:rsidR="00F85A06" w:rsidRDefault="00F85A06" w:rsidP="00F85A06">
            <w:pPr>
              <w:spacing w:line="330" w:lineRule="atLeast"/>
              <w:rPr>
                <w:b/>
                <w:color w:val="36424A" w:themeColor="text2"/>
                <w:sz w:val="18"/>
              </w:rPr>
            </w:pPr>
            <w:r w:rsidRPr="00FC14C7">
              <w:rPr>
                <w:sz w:val="18"/>
                <w:lang w:eastAsia="en-NZ"/>
              </w:rPr>
              <w:t>84</w:t>
            </w:r>
          </w:p>
        </w:tc>
        <w:tc>
          <w:tcPr>
            <w:tcW w:w="1510" w:type="dxa"/>
            <w:vAlign w:val="center"/>
          </w:tcPr>
          <w:p w14:paraId="02FD4FB4" w14:textId="797CEA32" w:rsidR="00F85A06" w:rsidRDefault="00F85A06" w:rsidP="00F85A06">
            <w:pPr>
              <w:spacing w:line="330" w:lineRule="atLeast"/>
              <w:rPr>
                <w:b/>
                <w:color w:val="36424A" w:themeColor="text2"/>
                <w:sz w:val="18"/>
              </w:rPr>
            </w:pPr>
            <w:r w:rsidRPr="00FC14C7">
              <w:rPr>
                <w:sz w:val="18"/>
                <w:lang w:eastAsia="en-NZ"/>
              </w:rPr>
              <w:t>16</w:t>
            </w:r>
          </w:p>
        </w:tc>
        <w:tc>
          <w:tcPr>
            <w:tcW w:w="1534" w:type="dxa"/>
            <w:vAlign w:val="center"/>
          </w:tcPr>
          <w:p w14:paraId="4AE757D9" w14:textId="48318BAE" w:rsidR="00F85A06" w:rsidRDefault="00F85A06" w:rsidP="00F85A06">
            <w:pPr>
              <w:spacing w:line="330" w:lineRule="atLeast"/>
              <w:rPr>
                <w:b/>
                <w:color w:val="36424A" w:themeColor="text2"/>
                <w:sz w:val="18"/>
              </w:rPr>
            </w:pPr>
            <w:r w:rsidRPr="00FC14C7">
              <w:rPr>
                <w:sz w:val="18"/>
                <w:lang w:eastAsia="en-NZ"/>
              </w:rPr>
              <w:t>3.70</w:t>
            </w:r>
          </w:p>
        </w:tc>
      </w:tr>
    </w:tbl>
    <w:p w14:paraId="0FBB30A6" w14:textId="217CDD87" w:rsidR="00FC14C7" w:rsidRPr="00FC14C7" w:rsidRDefault="00C72BFF" w:rsidP="003A536A">
      <w:pPr>
        <w:pStyle w:val="BodyText"/>
      </w:pPr>
      <w:r w:rsidRPr="00FC14C7">
        <w:t>Following on, Burkett and Hanemann</w:t>
      </w:r>
      <w:r w:rsidR="001609EC" w:rsidRPr="00FC14C7">
        <w:t xml:space="preserve"> (</w:t>
      </w:r>
      <w:r w:rsidRPr="00FC14C7">
        <w:t>2016</w:t>
      </w:r>
      <w:r w:rsidR="001609EC" w:rsidRPr="00FC14C7">
        <w:t>)</w:t>
      </w:r>
      <w:r w:rsidRPr="00FC14C7">
        <w:t xml:space="preserve"> </w:t>
      </w:r>
      <w:r w:rsidR="000E50EE">
        <w:t xml:space="preserve">also </w:t>
      </w:r>
      <w:r w:rsidRPr="00FC14C7">
        <w:t>reviewed the results of the J-START trial</w:t>
      </w:r>
      <w:r w:rsidR="005D1270">
        <w:t xml:space="preserve">; </w:t>
      </w:r>
      <w:r w:rsidR="0031661B" w:rsidRPr="00FC14C7">
        <w:t>these results are discussed below under RCTs.</w:t>
      </w:r>
      <w:r w:rsidR="0031661B">
        <w:t xml:space="preserve"> </w:t>
      </w:r>
      <w:r w:rsidR="00F320F3" w:rsidRPr="00E0670C">
        <w:t>Lastly</w:t>
      </w:r>
      <w:r w:rsidR="003579ED" w:rsidRPr="00E0670C">
        <w:t>,</w:t>
      </w:r>
      <w:r w:rsidR="00F320F3" w:rsidRPr="00E0670C">
        <w:t xml:space="preserve"> the Burkett and Hanemann</w:t>
      </w:r>
      <w:r w:rsidR="007A4072">
        <w:t xml:space="preserve"> </w:t>
      </w:r>
      <w:r w:rsidR="00F320F3" w:rsidRPr="00E0670C">
        <w:t>review examined the difference in supplementary screening by ethnicity.</w:t>
      </w:r>
      <w:r w:rsidR="0077044E" w:rsidRPr="00E0670C">
        <w:t xml:space="preserve"> All studies (Shen et al., 2015</w:t>
      </w:r>
      <w:r w:rsidR="007A4072">
        <w:t>;</w:t>
      </w:r>
      <w:r w:rsidR="007A4072" w:rsidRPr="007A4072">
        <w:t xml:space="preserve"> </w:t>
      </w:r>
      <w:r w:rsidR="007A4072" w:rsidRPr="00E0670C">
        <w:t>Chae et al., 2013</w:t>
      </w:r>
      <w:r w:rsidR="007A4072">
        <w:t xml:space="preserve">; </w:t>
      </w:r>
      <w:r w:rsidR="0077044E" w:rsidRPr="00E0670C">
        <w:t>Leong et al., 2012</w:t>
      </w:r>
      <w:r w:rsidR="007A4072">
        <w:t xml:space="preserve">) </w:t>
      </w:r>
      <w:r w:rsidR="003579ED" w:rsidRPr="00E0670C">
        <w:t>describe</w:t>
      </w:r>
      <w:r w:rsidR="007A4072">
        <w:t>d</w:t>
      </w:r>
      <w:r w:rsidR="003579ED" w:rsidRPr="00E0670C">
        <w:t xml:space="preserve"> in Table </w:t>
      </w:r>
      <w:r w:rsidR="007A4072">
        <w:t>2</w:t>
      </w:r>
      <w:r w:rsidR="006465B1">
        <w:t>3</w:t>
      </w:r>
      <w:r w:rsidR="003579ED" w:rsidRPr="00E0670C">
        <w:t xml:space="preserve"> </w:t>
      </w:r>
      <w:r w:rsidR="00FC14C7">
        <w:t xml:space="preserve">(overleaf) </w:t>
      </w:r>
      <w:r w:rsidR="0077044E" w:rsidRPr="00E0670C">
        <w:t>investigated the additional cancers detected by ultrasound and mammography compared to mammography alone</w:t>
      </w:r>
      <w:r w:rsidR="003579ED" w:rsidRPr="00E0670C">
        <w:t xml:space="preserve"> in women with increased breast density.</w:t>
      </w:r>
      <w:r w:rsidR="0077044E" w:rsidRPr="00E0670C">
        <w:t xml:space="preserve"> Burkett and Hanemann noted that in similar studies the additional CDR for </w:t>
      </w:r>
      <w:r w:rsidR="0077044E" w:rsidRPr="00E0670C">
        <w:lastRenderedPageBreak/>
        <w:t>European women</w:t>
      </w:r>
      <w:r w:rsidR="00FC14C7">
        <w:t xml:space="preserve"> r</w:t>
      </w:r>
      <w:r w:rsidR="0077044E" w:rsidRPr="00E0670C">
        <w:t>ange</w:t>
      </w:r>
      <w:r w:rsidR="005D1270">
        <w:t>s</w:t>
      </w:r>
      <w:r w:rsidR="0077044E" w:rsidRPr="00E0670C">
        <w:t xml:space="preserve"> from 3 to 5 per 1</w:t>
      </w:r>
      <w:r w:rsidR="00852B97">
        <w:t>,</w:t>
      </w:r>
      <w:r w:rsidR="0077044E" w:rsidRPr="00E0670C">
        <w:t xml:space="preserve">000. Sensitivity of supplemental </w:t>
      </w:r>
      <w:r w:rsidR="00BC46C7">
        <w:t>testing</w:t>
      </w:r>
      <w:r w:rsidR="00FC14C7">
        <w:t xml:space="preserve"> by </w:t>
      </w:r>
      <w:r w:rsidR="0077044E" w:rsidRPr="00E0670C">
        <w:t xml:space="preserve">ultrasound was significantly higher than that of </w:t>
      </w:r>
      <w:r w:rsidR="0077044E" w:rsidRPr="007A4072">
        <w:t>mammography alone in the two studies that investigated this</w:t>
      </w:r>
      <w:r w:rsidR="00FC14C7">
        <w:t>.</w:t>
      </w:r>
    </w:p>
    <w:p w14:paraId="4D2953F2" w14:textId="572A0C6C" w:rsidR="003579ED" w:rsidRPr="007A4072" w:rsidRDefault="003579ED" w:rsidP="003A536A">
      <w:pPr>
        <w:pStyle w:val="BodyText"/>
        <w:rPr>
          <w:b/>
          <w:color w:val="36424A" w:themeColor="text2"/>
          <w:sz w:val="18"/>
        </w:rPr>
      </w:pPr>
      <w:r w:rsidRPr="007A4072">
        <w:rPr>
          <w:b/>
          <w:color w:val="36424A" w:themeColor="text2"/>
          <w:sz w:val="18"/>
        </w:rPr>
        <w:t xml:space="preserve">Table </w:t>
      </w:r>
      <w:r w:rsidR="00E0670C" w:rsidRPr="007A4072">
        <w:rPr>
          <w:b/>
          <w:color w:val="36424A" w:themeColor="text2"/>
          <w:sz w:val="18"/>
        </w:rPr>
        <w:t>2</w:t>
      </w:r>
      <w:r w:rsidR="006465B1">
        <w:rPr>
          <w:b/>
          <w:color w:val="36424A" w:themeColor="text2"/>
          <w:sz w:val="18"/>
        </w:rPr>
        <w:t>3</w:t>
      </w:r>
      <w:r w:rsidRPr="007A4072">
        <w:rPr>
          <w:b/>
          <w:color w:val="36424A" w:themeColor="text2"/>
          <w:sz w:val="18"/>
        </w:rPr>
        <w:t>. Supplemental Ultrasound Screening in Asian Populations (Burkett and Hanemann, 2016)</w:t>
      </w:r>
    </w:p>
    <w:tbl>
      <w:tblPr>
        <w:tblStyle w:val="ACGreen-BasicTable"/>
        <w:tblW w:w="5000" w:type="pct"/>
        <w:tblInd w:w="0" w:type="dxa"/>
        <w:tblLook w:val="04A0" w:firstRow="1" w:lastRow="0" w:firstColumn="1" w:lastColumn="0" w:noHBand="0" w:noVBand="1"/>
        <w:tblDescription w:val="The table summarises three studies, providing information on the population geography, number of patients enrolled, sensitivity (ultrasound) and percentage, sensitivity (mammography) and percentage, P value for sensitivity, and additional cancer detection per 1000 examinations. &#10;Shen et al. in 2015, China, enrolled 13,339 patients. The Sensitivity (Ultrasound) was 100%, Sensitivity (Mammography) was 57.1%, the P Value for Sensitivity was 0.04, and Additional Cancer Detection per 1000 Examinations 1.3&#10;Leong et al. in 2012, Singapore, enrolled 141 patients. The Sensitivity (Ultrasound) was 100%, the Sensitivity (Mammography) (%) was N/A, the P Value for Sensitivity was N/A, and the Additional Cancer Detection per 1000 Examinations was 14.&#10;Chae et al. in 2013, Korea, enrolled 20,864 patients. The Sensitivity (Ultrasound) was 100%, the Sensitivity (Mammography) was 54.5%, the P Value for Sensitivity was 0.002, and Additional Cancer Detection per 1000 Examinations was 2.5.&#10;"/>
      </w:tblPr>
      <w:tblGrid>
        <w:gridCol w:w="988"/>
        <w:gridCol w:w="1060"/>
        <w:gridCol w:w="1011"/>
        <w:gridCol w:w="1431"/>
        <w:gridCol w:w="1859"/>
        <w:gridCol w:w="1198"/>
        <w:gridCol w:w="1513"/>
      </w:tblGrid>
      <w:tr w:rsidR="00345CCE" w:rsidRPr="00345CCE" w14:paraId="1272D138" w14:textId="77777777" w:rsidTr="009F2AEC">
        <w:trPr>
          <w:cnfStyle w:val="100000000000" w:firstRow="1" w:lastRow="0" w:firstColumn="0" w:lastColumn="0" w:oddVBand="0" w:evenVBand="0" w:oddHBand="0" w:evenHBand="0" w:firstRowFirstColumn="0" w:firstRowLastColumn="0" w:lastRowFirstColumn="0" w:lastRowLastColumn="0"/>
          <w:trHeight w:val="638"/>
        </w:trPr>
        <w:tc>
          <w:tcPr>
            <w:tcW w:w="545" w:type="pct"/>
            <w:vAlign w:val="center"/>
            <w:hideMark/>
          </w:tcPr>
          <w:p w14:paraId="45865324" w14:textId="77777777" w:rsidR="00F320F3" w:rsidRPr="00345CCE" w:rsidRDefault="00F320F3" w:rsidP="00F320F3">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Study</w:t>
            </w:r>
          </w:p>
        </w:tc>
        <w:tc>
          <w:tcPr>
            <w:tcW w:w="585" w:type="pct"/>
            <w:vAlign w:val="center"/>
            <w:hideMark/>
          </w:tcPr>
          <w:p w14:paraId="4D3058F4" w14:textId="77777777" w:rsidR="00F320F3" w:rsidRPr="00345CCE" w:rsidRDefault="00F320F3" w:rsidP="00F320F3">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Population Geography</w:t>
            </w:r>
          </w:p>
        </w:tc>
        <w:tc>
          <w:tcPr>
            <w:tcW w:w="558" w:type="pct"/>
            <w:vAlign w:val="center"/>
            <w:hideMark/>
          </w:tcPr>
          <w:p w14:paraId="52D1706A" w14:textId="77777777" w:rsidR="00F320F3" w:rsidRPr="00345CCE" w:rsidRDefault="00F320F3" w:rsidP="00F320F3">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Number of Patients Enrolled</w:t>
            </w:r>
          </w:p>
        </w:tc>
        <w:tc>
          <w:tcPr>
            <w:tcW w:w="790" w:type="pct"/>
            <w:vAlign w:val="center"/>
            <w:hideMark/>
          </w:tcPr>
          <w:p w14:paraId="47D2824D" w14:textId="77777777" w:rsidR="00F320F3" w:rsidRPr="00345CCE" w:rsidRDefault="00F320F3" w:rsidP="00F320F3">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Sensitivity (Ultrasound) (%)</w:t>
            </w:r>
          </w:p>
        </w:tc>
        <w:tc>
          <w:tcPr>
            <w:tcW w:w="1026" w:type="pct"/>
            <w:vAlign w:val="center"/>
            <w:hideMark/>
          </w:tcPr>
          <w:p w14:paraId="71DD9E1C" w14:textId="77777777" w:rsidR="00F320F3" w:rsidRPr="00345CCE" w:rsidRDefault="00F320F3" w:rsidP="00F320F3">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Sensitivity (Mammography) (%)</w:t>
            </w:r>
          </w:p>
        </w:tc>
        <w:tc>
          <w:tcPr>
            <w:tcW w:w="661" w:type="pct"/>
            <w:vAlign w:val="center"/>
            <w:hideMark/>
          </w:tcPr>
          <w:p w14:paraId="5E0785B7" w14:textId="14D2051D" w:rsidR="00F320F3" w:rsidRPr="00345CCE" w:rsidRDefault="00F320F3" w:rsidP="00F320F3">
            <w:pPr>
              <w:jc w:val="center"/>
              <w:rPr>
                <w:rFonts w:ascii="Calibri" w:eastAsia="Times New Roman" w:hAnsi="Calibri" w:cs="Calibri"/>
                <w:bCs/>
                <w:i/>
                <w:iCs/>
                <w:color w:val="auto"/>
                <w:sz w:val="18"/>
                <w:szCs w:val="18"/>
                <w:lang w:eastAsia="en-NZ"/>
              </w:rPr>
            </w:pPr>
            <w:r w:rsidRPr="00345CCE">
              <w:rPr>
                <w:rFonts w:ascii="Calibri" w:eastAsia="Times New Roman" w:hAnsi="Calibri" w:cs="Calibri"/>
                <w:bCs/>
                <w:i/>
                <w:iCs/>
                <w:color w:val="auto"/>
                <w:sz w:val="18"/>
                <w:szCs w:val="18"/>
                <w:lang w:eastAsia="en-NZ"/>
              </w:rPr>
              <w:t>P</w:t>
            </w:r>
            <w:r w:rsidR="00BB2B6B" w:rsidRPr="00345CCE">
              <w:rPr>
                <w:rFonts w:ascii="Calibri" w:eastAsia="Times New Roman" w:hAnsi="Calibri" w:cs="Calibri"/>
                <w:bCs/>
                <w:color w:val="auto"/>
                <w:sz w:val="18"/>
                <w:szCs w:val="18"/>
                <w:lang w:eastAsia="en-NZ"/>
              </w:rPr>
              <w:t xml:space="preserve"> </w:t>
            </w:r>
            <w:r w:rsidRPr="00345CCE">
              <w:rPr>
                <w:rFonts w:ascii="Calibri" w:eastAsia="Times New Roman" w:hAnsi="Calibri" w:cs="Calibri"/>
                <w:bCs/>
                <w:color w:val="auto"/>
                <w:sz w:val="18"/>
                <w:szCs w:val="18"/>
                <w:lang w:eastAsia="en-NZ"/>
              </w:rPr>
              <w:t>Value for Sensitivity</w:t>
            </w:r>
          </w:p>
        </w:tc>
        <w:tc>
          <w:tcPr>
            <w:tcW w:w="835" w:type="pct"/>
            <w:vAlign w:val="center"/>
            <w:hideMark/>
          </w:tcPr>
          <w:p w14:paraId="61A1ACE6" w14:textId="77777777" w:rsidR="00F320F3" w:rsidRPr="00345CCE" w:rsidRDefault="00F320F3" w:rsidP="00F320F3">
            <w:pPr>
              <w:jc w:val="center"/>
              <w:rPr>
                <w:rFonts w:ascii="Calibri" w:eastAsia="Times New Roman" w:hAnsi="Calibri" w:cs="Calibri"/>
                <w:bCs/>
                <w:color w:val="auto"/>
                <w:sz w:val="18"/>
                <w:szCs w:val="18"/>
                <w:lang w:eastAsia="en-NZ"/>
              </w:rPr>
            </w:pPr>
            <w:r w:rsidRPr="00345CCE">
              <w:rPr>
                <w:rFonts w:ascii="Calibri" w:eastAsia="Times New Roman" w:hAnsi="Calibri" w:cs="Calibri"/>
                <w:bCs/>
                <w:color w:val="auto"/>
                <w:sz w:val="18"/>
                <w:szCs w:val="18"/>
                <w:lang w:eastAsia="en-NZ"/>
              </w:rPr>
              <w:t>Additional Cancer Detection per 1000 Examinations</w:t>
            </w:r>
          </w:p>
        </w:tc>
      </w:tr>
      <w:tr w:rsidR="00F320F3" w:rsidRPr="007A4072" w14:paraId="6329F0B5" w14:textId="77777777" w:rsidTr="00F320F3">
        <w:trPr>
          <w:trHeight w:val="300"/>
        </w:trPr>
        <w:tc>
          <w:tcPr>
            <w:tcW w:w="545" w:type="pct"/>
            <w:vAlign w:val="center"/>
            <w:hideMark/>
          </w:tcPr>
          <w:p w14:paraId="59D106C4" w14:textId="6515C32B"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Shen et al.</w:t>
            </w:r>
            <w:r w:rsidR="00AA3A61">
              <w:rPr>
                <w:rFonts w:ascii="Calibri" w:eastAsia="Times New Roman" w:hAnsi="Calibri" w:cs="Calibri"/>
                <w:color w:val="000000"/>
                <w:sz w:val="18"/>
                <w:szCs w:val="18"/>
                <w:lang w:eastAsia="en-NZ"/>
              </w:rPr>
              <w:t xml:space="preserve"> (</w:t>
            </w:r>
            <w:r w:rsidR="0077044E" w:rsidRPr="007A4072">
              <w:rPr>
                <w:rFonts w:ascii="Calibri" w:eastAsia="Times New Roman" w:hAnsi="Calibri" w:cs="Calibri"/>
                <w:color w:val="000000"/>
                <w:sz w:val="18"/>
                <w:szCs w:val="18"/>
                <w:lang w:eastAsia="en-NZ"/>
              </w:rPr>
              <w:t>2015</w:t>
            </w:r>
            <w:r w:rsidR="00AA3A61">
              <w:rPr>
                <w:rFonts w:ascii="Calibri" w:eastAsia="Times New Roman" w:hAnsi="Calibri" w:cs="Calibri"/>
                <w:color w:val="000000"/>
                <w:sz w:val="18"/>
                <w:szCs w:val="18"/>
                <w:lang w:eastAsia="en-NZ"/>
              </w:rPr>
              <w:t>)</w:t>
            </w:r>
          </w:p>
        </w:tc>
        <w:tc>
          <w:tcPr>
            <w:tcW w:w="585" w:type="pct"/>
            <w:vAlign w:val="center"/>
            <w:hideMark/>
          </w:tcPr>
          <w:p w14:paraId="42FD7A99"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China</w:t>
            </w:r>
          </w:p>
        </w:tc>
        <w:tc>
          <w:tcPr>
            <w:tcW w:w="558" w:type="pct"/>
            <w:vAlign w:val="center"/>
            <w:hideMark/>
          </w:tcPr>
          <w:p w14:paraId="115520EB"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13,339</w:t>
            </w:r>
          </w:p>
        </w:tc>
        <w:tc>
          <w:tcPr>
            <w:tcW w:w="790" w:type="pct"/>
            <w:vAlign w:val="center"/>
            <w:hideMark/>
          </w:tcPr>
          <w:p w14:paraId="09DC88FA"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100</w:t>
            </w:r>
          </w:p>
        </w:tc>
        <w:tc>
          <w:tcPr>
            <w:tcW w:w="1026" w:type="pct"/>
            <w:vAlign w:val="center"/>
            <w:hideMark/>
          </w:tcPr>
          <w:p w14:paraId="6C7F9BBC"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57.1</w:t>
            </w:r>
          </w:p>
        </w:tc>
        <w:tc>
          <w:tcPr>
            <w:tcW w:w="661" w:type="pct"/>
            <w:vAlign w:val="center"/>
            <w:hideMark/>
          </w:tcPr>
          <w:p w14:paraId="76866EFC"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0.04</w:t>
            </w:r>
          </w:p>
        </w:tc>
        <w:tc>
          <w:tcPr>
            <w:tcW w:w="835" w:type="pct"/>
            <w:vAlign w:val="center"/>
            <w:hideMark/>
          </w:tcPr>
          <w:p w14:paraId="1E5CA4C6"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1.3</w:t>
            </w:r>
          </w:p>
        </w:tc>
      </w:tr>
      <w:tr w:rsidR="00F320F3" w:rsidRPr="007A4072" w14:paraId="7AE4481B" w14:textId="77777777" w:rsidTr="00F320F3">
        <w:trPr>
          <w:trHeight w:val="300"/>
        </w:trPr>
        <w:tc>
          <w:tcPr>
            <w:tcW w:w="545" w:type="pct"/>
            <w:vAlign w:val="center"/>
            <w:hideMark/>
          </w:tcPr>
          <w:p w14:paraId="5B04331C" w14:textId="56932EB0"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Leong et al.</w:t>
            </w:r>
            <w:r w:rsidR="00AA3A61">
              <w:rPr>
                <w:rFonts w:ascii="Calibri" w:eastAsia="Times New Roman" w:hAnsi="Calibri" w:cs="Calibri"/>
                <w:color w:val="000000"/>
                <w:sz w:val="18"/>
                <w:szCs w:val="18"/>
                <w:lang w:eastAsia="en-NZ"/>
              </w:rPr>
              <w:t xml:space="preserve"> (</w:t>
            </w:r>
            <w:r w:rsidR="0077044E" w:rsidRPr="007A4072">
              <w:rPr>
                <w:rFonts w:ascii="Calibri" w:eastAsia="Times New Roman" w:hAnsi="Calibri" w:cs="Calibri"/>
                <w:color w:val="000000"/>
                <w:sz w:val="18"/>
                <w:szCs w:val="18"/>
                <w:lang w:eastAsia="en-NZ"/>
              </w:rPr>
              <w:t>2012</w:t>
            </w:r>
            <w:r w:rsidR="00AA3A61">
              <w:rPr>
                <w:rFonts w:ascii="Calibri" w:eastAsia="Times New Roman" w:hAnsi="Calibri" w:cs="Calibri"/>
                <w:color w:val="000000"/>
                <w:sz w:val="18"/>
                <w:szCs w:val="18"/>
                <w:lang w:eastAsia="en-NZ"/>
              </w:rPr>
              <w:t>)</w:t>
            </w:r>
          </w:p>
        </w:tc>
        <w:tc>
          <w:tcPr>
            <w:tcW w:w="585" w:type="pct"/>
            <w:vAlign w:val="center"/>
            <w:hideMark/>
          </w:tcPr>
          <w:p w14:paraId="4B298D77"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Singapore</w:t>
            </w:r>
          </w:p>
        </w:tc>
        <w:tc>
          <w:tcPr>
            <w:tcW w:w="558" w:type="pct"/>
            <w:vAlign w:val="center"/>
            <w:hideMark/>
          </w:tcPr>
          <w:p w14:paraId="1424F556"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141</w:t>
            </w:r>
          </w:p>
        </w:tc>
        <w:tc>
          <w:tcPr>
            <w:tcW w:w="790" w:type="pct"/>
            <w:vAlign w:val="center"/>
            <w:hideMark/>
          </w:tcPr>
          <w:p w14:paraId="68E49551"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100</w:t>
            </w:r>
          </w:p>
        </w:tc>
        <w:tc>
          <w:tcPr>
            <w:tcW w:w="1026" w:type="pct"/>
            <w:vAlign w:val="center"/>
            <w:hideMark/>
          </w:tcPr>
          <w:p w14:paraId="244143A8"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N/A</w:t>
            </w:r>
          </w:p>
        </w:tc>
        <w:tc>
          <w:tcPr>
            <w:tcW w:w="661" w:type="pct"/>
            <w:vAlign w:val="center"/>
            <w:hideMark/>
          </w:tcPr>
          <w:p w14:paraId="76CD47D7"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N/A</w:t>
            </w:r>
          </w:p>
        </w:tc>
        <w:tc>
          <w:tcPr>
            <w:tcW w:w="835" w:type="pct"/>
            <w:vAlign w:val="center"/>
            <w:hideMark/>
          </w:tcPr>
          <w:p w14:paraId="3C49EBB5"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14</w:t>
            </w:r>
          </w:p>
        </w:tc>
      </w:tr>
      <w:tr w:rsidR="00F320F3" w:rsidRPr="007A4072" w14:paraId="20DF1102" w14:textId="77777777" w:rsidTr="00F320F3">
        <w:trPr>
          <w:trHeight w:val="300"/>
        </w:trPr>
        <w:tc>
          <w:tcPr>
            <w:tcW w:w="545" w:type="pct"/>
            <w:vAlign w:val="center"/>
            <w:hideMark/>
          </w:tcPr>
          <w:p w14:paraId="22AF2D58" w14:textId="444C5A0D"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Chae et al.</w:t>
            </w:r>
            <w:r w:rsidR="00AA3A61">
              <w:rPr>
                <w:rFonts w:ascii="Calibri" w:eastAsia="Times New Roman" w:hAnsi="Calibri" w:cs="Calibri"/>
                <w:color w:val="000000"/>
                <w:sz w:val="18"/>
                <w:szCs w:val="18"/>
                <w:lang w:eastAsia="en-NZ"/>
              </w:rPr>
              <w:t xml:space="preserve"> (2</w:t>
            </w:r>
            <w:r w:rsidR="0077044E" w:rsidRPr="007A4072">
              <w:rPr>
                <w:rFonts w:ascii="Calibri" w:eastAsia="Times New Roman" w:hAnsi="Calibri" w:cs="Calibri"/>
                <w:color w:val="000000"/>
                <w:sz w:val="18"/>
                <w:szCs w:val="18"/>
                <w:lang w:eastAsia="en-NZ"/>
              </w:rPr>
              <w:t>013</w:t>
            </w:r>
            <w:r w:rsidR="00AA3A61">
              <w:rPr>
                <w:rFonts w:ascii="Calibri" w:eastAsia="Times New Roman" w:hAnsi="Calibri" w:cs="Calibri"/>
                <w:color w:val="000000"/>
                <w:sz w:val="18"/>
                <w:szCs w:val="18"/>
                <w:lang w:eastAsia="en-NZ"/>
              </w:rPr>
              <w:t>)</w:t>
            </w:r>
          </w:p>
        </w:tc>
        <w:tc>
          <w:tcPr>
            <w:tcW w:w="585" w:type="pct"/>
            <w:vAlign w:val="center"/>
            <w:hideMark/>
          </w:tcPr>
          <w:p w14:paraId="356B546C"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Korea</w:t>
            </w:r>
          </w:p>
        </w:tc>
        <w:tc>
          <w:tcPr>
            <w:tcW w:w="558" w:type="pct"/>
            <w:vAlign w:val="center"/>
            <w:hideMark/>
          </w:tcPr>
          <w:p w14:paraId="719289B3"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20,864</w:t>
            </w:r>
          </w:p>
        </w:tc>
        <w:tc>
          <w:tcPr>
            <w:tcW w:w="790" w:type="pct"/>
            <w:vAlign w:val="center"/>
            <w:hideMark/>
          </w:tcPr>
          <w:p w14:paraId="1DB98965"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100</w:t>
            </w:r>
          </w:p>
        </w:tc>
        <w:tc>
          <w:tcPr>
            <w:tcW w:w="1026" w:type="pct"/>
            <w:vAlign w:val="center"/>
            <w:hideMark/>
          </w:tcPr>
          <w:p w14:paraId="71D8BAC9"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54.5</w:t>
            </w:r>
          </w:p>
        </w:tc>
        <w:tc>
          <w:tcPr>
            <w:tcW w:w="661" w:type="pct"/>
            <w:vAlign w:val="center"/>
            <w:hideMark/>
          </w:tcPr>
          <w:p w14:paraId="22829BB8"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0.002</w:t>
            </w:r>
          </w:p>
        </w:tc>
        <w:tc>
          <w:tcPr>
            <w:tcW w:w="835" w:type="pct"/>
            <w:vAlign w:val="center"/>
            <w:hideMark/>
          </w:tcPr>
          <w:p w14:paraId="079CAE80" w14:textId="77777777" w:rsidR="00F320F3" w:rsidRPr="007A4072" w:rsidRDefault="00F320F3" w:rsidP="00F320F3">
            <w:pPr>
              <w:jc w:val="center"/>
              <w:rPr>
                <w:rFonts w:ascii="Calibri" w:eastAsia="Times New Roman" w:hAnsi="Calibri" w:cs="Calibri"/>
                <w:color w:val="000000"/>
                <w:sz w:val="18"/>
                <w:szCs w:val="18"/>
                <w:lang w:eastAsia="en-NZ"/>
              </w:rPr>
            </w:pPr>
            <w:r w:rsidRPr="007A4072">
              <w:rPr>
                <w:rFonts w:ascii="Calibri" w:eastAsia="Times New Roman" w:hAnsi="Calibri" w:cs="Calibri"/>
                <w:color w:val="000000"/>
                <w:sz w:val="18"/>
                <w:szCs w:val="18"/>
                <w:lang w:eastAsia="en-NZ"/>
              </w:rPr>
              <w:t>2.5</w:t>
            </w:r>
          </w:p>
        </w:tc>
      </w:tr>
    </w:tbl>
    <w:p w14:paraId="5ECDB571" w14:textId="6AAC8CD9" w:rsidR="0031661B" w:rsidRDefault="0031661B" w:rsidP="0031661B">
      <w:pPr>
        <w:pStyle w:val="BodyText-GREEN"/>
      </w:pPr>
      <w:r w:rsidRPr="00345CCE">
        <w:rPr>
          <w:b/>
          <w:color w:val="auto"/>
        </w:rPr>
        <w:t xml:space="preserve">Randomised Controlled Trials </w:t>
      </w:r>
    </w:p>
    <w:p w14:paraId="52373E82" w14:textId="4E4B5424" w:rsidR="0031661B" w:rsidRPr="00FC14C7" w:rsidRDefault="0031661B" w:rsidP="0031661B">
      <w:pPr>
        <w:pStyle w:val="BodyText"/>
      </w:pPr>
      <w:r>
        <w:t xml:space="preserve">One RCT was identified for </w:t>
      </w:r>
      <w:r w:rsidRPr="00FC14C7">
        <w:t>this literature review</w:t>
      </w:r>
      <w:r w:rsidR="000E50EE">
        <w:t xml:space="preserve"> (Ohuchi et al., 2016)</w:t>
      </w:r>
      <w:r w:rsidRPr="00FC14C7">
        <w:t>. As discussed in section 3.2</w:t>
      </w:r>
      <w:r w:rsidR="00891ADB" w:rsidRPr="00FC14C7">
        <w:t>,</w:t>
      </w:r>
      <w:r w:rsidRPr="00FC14C7">
        <w:t xml:space="preserve"> younger women (&lt;50 years) have higher breast density but lower cancer risk than that of older women.  </w:t>
      </w:r>
      <w:r w:rsidR="00F7103D" w:rsidRPr="00FC14C7">
        <w:t>Some</w:t>
      </w:r>
      <w:r w:rsidRPr="00FC14C7">
        <w:t xml:space="preserve"> studies have found that the sensitivity of screening mammography for </w:t>
      </w:r>
      <w:r w:rsidR="00891ADB" w:rsidRPr="00FC14C7">
        <w:t xml:space="preserve">women aged </w:t>
      </w:r>
      <w:r w:rsidRPr="00FC14C7">
        <w:t>40 to 49</w:t>
      </w:r>
      <w:r w:rsidR="00891ADB" w:rsidRPr="00FC14C7">
        <w:t xml:space="preserve"> years </w:t>
      </w:r>
      <w:r w:rsidRPr="00FC14C7">
        <w:t xml:space="preserve">in the general population is unacceptably low. Women in this age group may benefit from supplemental </w:t>
      </w:r>
      <w:r w:rsidR="00BC46C7">
        <w:t>testing</w:t>
      </w:r>
      <w:r w:rsidRPr="00FC14C7">
        <w:t xml:space="preserve"> </w:t>
      </w:r>
      <w:r w:rsidR="00891ADB" w:rsidRPr="00FC14C7">
        <w:t xml:space="preserve">by </w:t>
      </w:r>
      <w:r w:rsidRPr="00FC14C7">
        <w:t>ultrasound.</w:t>
      </w:r>
    </w:p>
    <w:p w14:paraId="649E2026" w14:textId="031081D5" w:rsidR="0031661B" w:rsidRPr="00FC14C7" w:rsidRDefault="0031661B" w:rsidP="0031661B">
      <w:pPr>
        <w:pStyle w:val="BodyText"/>
      </w:pPr>
      <w:r w:rsidRPr="00FC14C7">
        <w:t xml:space="preserve">Between July 2007 and March 2011, the J-START trial enrolled asymptomatic women aged 40–49 years at 42 study sites in 23 prefectures. Eligible women had no history of any cancer in the previous </w:t>
      </w:r>
      <w:r w:rsidR="00891ADB" w:rsidRPr="00FC14C7">
        <w:t xml:space="preserve">five </w:t>
      </w:r>
      <w:r w:rsidRPr="00FC14C7">
        <w:t xml:space="preserve">years and were expected to live for more than </w:t>
      </w:r>
      <w:r w:rsidR="00891ADB" w:rsidRPr="00FC14C7">
        <w:t xml:space="preserve">five </w:t>
      </w:r>
      <w:r w:rsidRPr="00FC14C7">
        <w:t xml:space="preserve">years. Participants were randomly assigned in 1:1 ratio to undergo mammography and ultrasonography (intervention group) or mammography alone (control group) twice in </w:t>
      </w:r>
      <w:r w:rsidR="00891ADB" w:rsidRPr="00FC14C7">
        <w:t xml:space="preserve">two </w:t>
      </w:r>
      <w:r w:rsidRPr="00FC14C7">
        <w:t xml:space="preserve">years. The primary outcome was sensitivity, specificity, cancer detection rate, and stage distribution at the first round of screening. Analysis was by intention to treat. </w:t>
      </w:r>
    </w:p>
    <w:p w14:paraId="53FCEFA0" w14:textId="35EA44DE" w:rsidR="0031661B" w:rsidRPr="00FC14C7" w:rsidRDefault="0031661B" w:rsidP="0031661B">
      <w:pPr>
        <w:pStyle w:val="BodyText"/>
      </w:pPr>
      <w:r w:rsidRPr="00FC14C7">
        <w:t>Table 2</w:t>
      </w:r>
      <w:r w:rsidR="006465B1">
        <w:t>4</w:t>
      </w:r>
      <w:r w:rsidRPr="00FC14C7">
        <w:t xml:space="preserve"> </w:t>
      </w:r>
      <w:r w:rsidR="00FC14C7">
        <w:t xml:space="preserve">(below) </w:t>
      </w:r>
      <w:r w:rsidRPr="00FC14C7">
        <w:t>shows that this study found sensitivity was significantly higher (</w:t>
      </w:r>
      <w:r w:rsidRPr="00FC14C7">
        <w:rPr>
          <w:i/>
        </w:rPr>
        <w:t>p</w:t>
      </w:r>
      <w:r w:rsidR="00891ADB" w:rsidRPr="00FC14C7">
        <w:t>=</w:t>
      </w:r>
      <w:r w:rsidRPr="00FC14C7">
        <w:t>.0004) in the intervention group than in the control group, whereas specificity was significantly lower (</w:t>
      </w:r>
      <w:r w:rsidRPr="00FC14C7">
        <w:rPr>
          <w:i/>
        </w:rPr>
        <w:t>p</w:t>
      </w:r>
      <w:r w:rsidRPr="00FC14C7">
        <w:t>=.0001)</w:t>
      </w:r>
    </w:p>
    <w:p w14:paraId="6E88282D" w14:textId="55B7ADC5" w:rsidR="0031661B" w:rsidRPr="0031661B" w:rsidRDefault="0031661B" w:rsidP="0031661B">
      <w:pPr>
        <w:pStyle w:val="BodyText"/>
        <w:rPr>
          <w:b/>
          <w:color w:val="36424A" w:themeColor="text2"/>
          <w:sz w:val="18"/>
        </w:rPr>
      </w:pPr>
      <w:r w:rsidRPr="0031661B">
        <w:rPr>
          <w:b/>
          <w:color w:val="36424A" w:themeColor="text2"/>
          <w:sz w:val="18"/>
        </w:rPr>
        <w:t>Table 2</w:t>
      </w:r>
      <w:r w:rsidR="006465B1">
        <w:rPr>
          <w:b/>
          <w:color w:val="36424A" w:themeColor="text2"/>
          <w:sz w:val="18"/>
        </w:rPr>
        <w:t>4</w:t>
      </w:r>
      <w:r w:rsidRPr="0031661B">
        <w:rPr>
          <w:b/>
          <w:color w:val="36424A" w:themeColor="text2"/>
          <w:sz w:val="18"/>
        </w:rPr>
        <w:t xml:space="preserve">. Results from Ohuchi et al. </w:t>
      </w:r>
      <w:r w:rsidR="005D1270">
        <w:rPr>
          <w:b/>
          <w:color w:val="36424A" w:themeColor="text2"/>
          <w:sz w:val="18"/>
        </w:rPr>
        <w:t>(</w:t>
      </w:r>
      <w:r w:rsidRPr="0031661B">
        <w:rPr>
          <w:b/>
          <w:color w:val="36424A" w:themeColor="text2"/>
          <w:sz w:val="18"/>
        </w:rPr>
        <w:t>2016</w:t>
      </w:r>
      <w:r w:rsidR="005D1270">
        <w:rPr>
          <w:b/>
          <w:color w:val="36424A" w:themeColor="text2"/>
          <w:sz w:val="18"/>
        </w:rPr>
        <w:t>)</w:t>
      </w:r>
      <w:r w:rsidRPr="0031661B">
        <w:rPr>
          <w:b/>
          <w:color w:val="36424A" w:themeColor="text2"/>
          <w:sz w:val="18"/>
        </w:rPr>
        <w:t xml:space="preserve"> RCT</w:t>
      </w:r>
    </w:p>
    <w:tbl>
      <w:tblPr>
        <w:tblStyle w:val="ACGreen-BasicTable"/>
        <w:tblW w:w="0" w:type="auto"/>
        <w:tblLook w:val="04A0" w:firstRow="1" w:lastRow="0" w:firstColumn="1" w:lastColumn="0" w:noHBand="0" w:noVBand="1"/>
        <w:tblDescription w:val="When Intervention was n=36,859, Sensitivity (95%CI) was 91.1% (87.2-95.0), Specificity (95% CI) was 87.7% (97.3-88.0), Number of cancers detected was 184 (0·50%), Number of cancers at stage 0 or I was 144 (71·3%), and Interval cancers was 18 (0·05%)&#10;&#10;When the Control was n=36,139,  was 77.0% (70.3-83.7), Specificity (95% CI) was 91.4% (91.1-91.7), Number of cancers detected was 117 (0·32%), Number of cancers at stage 0 or I was 79 (52·0%), and Interval cancers was 35 (0·10%)&#10;"/>
      </w:tblPr>
      <w:tblGrid>
        <w:gridCol w:w="1747"/>
        <w:gridCol w:w="1742"/>
        <w:gridCol w:w="1710"/>
        <w:gridCol w:w="1433"/>
        <w:gridCol w:w="1267"/>
        <w:gridCol w:w="1104"/>
      </w:tblGrid>
      <w:tr w:rsidR="00345CCE" w:rsidRPr="00345CCE" w14:paraId="13856754" w14:textId="1CBBDA16" w:rsidTr="0031661B">
        <w:trPr>
          <w:cnfStyle w:val="100000000000" w:firstRow="1" w:lastRow="0" w:firstColumn="0" w:lastColumn="0" w:oddVBand="0" w:evenVBand="0" w:oddHBand="0" w:evenHBand="0" w:firstRowFirstColumn="0" w:firstRowLastColumn="0" w:lastRowFirstColumn="0" w:lastRowLastColumn="0"/>
        </w:trPr>
        <w:tc>
          <w:tcPr>
            <w:tcW w:w="1747" w:type="dxa"/>
            <w:vAlign w:val="center"/>
          </w:tcPr>
          <w:p w14:paraId="05ED4C67" w14:textId="77777777" w:rsidR="0031661B" w:rsidRPr="00345CCE" w:rsidRDefault="0031661B" w:rsidP="0031661B">
            <w:pPr>
              <w:pStyle w:val="BodyText"/>
              <w:jc w:val="center"/>
              <w:rPr>
                <w:rFonts w:cstheme="majorHAnsi"/>
                <w:color w:val="auto"/>
                <w:sz w:val="18"/>
                <w:szCs w:val="18"/>
              </w:rPr>
            </w:pPr>
          </w:p>
        </w:tc>
        <w:tc>
          <w:tcPr>
            <w:tcW w:w="1742" w:type="dxa"/>
            <w:vAlign w:val="center"/>
          </w:tcPr>
          <w:p w14:paraId="7B98BB12" w14:textId="7476B16A" w:rsidR="0031661B" w:rsidRPr="00345CCE" w:rsidRDefault="0031661B" w:rsidP="0031661B">
            <w:pPr>
              <w:pStyle w:val="BodyText"/>
              <w:jc w:val="center"/>
              <w:rPr>
                <w:rFonts w:cstheme="majorHAnsi"/>
                <w:color w:val="auto"/>
                <w:sz w:val="18"/>
                <w:szCs w:val="18"/>
              </w:rPr>
            </w:pPr>
            <w:r w:rsidRPr="00345CCE">
              <w:rPr>
                <w:rFonts w:cstheme="majorHAnsi"/>
                <w:color w:val="auto"/>
                <w:sz w:val="18"/>
                <w:szCs w:val="18"/>
              </w:rPr>
              <w:t>Sensitivity (95%CI)</w:t>
            </w:r>
          </w:p>
        </w:tc>
        <w:tc>
          <w:tcPr>
            <w:tcW w:w="1710" w:type="dxa"/>
            <w:vAlign w:val="center"/>
          </w:tcPr>
          <w:p w14:paraId="2D4D8F76" w14:textId="478AE5D4" w:rsidR="0031661B" w:rsidRPr="00345CCE" w:rsidRDefault="0031661B" w:rsidP="0031661B">
            <w:pPr>
              <w:pStyle w:val="BodyText"/>
              <w:jc w:val="center"/>
              <w:rPr>
                <w:rFonts w:cstheme="majorHAnsi"/>
                <w:color w:val="auto"/>
                <w:sz w:val="18"/>
                <w:szCs w:val="18"/>
              </w:rPr>
            </w:pPr>
            <w:r w:rsidRPr="00345CCE">
              <w:rPr>
                <w:rFonts w:cstheme="majorHAnsi"/>
                <w:color w:val="auto"/>
                <w:sz w:val="18"/>
                <w:szCs w:val="18"/>
              </w:rPr>
              <w:t>Specificity (95% CI)</w:t>
            </w:r>
          </w:p>
        </w:tc>
        <w:tc>
          <w:tcPr>
            <w:tcW w:w="1433" w:type="dxa"/>
            <w:vAlign w:val="center"/>
          </w:tcPr>
          <w:p w14:paraId="415EE827" w14:textId="56F013EE" w:rsidR="0031661B" w:rsidRPr="00345CCE" w:rsidRDefault="0031661B" w:rsidP="0031661B">
            <w:pPr>
              <w:pStyle w:val="BodyText"/>
              <w:jc w:val="center"/>
              <w:rPr>
                <w:rFonts w:cstheme="majorHAnsi"/>
                <w:color w:val="auto"/>
                <w:sz w:val="18"/>
                <w:szCs w:val="18"/>
              </w:rPr>
            </w:pPr>
            <w:r w:rsidRPr="00345CCE">
              <w:rPr>
                <w:rFonts w:cstheme="majorHAnsi"/>
                <w:color w:val="auto"/>
                <w:sz w:val="18"/>
                <w:szCs w:val="18"/>
              </w:rPr>
              <w:t>Number of cancers detected</w:t>
            </w:r>
          </w:p>
        </w:tc>
        <w:tc>
          <w:tcPr>
            <w:tcW w:w="1267" w:type="dxa"/>
          </w:tcPr>
          <w:p w14:paraId="2683DD11" w14:textId="390432F2" w:rsidR="0031661B" w:rsidRPr="00345CCE" w:rsidRDefault="0031661B" w:rsidP="0031661B">
            <w:pPr>
              <w:pStyle w:val="BodyText"/>
              <w:jc w:val="center"/>
              <w:rPr>
                <w:rFonts w:cstheme="majorHAnsi"/>
                <w:color w:val="auto"/>
                <w:sz w:val="18"/>
                <w:szCs w:val="18"/>
              </w:rPr>
            </w:pPr>
            <w:r w:rsidRPr="00345CCE">
              <w:rPr>
                <w:rFonts w:cstheme="majorHAnsi"/>
                <w:color w:val="auto"/>
                <w:sz w:val="18"/>
                <w:szCs w:val="18"/>
              </w:rPr>
              <w:t>Number of cancers at stage 0 or I</w:t>
            </w:r>
          </w:p>
        </w:tc>
        <w:tc>
          <w:tcPr>
            <w:tcW w:w="1104" w:type="dxa"/>
          </w:tcPr>
          <w:p w14:paraId="6DAA51D6" w14:textId="0BF0B2C0" w:rsidR="0031661B" w:rsidRPr="00345CCE" w:rsidRDefault="0031661B" w:rsidP="0031661B">
            <w:pPr>
              <w:pStyle w:val="BodyText"/>
              <w:jc w:val="center"/>
              <w:rPr>
                <w:rFonts w:cstheme="majorHAnsi"/>
                <w:color w:val="auto"/>
                <w:sz w:val="18"/>
                <w:szCs w:val="18"/>
              </w:rPr>
            </w:pPr>
            <w:r w:rsidRPr="00345CCE">
              <w:rPr>
                <w:rFonts w:cstheme="majorHAnsi"/>
                <w:color w:val="auto"/>
                <w:sz w:val="18"/>
                <w:szCs w:val="18"/>
              </w:rPr>
              <w:t>Interval cancers</w:t>
            </w:r>
          </w:p>
        </w:tc>
      </w:tr>
      <w:tr w:rsidR="0031661B" w:rsidRPr="0031661B" w14:paraId="03522BFA" w14:textId="67DB0A47" w:rsidTr="0031661B">
        <w:tc>
          <w:tcPr>
            <w:tcW w:w="1747" w:type="dxa"/>
            <w:vAlign w:val="center"/>
          </w:tcPr>
          <w:p w14:paraId="7FD9C399" w14:textId="33DB05B5" w:rsidR="0031661B" w:rsidRPr="00CE738F" w:rsidRDefault="0031661B" w:rsidP="0031661B">
            <w:pPr>
              <w:pStyle w:val="BodyText"/>
              <w:jc w:val="center"/>
              <w:rPr>
                <w:rFonts w:cstheme="majorHAnsi"/>
                <w:sz w:val="18"/>
                <w:szCs w:val="18"/>
              </w:rPr>
            </w:pPr>
            <w:r w:rsidRPr="00CE738F">
              <w:rPr>
                <w:rFonts w:cstheme="majorHAnsi"/>
                <w:sz w:val="18"/>
                <w:szCs w:val="18"/>
              </w:rPr>
              <w:t>Intervention (n=36,859)</w:t>
            </w:r>
          </w:p>
        </w:tc>
        <w:tc>
          <w:tcPr>
            <w:tcW w:w="1742" w:type="dxa"/>
            <w:vAlign w:val="center"/>
          </w:tcPr>
          <w:p w14:paraId="6031CCBA" w14:textId="124E7A59" w:rsidR="0031661B" w:rsidRPr="00CE738F" w:rsidRDefault="0031661B" w:rsidP="0031661B">
            <w:pPr>
              <w:pStyle w:val="BodyText"/>
              <w:jc w:val="center"/>
              <w:rPr>
                <w:rFonts w:cstheme="majorHAnsi"/>
                <w:sz w:val="18"/>
                <w:szCs w:val="18"/>
              </w:rPr>
            </w:pPr>
            <w:r w:rsidRPr="00CE738F">
              <w:rPr>
                <w:rFonts w:cstheme="majorHAnsi"/>
                <w:sz w:val="18"/>
                <w:szCs w:val="18"/>
              </w:rPr>
              <w:t>91.1% (87.2-95.0)</w:t>
            </w:r>
          </w:p>
        </w:tc>
        <w:tc>
          <w:tcPr>
            <w:tcW w:w="1710" w:type="dxa"/>
            <w:vAlign w:val="center"/>
          </w:tcPr>
          <w:p w14:paraId="7187D70E" w14:textId="48787D1A" w:rsidR="0031661B" w:rsidRPr="00CE738F" w:rsidRDefault="0031661B" w:rsidP="0031661B">
            <w:pPr>
              <w:pStyle w:val="BodyText"/>
              <w:jc w:val="center"/>
              <w:rPr>
                <w:rFonts w:cstheme="majorHAnsi"/>
                <w:sz w:val="18"/>
                <w:szCs w:val="18"/>
              </w:rPr>
            </w:pPr>
            <w:r w:rsidRPr="00CE738F">
              <w:rPr>
                <w:rFonts w:cstheme="majorHAnsi"/>
                <w:sz w:val="18"/>
                <w:szCs w:val="18"/>
              </w:rPr>
              <w:t>87.7% (97.3-88.0)</w:t>
            </w:r>
          </w:p>
        </w:tc>
        <w:tc>
          <w:tcPr>
            <w:tcW w:w="1433" w:type="dxa"/>
            <w:vAlign w:val="center"/>
          </w:tcPr>
          <w:p w14:paraId="06F3E885" w14:textId="333F08E6" w:rsidR="0031661B" w:rsidRPr="00CE738F" w:rsidRDefault="0031661B" w:rsidP="0031661B">
            <w:pPr>
              <w:pStyle w:val="BodyText"/>
              <w:jc w:val="center"/>
              <w:rPr>
                <w:rFonts w:cstheme="majorHAnsi"/>
                <w:sz w:val="18"/>
                <w:szCs w:val="18"/>
              </w:rPr>
            </w:pPr>
            <w:r w:rsidRPr="00CE738F">
              <w:rPr>
                <w:rFonts w:cstheme="majorHAnsi"/>
                <w:sz w:val="18"/>
                <w:szCs w:val="18"/>
              </w:rPr>
              <w:t>184 (0·50%)</w:t>
            </w:r>
          </w:p>
        </w:tc>
        <w:tc>
          <w:tcPr>
            <w:tcW w:w="1267" w:type="dxa"/>
            <w:vAlign w:val="center"/>
          </w:tcPr>
          <w:p w14:paraId="27D034D6" w14:textId="0592C6BE" w:rsidR="0031661B" w:rsidRPr="00CE738F" w:rsidRDefault="0031661B" w:rsidP="0031661B">
            <w:pPr>
              <w:pStyle w:val="BodyText"/>
              <w:jc w:val="center"/>
              <w:rPr>
                <w:rFonts w:cstheme="majorHAnsi"/>
                <w:sz w:val="18"/>
                <w:szCs w:val="18"/>
              </w:rPr>
            </w:pPr>
            <w:r w:rsidRPr="00CE738F">
              <w:rPr>
                <w:rFonts w:cstheme="majorHAnsi"/>
                <w:sz w:val="18"/>
                <w:szCs w:val="18"/>
              </w:rPr>
              <w:t>144 (71·3%)</w:t>
            </w:r>
          </w:p>
        </w:tc>
        <w:tc>
          <w:tcPr>
            <w:tcW w:w="1104" w:type="dxa"/>
            <w:vAlign w:val="center"/>
          </w:tcPr>
          <w:p w14:paraId="59263D01" w14:textId="043B1A5E" w:rsidR="0031661B" w:rsidRPr="00CE738F" w:rsidRDefault="0031661B" w:rsidP="0031661B">
            <w:pPr>
              <w:pStyle w:val="BodyText"/>
              <w:jc w:val="center"/>
              <w:rPr>
                <w:rFonts w:cstheme="majorHAnsi"/>
                <w:sz w:val="18"/>
                <w:szCs w:val="18"/>
              </w:rPr>
            </w:pPr>
            <w:r w:rsidRPr="00CE738F">
              <w:rPr>
                <w:rFonts w:cstheme="majorHAnsi"/>
                <w:sz w:val="18"/>
                <w:szCs w:val="18"/>
              </w:rPr>
              <w:t>18 (0·05%)</w:t>
            </w:r>
          </w:p>
        </w:tc>
      </w:tr>
      <w:tr w:rsidR="0031661B" w:rsidRPr="0031661B" w14:paraId="4E65DD78" w14:textId="14033940" w:rsidTr="0031661B">
        <w:tc>
          <w:tcPr>
            <w:tcW w:w="1747" w:type="dxa"/>
            <w:vAlign w:val="center"/>
          </w:tcPr>
          <w:p w14:paraId="1CFF810B" w14:textId="3018EEB8" w:rsidR="0031661B" w:rsidRPr="00CE738F" w:rsidRDefault="0031661B" w:rsidP="0031661B">
            <w:pPr>
              <w:pStyle w:val="BodyText"/>
              <w:jc w:val="center"/>
              <w:rPr>
                <w:rFonts w:cstheme="majorHAnsi"/>
                <w:sz w:val="18"/>
                <w:szCs w:val="18"/>
              </w:rPr>
            </w:pPr>
            <w:r w:rsidRPr="00CE738F">
              <w:rPr>
                <w:rFonts w:cstheme="majorHAnsi"/>
                <w:sz w:val="18"/>
                <w:szCs w:val="18"/>
              </w:rPr>
              <w:t>Control (n=36,139)</w:t>
            </w:r>
          </w:p>
        </w:tc>
        <w:tc>
          <w:tcPr>
            <w:tcW w:w="1742" w:type="dxa"/>
            <w:vAlign w:val="center"/>
          </w:tcPr>
          <w:p w14:paraId="11065439" w14:textId="23064A7A" w:rsidR="0031661B" w:rsidRPr="00CE738F" w:rsidRDefault="0031661B" w:rsidP="0031661B">
            <w:pPr>
              <w:pStyle w:val="BodyText"/>
              <w:jc w:val="center"/>
              <w:rPr>
                <w:rFonts w:cstheme="majorHAnsi"/>
                <w:sz w:val="18"/>
                <w:szCs w:val="18"/>
              </w:rPr>
            </w:pPr>
            <w:r w:rsidRPr="00CE738F">
              <w:rPr>
                <w:rFonts w:cstheme="majorHAnsi"/>
                <w:sz w:val="18"/>
                <w:szCs w:val="18"/>
              </w:rPr>
              <w:t>77.0% (70.3-83.7)</w:t>
            </w:r>
          </w:p>
        </w:tc>
        <w:tc>
          <w:tcPr>
            <w:tcW w:w="1710" w:type="dxa"/>
            <w:vAlign w:val="center"/>
          </w:tcPr>
          <w:p w14:paraId="3AD9BE4A" w14:textId="26609683" w:rsidR="0031661B" w:rsidRPr="00CE738F" w:rsidRDefault="0031661B" w:rsidP="0031661B">
            <w:pPr>
              <w:pStyle w:val="BodyText"/>
              <w:jc w:val="center"/>
              <w:rPr>
                <w:rFonts w:cstheme="majorHAnsi"/>
                <w:sz w:val="18"/>
                <w:szCs w:val="18"/>
              </w:rPr>
            </w:pPr>
            <w:r w:rsidRPr="00CE738F">
              <w:rPr>
                <w:rFonts w:cstheme="majorHAnsi"/>
                <w:sz w:val="18"/>
                <w:szCs w:val="18"/>
              </w:rPr>
              <w:t>91.4% (91.1-91.7)</w:t>
            </w:r>
          </w:p>
        </w:tc>
        <w:tc>
          <w:tcPr>
            <w:tcW w:w="1433" w:type="dxa"/>
            <w:vAlign w:val="center"/>
          </w:tcPr>
          <w:p w14:paraId="0A2B9D4F" w14:textId="6FFFE82E" w:rsidR="0031661B" w:rsidRPr="00CE738F" w:rsidRDefault="0031661B" w:rsidP="0031661B">
            <w:pPr>
              <w:pStyle w:val="BodyText"/>
              <w:jc w:val="center"/>
              <w:rPr>
                <w:rFonts w:cstheme="majorHAnsi"/>
                <w:sz w:val="18"/>
                <w:szCs w:val="18"/>
              </w:rPr>
            </w:pPr>
            <w:r w:rsidRPr="00CE738F">
              <w:rPr>
                <w:rFonts w:cstheme="majorHAnsi"/>
                <w:sz w:val="18"/>
                <w:szCs w:val="18"/>
              </w:rPr>
              <w:t>117 (0·32%)</w:t>
            </w:r>
          </w:p>
        </w:tc>
        <w:tc>
          <w:tcPr>
            <w:tcW w:w="1267" w:type="dxa"/>
            <w:vAlign w:val="center"/>
          </w:tcPr>
          <w:p w14:paraId="7BB7133D" w14:textId="281382AB" w:rsidR="0031661B" w:rsidRPr="00CE738F" w:rsidRDefault="0031661B" w:rsidP="0031661B">
            <w:pPr>
              <w:pStyle w:val="BodyText"/>
              <w:jc w:val="center"/>
              <w:rPr>
                <w:rFonts w:cstheme="majorHAnsi"/>
                <w:sz w:val="18"/>
                <w:szCs w:val="18"/>
              </w:rPr>
            </w:pPr>
            <w:r w:rsidRPr="00CE738F">
              <w:rPr>
                <w:rFonts w:cstheme="majorHAnsi"/>
                <w:sz w:val="18"/>
                <w:szCs w:val="18"/>
              </w:rPr>
              <w:t>79 (52·0%)</w:t>
            </w:r>
          </w:p>
        </w:tc>
        <w:tc>
          <w:tcPr>
            <w:tcW w:w="1104" w:type="dxa"/>
            <w:vAlign w:val="center"/>
          </w:tcPr>
          <w:p w14:paraId="5AB8189A" w14:textId="421B2376" w:rsidR="0031661B" w:rsidRPr="00CE738F" w:rsidRDefault="0031661B" w:rsidP="0031661B">
            <w:pPr>
              <w:pStyle w:val="BodyText"/>
              <w:jc w:val="center"/>
              <w:rPr>
                <w:rFonts w:cstheme="majorHAnsi"/>
                <w:sz w:val="18"/>
                <w:szCs w:val="18"/>
              </w:rPr>
            </w:pPr>
            <w:r w:rsidRPr="00CE738F">
              <w:rPr>
                <w:rFonts w:cstheme="majorHAnsi"/>
                <w:sz w:val="18"/>
                <w:szCs w:val="18"/>
              </w:rPr>
              <w:t>35 (0·10%)</w:t>
            </w:r>
          </w:p>
        </w:tc>
      </w:tr>
    </w:tbl>
    <w:p w14:paraId="47B47EE1" w14:textId="5FC998EF" w:rsidR="0031661B" w:rsidRPr="0031661B" w:rsidRDefault="0031661B" w:rsidP="0031661B">
      <w:pPr>
        <w:pStyle w:val="BodyText"/>
      </w:pPr>
    </w:p>
    <w:p w14:paraId="11085DAA" w14:textId="61FD08C7" w:rsidR="0031661B" w:rsidRPr="00FC14C7" w:rsidRDefault="0031661B" w:rsidP="003A536A">
      <w:pPr>
        <w:pStyle w:val="BodyText"/>
      </w:pPr>
      <w:r w:rsidRPr="00FC14C7">
        <w:lastRenderedPageBreak/>
        <w:t>More cancers were detected in the intervention group than in the control group (</w:t>
      </w:r>
      <w:r w:rsidRPr="00FC14C7">
        <w:rPr>
          <w:i/>
        </w:rPr>
        <w:t>p</w:t>
      </w:r>
      <w:r w:rsidRPr="00FC14C7">
        <w:t>=</w:t>
      </w:r>
      <w:r w:rsidR="005D1270">
        <w:t>.</w:t>
      </w:r>
      <w:r w:rsidRPr="00FC14C7">
        <w:t>0003) meaning the use of adjunctive ultrasonography was associated with a 0</w:t>
      </w:r>
      <w:r w:rsidR="005D1270">
        <w:t>.</w:t>
      </w:r>
      <w:r w:rsidRPr="00FC14C7">
        <w:t xml:space="preserve">17% overall increase in the screening detection rate (similar to the studies presented above by Scheel et al. </w:t>
      </w:r>
      <w:r w:rsidR="005D1270">
        <w:t>[</w:t>
      </w:r>
      <w:r w:rsidRPr="00FC14C7">
        <w:t>2015</w:t>
      </w:r>
      <w:r w:rsidR="005D1270">
        <w:t>]</w:t>
      </w:r>
      <w:r w:rsidRPr="00FC14C7">
        <w:t xml:space="preserve"> and Burkett and Hanemann </w:t>
      </w:r>
      <w:r w:rsidR="005D1270">
        <w:t>[</w:t>
      </w:r>
      <w:r w:rsidRPr="00FC14C7">
        <w:t>2016</w:t>
      </w:r>
      <w:r w:rsidR="005D1270">
        <w:t>]</w:t>
      </w:r>
      <w:r w:rsidRPr="00FC14C7">
        <w:t xml:space="preserve">). Smaller and, node-negative cancers (stage 0 and I) cancers were found more frequently in the </w:t>
      </w:r>
      <w:r w:rsidR="005D1270">
        <w:t>intervention</w:t>
      </w:r>
      <w:r w:rsidRPr="00FC14C7">
        <w:t xml:space="preserve"> compared to the </w:t>
      </w:r>
      <w:r w:rsidR="005D1270">
        <w:t>control</w:t>
      </w:r>
      <w:r w:rsidRPr="00FC14C7">
        <w:t xml:space="preserve"> group (</w:t>
      </w:r>
      <w:r w:rsidRPr="00FC14C7">
        <w:rPr>
          <w:i/>
        </w:rPr>
        <w:t>p</w:t>
      </w:r>
      <w:r w:rsidRPr="00FC14C7">
        <w:t>=</w:t>
      </w:r>
      <w:r w:rsidR="005D1270">
        <w:t>.</w:t>
      </w:r>
      <w:r w:rsidRPr="00FC14C7">
        <w:t>0194)</w:t>
      </w:r>
      <w:r w:rsidR="005D1270">
        <w:t>. T</w:t>
      </w:r>
      <w:r w:rsidRPr="00FC14C7">
        <w:t xml:space="preserve">he frequency of breast cancers of clinical stage II or worse did not differ significantly between groups. </w:t>
      </w:r>
      <w:r w:rsidR="00891ADB" w:rsidRPr="00FC14C7">
        <w:t xml:space="preserve">Fewer </w:t>
      </w:r>
      <w:r w:rsidRPr="00FC14C7">
        <w:t>interval cancers were detected in the intervention group compared with the control group (</w:t>
      </w:r>
      <w:r w:rsidRPr="00FC14C7">
        <w:rPr>
          <w:i/>
        </w:rPr>
        <w:t>p</w:t>
      </w:r>
      <w:r w:rsidRPr="00FC14C7">
        <w:t>=</w:t>
      </w:r>
      <w:r w:rsidR="005D1270">
        <w:t>.</w:t>
      </w:r>
      <w:r w:rsidRPr="00FC14C7">
        <w:t>034) providing a reduction in interval cancers by 0.05%.</w:t>
      </w:r>
    </w:p>
    <w:p w14:paraId="5DCB74BE" w14:textId="2149B5BC" w:rsidR="0031661B" w:rsidRDefault="0031661B" w:rsidP="003A536A">
      <w:pPr>
        <w:pStyle w:val="BodyText"/>
      </w:pPr>
      <w:r w:rsidRPr="00FC14C7">
        <w:t>An important limitation of this study is that sensitivity and specificity were calculated with the data from the first round of screening. Since characteristics of breast cancer, such as distribution of tumour size or sojourn time</w:t>
      </w:r>
      <w:r w:rsidR="0070195B">
        <w:t xml:space="preserve"> (i.e. the amount of time that a person is asymptomatic but the cancer is detectable through screening)</w:t>
      </w:r>
      <w:r w:rsidRPr="00FC14C7">
        <w:t>, would differ between the first and later rounds of screening, findings cannot be extended beyond the first round</w:t>
      </w:r>
      <w:r w:rsidR="005D1270">
        <w:t xml:space="preserve">. </w:t>
      </w:r>
      <w:r w:rsidRPr="00FC14C7">
        <w:t>In this study, 57</w:t>
      </w:r>
      <w:r w:rsidR="005D1270">
        <w:t>.</w:t>
      </w:r>
      <w:r w:rsidRPr="00FC14C7">
        <w:t xml:space="preserve">7% of the women were classified as having dense breasts (scores of 3 or 4 </w:t>
      </w:r>
      <w:r w:rsidR="00275D65">
        <w:t>BIRADS</w:t>
      </w:r>
      <w:r w:rsidRPr="00FC14C7">
        <w:t>)</w:t>
      </w:r>
      <w:r w:rsidR="005D1270">
        <w:t>;</w:t>
      </w:r>
      <w:r w:rsidRPr="00FC14C7">
        <w:t xml:space="preserve"> results relating to this </w:t>
      </w:r>
      <w:r w:rsidR="005D1270">
        <w:t xml:space="preserve">population </w:t>
      </w:r>
      <w:r w:rsidRPr="00FC14C7">
        <w:t xml:space="preserve">will be reported in more detail in the future. In conclusion, this study </w:t>
      </w:r>
      <w:r w:rsidR="005D1270">
        <w:t>found</w:t>
      </w:r>
      <w:r w:rsidR="00891ADB" w:rsidRPr="00FC14C7">
        <w:t xml:space="preserve"> </w:t>
      </w:r>
      <w:r w:rsidRPr="00FC14C7">
        <w:t>adjunctive ultrasonography increases sensitivity and detection rate of early cancers in women aged 40–49 years</w:t>
      </w:r>
      <w:r w:rsidR="005D1270">
        <w:t>, but reduces specificity, relative to mammography alone.</w:t>
      </w:r>
    </w:p>
    <w:p w14:paraId="2BE8FE84" w14:textId="172A266B" w:rsidR="0031661B" w:rsidRPr="0031661B" w:rsidRDefault="0031661B" w:rsidP="0031661B">
      <w:pPr>
        <w:pStyle w:val="BodyText-GREEN"/>
        <w:rPr>
          <w:b/>
        </w:rPr>
      </w:pPr>
      <w:r w:rsidRPr="00345CCE">
        <w:rPr>
          <w:b/>
          <w:color w:val="auto"/>
        </w:rPr>
        <w:t>Summary</w:t>
      </w:r>
    </w:p>
    <w:p w14:paraId="289C4F85" w14:textId="3AE7C996" w:rsidR="003A536A" w:rsidRDefault="003A536A" w:rsidP="003A536A">
      <w:pPr>
        <w:pStyle w:val="BodyText"/>
      </w:pPr>
      <w:r w:rsidRPr="007A4072">
        <w:t xml:space="preserve">Ultrasound is widely available, easy to </w:t>
      </w:r>
      <w:r w:rsidR="00F94581">
        <w:t>conduct</w:t>
      </w:r>
      <w:r w:rsidRPr="007A4072">
        <w:t>, and does not expose women to radiation</w:t>
      </w:r>
      <w:r w:rsidR="00F94581">
        <w:t>.</w:t>
      </w:r>
      <w:r w:rsidRPr="007A4072">
        <w:t xml:space="preserve"> </w:t>
      </w:r>
      <w:r w:rsidR="00F94581">
        <w:t>I</w:t>
      </w:r>
      <w:r w:rsidRPr="007A4072">
        <w:t>t also costs</w:t>
      </w:r>
      <w:r w:rsidRPr="00F16F38">
        <w:t xml:space="preserve"> less than </w:t>
      </w:r>
      <w:r>
        <w:t xml:space="preserve">some other </w:t>
      </w:r>
      <w:r w:rsidR="00962232" w:rsidRPr="0044553E">
        <w:t>supplementa</w:t>
      </w:r>
      <w:r w:rsidR="00962232">
        <w:t>l</w:t>
      </w:r>
      <w:r w:rsidRPr="00F16F38">
        <w:t xml:space="preserve"> </w:t>
      </w:r>
      <w:r w:rsidR="002D74B6">
        <w:t>imaging</w:t>
      </w:r>
      <w:r w:rsidR="002D74B6" w:rsidRPr="00F16F38">
        <w:t xml:space="preserve"> </w:t>
      </w:r>
      <w:r w:rsidRPr="00F16F38">
        <w:t>modalities</w:t>
      </w:r>
      <w:r>
        <w:t xml:space="preserve"> discussed in this section. It </w:t>
      </w:r>
      <w:r w:rsidRPr="00F16F38">
        <w:t>can detect more cancers</w:t>
      </w:r>
      <w:r w:rsidR="003579ED">
        <w:t xml:space="preserve"> and may be beneficial in a variety of population subtypes</w:t>
      </w:r>
      <w:r>
        <w:t>;</w:t>
      </w:r>
      <w:r w:rsidRPr="00F16F38">
        <w:t xml:space="preserve"> however</w:t>
      </w:r>
      <w:r>
        <w:t>, it will also</w:t>
      </w:r>
      <w:r w:rsidRPr="00F16F38">
        <w:t xml:space="preserve"> increase false positives and recall rates </w:t>
      </w:r>
      <w:r>
        <w:t xml:space="preserve">compared to FFDM </w:t>
      </w:r>
      <w:r w:rsidRPr="00F16F38">
        <w:t>alone</w:t>
      </w:r>
      <w:r>
        <w:t xml:space="preserve">. </w:t>
      </w:r>
      <w:r w:rsidR="000E50EE">
        <w:t xml:space="preserve">Ultrasound can detect cancers that are </w:t>
      </w:r>
      <w:r w:rsidRPr="00AF5876">
        <w:t>small in size and node negative in stage</w:t>
      </w:r>
      <w:r>
        <w:t>, which improves patient outcomes and can avoid more invasive treatments such as mastectomy.</w:t>
      </w:r>
      <w:r w:rsidR="000E50EE">
        <w:t xml:space="preserve"> </w:t>
      </w:r>
      <w:r w:rsidR="0031661B">
        <w:t>Therefore, ultrasonography could offer a low-cost way to increase sensitivity and detection rates of early cancers in women with dense breasts</w:t>
      </w:r>
      <w:r w:rsidR="00F94581">
        <w:t>. L</w:t>
      </w:r>
      <w:r w:rsidR="0031661B">
        <w:t>ong-term follow-up is needed to assess whether the combined approach could reduce the frequency of advanced breast cancers at detection and breast cancer mortality.</w:t>
      </w:r>
    </w:p>
    <w:p w14:paraId="0FA37A56" w14:textId="77777777" w:rsidR="003A536A" w:rsidRPr="00CF0B21" w:rsidRDefault="003A536A" w:rsidP="003A536A">
      <w:pPr>
        <w:pStyle w:val="NumberedHeading3"/>
      </w:pPr>
      <w:bookmarkStart w:id="100" w:name="_i3"/>
      <w:bookmarkStart w:id="101" w:name="_Toc507914441"/>
      <w:bookmarkStart w:id="102" w:name="_Toc507976166"/>
      <w:bookmarkStart w:id="103" w:name="_Toc518922218"/>
      <w:bookmarkEnd w:id="100"/>
      <w:r>
        <w:t>The role of c</w:t>
      </w:r>
      <w:r w:rsidRPr="00CF0B21">
        <w:t>omputer-</w:t>
      </w:r>
      <w:r>
        <w:t>a</w:t>
      </w:r>
      <w:r w:rsidRPr="00CF0B21">
        <w:t>ided detection</w:t>
      </w:r>
      <w:bookmarkEnd w:id="101"/>
      <w:bookmarkEnd w:id="102"/>
      <w:bookmarkEnd w:id="103"/>
    </w:p>
    <w:p w14:paraId="0D98E0A1" w14:textId="178600A7" w:rsidR="003A536A" w:rsidRPr="002D1071" w:rsidRDefault="003A536A" w:rsidP="003A536A">
      <w:pPr>
        <w:pStyle w:val="BodyText"/>
      </w:pPr>
      <w:r w:rsidRPr="00CF0B21">
        <w:t xml:space="preserve">Recently, computer-aided detection </w:t>
      </w:r>
      <w:r w:rsidR="00692871">
        <w:t xml:space="preserve">(CADe) </w:t>
      </w:r>
      <w:r w:rsidRPr="00CF0B21">
        <w:t>systems have been developed to reduce the expense and to improve the capability of radiologist</w:t>
      </w:r>
      <w:r w:rsidR="00F94581">
        <w:t>s</w:t>
      </w:r>
      <w:r w:rsidRPr="00CF0B21">
        <w:t xml:space="preserve"> in </w:t>
      </w:r>
      <w:r w:rsidR="00F94581">
        <w:t xml:space="preserve">the </w:t>
      </w:r>
      <w:r w:rsidRPr="00CF0B21">
        <w:t>interpretation of medical images and differentiation betwe</w:t>
      </w:r>
      <w:r>
        <w:t xml:space="preserve">en benign and malignant tissues. </w:t>
      </w:r>
      <w:r w:rsidR="00692871">
        <w:t xml:space="preserve">CADe </w:t>
      </w:r>
      <w:r>
        <w:t>can be used in conjunction with any imaging modality as t</w:t>
      </w:r>
      <w:r w:rsidRPr="00794F17">
        <w:t>he outputs are derived using various techniques in computer vision to present some of the signiﬁcant parameters such as the location of suspicious lesions and the likelihood of malignancy of detected lesions.</w:t>
      </w:r>
      <w:r>
        <w:t xml:space="preserve"> I</w:t>
      </w:r>
      <w:r w:rsidRPr="002D1071">
        <w:t>n mammography</w:t>
      </w:r>
      <w:r w:rsidR="00FC14C7">
        <w:t>,</w:t>
      </w:r>
      <w:r w:rsidRPr="002D1071">
        <w:t xml:space="preserve"> CADe highlights microcalcification clusters and hyperdense structures in the soft tissue. This assists the radiologist in drawing conclusions about the condition of the pathology and improves efficiencies. CADx (diagnosis) helps determine the grading of malignant tissues. </w:t>
      </w:r>
    </w:p>
    <w:p w14:paraId="3CEE3A7C" w14:textId="3BBD36FE" w:rsidR="003A536A" w:rsidRPr="00252C48" w:rsidRDefault="003A536A" w:rsidP="003A536A">
      <w:pPr>
        <w:pStyle w:val="BodyText"/>
      </w:pPr>
      <w:r w:rsidRPr="002D1071">
        <w:t xml:space="preserve">A 2013 review (non-systematic) on computer-aided detection in screening mammography concluded that computer-aided detection systems have high sensitivity (&gt;90%) in cancer detection </w:t>
      </w:r>
      <w:r>
        <w:t xml:space="preserve">with both mammography and ultrasound. </w:t>
      </w:r>
      <w:r w:rsidR="008D405F">
        <w:t>H</w:t>
      </w:r>
      <w:r w:rsidR="008D405F" w:rsidRPr="002D1071">
        <w:t>owever,</w:t>
      </w:r>
      <w:r w:rsidRPr="002D1071">
        <w:t xml:space="preserve"> the benefits of using computer-aided detection in dense breast tissue remain</w:t>
      </w:r>
      <w:r>
        <w:t>s</w:t>
      </w:r>
      <w:r w:rsidRPr="002D1071">
        <w:t xml:space="preserve"> uncertain</w:t>
      </w:r>
      <w:r>
        <w:t>. I</w:t>
      </w:r>
      <w:r w:rsidRPr="002D1071">
        <w:t>f breast density is masking malignant tissues</w:t>
      </w:r>
      <w:r>
        <w:t>,</w:t>
      </w:r>
      <w:r w:rsidRPr="002D1071">
        <w:t xml:space="preserve"> </w:t>
      </w:r>
      <w:r>
        <w:t xml:space="preserve">the </w:t>
      </w:r>
      <w:r w:rsidRPr="002D1071">
        <w:t xml:space="preserve">computer-aided detection </w:t>
      </w:r>
      <w:r>
        <w:t>system cannot read this area well (Jalalian et al., 2013). I</w:t>
      </w:r>
      <w:r w:rsidRPr="00252C48">
        <w:t>t is unlikely that in its current state CAD will provide improved screening outcomes for women with dense breasts. The review by J</w:t>
      </w:r>
      <w:r w:rsidR="008D405F">
        <w:t>a</w:t>
      </w:r>
      <w:r w:rsidRPr="00252C48">
        <w:t xml:space="preserve">lalian concurs with earlier studies (predating this review) which found possible tendency of breast density to affect the CAD performance in the detection of cancer </w:t>
      </w:r>
      <w:r w:rsidRPr="00252C48">
        <w:lastRenderedPageBreak/>
        <w:t xml:space="preserve">(Obenauer et al., 2006.) Ho and Lam </w:t>
      </w:r>
      <w:r w:rsidR="00FC14C7">
        <w:t>(</w:t>
      </w:r>
      <w:r w:rsidRPr="00252C48">
        <w:t>2003</w:t>
      </w:r>
      <w:r w:rsidR="00FC14C7">
        <w:t>)</w:t>
      </w:r>
      <w:r w:rsidRPr="00252C48">
        <w:t xml:space="preserve"> found a decrease in sensitivity from 93% (fatty breasts) to 64% (very dense breasts).</w:t>
      </w:r>
    </w:p>
    <w:p w14:paraId="1A467127" w14:textId="77777777" w:rsidR="003A536A" w:rsidRPr="00955C3F" w:rsidRDefault="003A536A" w:rsidP="003A536A">
      <w:pPr>
        <w:pStyle w:val="NumberedHeading3"/>
      </w:pPr>
      <w:bookmarkStart w:id="104" w:name="_Toc507914442"/>
      <w:bookmarkStart w:id="105" w:name="_Toc507976167"/>
      <w:bookmarkStart w:id="106" w:name="_Toc518922219"/>
      <w:r w:rsidRPr="00955C3F">
        <w:t>Screening frequency</w:t>
      </w:r>
      <w:bookmarkEnd w:id="104"/>
      <w:bookmarkEnd w:id="105"/>
      <w:bookmarkEnd w:id="106"/>
      <w:r w:rsidRPr="00955C3F">
        <w:t xml:space="preserve"> </w:t>
      </w:r>
    </w:p>
    <w:p w14:paraId="1B6FB14C" w14:textId="6FB6A378" w:rsidR="003A536A" w:rsidRDefault="003A536A" w:rsidP="003A536A">
      <w:pPr>
        <w:pStyle w:val="BodyText"/>
      </w:pPr>
      <w:r w:rsidRPr="00F16F38">
        <w:t>Most screening programmes (</w:t>
      </w:r>
      <w:r>
        <w:t xml:space="preserve">including European programs, the </w:t>
      </w:r>
      <w:r w:rsidRPr="00F16F38">
        <w:t>BSA</w:t>
      </w:r>
      <w:r>
        <w:t xml:space="preserve"> program and</w:t>
      </w:r>
      <w:r w:rsidRPr="00F16F38">
        <w:t xml:space="preserve"> Breast Screen Aotearoa) recommend </w:t>
      </w:r>
      <w:r w:rsidR="00692871">
        <w:t xml:space="preserve">screening by </w:t>
      </w:r>
      <w:r w:rsidRPr="00F16F38">
        <w:t xml:space="preserve">mammography </w:t>
      </w:r>
      <w:r w:rsidR="00692871">
        <w:t xml:space="preserve">with double reading </w:t>
      </w:r>
      <w:r w:rsidRPr="00F16F38">
        <w:t>every two years</w:t>
      </w:r>
      <w:r w:rsidR="00692871">
        <w:t xml:space="preserve"> for asymptomatic women</w:t>
      </w:r>
      <w:r w:rsidRPr="00F16F38">
        <w:t xml:space="preserve">. </w:t>
      </w:r>
      <w:r w:rsidR="00692871">
        <w:t xml:space="preserve">American programs tend to screen asymptomatic women annually using a single reader strategy. </w:t>
      </w:r>
      <w:r w:rsidRPr="00F16F38">
        <w:t xml:space="preserve">Data </w:t>
      </w:r>
      <w:r>
        <w:t xml:space="preserve">is </w:t>
      </w:r>
      <w:r w:rsidRPr="00F16F38">
        <w:t>limited and mixed on the optimal frequency for performing mammography</w:t>
      </w:r>
      <w:r>
        <w:t xml:space="preserve"> for all women as well as those with more dense breasts. A</w:t>
      </w:r>
      <w:r w:rsidRPr="00F16F38">
        <w:t>nnual screening is associated with more harms and costs than screening every two years, and the difference in absolute benefits between annual and biennial screening is small. While some data suggest benefit for annual screening for some women (</w:t>
      </w:r>
      <w:r w:rsidR="00CC24AA">
        <w:t>eg,</w:t>
      </w:r>
      <w:r w:rsidRPr="00F16F38">
        <w:t xml:space="preserve"> premenopausal)</w:t>
      </w:r>
      <w:r>
        <w:t xml:space="preserve">, </w:t>
      </w:r>
      <w:r w:rsidRPr="00F16F38">
        <w:t xml:space="preserve">there is limited information on women with </w:t>
      </w:r>
      <w:r>
        <w:t>mammographic</w:t>
      </w:r>
      <w:r w:rsidR="00EE47EE">
        <w:t>ally dense breasts</w:t>
      </w:r>
      <w:r w:rsidRPr="00F16F38">
        <w:t xml:space="preserve">. </w:t>
      </w:r>
      <w:r>
        <w:t>Our search</w:t>
      </w:r>
      <w:r w:rsidRPr="00F16F38">
        <w:t xml:space="preserve"> found one systematic review</w:t>
      </w:r>
      <w:r>
        <w:t xml:space="preserve"> (Nelson et al., 2016) </w:t>
      </w:r>
      <w:r w:rsidRPr="00F16F38">
        <w:t>investigating</w:t>
      </w:r>
      <w:r>
        <w:t xml:space="preserve"> frequency of screening in women with high dense breast density.</w:t>
      </w:r>
      <w:r w:rsidRPr="00F16F38">
        <w:t xml:space="preserve"> </w:t>
      </w:r>
    </w:p>
    <w:p w14:paraId="26F17911" w14:textId="4B5B9E7D" w:rsidR="003A536A" w:rsidRDefault="003A536A" w:rsidP="003A536A">
      <w:pPr>
        <w:pStyle w:val="BodyText"/>
      </w:pPr>
      <w:r w:rsidRPr="00E52FBA">
        <w:t xml:space="preserve">Nelson et al. </w:t>
      </w:r>
      <w:r>
        <w:t>(</w:t>
      </w:r>
      <w:r w:rsidRPr="00E52FBA">
        <w:t>2016</w:t>
      </w:r>
      <w:r>
        <w:t>)</w:t>
      </w:r>
      <w:r w:rsidRPr="00E52FBA">
        <w:t xml:space="preserve"> undertook a large review </w:t>
      </w:r>
      <w:r>
        <w:t>of</w:t>
      </w:r>
      <w:r w:rsidRPr="00E52FBA">
        <w:t xml:space="preserve"> English-language systematic reviews, randomised trials, and observational studies. This review provides an update on the harms of breast cancer screening, including false-positive mammography results, over</w:t>
      </w:r>
      <w:r>
        <w:t>-</w:t>
      </w:r>
      <w:r w:rsidRPr="00E52FBA">
        <w:t>diagnosis, anxiety, pain during procedures, and radiation exposure, and how these adverse effects vary by age, risk factor, screening interval, and screening modality.</w:t>
      </w:r>
      <w:r>
        <w:t xml:space="preserve"> </w:t>
      </w:r>
      <w:r w:rsidRPr="00D26A33">
        <w:t>Most studies included in this review had designs for which quality rating criteria are not available, which limited data synthesis. Quality (</w:t>
      </w:r>
      <w:r w:rsidR="00A51F15">
        <w:t>eg,</w:t>
      </w:r>
      <w:r w:rsidRPr="00D26A33">
        <w:t xml:space="preserve"> internal validity, sample size, consistency etc) of the studies was assessed when possible</w:t>
      </w:r>
      <w:r>
        <w:t xml:space="preserve">. </w:t>
      </w:r>
    </w:p>
    <w:p w14:paraId="18BE4D75" w14:textId="4FB5A703" w:rsidR="003A536A" w:rsidRDefault="003A536A" w:rsidP="003A536A">
      <w:pPr>
        <w:pStyle w:val="BodyText"/>
      </w:pPr>
      <w:r w:rsidRPr="00E52FBA">
        <w:t>Based on two</w:t>
      </w:r>
      <w:r>
        <w:t xml:space="preserve"> post</w:t>
      </w:r>
      <w:r w:rsidR="000B595A">
        <w:t>-</w:t>
      </w:r>
      <w:r>
        <w:t>intervention</w:t>
      </w:r>
      <w:r w:rsidRPr="00E52FBA">
        <w:t xml:space="preserve"> US studies</w:t>
      </w:r>
      <w:r w:rsidR="00C175CE">
        <w:t xml:space="preserve"> (Hubb</w:t>
      </w:r>
      <w:r>
        <w:t>ard et al., 2</w:t>
      </w:r>
      <w:r w:rsidR="00C175CE">
        <w:t>011 and Kerlikowske et al., 2011</w:t>
      </w:r>
      <w:r>
        <w:t>)</w:t>
      </w:r>
      <w:r w:rsidRPr="00E52FBA">
        <w:t xml:space="preserve">, 10-year cumulative rates of false-positive mammography results and biopsies were higher with annual </w:t>
      </w:r>
      <w:r>
        <w:t>compared to</w:t>
      </w:r>
      <w:r w:rsidRPr="00E52FBA">
        <w:t xml:space="preserve"> biennial screening (61% vs. 42% and 7% vs. 5%, respectively)</w:t>
      </w:r>
      <w:proofErr w:type="gramStart"/>
      <w:r w:rsidR="00E87A08">
        <w:t xml:space="preserve">, </w:t>
      </w:r>
      <w:r w:rsidRPr="00E52FBA">
        <w:t xml:space="preserve"> </w:t>
      </w:r>
      <w:r w:rsidR="00E87A08">
        <w:t>including</w:t>
      </w:r>
      <w:proofErr w:type="gramEnd"/>
      <w:r w:rsidRPr="00E52FBA">
        <w:t xml:space="preserve"> for women with heterogeneously or extremely dense breasts, those aged 40–49 years, and those using combination hormone therapy.</w:t>
      </w:r>
      <w:r>
        <w:t xml:space="preserve"> The quality of these two studies are high, with good applicability and consistency; however, they do not report on all risk factors. Kerlikowske et al. </w:t>
      </w:r>
      <w:r w:rsidR="000B595A">
        <w:t>(</w:t>
      </w:r>
      <w:r>
        <w:t>201</w:t>
      </w:r>
      <w:r w:rsidR="00CE738F">
        <w:t>1</w:t>
      </w:r>
      <w:r w:rsidR="000B595A">
        <w:t>)</w:t>
      </w:r>
      <w:r>
        <w:t xml:space="preserve"> included 11,474 women with breast </w:t>
      </w:r>
      <w:r w:rsidR="00C175CE">
        <w:t>cancer and 922,642 without. Hubb</w:t>
      </w:r>
      <w:r>
        <w:t xml:space="preserve">ard et al. </w:t>
      </w:r>
      <w:r w:rsidR="000B595A">
        <w:t>(</w:t>
      </w:r>
      <w:r>
        <w:t>2011</w:t>
      </w:r>
      <w:r w:rsidR="000B595A">
        <w:t>)</w:t>
      </w:r>
      <w:r>
        <w:t xml:space="preserve"> had a study population of 169,456. </w:t>
      </w:r>
    </w:p>
    <w:p w14:paraId="57AE3188" w14:textId="0605E5E2" w:rsidR="003A536A" w:rsidRPr="00E52FBA" w:rsidRDefault="003A536A" w:rsidP="003A536A">
      <w:pPr>
        <w:pStyle w:val="BodyText"/>
      </w:pPr>
      <w:r>
        <w:t xml:space="preserve">No further commentary was provided by Nelson et al. on the implications of these studies so it is difficult to make any conclusions with regards to screening frequency and dense breasts. These findings are also reflected by the </w:t>
      </w:r>
      <w:r w:rsidRPr="00F16F38">
        <w:t xml:space="preserve">American Cancer Society </w:t>
      </w:r>
      <w:r>
        <w:t>(2018)</w:t>
      </w:r>
      <w:r w:rsidR="00E61968">
        <w:t xml:space="preserve">, which </w:t>
      </w:r>
      <w:r>
        <w:t xml:space="preserve">state that there is </w:t>
      </w:r>
      <w:r w:rsidRPr="00F16F38">
        <w:t>not enough evidence to make a recommendation for or against yearly MRI screening for women who have “extremely” or “heterogeneously”</w:t>
      </w:r>
      <w:r w:rsidR="00BB2B6B">
        <w:t xml:space="preserve"> </w:t>
      </w:r>
      <w:hyperlink r:id="rId29" w:history="1">
        <w:r w:rsidRPr="00F16F38">
          <w:t>dense breasts</w:t>
        </w:r>
      </w:hyperlink>
      <w:r w:rsidR="00BB2B6B">
        <w:t xml:space="preserve"> </w:t>
      </w:r>
      <w:r w:rsidRPr="00F16F38">
        <w:t>as seen on a mammogram</w:t>
      </w:r>
      <w:r>
        <w:t>. They also do not have any recommendations regarding mammogram frequency for women with more dense breasts.</w:t>
      </w:r>
    </w:p>
    <w:p w14:paraId="50AF18CE" w14:textId="692D5788" w:rsidR="003A536A" w:rsidRDefault="003A536A" w:rsidP="003A536A">
      <w:pPr>
        <w:pStyle w:val="NumberedHeading3"/>
      </w:pPr>
      <w:bookmarkStart w:id="107" w:name="_Toc507914443"/>
      <w:bookmarkStart w:id="108" w:name="_Toc507976168"/>
      <w:bookmarkStart w:id="109" w:name="_Toc518922220"/>
      <w:r>
        <w:t xml:space="preserve">Summary: </w:t>
      </w:r>
      <w:r w:rsidR="00962232" w:rsidRPr="0044553E">
        <w:t>supplementa</w:t>
      </w:r>
      <w:r w:rsidR="00962232">
        <w:t>l</w:t>
      </w:r>
      <w:r>
        <w:t xml:space="preserve"> </w:t>
      </w:r>
      <w:r w:rsidR="002D74B6">
        <w:t xml:space="preserve">testing </w:t>
      </w:r>
      <w:r>
        <w:t>and masking</w:t>
      </w:r>
      <w:bookmarkEnd w:id="107"/>
      <w:bookmarkEnd w:id="108"/>
      <w:bookmarkEnd w:id="109"/>
    </w:p>
    <w:p w14:paraId="47BA749B" w14:textId="4453F384" w:rsidR="00191AF3" w:rsidRDefault="003A536A" w:rsidP="003A536A">
      <w:pPr>
        <w:pStyle w:val="BodyText"/>
      </w:pPr>
      <w:r>
        <w:t xml:space="preserve">DBT, MRI, MBI and ultrasound are screening options that may be considered in addition to mammography for women with dense breasts. </w:t>
      </w:r>
      <w:r w:rsidRPr="00D7631F">
        <w:t xml:space="preserve">Women with dense breast tissue </w:t>
      </w:r>
      <w:r>
        <w:t xml:space="preserve">show improved </w:t>
      </w:r>
      <w:r w:rsidR="00761B6F">
        <w:t>CDR</w:t>
      </w:r>
      <w:r>
        <w:t xml:space="preserve"> with these </w:t>
      </w:r>
      <w:r w:rsidR="00962232" w:rsidRPr="0044553E">
        <w:t>supplementa</w:t>
      </w:r>
      <w:r w:rsidR="00962232">
        <w:t>l</w:t>
      </w:r>
      <w:r>
        <w:t xml:space="preserve"> </w:t>
      </w:r>
      <w:r w:rsidR="002D74B6">
        <w:t xml:space="preserve">testing </w:t>
      </w:r>
      <w:r>
        <w:t xml:space="preserve">modalities. While </w:t>
      </w:r>
      <w:r w:rsidR="00962232" w:rsidRPr="0044553E">
        <w:t>supplementa</w:t>
      </w:r>
      <w:r w:rsidR="00962232">
        <w:t>l</w:t>
      </w:r>
      <w:r>
        <w:t xml:space="preserve"> </w:t>
      </w:r>
      <w:r w:rsidR="002D74B6">
        <w:t xml:space="preserve">testing </w:t>
      </w:r>
      <w:r>
        <w:t xml:space="preserve">is useful for improving </w:t>
      </w:r>
      <w:r w:rsidR="00761B6F">
        <w:t>CDR</w:t>
      </w:r>
      <w:r>
        <w:t xml:space="preserve">, it does increase false positive and recall rates, which can lead to further testing including biopsies, increased anxiety, inconvenience, and additional cost. Furthermore, it is important to recognise that this is a rapidly evolving ﬁeld with new imaging techniques regularly being developed (such as optical mammography). Consensus on which additional modality is best </w:t>
      </w:r>
      <w:r>
        <w:lastRenderedPageBreak/>
        <w:t xml:space="preserve">has not yet been reached and there is no best method for measuring masking. Each </w:t>
      </w:r>
      <w:r w:rsidR="00962232" w:rsidRPr="0044553E">
        <w:t>supplementa</w:t>
      </w:r>
      <w:r w:rsidR="00962232">
        <w:t>l</w:t>
      </w:r>
      <w:r>
        <w:t xml:space="preserve"> </w:t>
      </w:r>
      <w:r w:rsidR="002D74B6">
        <w:t xml:space="preserve">imaging </w:t>
      </w:r>
      <w:r>
        <w:t xml:space="preserve">modality provides trade-offs via their advantages and disadvantages. </w:t>
      </w:r>
    </w:p>
    <w:p w14:paraId="68576DFA" w14:textId="11894022" w:rsidR="003A536A" w:rsidRDefault="003A536A" w:rsidP="003A536A">
      <w:pPr>
        <w:pStyle w:val="BodyText"/>
      </w:pPr>
      <w:r>
        <w:t xml:space="preserve">There is no evidence to determine best screening frequencies, although </w:t>
      </w:r>
      <w:r w:rsidR="008D405F">
        <w:t>some</w:t>
      </w:r>
      <w:r>
        <w:t xml:space="preserve"> studies suggest annual screening in high risk women, includ</w:t>
      </w:r>
      <w:r w:rsidR="00E61968">
        <w:t>ing</w:t>
      </w:r>
      <w:r>
        <w:t xml:space="preserve"> those who have more dense breasts. To be able to</w:t>
      </w:r>
      <w:r w:rsidRPr="00A92E6C">
        <w:t xml:space="preserve"> define meaningful clinical outcomes of women with dense breasts, well-designed, long-term prospective, comparative studies of supplemental </w:t>
      </w:r>
      <w:r w:rsidR="002D74B6">
        <w:t>imaging</w:t>
      </w:r>
      <w:r w:rsidR="002D74B6" w:rsidRPr="00A92E6C">
        <w:t xml:space="preserve"> </w:t>
      </w:r>
      <w:r w:rsidRPr="00A92E6C">
        <w:t>are needed</w:t>
      </w:r>
      <w:r>
        <w:t xml:space="preserve">. As DBT becomes more common place as a screening tool, studies will need to evaluate if additional </w:t>
      </w:r>
      <w:r w:rsidR="002D74B6">
        <w:t xml:space="preserve">testing </w:t>
      </w:r>
      <w:r>
        <w:t>is still required for women with dense breasts if research complexities associated with the definition of ‘dense breasts’ are overcome (</w:t>
      </w:r>
      <w:r w:rsidR="00491761">
        <w:t>i.e.,</w:t>
      </w:r>
      <w:r>
        <w:t xml:space="preserve"> studies compare </w:t>
      </w:r>
      <w:r w:rsidR="00275D65">
        <w:t>BIRADS</w:t>
      </w:r>
      <w:r>
        <w:t xml:space="preserve"> 1 to </w:t>
      </w:r>
      <w:r w:rsidR="00275D65">
        <w:t>BIRADS</w:t>
      </w:r>
      <w:r>
        <w:t xml:space="preserve"> 4). Further research is also needed to understand what information </w:t>
      </w:r>
      <w:r w:rsidR="00AB7545">
        <w:t>women</w:t>
      </w:r>
      <w:r>
        <w:t xml:space="preserve"> and healthcare professionals need to be informed </w:t>
      </w:r>
      <w:r w:rsidR="00E61968">
        <w:t>as</w:t>
      </w:r>
      <w:r>
        <w:t xml:space="preserve"> the long-term effect on morbidity and mortality related to these supplemental </w:t>
      </w:r>
      <w:r w:rsidR="002D74B6">
        <w:t xml:space="preserve">imaging </w:t>
      </w:r>
      <w:r>
        <w:t>tests is unclear.</w:t>
      </w:r>
    </w:p>
    <w:p w14:paraId="7D22F32C" w14:textId="77777777" w:rsidR="007E4FE4" w:rsidRDefault="007E4FE4">
      <w:r>
        <w:br w:type="page"/>
      </w:r>
    </w:p>
    <w:p w14:paraId="40D7D9A4" w14:textId="77777777" w:rsidR="007E4FE4" w:rsidRPr="00E44152" w:rsidRDefault="007E4FE4" w:rsidP="007E4FE4">
      <w:pPr>
        <w:pStyle w:val="NumberedHeading1"/>
        <w:jc w:val="both"/>
      </w:pPr>
      <w:bookmarkStart w:id="110" w:name="_Toc518922221"/>
      <w:r>
        <w:lastRenderedPageBreak/>
        <w:t>A</w:t>
      </w:r>
      <w:r w:rsidRPr="00E44152">
        <w:t xml:space="preserve">ssessment of </w:t>
      </w:r>
      <w:r w:rsidRPr="002331C2">
        <w:t>evidence</w:t>
      </w:r>
      <w:r w:rsidRPr="00E44152">
        <w:t xml:space="preserve"> and presentation of results: </w:t>
      </w:r>
      <w:r>
        <w:t>The impact of breast density on clinical outcomes</w:t>
      </w:r>
      <w:bookmarkEnd w:id="110"/>
    </w:p>
    <w:p w14:paraId="33C54FC1" w14:textId="22F4AE6A" w:rsidR="00182760" w:rsidRDefault="00B74FF4" w:rsidP="000C2C53">
      <w:pPr>
        <w:pStyle w:val="List-BulletLvl1"/>
        <w:numPr>
          <w:ilvl w:val="0"/>
          <w:numId w:val="0"/>
        </w:numPr>
      </w:pPr>
      <w:r w:rsidRPr="00B74FF4">
        <w:t>Mandatory dense breast tissue notifications have gained momentum in the United States since Connecticut passed the first notification law in 2009</w:t>
      </w:r>
      <w:r w:rsidR="000C2C53">
        <w:t>, which required women to be told breast density findings</w:t>
      </w:r>
      <w:r w:rsidRPr="00B74FF4">
        <w:t xml:space="preserve">. Since approximately 50% of all women </w:t>
      </w:r>
      <w:r w:rsidR="002F1DD5">
        <w:t xml:space="preserve">over </w:t>
      </w:r>
      <w:r w:rsidRPr="00B74FF4">
        <w:t>the age of 40</w:t>
      </w:r>
      <w:r w:rsidR="000C2C53">
        <w:t xml:space="preserve"> years</w:t>
      </w:r>
      <w:r w:rsidRPr="00B74FF4">
        <w:t xml:space="preserve"> have heterogeneously or extremely dense breast tissue, notification laws impact a large number of women</w:t>
      </w:r>
      <w:r w:rsidR="000C2C53">
        <w:t xml:space="preserve">. This </w:t>
      </w:r>
      <w:r w:rsidRPr="00B74FF4">
        <w:t xml:space="preserve">may have </w:t>
      </w:r>
      <w:r w:rsidR="007803D3" w:rsidRPr="00B74FF4">
        <w:t>far-reaching</w:t>
      </w:r>
      <w:r w:rsidRPr="00B74FF4">
        <w:t xml:space="preserve"> consequences </w:t>
      </w:r>
      <w:r w:rsidR="000C2C53">
        <w:t>for</w:t>
      </w:r>
      <w:r w:rsidR="000C2C53" w:rsidRPr="00B74FF4">
        <w:t xml:space="preserve"> </w:t>
      </w:r>
      <w:r w:rsidRPr="00B74FF4">
        <w:t xml:space="preserve">women’s </w:t>
      </w:r>
      <w:r w:rsidR="000C2C53">
        <w:t xml:space="preserve">understanding </w:t>
      </w:r>
      <w:r w:rsidRPr="00B74FF4">
        <w:t>of breast cancer risk</w:t>
      </w:r>
      <w:r w:rsidR="000C2C53">
        <w:t xml:space="preserve"> and the impact on this understanding on health-seeking behaviour</w:t>
      </w:r>
      <w:r w:rsidRPr="00B74FF4">
        <w:t xml:space="preserve">, </w:t>
      </w:r>
      <w:r w:rsidR="00EE47EE">
        <w:t xml:space="preserve">including </w:t>
      </w:r>
      <w:r w:rsidR="000C2C53">
        <w:t>feeling less informed about screening-related participation, concern about the lower sensitivity of mammography in women with dense breasts and how this affects individual women’s decision to continue participation or re-enter a screening program post-diagnosis and treatment and anxiety</w:t>
      </w:r>
      <w:r w:rsidRPr="00B74FF4">
        <w:t>.</w:t>
      </w:r>
    </w:p>
    <w:p w14:paraId="33917D86" w14:textId="14A01965" w:rsidR="00182760" w:rsidRDefault="00B74FF4" w:rsidP="0035702E">
      <w:pPr>
        <w:pStyle w:val="List-BulletLvl1"/>
        <w:numPr>
          <w:ilvl w:val="0"/>
          <w:numId w:val="0"/>
        </w:numPr>
        <w:rPr>
          <w:color w:val="000000"/>
        </w:rPr>
      </w:pPr>
      <w:r w:rsidRPr="00B74FF4">
        <w:t>T</w:t>
      </w:r>
      <w:r w:rsidR="00182760" w:rsidRPr="00B74FF4">
        <w:t xml:space="preserve">he </w:t>
      </w:r>
      <w:r w:rsidRPr="00B74FF4">
        <w:t>role of notification is contentious</w:t>
      </w:r>
      <w:r w:rsidR="002F1DD5">
        <w:t>. S</w:t>
      </w:r>
      <w:r w:rsidRPr="00B74FF4">
        <w:t>ome</w:t>
      </w:r>
      <w:r w:rsidR="002F1DD5">
        <w:t xml:space="preserve"> researchers reported that notification </w:t>
      </w:r>
      <w:r w:rsidRPr="00B74FF4">
        <w:t xml:space="preserve">promotes </w:t>
      </w:r>
      <w:r w:rsidR="00AB7545">
        <w:t>women’s</w:t>
      </w:r>
      <w:r w:rsidRPr="00B74FF4">
        <w:t xml:space="preserve"> awareness of breast density and can be beneficial (Cappello, 2013) </w:t>
      </w:r>
      <w:r w:rsidR="00182760" w:rsidRPr="00B74FF4">
        <w:t xml:space="preserve">whereas others have argued notifications may inflate risk perceptions without improving </w:t>
      </w:r>
      <w:r w:rsidR="00AB7545">
        <w:t xml:space="preserve">women’s </w:t>
      </w:r>
      <w:r w:rsidR="00182760" w:rsidRPr="00B74FF4">
        <w:t>health</w:t>
      </w:r>
      <w:r w:rsidRPr="00B74FF4">
        <w:t xml:space="preserve"> (Ho et al., 2013)</w:t>
      </w:r>
      <w:r w:rsidR="00182760" w:rsidRPr="00B74FF4">
        <w:t xml:space="preserve">. </w:t>
      </w:r>
      <w:r w:rsidR="00182760" w:rsidRPr="00CE738F">
        <w:t>Although the American College of Radiology (ACR</w:t>
      </w:r>
      <w:r w:rsidRPr="00CE738F">
        <w:t>, 201</w:t>
      </w:r>
      <w:r w:rsidR="00CE738F" w:rsidRPr="00CE738F">
        <w:t>4</w:t>
      </w:r>
      <w:r w:rsidR="00182760" w:rsidRPr="00CE738F">
        <w:t>) does not oppose notification laws, a 201</w:t>
      </w:r>
      <w:r w:rsidR="00CE738F" w:rsidRPr="00CE738F">
        <w:t>4</w:t>
      </w:r>
      <w:r w:rsidR="00182760" w:rsidRPr="00CE738F">
        <w:t xml:space="preserve"> ACR position paper expressed concern that notifications may unduly increase a</w:t>
      </w:r>
      <w:r w:rsidR="007803D3" w:rsidRPr="00CE738F">
        <w:t>nxiety about breast cancer risk. This may also e</w:t>
      </w:r>
      <w:r w:rsidR="00182760" w:rsidRPr="00CE738F">
        <w:t xml:space="preserve">ncourage </w:t>
      </w:r>
      <w:r w:rsidR="0035702E" w:rsidRPr="00CE738F">
        <w:t xml:space="preserve">consumer demand for (and private practice provision of) </w:t>
      </w:r>
      <w:r w:rsidR="00182760" w:rsidRPr="00CE738F">
        <w:t xml:space="preserve">widespread </w:t>
      </w:r>
      <w:r w:rsidR="0035702E" w:rsidRPr="00CE738F">
        <w:t xml:space="preserve">breast cancer screening by </w:t>
      </w:r>
      <w:r w:rsidR="000C2C53">
        <w:t xml:space="preserve">imaging techniques with lower specificity than mammography (eg, </w:t>
      </w:r>
      <w:r w:rsidR="00182760" w:rsidRPr="00CE738F">
        <w:t xml:space="preserve">ultrasound </w:t>
      </w:r>
      <w:r w:rsidR="0035702E" w:rsidRPr="00CE738F">
        <w:t xml:space="preserve">and/or </w:t>
      </w:r>
      <w:r w:rsidR="007803D3" w:rsidRPr="00CE738F">
        <w:t>MRI</w:t>
      </w:r>
      <w:r w:rsidR="000C2C53">
        <w:t>)</w:t>
      </w:r>
      <w:r w:rsidR="007803D3" w:rsidRPr="00CE738F">
        <w:t xml:space="preserve"> before </w:t>
      </w:r>
      <w:r w:rsidR="0035702E" w:rsidRPr="00CE738F">
        <w:t>RCTs</w:t>
      </w:r>
      <w:r w:rsidR="00182760" w:rsidRPr="00CE738F">
        <w:t xml:space="preserve"> have</w:t>
      </w:r>
      <w:r w:rsidR="00182760" w:rsidRPr="00B74FF4">
        <w:t xml:space="preserve"> established </w:t>
      </w:r>
      <w:r w:rsidR="0035702E">
        <w:t xml:space="preserve">whether the use of such screening modalities improves long-term health outcomes for </w:t>
      </w:r>
      <w:r w:rsidR="00182760" w:rsidRPr="00B74FF4">
        <w:t>women with dense breast tissue</w:t>
      </w:r>
      <w:r w:rsidR="0035702E">
        <w:t xml:space="preserve">. </w:t>
      </w:r>
      <w:r w:rsidR="000C2C53">
        <w:t xml:space="preserve">There is also concern that notification </w:t>
      </w:r>
      <w:r w:rsidR="0035702E">
        <w:t xml:space="preserve">could </w:t>
      </w:r>
      <w:r w:rsidR="00182760" w:rsidRPr="00B74FF4">
        <w:t>increase screening disparities, as costs will prohibit some women but not others from receiving additional tests</w:t>
      </w:r>
      <w:r w:rsidR="00182760">
        <w:rPr>
          <w:color w:val="000000"/>
        </w:rPr>
        <w:t>.</w:t>
      </w:r>
      <w:r w:rsidR="00CE738F">
        <w:rPr>
          <w:color w:val="000000"/>
        </w:rPr>
        <w:t xml:space="preserve"> I</w:t>
      </w:r>
      <w:r w:rsidR="00191AF3">
        <w:rPr>
          <w:color w:val="000000"/>
        </w:rPr>
        <w:t>n</w:t>
      </w:r>
      <w:r w:rsidR="00CE738F">
        <w:rPr>
          <w:color w:val="000000"/>
        </w:rPr>
        <w:t xml:space="preserve"> 2017, the ACR updated its position statement to say that the provision of information about </w:t>
      </w:r>
      <w:r w:rsidR="000C2C53">
        <w:rPr>
          <w:color w:val="000000"/>
        </w:rPr>
        <w:t xml:space="preserve">breast </w:t>
      </w:r>
      <w:r w:rsidR="00CE738F">
        <w:rPr>
          <w:color w:val="000000"/>
        </w:rPr>
        <w:t>density may help inform dialogue between women and health practitioners.</w:t>
      </w:r>
    </w:p>
    <w:p w14:paraId="6F89526C" w14:textId="3260BDAD" w:rsidR="007E4FE4" w:rsidRDefault="007E4FE4" w:rsidP="007E4FE4">
      <w:pPr>
        <w:pStyle w:val="BodyText"/>
      </w:pPr>
      <w:bookmarkStart w:id="111" w:name="_Hlk507673979"/>
      <w:r>
        <w:t xml:space="preserve">Chapter </w:t>
      </w:r>
      <w:r w:rsidR="00BD4688">
        <w:t>4</w:t>
      </w:r>
      <w:r>
        <w:t xml:space="preserve"> of this report</w:t>
      </w:r>
      <w:r w:rsidR="007803D3">
        <w:t xml:space="preserve"> </w:t>
      </w:r>
      <w:r w:rsidR="00CE738F">
        <w:t>investigates systematic</w:t>
      </w:r>
      <w:r>
        <w:t xml:space="preserve"> review</w:t>
      </w:r>
      <w:r w:rsidR="00091133">
        <w:t>s</w:t>
      </w:r>
      <w:r>
        <w:t xml:space="preserve"> and narrative literature </w:t>
      </w:r>
      <w:r w:rsidR="0035702E">
        <w:t xml:space="preserve">reporting </w:t>
      </w:r>
      <w:r>
        <w:t>on:</w:t>
      </w:r>
    </w:p>
    <w:p w14:paraId="022BE3C9" w14:textId="77777777" w:rsidR="00182760" w:rsidRPr="00261D24" w:rsidRDefault="0035702E" w:rsidP="00182760">
      <w:pPr>
        <w:pStyle w:val="List-BulletLvl1"/>
      </w:pPr>
      <w:r>
        <w:t>p</w:t>
      </w:r>
      <w:r w:rsidR="00182760">
        <w:t xml:space="preserve">hysical health outcomes for women who have received information about their breast density, and </w:t>
      </w:r>
    </w:p>
    <w:p w14:paraId="68CE54E2" w14:textId="77777777" w:rsidR="00182760" w:rsidRDefault="0035702E" w:rsidP="00182760">
      <w:pPr>
        <w:pStyle w:val="List-BulletLvl1"/>
      </w:pPr>
      <w:proofErr w:type="gramStart"/>
      <w:r>
        <w:t>m</w:t>
      </w:r>
      <w:r w:rsidR="00182760">
        <w:t>ental</w:t>
      </w:r>
      <w:proofErr w:type="gramEnd"/>
      <w:r w:rsidR="00182760">
        <w:t xml:space="preserve"> health</w:t>
      </w:r>
      <w:r w:rsidR="00BD4688">
        <w:t xml:space="preserve"> outcomes for women who have received information about their breast density.</w:t>
      </w:r>
      <w:r w:rsidR="00182760" w:rsidRPr="00182760">
        <w:t xml:space="preserve"> </w:t>
      </w:r>
    </w:p>
    <w:bookmarkEnd w:id="111"/>
    <w:p w14:paraId="4E9B4B27" w14:textId="77777777" w:rsidR="007E4FE4" w:rsidRPr="00490E4B" w:rsidRDefault="007E4FE4" w:rsidP="007E4FE4">
      <w:pPr>
        <w:pStyle w:val="BodyText"/>
      </w:pPr>
      <w:r w:rsidRPr="002331C2">
        <w:t xml:space="preserve">The discussion for each </w:t>
      </w:r>
      <w:r>
        <w:t xml:space="preserve">area of interest </w:t>
      </w:r>
      <w:r w:rsidRPr="002331C2">
        <w:t xml:space="preserve">includes a description of the number of </w:t>
      </w:r>
      <w:r w:rsidR="00E70495">
        <w:t>articles</w:t>
      </w:r>
      <w:r w:rsidRPr="002331C2">
        <w:t xml:space="preserve"> and a summary of the results from all studies. Detailed study tables provide additional material about </w:t>
      </w:r>
      <w:r w:rsidRPr="00490E4B">
        <w:t xml:space="preserve">study population, methodology, intervention, comparator and key results. </w:t>
      </w:r>
    </w:p>
    <w:p w14:paraId="369EFAF9" w14:textId="66554910" w:rsidR="00E70495" w:rsidRPr="00490E4B" w:rsidRDefault="00072998" w:rsidP="007E4FE4">
      <w:pPr>
        <w:pStyle w:val="BodyText"/>
      </w:pPr>
      <w:r w:rsidRPr="00490E4B">
        <w:t>Overall</w:t>
      </w:r>
      <w:r w:rsidR="00D4118B" w:rsidRPr="00490E4B">
        <w:t>,</w:t>
      </w:r>
      <w:r w:rsidRPr="00490E4B">
        <w:t xml:space="preserve"> the literature in this area is scarce and is mainly focused in the United States</w:t>
      </w:r>
      <w:r w:rsidR="00490E4B">
        <w:t xml:space="preserve">. Available </w:t>
      </w:r>
      <w:r w:rsidRPr="00490E4B">
        <w:t xml:space="preserve">literature is mainly in the form of </w:t>
      </w:r>
      <w:r w:rsidR="00D4118B" w:rsidRPr="00490E4B">
        <w:t>observation</w:t>
      </w:r>
      <w:r w:rsidRPr="00490E4B">
        <w:t xml:space="preserve"> studies and of low quality. </w:t>
      </w:r>
    </w:p>
    <w:p w14:paraId="0C0EFA34" w14:textId="77777777" w:rsidR="00182760" w:rsidRPr="00490E4B" w:rsidRDefault="00182760" w:rsidP="00182760">
      <w:pPr>
        <w:pStyle w:val="NumberedHeading2"/>
      </w:pPr>
      <w:bookmarkStart w:id="112" w:name="_Toc518922222"/>
      <w:r w:rsidRPr="00490E4B">
        <w:t>Physical health outcomes</w:t>
      </w:r>
      <w:bookmarkEnd w:id="112"/>
    </w:p>
    <w:p w14:paraId="35A144E7" w14:textId="77777777" w:rsidR="00E77882" w:rsidRDefault="00182760" w:rsidP="00182760">
      <w:pPr>
        <w:pStyle w:val="BodyText"/>
      </w:pPr>
      <w:r>
        <w:t>Information about tumour characteristics (type, size and grade), s</w:t>
      </w:r>
      <w:r w:rsidRPr="00E753A2">
        <w:t>tage and volume-specific incidence patterns of breast cancer diagnosis can over time provide evidence of a</w:t>
      </w:r>
      <w:r>
        <w:t xml:space="preserve"> more or less </w:t>
      </w:r>
      <w:r w:rsidRPr="00E753A2">
        <w:t>effective screening program.</w:t>
      </w:r>
      <w:r w:rsidR="00E70495">
        <w:t xml:space="preserve"> Also, </w:t>
      </w:r>
      <w:r w:rsidR="00E77882">
        <w:t xml:space="preserve">information about </w:t>
      </w:r>
      <w:r w:rsidR="00E70495">
        <w:t>long-term</w:t>
      </w:r>
      <w:r w:rsidR="00E77882">
        <w:t xml:space="preserve"> improvements in health outcomes are critical for determining whether the use of a screening technique (or approach to screening) should be recommended. </w:t>
      </w:r>
    </w:p>
    <w:p w14:paraId="06DD2B9C" w14:textId="2B2738C2" w:rsidR="00182760" w:rsidRDefault="00E77882" w:rsidP="00182760">
      <w:pPr>
        <w:pStyle w:val="BodyText"/>
      </w:pPr>
      <w:r>
        <w:lastRenderedPageBreak/>
        <w:t>G</w:t>
      </w:r>
      <w:r w:rsidR="00182760">
        <w:t>iven the relative</w:t>
      </w:r>
      <w:r>
        <w:t>ly</w:t>
      </w:r>
      <w:r w:rsidR="00182760">
        <w:t xml:space="preserve"> recent advent of breast</w:t>
      </w:r>
      <w:r w:rsidR="000E50EE">
        <w:t xml:space="preserve"> density</w:t>
      </w:r>
      <w:r w:rsidR="00182760">
        <w:t xml:space="preserve"> notification, the follow-up for studies reporting on breast density notification and physical health outcomes has not been sufficiently long enough to draw conclusions </w:t>
      </w:r>
      <w:r>
        <w:t xml:space="preserve">about the relationship </w:t>
      </w:r>
      <w:r w:rsidR="00182760">
        <w:t xml:space="preserve">between breast density notification and the impact on the stage/volume of breast cancer diagnosis. </w:t>
      </w:r>
      <w:r w:rsidR="00E23800">
        <w:t>We also do not</w:t>
      </w:r>
      <w:r w:rsidR="00F35DF0">
        <w:t xml:space="preserve"> know whether long-term health outcomes related to breast cancer differ </w:t>
      </w:r>
      <w:r w:rsidR="00E23800">
        <w:t>for women whose only risk factor for breast cancer is having more dense breasts</w:t>
      </w:r>
      <w:r w:rsidR="00F35DF0">
        <w:t xml:space="preserve"> compared to other average-risk women</w:t>
      </w:r>
      <w:r w:rsidR="00E23800">
        <w:t xml:space="preserve">. </w:t>
      </w:r>
      <w:r>
        <w:t>That is, we do not yet know if knowing breast density improves health outcomes compared to not knowing</w:t>
      </w:r>
      <w:r w:rsidR="000C2C53">
        <w:t xml:space="preserve"> or the mechanism by which this would occur</w:t>
      </w:r>
      <w:r>
        <w:t>.</w:t>
      </w:r>
    </w:p>
    <w:p w14:paraId="15FB4E6A" w14:textId="77777777" w:rsidR="00F35DF0" w:rsidRPr="00F35DF0" w:rsidRDefault="00F35DF0" w:rsidP="00182760">
      <w:pPr>
        <w:pStyle w:val="BodyText"/>
        <w:rPr>
          <w:color w:val="FF0000"/>
        </w:rPr>
      </w:pPr>
      <w:r>
        <w:t>Our review returned very few studies that investigated long-term physical health outcomes.</w:t>
      </w:r>
      <w:r w:rsidRPr="00F35DF0">
        <w:rPr>
          <w:color w:val="FF0000"/>
        </w:rPr>
        <w:t xml:space="preserve"> </w:t>
      </w:r>
    </w:p>
    <w:p w14:paraId="64FC060F" w14:textId="77777777" w:rsidR="00182760" w:rsidRPr="00A73E92" w:rsidRDefault="00182760" w:rsidP="00A73E92">
      <w:pPr>
        <w:pStyle w:val="BodyText"/>
        <w:ind w:left="567"/>
        <w:rPr>
          <w:rFonts w:asciiTheme="majorHAnsi" w:hAnsiTheme="majorHAnsi"/>
          <w:b/>
          <w:color w:val="36424A" w:themeColor="text2"/>
          <w:sz w:val="24"/>
        </w:rPr>
      </w:pPr>
      <w:r w:rsidRPr="00A73E92">
        <w:rPr>
          <w:rFonts w:asciiTheme="majorHAnsi" w:hAnsiTheme="majorHAnsi"/>
          <w:b/>
          <w:color w:val="36424A" w:themeColor="text2"/>
          <w:sz w:val="24"/>
        </w:rPr>
        <w:t>Systematic reviews</w:t>
      </w:r>
    </w:p>
    <w:p w14:paraId="33814737" w14:textId="77777777" w:rsidR="00182760" w:rsidRPr="00E00498" w:rsidRDefault="00182760" w:rsidP="00A73E92">
      <w:pPr>
        <w:pStyle w:val="BodyText"/>
        <w:ind w:left="567"/>
      </w:pPr>
      <w:r w:rsidRPr="00E00498">
        <w:t>No systematic reviews</w:t>
      </w:r>
      <w:r>
        <w:t xml:space="preserve"> identified.</w:t>
      </w:r>
    </w:p>
    <w:p w14:paraId="0195D3B0" w14:textId="77777777" w:rsidR="00182760" w:rsidRPr="00A73E92" w:rsidRDefault="00182760" w:rsidP="00A73E92">
      <w:pPr>
        <w:pStyle w:val="BodyText"/>
        <w:ind w:left="567"/>
        <w:rPr>
          <w:rFonts w:asciiTheme="majorHAnsi" w:hAnsiTheme="majorHAnsi"/>
          <w:b/>
          <w:color w:val="36424A" w:themeColor="text2"/>
          <w:sz w:val="24"/>
        </w:rPr>
      </w:pPr>
      <w:r w:rsidRPr="00A73E92">
        <w:rPr>
          <w:rFonts w:asciiTheme="majorHAnsi" w:hAnsiTheme="majorHAnsi"/>
          <w:b/>
          <w:color w:val="36424A" w:themeColor="text2"/>
          <w:sz w:val="24"/>
        </w:rPr>
        <w:t>Narrative literature reviews</w:t>
      </w:r>
    </w:p>
    <w:p w14:paraId="6BE6BE15" w14:textId="77777777" w:rsidR="00182760" w:rsidRPr="00E00498" w:rsidRDefault="00182760" w:rsidP="00A73E92">
      <w:pPr>
        <w:pStyle w:val="BodyText"/>
        <w:ind w:left="567"/>
      </w:pPr>
      <w:r w:rsidRPr="00E00498">
        <w:t>No literature reviews</w:t>
      </w:r>
      <w:r>
        <w:t xml:space="preserve"> identified.</w:t>
      </w:r>
    </w:p>
    <w:p w14:paraId="0E171FD9" w14:textId="77777777" w:rsidR="00182760" w:rsidRPr="00A73E92" w:rsidRDefault="00182760" w:rsidP="00A73E92">
      <w:pPr>
        <w:pStyle w:val="BodyText"/>
        <w:ind w:left="567"/>
        <w:rPr>
          <w:rFonts w:asciiTheme="majorHAnsi" w:hAnsiTheme="majorHAnsi"/>
          <w:b/>
          <w:color w:val="36424A" w:themeColor="text2"/>
          <w:sz w:val="24"/>
        </w:rPr>
      </w:pPr>
      <w:r w:rsidRPr="00A73E92">
        <w:rPr>
          <w:rFonts w:asciiTheme="majorHAnsi" w:hAnsiTheme="majorHAnsi"/>
          <w:b/>
          <w:color w:val="36424A" w:themeColor="text2"/>
          <w:sz w:val="24"/>
        </w:rPr>
        <w:t>Observational studies</w:t>
      </w:r>
    </w:p>
    <w:p w14:paraId="282D7C5C" w14:textId="77777777" w:rsidR="00182760" w:rsidRPr="001D235E" w:rsidRDefault="00182760" w:rsidP="00A73E92">
      <w:pPr>
        <w:pStyle w:val="BodyText"/>
        <w:ind w:left="567"/>
      </w:pPr>
      <w:r w:rsidRPr="00E00498">
        <w:t xml:space="preserve">Two studies: </w:t>
      </w:r>
      <w:r w:rsidRPr="00E00498">
        <w:rPr>
          <w:rFonts w:ascii="Cambria" w:hAnsi="Cambria"/>
        </w:rPr>
        <w:t>Richman</w:t>
      </w:r>
      <w:r w:rsidRPr="00C72EC4">
        <w:rPr>
          <w:rFonts w:ascii="Cambria" w:hAnsi="Cambria"/>
        </w:rPr>
        <w:t>, Asch, Bendavid, Bhattacharya, &amp; Owens</w:t>
      </w:r>
      <w:r>
        <w:rPr>
          <w:rFonts w:ascii="Cambria" w:hAnsi="Cambria"/>
        </w:rPr>
        <w:t xml:space="preserve"> (</w:t>
      </w:r>
      <w:r w:rsidRPr="00C72EC4">
        <w:rPr>
          <w:rFonts w:ascii="Cambria" w:hAnsi="Cambria"/>
        </w:rPr>
        <w:t>2017)</w:t>
      </w:r>
      <w:r>
        <w:rPr>
          <w:rFonts w:ascii="Cambria" w:hAnsi="Cambria"/>
        </w:rPr>
        <w:t xml:space="preserve">; </w:t>
      </w:r>
      <w:r>
        <w:fldChar w:fldCharType="begin"/>
      </w:r>
      <w:r>
        <w:instrText xml:space="preserve"> ADDIN ZOTERO_ITEM CSL_CITATION {"citationID":"ciab5v4e7","properties":{"formattedCitation":"(Sanders, King, &amp; Goodman, 2016)","plainCitation":"(Sanders, King, &amp; Goodman, 2016)"},"citationItems":[{"id":40,"uris":["http://zotero.org/users/local/2fBHA0Hy/items/ABRBZVEJ"],"uri":["http://zotero.org/users/local/2fBHA0Hy/items/ABRBZVEJ"],"itemData":{"id":40,"type":"article-journal","title":"Impact of the New Jersey Breast Density Law on Imaging and Intervention Volumes and Breast Cancer Diagnosis","container-title":"Journal of the American College of Radiology","page":"1189-1194","volume":"13","issue":"10","abstract":"Purpose Increased breast density is acknowledged as an independent risk factor for breast cancer and may obscure malignancy on mammography. Approximately half of all mammograms depict dense breasts. Legislation related to mandatory breast density notification was first enacted in Connecticut in 2009. On May 1, 2014, New Jersey joined other states with similar legislation. The New Jersey breast density law (NJBDL) mandates that mammography reports acknowledge the relevance and masking effect of mammographic breast density. The aim of this study was to assess the impact of the NJBDL at one of the state's largest ACR-accredited breast centers. Methods A retrospective chart review was performed to determine changes in imaging and intervention utilization and modality of cancer diagnosis after enactment of the legislation. Data for the present study were extracted from a review of all patients with core biopsy-proven malignancy at a large outpatient breast center between November 1, 2012, and October 31, 2015. Data were divided into the 18-month period before the implementation of the NJBDL (November 1, 2012 to April 30, 2014) and the 18-month period after passage of the law (May 1, 2014 to October 31, 2015). Results Screening ultrasound increased significantly after the implementation of the NJBDL, by 651% (1,530 vs 11,486). MRI utilization increased by 59.3% (2,595 vs 4,134). A total of 1,213 cancers were included in the final analysis, 592 in the first time period and 621 after law implementation. Breast cancer was most commonly detected on screening mammography, followed by diagnostic mammography with ultrasound for palpable concern, in both time periods. Of the 621 cancers analyzed, 26.1% (n = 162) were found in patients 50 years of age or younger. Results demonstrated that with respect to how malignancies were detected, age and average mammographic density were both statistically significant (P = .002). Conclusions The NJBDL succeeded in publicizing the masking effect of dense breasts. The number of supplemental screening ultrasound and MRI examinations increased after the implementation of this legislation. An efficacy analysis affirmed the high sensitivity of screening MRI compared with other modalities. The use of MRI increased core biopsy efficiency and reduced the number of biopsies needed per cancer diagnosed.Copyright © 2016 American College of Radiology","DOI":"10.1016/j.jacr.2016.05.005","ISSN":"1546-1440 1558-349X","shortTitle":"Impact of the New Jersey Breast Density Law on Imaging and Intervention Volumes and Breast Cancer Diagnosis","author":[{"family":"Sanders","given":"L. M."},{"family":"King","given":"A. B."},{"family":"Goodman","given":"K. S."}],"issued":{"date-parts":[["2016"]]}}}],"schema":"https://github.com/citation-style-language/schema/raw/master/csl-citation.json"} </w:instrText>
      </w:r>
      <w:r>
        <w:fldChar w:fldCharType="separate"/>
      </w:r>
      <w:r w:rsidRPr="006E2151">
        <w:rPr>
          <w:rFonts w:ascii="Cambria" w:hAnsi="Cambria"/>
        </w:rPr>
        <w:t xml:space="preserve">Sanders, King, &amp; Goodman </w:t>
      </w:r>
      <w:r>
        <w:rPr>
          <w:rFonts w:ascii="Cambria" w:hAnsi="Cambria"/>
        </w:rPr>
        <w:t>(</w:t>
      </w:r>
      <w:r w:rsidRPr="006E2151">
        <w:rPr>
          <w:rFonts w:ascii="Cambria" w:hAnsi="Cambria"/>
        </w:rPr>
        <w:t>2016</w:t>
      </w:r>
      <w:r>
        <w:fldChar w:fldCharType="end"/>
      </w:r>
      <w:r w:rsidR="001D235E">
        <w:t>)</w:t>
      </w:r>
    </w:p>
    <w:p w14:paraId="415241BD" w14:textId="77777777" w:rsidR="006C415F" w:rsidRPr="0013484B"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13484B">
        <w:rPr>
          <w:b/>
        </w:rPr>
        <w:t>Key findings</w:t>
      </w:r>
      <w:r>
        <w:rPr>
          <w:b/>
        </w:rPr>
        <w:t xml:space="preserve"> about notification and physical health outcomes</w:t>
      </w:r>
    </w:p>
    <w:p w14:paraId="2E8AE8C4" w14:textId="2ACE20DB" w:rsidR="006C415F"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There is insufficient evidence to draw conclusions on the impact of breast density (where this is the only risk factor) and long-term clinical health outcomes, or the impact of breast density notifications on physical health outcomes. No studies reported on outcomes such as mortality or interval cancer rates in asymptomatic women with dense breasts and no other moderate or strong risk factors for breast cancer. The findings demonstrate that breast density notification may drive an increase in supplemental imaging and as a result, it is associated with an increased detection of breast cancer. However, it is unclear if this association indicates earlier/improved detection of cancers or an over-diagnosis of cancers.</w:t>
      </w:r>
    </w:p>
    <w:p w14:paraId="10416A3C" w14:textId="31D0B3B5" w:rsidR="00182760" w:rsidRDefault="00182760" w:rsidP="00182760">
      <w:pPr>
        <w:pStyle w:val="BodyText"/>
      </w:pPr>
      <w:r>
        <w:t xml:space="preserve">Our </w:t>
      </w:r>
      <w:r w:rsidRPr="00E753A2">
        <w:t xml:space="preserve">literature review reports on </w:t>
      </w:r>
      <w:r>
        <w:t xml:space="preserve">two </w:t>
      </w:r>
      <w:r w:rsidRPr="00E753A2">
        <w:t>arti</w:t>
      </w:r>
      <w:r w:rsidR="003579ED">
        <w:t xml:space="preserve">cles </w:t>
      </w:r>
      <w:r w:rsidRPr="00E753A2">
        <w:t xml:space="preserve">discussing the </w:t>
      </w:r>
      <w:r>
        <w:t>changes in breast cancer diagnosis following the enactment of breast density notification legislation.</w:t>
      </w:r>
    </w:p>
    <w:p w14:paraId="389533B9" w14:textId="5D314641" w:rsidR="00182760" w:rsidRPr="001D235E" w:rsidRDefault="00182760" w:rsidP="00182760">
      <w:pPr>
        <w:pStyle w:val="BodyText"/>
      </w:pPr>
      <w:r>
        <w:fldChar w:fldCharType="begin"/>
      </w:r>
      <w:r>
        <w:instrText xml:space="preserve"> ADDIN ZOTERO_ITEM CSL_CITATION {"citationID":"15plao4brd","properties":{"formattedCitation":"(Richman, Asch, Bendavid, Bhattacharya, &amp; Owens, 2017)","plainCitation":"(Richman, Asch, Bendavid, Bhattacharya, &amp; Owens, 2017)"},"citationItems":[{"id":39,"uris":["http://zotero.org/users/local/2fBHA0Hy/items/87S24E4F"],"uri":["http://zotero.org/users/local/2fBHA0Hy/items/87S24E4F"],"itemData":{"id":39,"type":"article-journal","title":"Breast Density Notification Legislation and Breast Cancer Stage at Diagnosis: Early Evidence from the SEER Registry","container-title":"Journal of General Internal Medicine","page":"603-609","volume":"32","issue":"6","abstract":"Background: Twenty-eight states have passed breast density notification laws, which require physicians to inform women of a finding of dense breasts on mammography. Objective: To evaluate changes in breast cancer stage at diagnosis after enactment of breast density notification legislation. Design: Using a difference-in-differences analysis, we examined changes in stage at diagnosis among women with breast cancer in Connecticut, the first state to enact legislation, compared to changes among women in control states. We used data from the Surveillance, Epidemiology, and End Results Program (SEER) registry, 2005-2013. Participants: Women ages 40-74 with breast cancer. Intervention: Breast density notification legislation, enacted in Connecticut in October of 2009. Main Measure: Breast cancer stage at diagnosis. Key Results: Our study included 466,930 women, 25,592 of whom lived in Connecticut. Legislation was associated with a 1.38-percentage-point (95 % CI 0.12 to 2.63) increase in the proportion of women in Connecticut versus control states who had localized invasive cancer at the time of diagnosis, and a 1.12-percentage-point (95 % CI -2.21 to -0.08) decline in the proportion of women with ductal carcinoma in situ at diagnosis. Breast density notification legislation was not associated with a change in the proportion of women in Connecticut versus control states with regional-stage (-0.09 percentage points, 95 % CI -1.01 to 1.02) or metastatic disease (-0.24, 95 % CI -0.75 to 0.28). County-level analyses and analyses limited to women younger than 50 found no statistically significant associations. Limitations: Single intervention state, limited follow-up, potential confounding from unobserved trends. Conclusions: Breast density notification legislation in Connecticut was associated with a small increase in the proportion of women diagnosed with localized invasive breast cancer in individual-level but not county-level analyses. Whether this finding reflects potentially beneficial early detection or potentially harmful overdiagnosis is not known. Legislation was not associated with changes in regional or metastatic disease.Copyright © 2016, Society of General Internal Medicine.","DOI":"10.1007/s11606-016-3904-y","ISSN":"0884-8734 1525-1497","shortTitle":"Breast Density Notification Legislation and Breast Cancer Stage at Diagnosis: Early Evidence from the SEER Registry","author":[{"family":"Richman","given":"I."},{"family":"Asch","given":"S. M."},{"family":"Bendavid","given":"E."},{"family":"Bhattacharya","given":"J."},{"family":"Owens","given":"D. K."}],"issued":{"date-parts":[["2017"]]}}}],"schema":"https://github.com/citation-style-language/schema/raw/master/csl-citation.json"} </w:instrText>
      </w:r>
      <w:r>
        <w:fldChar w:fldCharType="separate"/>
      </w:r>
      <w:bookmarkStart w:id="113" w:name="_Hlk507676618"/>
      <w:r w:rsidRPr="00C72EC4">
        <w:rPr>
          <w:rFonts w:ascii="Cambria" w:hAnsi="Cambria"/>
        </w:rPr>
        <w:t>Richman</w:t>
      </w:r>
      <w:r w:rsidR="000C2C53">
        <w:rPr>
          <w:rFonts w:ascii="Cambria" w:hAnsi="Cambria"/>
        </w:rPr>
        <w:t xml:space="preserve"> et al.</w:t>
      </w:r>
      <w:r>
        <w:rPr>
          <w:rFonts w:ascii="Cambria" w:hAnsi="Cambria"/>
        </w:rPr>
        <w:t xml:space="preserve"> (</w:t>
      </w:r>
      <w:r w:rsidRPr="00C72EC4">
        <w:rPr>
          <w:rFonts w:ascii="Cambria" w:hAnsi="Cambria"/>
        </w:rPr>
        <w:t>2017)</w:t>
      </w:r>
      <w:bookmarkEnd w:id="113"/>
      <w:r>
        <w:fldChar w:fldCharType="end"/>
      </w:r>
      <w:r>
        <w:t xml:space="preserve"> examined the breast cancer stage at diagnosis after the enactment of breast density notification legislation in Connecticut, compared to changes among women in control states. The study included 466,930 women, with 25,592 living in Connecticut. </w:t>
      </w:r>
      <w:r w:rsidRPr="0057082B">
        <w:t xml:space="preserve">Legislation was associated with a </w:t>
      </w:r>
      <w:r w:rsidR="00A36F4E">
        <w:t xml:space="preserve">significant </w:t>
      </w:r>
      <w:r w:rsidRPr="0057082B">
        <w:t>1.38</w:t>
      </w:r>
      <w:r>
        <w:t xml:space="preserve"> </w:t>
      </w:r>
      <w:r w:rsidRPr="0057082B">
        <w:t>percentage</w:t>
      </w:r>
      <w:r>
        <w:t xml:space="preserve"> </w:t>
      </w:r>
      <w:r w:rsidRPr="0057082B">
        <w:t>point (95%CI 0.12 to 2.63) increase in the proportion of women in Connecticut versus control states who had localised invasive cancer at the time of diagnosis, and a</w:t>
      </w:r>
      <w:r w:rsidR="00A36F4E">
        <w:t xml:space="preserve"> significant</w:t>
      </w:r>
      <w:r w:rsidRPr="0057082B">
        <w:t xml:space="preserve"> 1.12</w:t>
      </w:r>
      <w:r>
        <w:t xml:space="preserve"> </w:t>
      </w:r>
      <w:r w:rsidRPr="0057082B">
        <w:t>percentage</w:t>
      </w:r>
      <w:r>
        <w:t xml:space="preserve"> </w:t>
      </w:r>
      <w:r w:rsidRPr="0057082B">
        <w:t xml:space="preserve">point (95%CI −2.21 to −0.08) decline in the proportion of women with </w:t>
      </w:r>
      <w:r w:rsidR="00761B6F">
        <w:t>DCIS</w:t>
      </w:r>
      <w:r w:rsidRPr="0057082B">
        <w:t xml:space="preserve"> at diagnosis. Breast density notification legislation was not </w:t>
      </w:r>
      <w:r w:rsidR="00A36F4E">
        <w:t xml:space="preserve">significantly </w:t>
      </w:r>
      <w:r w:rsidRPr="0057082B">
        <w:t xml:space="preserve">associated with a change in the proportion of women in Connecticut versus </w:t>
      </w:r>
      <w:r w:rsidRPr="001D235E">
        <w:t>control states with regional-stage (−0.09 percentage points, 95%CI −1.01 to 1.02) or metastatic disease (−0.24, 95%CI −0.75 to 0.28). County-level analyses and analyses limited to women younger than 50</w:t>
      </w:r>
      <w:r w:rsidR="000C2C53">
        <w:t xml:space="preserve"> years</w:t>
      </w:r>
      <w:r w:rsidRPr="001D235E">
        <w:t xml:space="preserve"> found no statistically significant associations. Breast density notification legislation was associated with a small increase in women diagnosed with localised invasive breast cancer. The authors concluded it is not known whether the findings reflect potentially beneficial early detection or potentially harmful overdiagnosis associated with breast density notification. </w:t>
      </w:r>
    </w:p>
    <w:bookmarkStart w:id="114" w:name="_Hlk507676646"/>
    <w:p w14:paraId="4EEE1553" w14:textId="5A0B7B64" w:rsidR="00D4118B" w:rsidRDefault="00182760" w:rsidP="00182760">
      <w:pPr>
        <w:pStyle w:val="BodyText"/>
      </w:pPr>
      <w:r w:rsidRPr="001D235E">
        <w:fldChar w:fldCharType="begin"/>
      </w:r>
      <w:r w:rsidRPr="001D235E">
        <w:instrText xml:space="preserve"> ADDIN ZOTERO_ITEM CSL_CITATION {"citationID":"DllVFrQT","properties":{"formattedCitation":"(Sanders, King, &amp; Goodman, 2016)","plainCitation":"(Sanders, King, &amp; Goodman, 2016)","dontUpdate":true},"citationItems":[{"id":40,"uris":["http://zotero.org/users/local/2fBHA0Hy/items/ABRBZVEJ"],"uri":["http://zotero.org/users/local/2fBHA0Hy/items/ABRBZVEJ"],"itemData":{"id":40,"type":"article-journal","title":"Impact of the New Jersey Breast Density Law on Imaging and Intervention Volumes and Breast Cancer Diagnosis","container-title":"Journal of the American College of Radiology","page":"1189-1194","volume":"13","issue":"10","abstract":"Purpose Increased breast density is acknowledged as an independent risk factor for breast cancer and may obscure malignancy on mammography. Approximately half of all mammograms depict dense breasts. Legislation related to mandatory breast density notification was first enacted in Connecticut in 2009. On May 1, 2014, New Jersey joined other states with similar legislation. The New Jersey breast density law (NJBDL) mandates that mammography reports acknowledge the relevance and masking effect of mammographic breast density. The aim of this study was to assess the impact of the NJBDL at one of the state's largest ACR-accredited breast centers. Methods A retrospective chart review was performed to determine changes in imaging and intervention utilization and modality of cancer diagnosis after enactment of the legislation. Data for the present study were extracted from a review of all patients with core biopsy-proven malignancy at a large outpatient breast center between November 1, 2012, and October 31, 2015. Data were divided into the 18-month period before the implementation of the NJBDL (November 1, 2012 to April 30, 2014) and the 18-month period after passage of the law (May 1, 2014 to October 31, 2015). Results Screening ultrasound increased significantly after the implementation of the NJBDL, by 651% (1,530 vs 11,486). MRI utilization increased by 59.3% (2,595 vs 4,134). A total of 1,213 cancers were included in the final analysis, 592 in the first time period and 621 after law implementation. Breast cancer was most commonly detected on screening mammography, followed by diagnostic mammography with ultrasound for palpable concern, in both time periods. Of the 621 cancers analyzed, 26.1% (n = 162) were found in patients 50 years of age or younger. Results demonstrated that with respect to how malignancies were detected, age and average mammographic density were both statistically significant (P = .002). Conclusions The NJBDL succeeded in publicizing the masking effect of dense breasts. The number of supplemental screening ultrasound and MRI examinations increased after the implementation of this legislation. An efficacy analysis affirmed the high sensitivity of screening MRI compared with other modalities. The use of MRI increased core biopsy efficiency and reduced the number of biopsies needed per cancer diagnosed.Copyright © 2016 American College of Radiology","DOI":"10.1016/j.jacr.2016.05.005","ISSN":"1546-1440 1558-349X","shortTitle":"Impact of the New Jersey Breast Density Law on Imaging and Intervention Volumes and Breast Cancer Diagnosis","author":[{"family":"Sanders","given":"L. M."},{"family":"King","given":"A. B."},{"family":"Goodman","given":"K. S."}],"issued":{"date-parts":[["2016"]]}}}],"schema":"https://github.com/citation-style-language/schema/raw/master/csl-citation.json"} </w:instrText>
      </w:r>
      <w:r w:rsidRPr="001D235E">
        <w:fldChar w:fldCharType="separate"/>
      </w:r>
      <w:r w:rsidRPr="001D235E">
        <w:rPr>
          <w:rFonts w:ascii="Cambria" w:hAnsi="Cambria"/>
        </w:rPr>
        <w:t>Sanders</w:t>
      </w:r>
      <w:r w:rsidR="000C2C53">
        <w:rPr>
          <w:rFonts w:ascii="Cambria" w:hAnsi="Cambria"/>
        </w:rPr>
        <w:t xml:space="preserve"> et al. </w:t>
      </w:r>
      <w:r w:rsidRPr="001D235E">
        <w:rPr>
          <w:rFonts w:ascii="Cambria" w:hAnsi="Cambria"/>
        </w:rPr>
        <w:t>(2016</w:t>
      </w:r>
      <w:r w:rsidRPr="001D235E">
        <w:fldChar w:fldCharType="end"/>
      </w:r>
      <w:r w:rsidRPr="001D235E">
        <w:t xml:space="preserve">) </w:t>
      </w:r>
      <w:bookmarkEnd w:id="114"/>
      <w:r w:rsidRPr="001D235E">
        <w:t xml:space="preserve">assessed the impact of the New Jersey breast density legislation on imaging volumes and breast cancer diagnosis at one of the state’s largest breast centres. A retrospective </w:t>
      </w:r>
      <w:r w:rsidRPr="001D235E">
        <w:lastRenderedPageBreak/>
        <w:t xml:space="preserve">chart review was performed to determine changes in imaging and intervention utilization and modality of cancer diagnosis after enactment of the legislation. Screening ultrasound increased signiﬁcantly after the implementation of the breast density legislation, by 651% (1,530 vs 11,486). MRI utilisation increased by 59.3% (2,595 vs 4,134). A total of 1,213 cancers were included in the ﬁnal analysis, 592 in the ﬁrst time period and 621 after legislation implementation. Breast cancer was most commonly detected on screening mammography, followed by diagnostic mammography with ultrasound for </w:t>
      </w:r>
      <w:r w:rsidR="000C2C53">
        <w:t xml:space="preserve">a </w:t>
      </w:r>
      <w:r w:rsidRPr="001D235E">
        <w:t xml:space="preserve">palpable </w:t>
      </w:r>
      <w:r w:rsidR="000C2C53">
        <w:t>lump</w:t>
      </w:r>
      <w:r w:rsidRPr="001D235E">
        <w:t xml:space="preserve">, in both time periods. Of the 621 cancers analysed, 26.1% (n = 162) were found in </w:t>
      </w:r>
      <w:r w:rsidR="00AB7545">
        <w:t>women aged</w:t>
      </w:r>
      <w:r w:rsidRPr="001D235E">
        <w:t xml:space="preserve"> 50 years or younger. Results demonstrated that with respect to how malignancies were detected, age and average mammographic density were both statistically signiﬁcant (</w:t>
      </w:r>
      <w:r w:rsidRPr="001D235E">
        <w:rPr>
          <w:i/>
        </w:rPr>
        <w:t>p</w:t>
      </w:r>
      <w:r w:rsidRPr="001D235E">
        <w:t xml:space="preserve">=.002). The authors demonstrated that the number of </w:t>
      </w:r>
      <w:proofErr w:type="gramStart"/>
      <w:r w:rsidRPr="001D235E">
        <w:t xml:space="preserve">supplemental </w:t>
      </w:r>
      <w:r w:rsidR="002D74B6" w:rsidRPr="001D235E">
        <w:t xml:space="preserve"> </w:t>
      </w:r>
      <w:r w:rsidRPr="001D235E">
        <w:t>ultrasound</w:t>
      </w:r>
      <w:proofErr w:type="gramEnd"/>
      <w:r w:rsidRPr="001D235E">
        <w:t xml:space="preserve"> and MRI examinations increased after the implementation of breast density notification legislation.</w:t>
      </w:r>
      <w:r w:rsidR="00D4118B">
        <w:t xml:space="preserve"> </w:t>
      </w:r>
      <w:r w:rsidR="00091133">
        <w:t>Evidence on w</w:t>
      </w:r>
      <w:r w:rsidR="00091133" w:rsidRPr="00A92E6C">
        <w:t xml:space="preserve">hether diagnosis of additional breast cancers </w:t>
      </w:r>
      <w:r w:rsidR="00091133">
        <w:t xml:space="preserve">identified </w:t>
      </w:r>
      <w:r w:rsidR="00091133" w:rsidRPr="00A92E6C">
        <w:t xml:space="preserve">by </w:t>
      </w:r>
      <w:r w:rsidR="00091133" w:rsidRPr="0044553E">
        <w:t>supplementa</w:t>
      </w:r>
      <w:r w:rsidR="00091133">
        <w:t>l</w:t>
      </w:r>
      <w:r w:rsidR="00091133" w:rsidRPr="00A92E6C">
        <w:t xml:space="preserve"> </w:t>
      </w:r>
      <w:r w:rsidR="002D74B6">
        <w:t>tests</w:t>
      </w:r>
      <w:r w:rsidR="002D74B6" w:rsidRPr="00A92E6C">
        <w:t xml:space="preserve"> </w:t>
      </w:r>
      <w:r w:rsidR="00091133" w:rsidRPr="00A92E6C">
        <w:t>leads to improved clinical outcomes</w:t>
      </w:r>
      <w:r w:rsidR="00091133">
        <w:t xml:space="preserve"> was not evaluated in this study.</w:t>
      </w:r>
    </w:p>
    <w:p w14:paraId="1EB4F82E" w14:textId="6601304A" w:rsidR="0032537D" w:rsidRDefault="00D4118B" w:rsidP="00182760">
      <w:pPr>
        <w:pStyle w:val="BodyText"/>
      </w:pPr>
      <w:r>
        <w:t>To be able to provide informed policy and practice it is essential that the effects of breast density notification on physical health outcomes are understood</w:t>
      </w:r>
      <w:r w:rsidR="00624151">
        <w:t xml:space="preserve">; </w:t>
      </w:r>
      <w:r>
        <w:t>research is needed in this area</w:t>
      </w:r>
      <w:r w:rsidR="00B30F96">
        <w:t xml:space="preserve">. </w:t>
      </w:r>
    </w:p>
    <w:p w14:paraId="1FA1CD30" w14:textId="77777777" w:rsidR="00182760" w:rsidRDefault="00182760" w:rsidP="00182760">
      <w:pPr>
        <w:pStyle w:val="NumberedHeading2"/>
      </w:pPr>
      <w:bookmarkStart w:id="115" w:name="_Toc518922223"/>
      <w:r>
        <w:t>Mental health outcomes</w:t>
      </w:r>
      <w:bookmarkEnd w:id="115"/>
    </w:p>
    <w:p w14:paraId="1D496110" w14:textId="27E56DE7" w:rsidR="00182760" w:rsidRDefault="00182760" w:rsidP="00182760">
      <w:pPr>
        <w:pStyle w:val="BodyText"/>
        <w:rPr>
          <w:highlight w:val="yellow"/>
        </w:rPr>
      </w:pPr>
      <w:r>
        <w:t>One of the concerns with r</w:t>
      </w:r>
      <w:r w:rsidRPr="00E753A2">
        <w:t>eporting breast density to women</w:t>
      </w:r>
      <w:r>
        <w:t xml:space="preserve"> is that it</w:t>
      </w:r>
      <w:r w:rsidRPr="00E753A2">
        <w:t xml:space="preserve"> may </w:t>
      </w:r>
      <w:r>
        <w:t xml:space="preserve">result in </w:t>
      </w:r>
      <w:r w:rsidR="0032537D">
        <w:t xml:space="preserve">increased </w:t>
      </w:r>
      <w:r>
        <w:t>negative psychological outcomes.</w:t>
      </w:r>
      <w:r w:rsidRPr="00E753A2">
        <w:t xml:space="preserve"> </w:t>
      </w:r>
      <w:r>
        <w:t>Negative mental health outcomes may arise</w:t>
      </w:r>
      <w:r w:rsidR="00A21048">
        <w:t xml:space="preserve"> from notification</w:t>
      </w:r>
      <w:r>
        <w:t xml:space="preserve"> due to increased anxiety about the relationship between having dense breasts and breast cancer or fear of developing cancer. H</w:t>
      </w:r>
      <w:r w:rsidRPr="00E753A2">
        <w:t>owever</w:t>
      </w:r>
      <w:r>
        <w:t>,</w:t>
      </w:r>
      <w:r w:rsidRPr="00E753A2">
        <w:t xml:space="preserve"> </w:t>
      </w:r>
      <w:r w:rsidRPr="007551CD">
        <w:t xml:space="preserve">without research that examines whether women’s awareness of their breast density </w:t>
      </w:r>
      <w:r>
        <w:t xml:space="preserve">is </w:t>
      </w:r>
      <w:r w:rsidRPr="007551CD">
        <w:t xml:space="preserve">associated with cognitive and emotional outcomes prior to implementation of breast density notification, it is impossible to say whether breast density notifications make women with </w:t>
      </w:r>
      <w:r>
        <w:t xml:space="preserve">more </w:t>
      </w:r>
      <w:r w:rsidRPr="007551CD">
        <w:t xml:space="preserve">dense breasts more anxious relative to women with </w:t>
      </w:r>
      <w:r>
        <w:t xml:space="preserve">less </w:t>
      </w:r>
      <w:r w:rsidRPr="007551CD">
        <w:t xml:space="preserve">dense breasts, or whether they were more anxious to begin with </w:t>
      </w:r>
      <w:r w:rsidRPr="007551CD">
        <w:fldChar w:fldCharType="begin"/>
      </w:r>
      <w:r w:rsidRPr="007551CD">
        <w:instrText xml:space="preserve"> ADDIN ZOTERO_ITEM CSL_CITATION {"citationID":"61s178bq7","properties":{"formattedCitation":"(M. Manning, Albrecht, Yilmaz-Saab, Shultz, &amp; Purrington, 2016)","plainCitation":"(M. Manning, Albrecht, Yilmaz-Saab, Shultz, &amp; Purrington, 2016)"},"citationItems":[{"id":28,"uris":["http://zotero.org/users/local/2fBHA0Hy/items/5I56NRTS"],"uri":["http://zotero.org/users/local/2fBHA0Hy/items/5I56NRTS"],"itemData":{"id":28,"type":"article-journal","title":"Influences of race and breast density on related cognitive and emotion outcomes before mandated breast density notification","container-title":"Social Science and Medicine","page":"171-179","volume":"169","abstract":"Rationale Many states have adopted laws mandating breast density (BD) notification for applicable women; however, very little is known about what women knew or felt about BD and related breast cancer (BC) risk before implementation of BD notification laws. Objective We examined between-race differences in the extent to which having dense breasts was associated with women's related BD cognition and emotion, and with health care providers' communication about BD. Methods We received surveys between May and October of 2015 assessing health care provider (HCP) communication about BD, BD-related knowledge, BD-related anxiety and BC worry from 182 African American (AA) and 113 European American (EA) women in the state of Michigan for whom we had radiologists' assessments of BD. Results Whereas having dense breasts was not associated with any BD-related cognition or emotion, there were robust effects of race as follows: EA women were more likely to have been told about BD by a HCP, more likely to know their BD status, had greater knowledge of BD and of BC risk, and had greater perceptions of BC risk and worry; AA women had greater BD-related anxieties. EA women's greater knowledge of their own BD status was directly related to the increased likelihood of HCP communication about BD. However, HCP communication about BD attenuated anxiety for AA women only. Conclusion We present the only data of which we are aware that examines between-race differences in the associations between actual BD, HCP communication and BD related cognition and emotion before the implementation of BD notification laws. Our findings suggest that the BD notification laws could yield positive benefits for disparities in BD-related knowledge and anxiety when the notifications are followed by discussions with health care providers.Copyright © 2016 Elsevier Ltd","DOI":"10.1016/j.socscimed.2016.09.037","ISSN":"0277-9536 1873-5347","shortTitle":"Influences of race and breast density on related cognitive and emotion outcomes before mandated breast density notification","author":[{"family":"Manning","given":"M."},{"family":"Albrecht","given":"T. L."},{"family":"Yilmaz-Saab","given":"Z."},{"family":"Shultz","given":"J."},{"family":"Purrington","given":"K."}],"issued":{"date-parts":[["2016"]]}}}],"schema":"https://github.com/citation-style-language/schema/raw/master/csl-citation.json"} </w:instrText>
      </w:r>
      <w:r w:rsidRPr="007551CD">
        <w:fldChar w:fldCharType="separate"/>
      </w:r>
      <w:r w:rsidRPr="007551CD">
        <w:t>(Manning, Albrecht, Yilmaz-Saab, Shultz, &amp; Purrington, 2016)</w:t>
      </w:r>
      <w:r w:rsidRPr="007551CD">
        <w:fldChar w:fldCharType="end"/>
      </w:r>
      <w:r>
        <w:t>. Women with more dense breasts are also more likel</w:t>
      </w:r>
      <w:r w:rsidR="003579ED">
        <w:t xml:space="preserve">y to be recalled from screening, </w:t>
      </w:r>
      <w:r>
        <w:t>which can also increase anxiety</w:t>
      </w:r>
      <w:r w:rsidR="00191AF3">
        <w:t>,</w:t>
      </w:r>
      <w:r>
        <w:t xml:space="preserve"> although this is related to a clinical screening outcome (a positive mammogram) and not related to reporting of breast density.</w:t>
      </w:r>
    </w:p>
    <w:p w14:paraId="231D6640" w14:textId="77777777" w:rsidR="00182760" w:rsidRDefault="00182760" w:rsidP="00182760">
      <w:pPr>
        <w:pStyle w:val="BodyText"/>
      </w:pPr>
      <w:r>
        <w:t>This literature review reports on one systematic review, one literature review and seven observational studies that examined the potential psychological effects of breast density notification on women. Specific areas were:</w:t>
      </w:r>
    </w:p>
    <w:p w14:paraId="39E86B02" w14:textId="7649FD4F" w:rsidR="00182760" w:rsidRDefault="00191AF3" w:rsidP="00182760">
      <w:pPr>
        <w:pStyle w:val="List-BulletLvl1"/>
      </w:pPr>
      <w:r>
        <w:t>o</w:t>
      </w:r>
      <w:r w:rsidR="00182760">
        <w:t>verall impact on mental health</w:t>
      </w:r>
      <w:r w:rsidR="00465B83">
        <w:t>, and</w:t>
      </w:r>
    </w:p>
    <w:p w14:paraId="245E09B0" w14:textId="66864AE7" w:rsidR="00182760" w:rsidRDefault="00191AF3" w:rsidP="00182760">
      <w:pPr>
        <w:pStyle w:val="List-BulletLvl1"/>
      </w:pPr>
      <w:proofErr w:type="gramStart"/>
      <w:r>
        <w:t>b</w:t>
      </w:r>
      <w:r w:rsidR="00182760">
        <w:t>reast</w:t>
      </w:r>
      <w:proofErr w:type="gramEnd"/>
      <w:r w:rsidR="00182760">
        <w:t xml:space="preserve"> density knowledge and awareness</w:t>
      </w:r>
      <w:r w:rsidR="00465B83">
        <w:t>.</w:t>
      </w:r>
    </w:p>
    <w:p w14:paraId="46A6763C" w14:textId="77777777" w:rsidR="00182760" w:rsidRDefault="00182760" w:rsidP="00182760">
      <w:pPr>
        <w:pStyle w:val="BodyText"/>
      </w:pPr>
      <w:r>
        <w:t xml:space="preserve">The articles included in our literature review were: </w:t>
      </w:r>
    </w:p>
    <w:p w14:paraId="7B12B8B4" w14:textId="77777777" w:rsidR="00182760" w:rsidRPr="00A73E92" w:rsidRDefault="00182760" w:rsidP="00A73E92">
      <w:pPr>
        <w:pStyle w:val="BodyText"/>
        <w:ind w:left="567"/>
        <w:rPr>
          <w:rFonts w:asciiTheme="majorHAnsi" w:hAnsiTheme="majorHAnsi"/>
          <w:b/>
          <w:color w:val="36424A" w:themeColor="text2"/>
          <w:sz w:val="24"/>
        </w:rPr>
      </w:pPr>
      <w:r w:rsidRPr="00A73E92">
        <w:rPr>
          <w:rFonts w:asciiTheme="majorHAnsi" w:hAnsiTheme="majorHAnsi"/>
          <w:b/>
          <w:color w:val="36424A" w:themeColor="text2"/>
          <w:sz w:val="24"/>
        </w:rPr>
        <w:t>Systematic reviews</w:t>
      </w:r>
    </w:p>
    <w:p w14:paraId="1844DA96" w14:textId="183B2ACB" w:rsidR="00182760" w:rsidRPr="00E00498" w:rsidRDefault="00182760" w:rsidP="00182760">
      <w:pPr>
        <w:pStyle w:val="BodyText"/>
        <w:ind w:left="720"/>
      </w:pPr>
      <w:r>
        <w:t>One review</w:t>
      </w:r>
      <w:r w:rsidRPr="00E00498">
        <w:t xml:space="preserve">: </w:t>
      </w:r>
      <w:r w:rsidRPr="00E00498">
        <w:fldChar w:fldCharType="begin"/>
      </w:r>
      <w:r w:rsidRPr="00E00498">
        <w:instrText xml:space="preserve"> ADDIN ZOTERO_ITEM CSL_CITATION {"citationID":"21ahlbcubv","properties":{"formattedCitation":"(Melnikow et al., 2016)","plainCitation":"(Melnikow et al., 2016)","dontUpdate":true},"citationItems":[{"id":493,"uris":["http://zotero.org/users/local/2fBHA0Hy/items/XJJXMTRX"],"uri":["http://zotero.org/users/local/2fBHA0Hy/items/XJJXMTRX"],"itemData":{"id":493,"type":"article-journal","title":"Supplemental Screening for Breast Cancer in Women With Dense Breasts: A Systematic Review for the U.S. Preventive Services Task Force","container-title":"Annals of Internal Medicine","page":"268","volume":"164","issue":"4","source":"CrossRef","DOI":"10.7326/M15-1789","ISSN":"0003-4819","shortTitle":"Supplemental Screening for Breast Cancer in Women With Dense Breasts","language":"en","author":[{"family":"Melnikow","given":"Joy"},{"family":"Fenton","given":"Joshua J."},{"family":"Whitlock","given":"Evelyn P."},{"family":"Miglioretti","given":"Diana L."},{"family":"Weyrich","given":"Meghan S."},{"family":"Thompson","given":"Jamie H."},{"family":"Shah","given":"Kunal"}],"issued":{"date-parts":[["2016",2,16]]}}}],"schema":"https://github.com/citation-style-language/schema/raw/master/csl-citation.json"} </w:instrText>
      </w:r>
      <w:r w:rsidRPr="00E00498">
        <w:fldChar w:fldCharType="separate"/>
      </w:r>
      <w:r w:rsidRPr="00E00498">
        <w:rPr>
          <w:rFonts w:ascii="Cambria" w:hAnsi="Cambria"/>
        </w:rPr>
        <w:t>Melnikow et al. (2016)</w:t>
      </w:r>
      <w:r w:rsidRPr="00E00498">
        <w:fldChar w:fldCharType="end"/>
      </w:r>
    </w:p>
    <w:p w14:paraId="24827673" w14:textId="77777777" w:rsidR="00182760" w:rsidRPr="00A73E92" w:rsidRDefault="00182760" w:rsidP="00A73E92">
      <w:pPr>
        <w:pStyle w:val="BodyText"/>
        <w:ind w:left="567"/>
        <w:rPr>
          <w:rFonts w:asciiTheme="majorHAnsi" w:hAnsiTheme="majorHAnsi"/>
          <w:b/>
          <w:color w:val="36424A" w:themeColor="text2"/>
          <w:sz w:val="24"/>
        </w:rPr>
      </w:pPr>
      <w:r w:rsidRPr="00A73E92">
        <w:rPr>
          <w:rFonts w:asciiTheme="majorHAnsi" w:hAnsiTheme="majorHAnsi"/>
          <w:b/>
          <w:color w:val="36424A" w:themeColor="text2"/>
          <w:sz w:val="24"/>
        </w:rPr>
        <w:t>Narrative literature reviews</w:t>
      </w:r>
    </w:p>
    <w:p w14:paraId="3C06D7F8" w14:textId="1D1E0F33" w:rsidR="00182760" w:rsidRPr="00E00498" w:rsidRDefault="00182760" w:rsidP="00182760">
      <w:pPr>
        <w:pStyle w:val="BodyText"/>
        <w:ind w:left="720"/>
      </w:pPr>
      <w:r>
        <w:t xml:space="preserve">One review: </w:t>
      </w:r>
      <w:r w:rsidRPr="00E00498">
        <w:fldChar w:fldCharType="begin"/>
      </w:r>
      <w:r w:rsidRPr="00E00498">
        <w:instrText xml:space="preserve"> ADDIN ZOTERO_ITEM CSL_CITATION {"citationID":"af4r8u47n","properties":{"formattedCitation":"(Santiago-Rivas, Benjamin, &amp; Jandorf, 2016)","plainCitation":"(Santiago-Rivas, Benjamin, &amp; Jandorf, 2016)"},"citationItems":[{"id":41,"uris":["http://zotero.org/users/local/2fBHA0Hy/items/ZNQPW9EV"],"uri":["http://zotero.org/users/local/2fBHA0Hy/items/ZNQPW9EV"],"itemData":{"id":41,"type":"article-journal","title":"Breast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rsidRPr="00E00498">
        <w:fldChar w:fldCharType="separate"/>
      </w:r>
      <w:r w:rsidRPr="00E00498">
        <w:t>Santiago-Rivas, Benjamin, &amp; Jandorf (2016</w:t>
      </w:r>
      <w:r w:rsidRPr="00E00498">
        <w:fldChar w:fldCharType="end"/>
      </w:r>
      <w:r w:rsidRPr="00E00498">
        <w:t>)</w:t>
      </w:r>
    </w:p>
    <w:p w14:paraId="6D9815CA" w14:textId="77777777" w:rsidR="00182760" w:rsidRPr="00A73E92" w:rsidRDefault="00182760" w:rsidP="00A73E92">
      <w:pPr>
        <w:pStyle w:val="BodyText"/>
        <w:ind w:left="567"/>
        <w:rPr>
          <w:rFonts w:asciiTheme="majorHAnsi" w:hAnsiTheme="majorHAnsi"/>
          <w:b/>
          <w:color w:val="36424A" w:themeColor="text2"/>
          <w:sz w:val="24"/>
        </w:rPr>
      </w:pPr>
      <w:r w:rsidRPr="00A73E92">
        <w:rPr>
          <w:rFonts w:asciiTheme="majorHAnsi" w:hAnsiTheme="majorHAnsi"/>
          <w:b/>
          <w:color w:val="36424A" w:themeColor="text2"/>
          <w:sz w:val="24"/>
        </w:rPr>
        <w:t>Observational studies</w:t>
      </w:r>
    </w:p>
    <w:p w14:paraId="7E88D845" w14:textId="68A96F18" w:rsidR="00182760" w:rsidRDefault="00182760" w:rsidP="00182760">
      <w:pPr>
        <w:pStyle w:val="BodyText"/>
        <w:ind w:left="720"/>
      </w:pPr>
      <w:r>
        <w:lastRenderedPageBreak/>
        <w:t xml:space="preserve">Seven studies: </w:t>
      </w:r>
      <w:r w:rsidRPr="004150F4">
        <w:rPr>
          <w:rFonts w:ascii="Cambria" w:hAnsi="Cambria"/>
        </w:rPr>
        <w:t>Manning et al.</w:t>
      </w:r>
      <w:r>
        <w:rPr>
          <w:rFonts w:ascii="Cambria" w:hAnsi="Cambria"/>
        </w:rPr>
        <w:t xml:space="preserve"> (</w:t>
      </w:r>
      <w:r w:rsidRPr="004150F4">
        <w:rPr>
          <w:rFonts w:ascii="Cambria" w:hAnsi="Cambria"/>
        </w:rPr>
        <w:t>2017)</w:t>
      </w:r>
      <w:r>
        <w:rPr>
          <w:rFonts w:ascii="Cambria" w:hAnsi="Cambria"/>
        </w:rPr>
        <w:t xml:space="preserve">; </w:t>
      </w:r>
      <w:r w:rsidRPr="007551CD">
        <w:fldChar w:fldCharType="begin"/>
      </w:r>
      <w:r w:rsidRPr="007551CD">
        <w:instrText xml:space="preserve"> ADDIN ZOTERO_ITEM CSL_CITATION {"citationID":"a2lmb32k3","properties":{"formattedCitation":"(Moothathu et al., 2017)","plainCitation":"(Moothathu et al., 2017)"},"citationItems":[{"id":30,"uris":["http://zotero.org/users/local/2fBHA0Hy/items/43VZWQ4S"],"uri":["http://zotero.org/users/local/2fBHA0Hy/items/43VZWQ4S"],"itemData":{"id":30,"type":"article-journal","title":"Knowledge of Density and Screening Ultrasound","container-title":"Breast Journal","page":"323-332","volume":"23","issue":"3","abstract":"To determine breast density awareness and attitudes regarding supplemental breast ultrasound screening since implementation of the nation's first breast density notification law, Connecticut Public Act 09-41. A self-administered survey was distributed at a Connecticut academic breast imaging center between February 2013 and February 2014. Women with prior mammography reports describing heterogeneous or extremely dense breast tissue were invited to participate when presenting for screening mammography, screening ultrasound, or both. Data were collected on breast density awareness, history of prior ultrasounds, attitudes toward ultrasound and breast-cancer risk, and demographics. Data were collected from 950 completed surveys. The majority of surveyed women (92%) were aware of their breast density, and 77% had undergone a prior screening ultrasound. Forty-three percent of participants who were aware of their breast density also expressed increased anxiety about developing breast cancer due to having dense breast tissue. Caucasian race and higher education were significantly associated (p &lt; 0.05) with knowledge of personal breast density (93% and 95%, respectively) and having a prior screening breast ultrasound (79% and 80%, respectively). Patients with less than a college degree (82%) were significantly more likely to rely exclusively on their provider's recommendation regarding obtaining screening ultrasound (p &lt; 0.05). Breast density awareness is strongly associated with higher education, higher income, and Caucasian race. Non-Caucasian patients and those with less than a college education rely more heavily on their physicians' recommendations regarding screening ultrasound. Among women aware of their increased breast density, nearly half reported associated increased anxiety regarding the possibility of developing breast cancer.Copyright © 2016 Wiley Periodicals, Inc.","DOI":"10.1111/tbj.12734","ISSN":"1075-122X 1524-4741","shortTitle":"Knowledge of Density and Screening Ultrasound","author":[{"family":"Moothathu","given":"N. S."},{"family":"Philpotts","given":"L. E."},{"family":"Busch","given":"S. H."},{"family":"Gross","given":"C. P."},{"family":"Staib","given":"L. H."},{"family":"Hooley","given":"R. J."}],"issued":{"date-parts":[["2017"]]}}}],"schema":"https://github.com/citation-style-language/schema/raw/master/csl-citation.json"} </w:instrText>
      </w:r>
      <w:r w:rsidRPr="007551CD">
        <w:fldChar w:fldCharType="separate"/>
      </w:r>
      <w:r w:rsidRPr="007551CD">
        <w:t xml:space="preserve">Moothathu et al. </w:t>
      </w:r>
      <w:r>
        <w:t>(</w:t>
      </w:r>
      <w:r w:rsidRPr="007551CD">
        <w:t>2017</w:t>
      </w:r>
      <w:r w:rsidRPr="007551CD">
        <w:fldChar w:fldCharType="end"/>
      </w:r>
      <w:r>
        <w:t xml:space="preserve">); </w:t>
      </w:r>
      <w:r w:rsidRPr="007551CD">
        <w:fldChar w:fldCharType="begin"/>
      </w:r>
      <w:r w:rsidRPr="007551CD">
        <w:instrText xml:space="preserve"> ADDIN ZOTERO_ITEM CSL_CITATION {"citationID":"2j49oshkqn","properties":{"formattedCitation":"(Kressin, Gunn, &amp; Battaglia, 2016)","plainCitation":"(Kressin, Gunn, &amp; Battaglia, 2016)"},"citationItems":[{"id":22,"uris":["http://zotero.org/users/local/2fBHA0Hy/items/Z2FKGDJS"],"uri":["http://zotero.org/users/local/2fBHA0Hy/items/Z2FKGDJS"],"itemData":{"id":22,"type":"article-journal","title":"Content, readability, and understandability of dense breast notifications by state","container-title":"JAMA - Journal of the American Medical Association","page":"1786-1788","volume":"315","issue":"16","ISSN":"0098-7484 1538-3598","shortTitle":"Content, readability, and understandability of dense breast notifications by state","author":[{"family":"Kressin","given":"N. R."},{"family":"Gunn","given":"C. M."},{"family":"Battaglia","given":"T. A."}],"issued":{"date-parts":[["2016"]]}}}],"schema":"https://github.com/citation-style-language/schema/raw/master/csl-citation.json"} </w:instrText>
      </w:r>
      <w:r w:rsidRPr="007551CD">
        <w:fldChar w:fldCharType="separate"/>
      </w:r>
      <w:r w:rsidRPr="007551CD">
        <w:t xml:space="preserve">Kressin, Gunn, &amp; Battaglia </w:t>
      </w:r>
      <w:r>
        <w:t>(</w:t>
      </w:r>
      <w:r w:rsidRPr="007551CD">
        <w:t>2016</w:t>
      </w:r>
      <w:r w:rsidRPr="007551CD">
        <w:fldChar w:fldCharType="end"/>
      </w:r>
      <w:r>
        <w:t xml:space="preserve">); </w:t>
      </w:r>
      <w:r w:rsidRPr="007551CD">
        <w:fldChar w:fldCharType="begin"/>
      </w:r>
      <w:r w:rsidRPr="007551CD">
        <w:instrText xml:space="preserve"> ADDIN ZOTERO_ITEM CSL_CITATION {"citationID":"1d3425k011","properties":{"formattedCitation":"(M. Manning et al., 2016)","plainCitation":"(M. Manning et al., 2016)"},"citationItems":[{"id":28,"uris":["http://zotero.org/users/local/2fBHA0Hy/items/5I56NRTS"],"uri":["http://zotero.org/users/local/2fBHA0Hy/items/5I56NRTS"],"itemData":{"id":28,"type":"article-journal","title":"Influences of race and breast density on related cognitive and emotion outcomes before mandated breast density notification","container-title":"Social Science and Medicine","page":"171-179","volume":"169","abstract":"Rationale Many states have adopted laws mandating breast density (BD) notification for applicable women; however, very little is known about what women knew or felt about BD and related breast cancer (BC) risk before implementation of BD notification laws. Objective We examined between-race differences in the extent to which having dense breasts was associated with women's related BD cognition and emotion, and with health care providers' communication about BD. Methods We received surveys between May and October of 2015 assessing health care provider (HCP) communication about BD, BD-related knowledge, BD-related anxiety and BC worry from 182 African American (AA) and 113 European American (EA) women in the state of Michigan for whom we had radiologists' assessments of BD. Results Whereas having dense breasts was not associated with any BD-related cognition or emotion, there were robust effects of race as follows: EA women were more likely to have been told about BD by a HCP, more likely to know their BD status, had greater knowledge of BD and of BC risk, and had greater perceptions of BC risk and worry; AA women had greater BD-related anxieties. EA women's greater knowledge of their own BD status was directly related to the increased likelihood of HCP communication about BD. However, HCP communication about BD attenuated anxiety for AA women only. Conclusion We present the only data of which we are aware that examines between-race differences in the associations between actual BD, HCP communication and BD related cognition and emotion before the implementation of BD notification laws. Our findings suggest that the BD notification laws could yield positive benefits for disparities in BD-related knowledge and anxiety when the notifications are followed by discussions with health care providers.Copyright © 2016 Elsevier Ltd","DOI":"10.1016/j.socscimed.2016.09.037","ISSN":"0277-9536 1873-5347","shortTitle":"Influences of race and breast density on related cognitive and emotion outcomes before mandated breast density notification","author":[{"family":"Manning","given":"M."},{"family":"Albrecht","given":"T. L."},{"family":"Yilmaz-Saab","given":"Z."},{"family":"Shultz","given":"J."},{"family":"Purrington","given":"K."}],"issued":{"date-parts":[["2016"]]}}}],"schema":"https://github.com/citation-style-language/schema/raw/master/csl-citation.json"} </w:instrText>
      </w:r>
      <w:r w:rsidRPr="007551CD">
        <w:fldChar w:fldCharType="separate"/>
      </w:r>
      <w:r w:rsidRPr="007551CD">
        <w:t xml:space="preserve">Manning et al. </w:t>
      </w:r>
      <w:r>
        <w:t>(</w:t>
      </w:r>
      <w:r w:rsidRPr="007551CD">
        <w:t>2016</w:t>
      </w:r>
      <w:r w:rsidRPr="007551CD">
        <w:fldChar w:fldCharType="end"/>
      </w:r>
      <w:r>
        <w:t xml:space="preserve">); </w:t>
      </w:r>
      <w:r>
        <w:fldChar w:fldCharType="begin"/>
      </w:r>
      <w:r>
        <w:instrText xml:space="preserve"> ADDIN ZOTERO_ITEM CSL_CITATION {"citationID":"2ebhmpn6ah","properties":{"formattedCitation":"(Rhodes et al., 2015)","plainCitation":"(Rhodes et al., 2015)","dontUpdate":true},"citationItems":[{"id":37,"uris":["http://zotero.org/users/local/2fBHA0Hy/items/CJ8W7BUJ"],"uri":["http://zotero.org/users/local/2fBHA0Hy/items/CJ8W7BUJ"],"itemData":{"id":37,"type":"article-journal","title":"Awareness of breast density and its impact on breast cancer detection and risk","container-title":"Journal of Clinical Oncology","page":"1143-1150","volume":"33","issue":"10","source":"EBSCOhost","archive":"cin20","archive_location":"109779332. Language: English. Entry Date: 20150612. Revision Date: 20161119. Publication Type: journal article","abstract":"Purpose: Legislation mandating disclosure of breast density (BD) information has passed in 21 states; however, actual awareness of BD and knowledge of its impact on breast cancer detection and risk are unknown.Methods: We conducted a national cross-sectional survey administered in English and Spanish using a probability-based sample of screening-age women, with oversampling of Connecticut, the only state with BD legislation in effect for &gt; 1 year before the survey.Results: Of 2,311 women surveyed, 65% responded. Overall, 58% of women had heard of BD, 49% knew that BD affects breast cancer detection, and 53% knew that BD affects cancer risk. After multivariable adjustment, increased BD awareness was associated with white non-Hispanic race/ethnicity (Hispanic v white non-Hispanic: odds ratio [OR], 0.23; P &lt; .001), household income (OR, 1.07 per category increase; P &lt; .001), education (OR, 1.19 per category increase; P &lt; .001), diagnostic evaluation after a mammogram (OR, 2.64; P &lt; .001), and postmenopausal hormone therapy (OR, 1.69; P = .002). Knowledge of the masking effect of BD was associated with higher household income (OR, 1.10; P &lt; .001), education (OR, 1.22; P = .01), prior breast biopsy (OR, 2.16; P &lt; .001), and residing in Connecticut (Connecticut v other states: OR, 3.82; P = .003). Connecticut residents were also more likely to have discussed their BD with a health care provider (67% v 43% for residents of other US states; P = .001).Conclusion: Disparities in BD awareness and knowledge exist by race/ethnicity, education, and income. BD legislation seems to be effective in increasing knowledge of BD impact on breast cancer detection. These findings support continued and targeted efforts to improve BD awareness and knowledge among women eligible for screening mammography.","DOI":"10.1200/JCO.2014.57.0325","ISSN":"0732-183X","shortTitle":"Awareness of breast density and its impact on breast cancer detection and risk","author":[{"family":"Rhodes","given":"Deborah J."},{"family":"Radecki Breitkopf","given":"Carmen"},{"family":"Ziegenfuss","given":"Jeanette Y."},{"family":"Jenkins","given":"Sarah M."},{"family":"Vachon","given":"Celine M."}],"issued":{"date-parts":[["2015"]]}}}],"schema":"https://github.com/citation-style-language/schema/raw/master/csl-citation.json"} </w:instrText>
      </w:r>
      <w:r>
        <w:fldChar w:fldCharType="separate"/>
      </w:r>
      <w:r w:rsidRPr="00247C34">
        <w:rPr>
          <w:rFonts w:ascii="Cambria" w:hAnsi="Cambria"/>
        </w:rPr>
        <w:t>Rhodes et al.</w:t>
      </w:r>
      <w:r>
        <w:rPr>
          <w:rFonts w:ascii="Cambria" w:hAnsi="Cambria"/>
        </w:rPr>
        <w:t xml:space="preserve"> (</w:t>
      </w:r>
      <w:r w:rsidRPr="00247C34">
        <w:rPr>
          <w:rFonts w:ascii="Cambria" w:hAnsi="Cambria"/>
        </w:rPr>
        <w:t>2015</w:t>
      </w:r>
      <w:r>
        <w:fldChar w:fldCharType="end"/>
      </w:r>
      <w:r>
        <w:t xml:space="preserve">); </w:t>
      </w:r>
      <w:r>
        <w:fldChar w:fldCharType="begin"/>
      </w:r>
      <w:r>
        <w:instrText xml:space="preserve"> ADDIN ZOTERO_ITEM CSL_CITATION {"citationID":"2deg8rchs0","properties":{"formattedCitation":"(Trinh et al., 2015; Yeh, Schnur, Margolies, &amp; Montgomery, 2015)","plainCitation":"(Trinh et al., 2015; Yeh, Schnur, Margolies, &amp; Montgomery, 2015)"},"citationItems":[{"id":46,"uris":["http://zotero.org/users/local/2fBHA0Hy/items/PBMVMB63"],"uri":["http://zotero.org/users/local/2fBHA0Hy/items/PBMVMB63"],"itemData":{"id":46,"type":"article-journal","title":"Patient awareness of breast density and interest in supplemental screening tests: Comparison of an academic facility and a county hospital","container-title":"Journal of the American College of Radiology","page":"249-255","volume":"12","issue":"3","abstract":"Purpose The aim of this study was to measure women's knowledge of breast density and their attitudes toward supplemental screening tests in the setting of the California Breast Density Notification Law at an academic facility and a county hospital, serving women with higher and lower socioeconomic status, respectively. Methods Institutional review board exemptions were obtained. A survey was administered during screening mammography at two facilities, assessing women's awareness of and interest in knowing their breast density and interest in and willingness to pay for supplemental whole breast ultrasound and contrast-enhanced spectral mammography (CEMG). The results were compared by using Fisher exact tests between groups. Results A total of 105 of 130 and 132 of 153 women responded to the survey at the academic and county facilities, respectively. Among respondents at the academic and county facilities, 23% and 5% were aware of their breast density, and 94% and 79% wanted to know their density. A majority were interested in supplemental ultrasonography and CEMG at both sites; however, fewer women had a willingness to pay for the supplemental tests at the county hospital compared with those at the academic facility (22% and 70%, respectively, for ultrasound, P &lt;.0001; 20% and 65%, respectively, for CEMG, P &lt;.0001). Conclusions Both groups of women were interested in knowing their breast density and in supplemental screening tests. However, women at the county hospital were less willing to incur out-of-pocket expenses, suggesting a potential for a disparity in health care access for women of lower socioeconomic status after the enactment of breast density notification legislation.Copyright © 2015 Published by Elsevier on behalf of American College of Radiology.","DOI":"10.1016/j.jacr.2014.10.027","ISSN":"1546-1440 1558-349X","shortTitle":"Patient awareness of breast density and interest in supplemental screening tests: Comparison of an academic facility and a county hospital","author":[{"family":"Trinh","given":"L."},{"family":"Ikeda","given":"D. M."},{"family":"Miyake","given":"K. K."},{"family":"Trinh","given":"J."},{"family":"Lee","given":"K. K."},{"family":"Dave","given":"H."},{"family":"Hanafusa","given":"K."},{"family":"Lipson","given":"J."}],"issued":{"date-parts":[["2015"]]}}},{"id":47,"uris":["http://zotero.org/users/local/2fBHA0Hy/items/CPPXMTM9"],"uri":["http://zotero.org/users/local/2fBHA0Hy/items/CPPXMTM9"],"itemData":{"id":47,"type":"article-journal","title":"Dense breast tissue notification: Impact on women's perceived risk, anxiety, and intentions for future breast cancer screening","container-title":"Journal of the American College of Radiology","page":"261-266","volume":"12","issue":"3","abstract":"Purpose The aim of this study was to explore how women respond to the wording of dense breast tissue notifications, which are increasingly required by state law after mammography. The specific aims were to (1) determine whether perceived lifetime risk for breast cancer and intentions to undergo mammography increase after reviewing a sample notification, (2) explore individual difference variables (eg, minority status, insurance coverage) that may influence intentions for additional ultrasound screening, and (3) assess whether anxiety mediates the relationship between perceived risk and screening intentions. Methods A total of 184 women aged &gt;40 years in the United States were recruited from Amazon Mechanical Turk to respond to a dense breast tissue notification as if they had personally received it. Results After reviewing a notification, women reported greater perceived risk (d = 0.67) and intentions to undergo mammography (d = 0.25) than before. Most women intended to undergo additional ultrasound screening, although to a lesser extent when ultrasound was covered by insurance than when it was not (d = 1.03). All screening intentions were lower in women with ambiguity aversion, a tendency to avoid tests without medical consensus, and those who preferred an active decision-making role. Anxiety mediated the relationship between perceived breast cancer risk and all screening intentions. Conclusions Women who receive dense breast tissue notifications may generally increase their breast cancer screening intentions; however, intention strength varies depending on internal (eg, ambiguity aversion) and external (eg, insurance for ultrasound) factors. Although perceived risk increases after notification, it is anxiety that drives women's intentions for future screening.Copyright © 2015 American College of Radiology.","DOI":"10.1016/j.jacr.2014.11.001","ISSN":"1546-1440 1558-349X","shortTitle":"Dense breast tissue notification: Impact on women's perceived risk, anxiety, and intentions for future breast cancer screening","author":[{"family":"Yeh","given":"V. M."},{"family":"Schnur","given":"J. B."},{"family":"Margolies","given":"L."},{"family":"Montgomery","given":"G. H."}],"issued":{"date-parts":[["2015"]]}}}],"schema":"https://github.com/citation-style-language/schema/raw/master/csl-citation.json"} </w:instrText>
      </w:r>
      <w:r>
        <w:fldChar w:fldCharType="separate"/>
      </w:r>
      <w:r w:rsidRPr="00182758">
        <w:rPr>
          <w:rFonts w:ascii="Cambria" w:hAnsi="Cambria"/>
        </w:rPr>
        <w:t xml:space="preserve">Trinh et al. </w:t>
      </w:r>
      <w:r>
        <w:rPr>
          <w:rFonts w:ascii="Cambria" w:hAnsi="Cambria"/>
        </w:rPr>
        <w:t>(</w:t>
      </w:r>
      <w:r w:rsidRPr="00182758">
        <w:rPr>
          <w:rFonts w:ascii="Cambria" w:hAnsi="Cambria"/>
        </w:rPr>
        <w:t>2015</w:t>
      </w:r>
      <w:r>
        <w:rPr>
          <w:rFonts w:ascii="Cambria" w:hAnsi="Cambria"/>
        </w:rPr>
        <w:t>)</w:t>
      </w:r>
      <w:r w:rsidRPr="00182758">
        <w:rPr>
          <w:rFonts w:ascii="Cambria" w:hAnsi="Cambria"/>
        </w:rPr>
        <w:t xml:space="preserve">; Yeh, Schnur, Margolies, &amp; Montgomery </w:t>
      </w:r>
      <w:r>
        <w:rPr>
          <w:rFonts w:ascii="Cambria" w:hAnsi="Cambria"/>
        </w:rPr>
        <w:t>(</w:t>
      </w:r>
      <w:r w:rsidRPr="00182758">
        <w:rPr>
          <w:rFonts w:ascii="Cambria" w:hAnsi="Cambria"/>
        </w:rPr>
        <w:t>2015)</w:t>
      </w:r>
      <w:r>
        <w:fldChar w:fldCharType="end"/>
      </w:r>
      <w:r>
        <w:t xml:space="preserve">; </w:t>
      </w:r>
      <w:r>
        <w:fldChar w:fldCharType="begin"/>
      </w:r>
      <w:r>
        <w:instrText xml:space="preserve"> ADDIN ZOTERO_ITEM CSL_CITATION {"citationID":"ah1t7cp5lv","properties":{"formattedCitation":"(M. A. Manning et al., 2013)","plainCitation":"(M. A. Manning et al., 2013)"},"citationItems":[{"id":492,"uris":["http://zotero.org/users/local/2fBHA0Hy/items/DQ7MVSXS"],"uri":["http://zotero.org/users/local/2fBHA0Hy/items/DQ7MVSXS"],"itemData":{"id":492,"type":"article-journal","title":"Knowledge of Breast Density and Awareness of Related Breast Cancer Risk","container-title":"Journal of Cancer Education","page":"270-274","volume":"28","issue":"2","source":"CrossRef","DOI":"10.1007/s13187-013-0457-1","ISSN":"0885-8195, 1543-0154","language":"en","author":[{"family":"Manning","given":"Mark A."},{"family":"Duric","given":"Neb"},{"family":"Littrup","given":"Peter"},{"family":"Bey-Knight","given":"Lisa"},{"family":"Penner","given":"Louis"},{"family":"Albrecht","given":"Terrance L."}],"issued":{"date-parts":[["2013",6]]}}}],"schema":"https://github.com/citation-style-language/schema/raw/master/csl-citation.json"} </w:instrText>
      </w:r>
      <w:r>
        <w:fldChar w:fldCharType="separate"/>
      </w:r>
      <w:r w:rsidRPr="00183C31">
        <w:rPr>
          <w:rFonts w:ascii="Cambria" w:hAnsi="Cambria"/>
        </w:rPr>
        <w:t xml:space="preserve">Manning et al. </w:t>
      </w:r>
      <w:r>
        <w:rPr>
          <w:rFonts w:ascii="Cambria" w:hAnsi="Cambria"/>
        </w:rPr>
        <w:t>(</w:t>
      </w:r>
      <w:r w:rsidRPr="00183C31">
        <w:rPr>
          <w:rFonts w:ascii="Cambria" w:hAnsi="Cambria"/>
        </w:rPr>
        <w:t>2013)</w:t>
      </w:r>
      <w:r>
        <w:fldChar w:fldCharType="end"/>
      </w:r>
    </w:p>
    <w:p w14:paraId="080DE23C" w14:textId="77777777" w:rsidR="006C415F" w:rsidRPr="0013484B"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13484B">
        <w:rPr>
          <w:b/>
        </w:rPr>
        <w:t>Key findings</w:t>
      </w:r>
      <w:r>
        <w:rPr>
          <w:b/>
        </w:rPr>
        <w:t xml:space="preserve"> about notification and mental health outcomes</w:t>
      </w:r>
    </w:p>
    <w:p w14:paraId="17ACDE28" w14:textId="34B138CB" w:rsidR="006C415F"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146ACA">
        <w:t xml:space="preserve">While </w:t>
      </w:r>
      <w:r>
        <w:t>there is some association between notifying women about their breast density and negative mental health outcomes (</w:t>
      </w:r>
      <w:r w:rsidR="00CC24AA">
        <w:t>eg,</w:t>
      </w:r>
      <w:r>
        <w:t xml:space="preserve"> increased anxiety about developing breast cancer) in women, the identified</w:t>
      </w:r>
      <w:r w:rsidRPr="00146ACA">
        <w:t xml:space="preserve"> studies </w:t>
      </w:r>
      <w:r>
        <w:t xml:space="preserve">do not </w:t>
      </w:r>
      <w:r w:rsidRPr="00146ACA">
        <w:t xml:space="preserve">indicate a </w:t>
      </w:r>
      <w:r>
        <w:t xml:space="preserve">consistent and </w:t>
      </w:r>
      <w:r w:rsidRPr="00146ACA">
        <w:t>significant relationship</w:t>
      </w:r>
      <w:r>
        <w:t>. However, this c</w:t>
      </w:r>
      <w:r w:rsidRPr="00146ACA">
        <w:t xml:space="preserve">ould also signal </w:t>
      </w:r>
      <w:r>
        <w:t>that women generally have a</w:t>
      </w:r>
      <w:r w:rsidRPr="00146ACA">
        <w:t xml:space="preserve"> poor understanding of the summary letter or a lack of knowledge of the relationship between breast density and cancer risk. </w:t>
      </w:r>
      <w:r>
        <w:t xml:space="preserve">There is also a limited body of evidence in this area, including a lack of studies that assess the mental health outcomes of notification in women with more dense breasts only, and cohort studies following women before and after the implementation of legislation (with a long-term follow up) to understand how the notifications impact on screening behaviour. </w:t>
      </w:r>
    </w:p>
    <w:p w14:paraId="5DD36D83" w14:textId="77777777" w:rsidR="006C415F" w:rsidRPr="00CE738F"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CE738F">
        <w:t xml:space="preserve">Two </w:t>
      </w:r>
      <w:r>
        <w:t>American</w:t>
      </w:r>
      <w:r w:rsidRPr="00CE738F">
        <w:t xml:space="preserve"> studies reported on ethnic differences in emotional responses to breast density notification. Both studies found African American women to have more breast density-related anxiety compared to European women, however socioeconomic status and knowledge partially accounted for the effect of ethnicity on psychological response. </w:t>
      </w:r>
    </w:p>
    <w:p w14:paraId="4717D9B7" w14:textId="50843DFD" w:rsidR="006C415F"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CE738F">
        <w:t>A small number of studies examined the association between breast density awareness or knowledge (as a result of breast density notification) and women’s responses to breast cancer screening. The studies indicate that breast density notification may increase women’s engagement in screening</w:t>
      </w:r>
      <w:r>
        <w:t xml:space="preserve"> but further research to determine this relationship is needed.</w:t>
      </w:r>
    </w:p>
    <w:p w14:paraId="5A69BAAF" w14:textId="77777777" w:rsidR="00182760" w:rsidRDefault="00182760" w:rsidP="00182760">
      <w:pPr>
        <w:pStyle w:val="NumberedHeading3"/>
        <w:ind w:left="851" w:hanging="851"/>
      </w:pPr>
      <w:bookmarkStart w:id="116" w:name="_Toc507914447"/>
      <w:bookmarkStart w:id="117" w:name="_Toc507976172"/>
      <w:bookmarkStart w:id="118" w:name="_Toc518922224"/>
      <w:r>
        <w:t>Overall mental health</w:t>
      </w:r>
      <w:bookmarkEnd w:id="116"/>
      <w:bookmarkEnd w:id="117"/>
      <w:bookmarkEnd w:id="118"/>
    </w:p>
    <w:p w14:paraId="252BBA8C" w14:textId="77777777" w:rsidR="00182760" w:rsidRDefault="00182760" w:rsidP="00182760">
      <w:pPr>
        <w:pStyle w:val="BodyText"/>
      </w:pPr>
      <w:r>
        <w:t>Five articles reported on overall mental health outcomes associated with knowledge of breast density</w:t>
      </w:r>
      <w:r w:rsidRPr="00FA0466">
        <w:t xml:space="preserve">. </w:t>
      </w:r>
      <w:r w:rsidR="0073772E">
        <w:t>Inconsistent results were reported.</w:t>
      </w:r>
    </w:p>
    <w:p w14:paraId="19A040B6" w14:textId="77777777" w:rsidR="00182760" w:rsidRPr="00AD0CCA" w:rsidRDefault="00182760" w:rsidP="00182760">
      <w:pPr>
        <w:pStyle w:val="BodyText-GREEN"/>
        <w:rPr>
          <w:b/>
        </w:rPr>
      </w:pPr>
      <w:r w:rsidRPr="00345CCE">
        <w:rPr>
          <w:b/>
          <w:color w:val="auto"/>
        </w:rPr>
        <w:t>Systematic review and literature review</w:t>
      </w:r>
    </w:p>
    <w:p w14:paraId="33DF5445" w14:textId="79F28831" w:rsidR="00182760" w:rsidRDefault="00182760" w:rsidP="00182760">
      <w:pPr>
        <w:pStyle w:val="BodyText"/>
      </w:pPr>
      <w:r>
        <w:t xml:space="preserve">Our search returned one systematic </w:t>
      </w:r>
      <w:r w:rsidR="00D354E4">
        <w:t xml:space="preserve">review </w:t>
      </w:r>
      <w:r>
        <w:t>relat</w:t>
      </w:r>
      <w:r w:rsidR="00465B83">
        <w:t>ed</w:t>
      </w:r>
      <w:r>
        <w:t xml:space="preserve"> to the impact of breast density knowledge on mental health outcomes (Melnikow et al., 2016). No pooled analysis relating to mental health outcomes was completed in this review. Information about Melnikow et al.’s systematic review methodology is discussed in section </w:t>
      </w:r>
      <w:r w:rsidR="008D2EF6">
        <w:t>3.4</w:t>
      </w:r>
      <w:r>
        <w:t>.</w:t>
      </w:r>
      <w:r w:rsidR="00191AF3">
        <w:t>2.</w:t>
      </w:r>
    </w:p>
    <w:bookmarkStart w:id="119" w:name="_Hlk507676917"/>
    <w:p w14:paraId="19B09FDA" w14:textId="5C0FD39C" w:rsidR="00182760" w:rsidRDefault="00182760" w:rsidP="00182760">
      <w:pPr>
        <w:pStyle w:val="BodyText"/>
      </w:pPr>
      <w:r>
        <w:fldChar w:fldCharType="begin"/>
      </w:r>
      <w:r>
        <w:instrText xml:space="preserve"> ADDIN ZOTERO_ITEM CSL_CITATION {"citationID":"cYAedfRh","properties":{"formattedCitation":"(Melnikow et al., 2016)","plainCitation":"(Melnikow et al., 2016)","dontUpdate":true},"citationItems":[{"id":493,"uris":["http://zotero.org/users/local/2fBHA0Hy/items/XJJXMTRX"],"uri":["http://zotero.org/users/local/2fBHA0Hy/items/XJJXMTRX"],"itemData":{"id":493,"type":"article-journal","title":"Supplemental Screening for Breast Cancer in Women With Dense Breasts: A Systematic Review for the U.S. Preventive Services Task Force","container-title":"Annals of Internal Medicine","page":"268","volume":"164","issue":"4","source":"CrossRef","DOI":"10.7326/M15-1789","ISSN":"0003-4819","shortTitle":"Supplemental Screening for Breast Cancer in Women With Dense Breasts","language":"en","author":[{"family":"Melnikow","given":"Joy"},{"family":"Fenton","given":"Joshua J."},{"family":"Whitlock","given":"Evelyn P."},{"family":"Miglioretti","given":"Diana L."},{"family":"Weyrich","given":"Meghan S."},{"family":"Thompson","given":"Jamie H."},{"family":"Shah","given":"Kunal"}],"issued":{"date-parts":[["2016",2,16]]}}}],"schema":"https://github.com/citation-style-language/schema/raw/master/csl-citation.json"} </w:instrText>
      </w:r>
      <w:r>
        <w:fldChar w:fldCharType="separate"/>
      </w:r>
      <w:r w:rsidRPr="00436E12">
        <w:rPr>
          <w:rFonts w:ascii="Cambria" w:hAnsi="Cambria"/>
        </w:rPr>
        <w:t xml:space="preserve">Melnikow et al. </w:t>
      </w:r>
      <w:r>
        <w:rPr>
          <w:rFonts w:ascii="Cambria" w:hAnsi="Cambria"/>
        </w:rPr>
        <w:t>(</w:t>
      </w:r>
      <w:r w:rsidRPr="00436E12">
        <w:rPr>
          <w:rFonts w:ascii="Cambria" w:hAnsi="Cambria"/>
        </w:rPr>
        <w:t>2016)</w:t>
      </w:r>
      <w:r>
        <w:fldChar w:fldCharType="end"/>
      </w:r>
      <w:bookmarkEnd w:id="119"/>
      <w:r>
        <w:t xml:space="preserve"> cited a Canadian </w:t>
      </w:r>
      <w:r w:rsidR="000C2C53">
        <w:t>RCT</w:t>
      </w:r>
      <w:r>
        <w:t xml:space="preserve"> that examined the effect of notifying women if they had more or less dense breasts and the provision of additional advice about breast density as a risk factor and advice on supplemental </w:t>
      </w:r>
      <w:r w:rsidR="002D74B6">
        <w:t>testing</w:t>
      </w:r>
      <w:r>
        <w:t>. The trial was conducted in 2007, and although the date is outside of our review’s Terms of Reference, it has been included as there are no other RCT studies that discussed mental health outcomes</w:t>
      </w:r>
      <w:r w:rsidR="00191AF3">
        <w:t xml:space="preserve"> related to notification</w:t>
      </w:r>
      <w:r>
        <w:t>. In the RCT, w</w:t>
      </w:r>
      <w:r w:rsidRPr="008C5DAF">
        <w:t>omen randomly assigned to the intervention group (</w:t>
      </w:r>
      <w:r w:rsidRPr="00191AF3">
        <w:rPr>
          <w:i/>
        </w:rPr>
        <w:t>n</w:t>
      </w:r>
      <w:r w:rsidRPr="008C5DAF">
        <w:t xml:space="preserve">=285) received a report </w:t>
      </w:r>
      <w:r>
        <w:t xml:space="preserve">advising them of their </w:t>
      </w:r>
      <w:r w:rsidRPr="008C5DAF">
        <w:t>breast density with letters summarising their mammography results and a pamphlet on breast cancer risk factors, including density.</w:t>
      </w:r>
      <w:r>
        <w:t xml:space="preserve"> </w:t>
      </w:r>
      <w:r w:rsidR="00CE738F">
        <w:t>S</w:t>
      </w:r>
      <w:r w:rsidR="00962232" w:rsidRPr="0044553E">
        <w:t>upplementa</w:t>
      </w:r>
      <w:r w:rsidR="00962232">
        <w:t>l</w:t>
      </w:r>
      <w:r>
        <w:t xml:space="preserve"> </w:t>
      </w:r>
      <w:r w:rsidR="002D74B6">
        <w:t xml:space="preserve">testing </w:t>
      </w:r>
      <w:r>
        <w:t xml:space="preserve">was not recommended in the notifications. </w:t>
      </w:r>
      <w:r w:rsidRPr="008C5DAF">
        <w:t>Women randomly assigned to the control group (</w:t>
      </w:r>
      <w:r w:rsidRPr="00191AF3">
        <w:rPr>
          <w:i/>
        </w:rPr>
        <w:t>n</w:t>
      </w:r>
      <w:r w:rsidRPr="008C5DAF">
        <w:t xml:space="preserve">=333) were notified of mammography results without information on breast density. </w:t>
      </w:r>
      <w:r>
        <w:t xml:space="preserve">No statistically significant differences were found in the psychological outcomes, such as preoccupation with breast cancer, breast cancer fear, and psychological distress at either the four-week or six-month follow-up points. The authors concluded that breast density notification was not associated with negative psychological outcomes. </w:t>
      </w:r>
    </w:p>
    <w:p w14:paraId="27F13E4C" w14:textId="713DEDDA" w:rsidR="00182760" w:rsidRDefault="00182760" w:rsidP="00182760">
      <w:pPr>
        <w:pStyle w:val="BodyText"/>
      </w:pPr>
      <w:r>
        <w:lastRenderedPageBreak/>
        <w:fldChar w:fldCharType="begin"/>
      </w:r>
      <w:r>
        <w:instrText xml:space="preserve"> ADDIN ZOTERO_ITEM CSL_CITATION {"citationID":"krdhnij2","properties":{"formattedCitation":"(Melnikow et al., 2016)","plainCitation":"(Melnikow et al., 2016)","dontUpdate":true},"citationItems":[{"id":493,"uris":["http://zotero.org/users/local/2fBHA0Hy/items/XJJXMTRX"],"uri":["http://zotero.org/users/local/2fBHA0Hy/items/XJJXMTRX"],"itemData":{"id":493,"type":"article-journal","title":"Supplemental Screening for Breast Cancer in Women With Dense Breasts: A Systematic Review for the U.S. Preventive Services Task Force","container-title":"Annals of Internal Medicine","page":"268","volume":"164","issue":"4","source":"CrossRef","DOI":"10.7326/M15-1789","ISSN":"0003-4819","shortTitle":"Supplemental Screening for Breast Cancer in Women With Dense Breasts","language":"en","author":[{"family":"Melnikow","given":"Joy"},{"family":"Fenton","given":"Joshua J."},{"family":"Whitlock","given":"Evelyn P."},{"family":"Miglioretti","given":"Diana L."},{"family":"Weyrich","given":"Meghan S."},{"family":"Thompson","given":"Jamie H."},{"family":"Shah","given":"Kunal"}],"issued":{"date-parts":[["2016",2,16]]}}}],"schema":"https://github.com/citation-style-language/schema/raw/master/csl-citation.json"} </w:instrText>
      </w:r>
      <w:r>
        <w:fldChar w:fldCharType="separate"/>
      </w:r>
      <w:r w:rsidRPr="00436E12">
        <w:rPr>
          <w:rFonts w:ascii="Cambria" w:hAnsi="Cambria"/>
        </w:rPr>
        <w:t xml:space="preserve">Melnikow et al. </w:t>
      </w:r>
      <w:r>
        <w:rPr>
          <w:rFonts w:ascii="Cambria" w:hAnsi="Cambria"/>
        </w:rPr>
        <w:t>(</w:t>
      </w:r>
      <w:r w:rsidRPr="00436E12">
        <w:rPr>
          <w:rFonts w:ascii="Cambria" w:hAnsi="Cambria"/>
        </w:rPr>
        <w:t>2016)</w:t>
      </w:r>
      <w:r>
        <w:fldChar w:fldCharType="end"/>
      </w:r>
      <w:r>
        <w:t xml:space="preserve"> noted that the subjectivity and variability of breast density classification (using </w:t>
      </w:r>
      <w:r w:rsidR="00275D65">
        <w:t>BIRADS</w:t>
      </w:r>
      <w:r>
        <w:t xml:space="preserve">, for example) may result in negative outcomes for women. Reclassification from one category to another, for example </w:t>
      </w:r>
      <w:r w:rsidR="00191AF3">
        <w:t xml:space="preserve">from </w:t>
      </w:r>
      <w:r>
        <w:t xml:space="preserve">dense to not-dense, may undermine a woman’s confidence in the screening process and create uncertainty for women and physicians. The opposite reclassification may result in unnecessary worry for the woman or prompt unnecessary supplemental </w:t>
      </w:r>
      <w:r w:rsidR="002D74B6">
        <w:t>tests</w:t>
      </w:r>
      <w:r>
        <w:t xml:space="preserve">. No studies have examined this association in more detail, however. </w:t>
      </w:r>
    </w:p>
    <w:p w14:paraId="6CEFA3C0" w14:textId="77777777" w:rsidR="00182760" w:rsidRPr="00D64DEA" w:rsidRDefault="00182760" w:rsidP="00182760">
      <w:pPr>
        <w:pStyle w:val="BodyText-GREEN"/>
        <w:rPr>
          <w:b/>
        </w:rPr>
      </w:pPr>
      <w:r w:rsidRPr="00345CCE">
        <w:rPr>
          <w:b/>
          <w:color w:val="auto"/>
        </w:rPr>
        <w:t>Observational studies</w:t>
      </w:r>
    </w:p>
    <w:p w14:paraId="4069FB28" w14:textId="2CEEC06C" w:rsidR="00182760" w:rsidRDefault="00182760" w:rsidP="00182760">
      <w:pPr>
        <w:pStyle w:val="BodyText"/>
      </w:pPr>
      <w:r w:rsidRPr="007551CD">
        <w:fldChar w:fldCharType="begin"/>
      </w:r>
      <w:r>
        <w:instrText xml:space="preserve"> ADDIN ZOTERO_ITEM CSL_CITATION {"citationID":"qDdCUiEU","properties":{"formattedCitation":"(M. Manning et al., 2016)","plainCitation":"(M. Manning et al., 2016)"},"citationItems":[{"id":28,"uris":["http://zotero.org/users/local/2fBHA0Hy/items/5I56NRTS"],"uri":["http://zotero.org/users/local/2fBHA0Hy/items/5I56NRTS"],"itemData":{"id":28,"type":"article-journal","title":"Influences of race and breast density on related cognitive and emotion outcomes before mandated breast density notification","container-title":"Social Science and Medicine","page":"171-179","volume":"169","abstract":"Rationale Many states have adopted laws mandating breast density (BD) notification for applicable women; however, very little is known about what women knew or felt about BD and related breast cancer (BC) risk before implementation of BD notification laws. Objective We examined between-race differences in the extent to which having dense breasts was associated with women's related BD cognition and emotion, and with health care providers' communication about BD. Methods We received surveys between May and October of 2015 assessing health care provider (HCP) communication about BD, BD-related knowledge, BD-related anxiety and BC worry from 182 African American (AA) and 113 European American (EA) women in the state of Michigan for whom we had radiologists' assessments of BD. Results Whereas having dense breasts was not associated with any BD-related cognition or emotion, there were robust effects of race as follows: EA women were more likely to have been told about BD by a HCP, more likely to know their BD status, had greater knowledge of BD and of BC risk, and had greater perceptions of BC risk and worry; AA women had greater BD-related anxieties. EA women's greater knowledge of their own BD status was directly related to the increased likelihood of HCP communication about BD. However, HCP communication about BD attenuated anxiety for AA women only. Conclusion We present the only data of which we are aware that examines between-race differences in the associations between actual BD, HCP communication and BD related cognition and emotion before the implementation of BD notification laws. Our findings suggest that the BD notification laws could yield positive benefits for disparities in BD-related knowledge and anxiety when the notifications are followed by discussions with health care providers.Copyright © 2016 Elsevier Ltd","DOI":"10.1016/j.socscimed.2016.09.037","ISSN":"0277-9536 1873-5347","shortTitle":"Influences of race and breast density on related cognitive and emotion outcomes before mandated breast density notification","author":[{"family":"Manning","given":"M."},{"family":"Albrecht","given":"T. L."},{"family":"Yilmaz-Saab","given":"Z."},{"family":"Shultz","given":"J."},{"family":"Purrington","given":"K."}],"issued":{"date-parts":[["2016"]]}}}],"schema":"https://github.com/citation-style-language/schema/raw/master/csl-citation.json"} </w:instrText>
      </w:r>
      <w:r w:rsidRPr="007551CD">
        <w:fldChar w:fldCharType="separate"/>
      </w:r>
      <w:r w:rsidRPr="007551CD">
        <w:t xml:space="preserve">Manning et al. </w:t>
      </w:r>
      <w:r>
        <w:t>(</w:t>
      </w:r>
      <w:r w:rsidRPr="007551CD">
        <w:t>2016</w:t>
      </w:r>
      <w:r w:rsidRPr="007551CD">
        <w:fldChar w:fldCharType="end"/>
      </w:r>
      <w:r>
        <w:t>)</w:t>
      </w:r>
      <w:r w:rsidRPr="007551CD">
        <w:t xml:space="preserve"> examined cognition and emotions related to breast density</w:t>
      </w:r>
      <w:r w:rsidR="00A21048">
        <w:t xml:space="preserve"> knowledge</w:t>
      </w:r>
      <w:r w:rsidRPr="007551CD">
        <w:t xml:space="preserve"> among women in Michigan before implementation of the state’s breast density notification law, with a focus on between-</w:t>
      </w:r>
      <w:r>
        <w:t xml:space="preserve">ethnicity </w:t>
      </w:r>
      <w:r w:rsidRPr="007551CD">
        <w:t xml:space="preserve">differences. The study sample included survey responses from 182 (62%) African American women </w:t>
      </w:r>
      <w:r>
        <w:t xml:space="preserve">(146 classified as </w:t>
      </w:r>
      <w:r w:rsidR="00275D65">
        <w:t>BIRADS</w:t>
      </w:r>
      <w:r>
        <w:t xml:space="preserve"> 1-2, and 36 as </w:t>
      </w:r>
      <w:r w:rsidR="00275D65">
        <w:t>BIRADS</w:t>
      </w:r>
      <w:r>
        <w:t xml:space="preserve"> 3-4) </w:t>
      </w:r>
      <w:r w:rsidRPr="007551CD">
        <w:t>and 113 (38%) European American women</w:t>
      </w:r>
      <w:r>
        <w:t xml:space="preserve"> (69 classified as </w:t>
      </w:r>
      <w:r w:rsidR="00275D65">
        <w:t>BIRADS</w:t>
      </w:r>
      <w:r>
        <w:t xml:space="preserve"> 1-2, and 44 classified as </w:t>
      </w:r>
      <w:r w:rsidR="00275D65">
        <w:t>BIRADS</w:t>
      </w:r>
      <w:r>
        <w:t xml:space="preserve"> 3-4)</w:t>
      </w:r>
      <w:r w:rsidRPr="007551CD">
        <w:t xml:space="preserve">. Overall, </w:t>
      </w:r>
      <w:r>
        <w:t>European American</w:t>
      </w:r>
      <w:r w:rsidRPr="007551CD">
        <w:t xml:space="preserve"> women were signiﬁcantly more likely to have dense breasts, be wealthy, highly educated, married, and to report a family history of breast cancer. The distribution of physical, social and emotional anxiety </w:t>
      </w:r>
      <w:r>
        <w:t xml:space="preserve">related to breast density </w:t>
      </w:r>
      <w:r w:rsidRPr="007551CD">
        <w:t xml:space="preserve">was negatively skewed for both </w:t>
      </w:r>
      <w:r>
        <w:t>African American</w:t>
      </w:r>
      <w:r w:rsidRPr="007551CD">
        <w:t xml:space="preserve"> and </w:t>
      </w:r>
      <w:r>
        <w:t>European American</w:t>
      </w:r>
      <w:r w:rsidRPr="007551CD">
        <w:t xml:space="preserve"> women</w:t>
      </w:r>
      <w:r>
        <w:t>:</w:t>
      </w:r>
      <w:r w:rsidRPr="007551CD">
        <w:t xml:space="preserve"> 63% of </w:t>
      </w:r>
      <w:r>
        <w:t xml:space="preserve">all </w:t>
      </w:r>
      <w:r w:rsidRPr="007551CD">
        <w:t>women reported no physical anxiety</w:t>
      </w:r>
      <w:r w:rsidR="00F6501C">
        <w:t xml:space="preserve"> (</w:t>
      </w:r>
      <w:r w:rsidR="00CC24AA">
        <w:t>eg,</w:t>
      </w:r>
      <w:r w:rsidR="00F6501C">
        <w:t xml:space="preserve"> having trouble sleeping)</w:t>
      </w:r>
      <w:r w:rsidRPr="007551CD">
        <w:t>, 67% no social anxiety</w:t>
      </w:r>
      <w:r w:rsidR="00F6501C">
        <w:t xml:space="preserve"> (</w:t>
      </w:r>
      <w:r w:rsidR="00CC24AA">
        <w:t>eg,</w:t>
      </w:r>
      <w:r w:rsidR="00F6501C">
        <w:t xml:space="preserve"> noticeably withdrawing from other people)</w:t>
      </w:r>
      <w:r w:rsidRPr="007551CD">
        <w:t>, and 47% no emotional anxiety</w:t>
      </w:r>
      <w:r w:rsidR="00335E8C">
        <w:t xml:space="preserve"> (</w:t>
      </w:r>
      <w:r w:rsidR="00CC24AA">
        <w:t>eg,</w:t>
      </w:r>
      <w:r w:rsidR="00335E8C">
        <w:t xml:space="preserve"> being unhappy or depressed)</w:t>
      </w:r>
      <w:r w:rsidRPr="007551CD">
        <w:t xml:space="preserve"> related to thoughts about breast density. </w:t>
      </w:r>
      <w:r>
        <w:t xml:space="preserve">That is, more than half of participants were not affected adversely by their knowledge of </w:t>
      </w:r>
      <w:r w:rsidR="00A21048">
        <w:t xml:space="preserve">breast </w:t>
      </w:r>
      <w:r>
        <w:t>density</w:t>
      </w:r>
      <w:r w:rsidR="001863A0">
        <w:t>, although a significant proportion (approximately a third to a half) were affected</w:t>
      </w:r>
      <w:r>
        <w:t>.</w:t>
      </w:r>
      <w:r w:rsidR="000C2C53">
        <w:t xml:space="preserve"> It is not clear what information was provided to women about breast density, breast cancer risk and screening.</w:t>
      </w:r>
    </w:p>
    <w:p w14:paraId="3CD4F17E" w14:textId="79C24A72" w:rsidR="00182760" w:rsidRDefault="00182760" w:rsidP="00182760">
      <w:pPr>
        <w:pStyle w:val="BodyText"/>
      </w:pPr>
      <w:r>
        <w:t>African American</w:t>
      </w:r>
      <w:r w:rsidRPr="007551CD">
        <w:t xml:space="preserve"> women indicated greater physical (1.49 vs. 1.25, </w:t>
      </w:r>
      <w:r w:rsidRPr="007D0D36">
        <w:rPr>
          <w:i/>
        </w:rPr>
        <w:t>p</w:t>
      </w:r>
      <w:r w:rsidRPr="007551CD">
        <w:t xml:space="preserve">&lt;.01) and social (1.47 vs. 1.28, </w:t>
      </w:r>
      <w:r w:rsidRPr="002B0A7C">
        <w:rPr>
          <w:i/>
        </w:rPr>
        <w:t>p</w:t>
      </w:r>
      <w:r w:rsidRPr="007551CD">
        <w:t>&lt;.05) dimensions of breast density</w:t>
      </w:r>
      <w:r w:rsidR="00A21048">
        <w:t>-related</w:t>
      </w:r>
      <w:r w:rsidRPr="007551CD">
        <w:t xml:space="preserve"> anxiety, and less breast cancer worry </w:t>
      </w:r>
      <w:r w:rsidR="00335E8C">
        <w:t>(“How often do you worry about breast cancer?</w:t>
      </w:r>
      <w:proofErr w:type="gramStart"/>
      <w:r w:rsidR="00335E8C">
        <w:t>”,</w:t>
      </w:r>
      <w:proofErr w:type="gramEnd"/>
      <w:r w:rsidR="00335E8C">
        <w:t xml:space="preserve"> measured on a 5-point scale; </w:t>
      </w:r>
      <w:r w:rsidRPr="007551CD">
        <w:t xml:space="preserve">2.34 vs. 2.72, </w:t>
      </w:r>
      <w:r w:rsidRPr="007D0D36">
        <w:rPr>
          <w:i/>
        </w:rPr>
        <w:t>p</w:t>
      </w:r>
      <w:r w:rsidRPr="007551CD">
        <w:t>&lt;.01).</w:t>
      </w:r>
      <w:r w:rsidR="009C359B">
        <w:t xml:space="preserve"> Further multivariate analyses found that these differences were not mediated by breast density</w:t>
      </w:r>
      <w:r w:rsidR="00DE31FC">
        <w:t xml:space="preserve"> status</w:t>
      </w:r>
      <w:r w:rsidR="009C359B">
        <w:t xml:space="preserve"> (i.e. </w:t>
      </w:r>
      <w:r w:rsidR="00DE31FC">
        <w:t>breast density did not influence results)</w:t>
      </w:r>
      <w:r w:rsidR="009C359B">
        <w:t xml:space="preserve"> but were instead attributable to the effects of demographic covariates (</w:t>
      </w:r>
      <w:r w:rsidR="00CC24AA">
        <w:t>eg,</w:t>
      </w:r>
      <w:r w:rsidR="009C359B">
        <w:t xml:space="preserve"> income, education, marital status and family history of breast cancer) rather than ethnicity itself. </w:t>
      </w:r>
      <w:r w:rsidR="00DE31FC">
        <w:t>For example, g</w:t>
      </w:r>
      <w:r w:rsidR="009C359B" w:rsidRPr="007551CD">
        <w:t xml:space="preserve">iven that </w:t>
      </w:r>
      <w:r w:rsidR="009C359B">
        <w:t>African American</w:t>
      </w:r>
      <w:r w:rsidR="009C359B" w:rsidRPr="007551CD">
        <w:t xml:space="preserve"> women had lower education </w:t>
      </w:r>
      <w:r w:rsidR="00DE31FC">
        <w:t>and</w:t>
      </w:r>
      <w:r w:rsidR="009C359B" w:rsidRPr="007551CD">
        <w:t xml:space="preserve"> income</w:t>
      </w:r>
      <w:r w:rsidR="00DE31FC">
        <w:t xml:space="preserve"> levels</w:t>
      </w:r>
      <w:r w:rsidR="009C359B" w:rsidRPr="007551CD">
        <w:t xml:space="preserve"> compared to </w:t>
      </w:r>
      <w:r w:rsidR="009C359B">
        <w:t>European American</w:t>
      </w:r>
      <w:r w:rsidR="009C359B" w:rsidRPr="007551CD">
        <w:t xml:space="preserve"> women</w:t>
      </w:r>
      <w:r w:rsidR="00DE31FC">
        <w:t>,</w:t>
      </w:r>
      <w:r w:rsidR="009C359B" w:rsidRPr="007551CD">
        <w:t xml:space="preserve"> and </w:t>
      </w:r>
      <w:r w:rsidR="00A21048">
        <w:t xml:space="preserve">also </w:t>
      </w:r>
      <w:r w:rsidR="009C359B" w:rsidRPr="007551CD">
        <w:t>given that lower income and education were associated with more anxiety, the results suggest that these particular covariates may account for the between</w:t>
      </w:r>
      <w:r w:rsidR="00DE31FC">
        <w:t>-</w:t>
      </w:r>
      <w:r w:rsidR="009C359B">
        <w:t xml:space="preserve">ethnic </w:t>
      </w:r>
      <w:r w:rsidR="00DE31FC">
        <w:t xml:space="preserve">group </w:t>
      </w:r>
      <w:r w:rsidR="009C359B" w:rsidRPr="007551CD">
        <w:t>differences in breast density</w:t>
      </w:r>
      <w:r w:rsidR="00A21048">
        <w:t>-related</w:t>
      </w:r>
      <w:r w:rsidR="009C359B" w:rsidRPr="007551CD">
        <w:t xml:space="preserve"> anxiety independent of actual breast density.</w:t>
      </w:r>
      <w:r w:rsidR="009C359B">
        <w:t xml:space="preserve"> Conversely, European American women indicated greater breast cancer risk knowledge (</w:t>
      </w:r>
      <w:r w:rsidR="009C359B">
        <w:rPr>
          <w:i/>
        </w:rPr>
        <w:t>p</w:t>
      </w:r>
      <w:r w:rsidR="009C359B">
        <w:t>&lt;.01), breast density knowledge (</w:t>
      </w:r>
      <w:r w:rsidR="009C359B">
        <w:rPr>
          <w:i/>
        </w:rPr>
        <w:t>p&lt;</w:t>
      </w:r>
      <w:r w:rsidR="009C359B">
        <w:t>.01) and breast cancer risk perception (</w:t>
      </w:r>
      <w:r w:rsidR="009C359B">
        <w:rPr>
          <w:i/>
        </w:rPr>
        <w:t>p</w:t>
      </w:r>
      <w:r w:rsidR="009C359B">
        <w:t>&lt;.05) than African American women.</w:t>
      </w:r>
      <w:r w:rsidRPr="007551CD">
        <w:t xml:space="preserve"> </w:t>
      </w:r>
      <w:r w:rsidR="009C359B">
        <w:t>These differences were found to be influenced by racial group membership, with no significant impact of breast density</w:t>
      </w:r>
      <w:r w:rsidR="00DE31FC">
        <w:t xml:space="preserve"> status</w:t>
      </w:r>
      <w:r w:rsidR="009C359B">
        <w:t>.</w:t>
      </w:r>
    </w:p>
    <w:p w14:paraId="50413EF2" w14:textId="0C8BCD95" w:rsidR="00182760" w:rsidRDefault="00182760" w:rsidP="00182760">
      <w:pPr>
        <w:pStyle w:val="BodyText"/>
      </w:pPr>
      <w:r>
        <w:t>A follow-on study (</w:t>
      </w:r>
      <w:r>
        <w:fldChar w:fldCharType="begin"/>
      </w:r>
      <w:r>
        <w:instrText xml:space="preserve"> ADDIN ZOTERO_ITEM CSL_CITATION {"citationID":"22631dthk9","properties":{"formattedCitation":"(M. Manning et al., 2017)","plainCitation":"(M. Manning et al., 2017)"},"citationItems":[{"id":27,"uris":["http://zotero.org/users/local/2fBHA0Hy/items/HUHWJZ5S"],"uri":["http://zotero.org/users/local/2fBHA0Hy/items/HUHWJZ5S"],"itemData":{"id":27,"type":"article-journal","title":"Explaining between-race differences in African-American and European-American women's responses to breast density notification","container-title":"Social Science and Medicine","page":"149-158","volume":"195","abstract":"Background Prior research shows between-race differences in women's knowledge and emotions related to having dense breasts, thus suggesting that between-race differences in behavioral decision-making following receipt of breast density (BD) notifications are likely. Guided by the theory of planned behavior, this study examined differences in emotion-related responses (i.e., anxiety, worry, confusion) and behavioral cognition (e.g., intentions, behavioral attitudes) following receipt of BD notifications among African American (AA) and European American (EA) women. This study also examined whether race-related perceptions (i.e., discrimination, group-based medical mistrust), relevant knowledge and socioeconomic status (SES) explained the between race differences. Method Michigan women (N = 457) who presented for routine screening mammogram and had dense breasts, no prior breast cancer diagnoses, and had screen-negative mammograms were recruited from July, 2015 to March 2016. MANOVA was used to examine between race differences in psychological responses (i.e., emotional responses and behavioral cognition), and a multi-group structural regression model was used to examine whether race-related constructs, knowledge and SES mediated the effect of race on emotional responses and behavioral cognition. Prior awareness of BD was accounted for in all analyses. Results AA women generally reported more negative psychological responses to receiving BD notifications regardless of prior BD awareness. AA women had more favorable perceptions related to talking to their physicians about the BD notifications. Generally, race-related perceptions, SES, and related knowledge partially accounted for the effect of race on psychological response. Race-related perceptions and SES partially accounted for the differences in behavioral intentions. Between-race differences in emotional responses to BD notifications did not explain differences in women's intentions to discuss BD notifications with their physicians. Conclusions Future examinations are warranted to examine whether there are between-race differences in actual post-BD notification behaviors and whether similar race-related variables account for differences.Copyright © 2017","DOI":"10.1016/j.socscimed.2017.10.006","ISSN":"0277-9536 1873-5347","shortTitle":"Explaining between-race differences in African-American and European-American women's responses to breast density notification","author":[{"family":"Manning","given":"M."},{"family":"Albrecht","given":"T. L."},{"family":"Yilmaz-Saab","given":"Z."},{"family":"Penner","given":"L."},{"family":"Norman","given":"A."},{"family":"Purrington","given":"K."}],"issued":{"date-parts":[["2017"]]}}}],"schema":"https://github.com/citation-style-language/schema/raw/master/csl-citation.json"} </w:instrText>
      </w:r>
      <w:r>
        <w:fldChar w:fldCharType="separate"/>
      </w:r>
      <w:bookmarkStart w:id="120" w:name="_Hlk507677077"/>
      <w:r w:rsidRPr="004150F4">
        <w:rPr>
          <w:rFonts w:ascii="Cambria" w:hAnsi="Cambria"/>
        </w:rPr>
        <w:t>Manning et al., 2017)</w:t>
      </w:r>
      <w:bookmarkEnd w:id="120"/>
      <w:r>
        <w:fldChar w:fldCharType="end"/>
      </w:r>
      <w:r>
        <w:t xml:space="preserve"> examined differences in emotional responses and cognition between African American (</w:t>
      </w:r>
      <w:r w:rsidR="000C2C53" w:rsidRPr="001863A0">
        <w:rPr>
          <w:i/>
        </w:rPr>
        <w:t>n</w:t>
      </w:r>
      <w:r w:rsidR="001863A0">
        <w:t xml:space="preserve"> </w:t>
      </w:r>
      <w:r>
        <w:t>=241, 53%) and European American (</w:t>
      </w:r>
      <w:r w:rsidR="000C2C53" w:rsidRPr="001863A0">
        <w:rPr>
          <w:i/>
        </w:rPr>
        <w:t>n</w:t>
      </w:r>
      <w:r w:rsidR="001863A0">
        <w:t xml:space="preserve"> </w:t>
      </w:r>
      <w:r>
        <w:t>=211, 47%) women who received breast density notifications (</w:t>
      </w:r>
      <w:r w:rsidR="00491761">
        <w:t xml:space="preserve">i.e. </w:t>
      </w:r>
      <w:r>
        <w:t xml:space="preserve">classified as </w:t>
      </w:r>
      <w:r w:rsidR="00275D65">
        <w:t>BIRADS</w:t>
      </w:r>
      <w:r>
        <w:t xml:space="preserve"> 3-4). African American</w:t>
      </w:r>
      <w:r w:rsidRPr="004150F4">
        <w:t xml:space="preserve"> women generally reported more negative psychological responses</w:t>
      </w:r>
      <w:r w:rsidR="00335E8C">
        <w:t xml:space="preserve"> (physical, emotional, and social)</w:t>
      </w:r>
      <w:r w:rsidRPr="004150F4">
        <w:t xml:space="preserve"> </w:t>
      </w:r>
      <w:r>
        <w:t>and greater anxiety</w:t>
      </w:r>
      <w:r w:rsidR="00335E8C">
        <w:t xml:space="preserve"> (“How anxious do you get when you think about how dense your own breasts are?”</w:t>
      </w:r>
      <w:r w:rsidR="00A25495">
        <w:t>)</w:t>
      </w:r>
      <w:r>
        <w:t xml:space="preserve"> </w:t>
      </w:r>
      <w:r w:rsidRPr="004150F4">
        <w:t xml:space="preserve">to receiving </w:t>
      </w:r>
      <w:r>
        <w:t>breast density</w:t>
      </w:r>
      <w:r w:rsidRPr="004150F4">
        <w:t xml:space="preserve"> notiﬁcations regardless of prior </w:t>
      </w:r>
      <w:r>
        <w:t>breast density</w:t>
      </w:r>
      <w:r w:rsidRPr="004150F4">
        <w:t xml:space="preserve"> awareness. </w:t>
      </w:r>
      <w:r>
        <w:t>African American</w:t>
      </w:r>
      <w:r w:rsidRPr="004150F4">
        <w:t xml:space="preserve"> women </w:t>
      </w:r>
      <w:r>
        <w:t xml:space="preserve">also </w:t>
      </w:r>
      <w:r w:rsidRPr="004150F4">
        <w:t>had more favo</w:t>
      </w:r>
      <w:r>
        <w:t>u</w:t>
      </w:r>
      <w:r w:rsidRPr="004150F4">
        <w:t xml:space="preserve">rable perceptions related to talking to their physicians about the </w:t>
      </w:r>
      <w:r>
        <w:t>breast density</w:t>
      </w:r>
      <w:r w:rsidRPr="004150F4">
        <w:t xml:space="preserve"> notiﬁcations. Generally, </w:t>
      </w:r>
      <w:r>
        <w:t>ethnicity</w:t>
      </w:r>
      <w:r w:rsidRPr="004150F4">
        <w:t xml:space="preserve">-related perceptions, </w:t>
      </w:r>
      <w:r>
        <w:t>socio-economic status</w:t>
      </w:r>
      <w:r w:rsidRPr="004150F4">
        <w:t xml:space="preserve">, and related knowledge partially accounted for the eﬀect of </w:t>
      </w:r>
      <w:r>
        <w:t>ethnicity</w:t>
      </w:r>
      <w:r w:rsidRPr="004150F4">
        <w:t xml:space="preserve"> on psychological response. </w:t>
      </w:r>
    </w:p>
    <w:p w14:paraId="7218B163" w14:textId="11A84AC9" w:rsidR="00182760" w:rsidRDefault="00182760" w:rsidP="00182760">
      <w:pPr>
        <w:pStyle w:val="BodyText"/>
      </w:pPr>
      <w:r>
        <w:lastRenderedPageBreak/>
        <w:t xml:space="preserve">In Manning et al.’s </w:t>
      </w:r>
      <w:r w:rsidR="007F4C44">
        <w:t>(</w:t>
      </w:r>
      <w:r>
        <w:t>2017</w:t>
      </w:r>
      <w:r w:rsidR="007F4C44">
        <w:t>)</w:t>
      </w:r>
      <w:r>
        <w:t xml:space="preserve"> study, ethnicity</w:t>
      </w:r>
      <w:r w:rsidRPr="004150F4">
        <w:t>-related perceptions and SES partially accounted for the diﬀerences in behavio</w:t>
      </w:r>
      <w:r>
        <w:t>u</w:t>
      </w:r>
      <w:r w:rsidRPr="004150F4">
        <w:t>ral intentions</w:t>
      </w:r>
      <w:r>
        <w:t xml:space="preserve"> such as seeking breast cancer screening and discussing breast cancer risk with a physician</w:t>
      </w:r>
      <w:r w:rsidRPr="004150F4">
        <w:t>. Between-</w:t>
      </w:r>
      <w:r>
        <w:t>ethnicity</w:t>
      </w:r>
      <w:r w:rsidRPr="004150F4">
        <w:t xml:space="preserve"> diﬀerences in emotional responses to </w:t>
      </w:r>
      <w:r>
        <w:t>breast density</w:t>
      </w:r>
      <w:r w:rsidRPr="004150F4">
        <w:t xml:space="preserve"> notiﬁcations did not explain diﬀerences in women's intentions to discuss </w:t>
      </w:r>
      <w:r>
        <w:t>breast density</w:t>
      </w:r>
      <w:r w:rsidRPr="004150F4">
        <w:t xml:space="preserve"> notiﬁcations with their physicians.</w:t>
      </w:r>
      <w:r>
        <w:t xml:space="preserve"> The authors noted that the adoption of breast density notification laws may result in a narrowing o</w:t>
      </w:r>
      <w:r w:rsidR="00CE738F">
        <w:t>f</w:t>
      </w:r>
      <w:r>
        <w:t xml:space="preserve"> ethnic disparities if it motivates women to have a discussion with their health care provider; however, ethnic differences in behavioural responses to the notifications may exacerbate disparities in breast cancer if African American women are less likely to discuss the notifications with physicians compared to European American women.</w:t>
      </w:r>
    </w:p>
    <w:p w14:paraId="385A1D40" w14:textId="3E60B602" w:rsidR="00182760" w:rsidRDefault="00182760" w:rsidP="00182760">
      <w:pPr>
        <w:pStyle w:val="BodyText"/>
      </w:pPr>
      <w:r w:rsidRPr="007551CD">
        <w:fldChar w:fldCharType="begin"/>
      </w:r>
      <w:r>
        <w:instrText xml:space="preserve"> ADDIN ZOTERO_ITEM CSL_CITATION {"citationID":"KskeYHRf","properties":{"formattedCitation":"(Moothathu et al., 2017)","plainCitation":"(Moothathu et al., 2017)"},"citationItems":[{"id":30,"uris":["http://zotero.org/users/local/2fBHA0Hy/items/43VZWQ4S"],"uri":["http://zotero.org/users/local/2fBHA0Hy/items/43VZWQ4S"],"itemData":{"id":30,"type":"article-journal","title":"Knowledge of Density and Screening Ultrasound","container-title":"Breast Journal","page":"323-332","volume":"23","issue":"3","abstract":"To determine breast density awareness and attitudes regarding supplemental breast ultrasound screening since implementation of the nation's first breast density notification law, Connecticut Public Act 09-41. A self-administered survey was distributed at a Connecticut academic breast imaging center between February 2013 and February 2014. Women with prior mammography reports describing heterogeneous or extremely dense breast tissue were invited to participate when presenting for screening mammography, screening ultrasound, or both. Data were collected on breast density awareness, history of prior ultrasounds, attitudes toward ultrasound and breast-cancer risk, and demographics. Data were collected from 950 completed surveys. The majority of surveyed women (92%) were aware of their breast density, and 77% had undergone a prior screening ultrasound. Forty-three percent of participants who were aware of their breast density also expressed increased anxiety about developing breast cancer due to having dense breast tissue. Caucasian race and higher education were significantly associated (p &lt; 0.05) with knowledge of personal breast density (93% and 95%, respectively) and having a prior screening breast ultrasound (79% and 80%, respectively). Patients with less than a college degree (82%) were significantly more likely to rely exclusively on their provider's recommendation regarding obtaining screening ultrasound (p &lt; 0.05). Breast density awareness is strongly associated with higher education, higher income, and Caucasian race. Non-Caucasian patients and those with less than a college education rely more heavily on their physicians' recommendations regarding screening ultrasound. Among women aware of their increased breast density, nearly half reported associated increased anxiety regarding the possibility of developing breast cancer.Copyright © 2016 Wiley Periodicals, Inc.","DOI":"10.1111/tbj.12734","ISSN":"1075-122X 1524-4741","shortTitle":"Knowledge of Density and Screening Ultrasound","author":[{"family":"Moothathu","given":"N. S."},{"family":"Philpotts","given":"L. E."},{"family":"Busch","given":"S. H."},{"family":"Gross","given":"C. P."},{"family":"Staib","given":"L. H."},{"family":"Hooley","given":"R. J."}],"issued":{"date-parts":[["2017"]]}}}],"schema":"https://github.com/citation-style-language/schema/raw/master/csl-citation.json"} </w:instrText>
      </w:r>
      <w:r w:rsidRPr="007551CD">
        <w:fldChar w:fldCharType="separate"/>
      </w:r>
      <w:r w:rsidRPr="007551CD">
        <w:t xml:space="preserve">Moothathu et al. </w:t>
      </w:r>
      <w:r>
        <w:t>(</w:t>
      </w:r>
      <w:r w:rsidRPr="007551CD">
        <w:t>2017</w:t>
      </w:r>
      <w:r w:rsidRPr="007551CD">
        <w:fldChar w:fldCharType="end"/>
      </w:r>
      <w:r>
        <w:t>)</w:t>
      </w:r>
      <w:r w:rsidRPr="007551CD">
        <w:t xml:space="preserve"> conducted a survey of 950 women</w:t>
      </w:r>
      <w:r>
        <w:t xml:space="preserve"> (classified as having heterogeneously or extremely dense breasts)</w:t>
      </w:r>
      <w:r w:rsidRPr="007551CD">
        <w:t xml:space="preserve"> in Connecticut</w:t>
      </w:r>
      <w:r>
        <w:t xml:space="preserve"> to determine breast density awareness and attitudes towards supplemental breast ultrasound </w:t>
      </w:r>
      <w:r w:rsidR="00C7222E">
        <w:t>testing</w:t>
      </w:r>
      <w:r>
        <w:t>, following the implementation of the state’s breast density notification legislation</w:t>
      </w:r>
      <w:r w:rsidRPr="007551CD">
        <w:t xml:space="preserve">. </w:t>
      </w:r>
      <w:r>
        <w:t xml:space="preserve">The study reported that 43% </w:t>
      </w:r>
      <w:r w:rsidRPr="007551CD">
        <w:t xml:space="preserve">of </w:t>
      </w:r>
      <w:r>
        <w:t xml:space="preserve">survey respondents </w:t>
      </w:r>
      <w:r w:rsidRPr="007551CD">
        <w:t>who were aware of their breast density also expressed increased anxiety about developing breast cancer due to having dense breast tissue</w:t>
      </w:r>
      <w:r w:rsidR="005C240E">
        <w:t>. Additionally,</w:t>
      </w:r>
      <w:r>
        <w:t xml:space="preserve"> women who had a prior breast ultrasound were statistically significantly more likely to report anxiety related to breast density awareness than women who had not had a prior ultrasound (44% vs. 32%, </w:t>
      </w:r>
      <w:r w:rsidRPr="00052640">
        <w:rPr>
          <w:i/>
        </w:rPr>
        <w:t>p</w:t>
      </w:r>
      <w:r w:rsidR="000C2C53" w:rsidRPr="00522F1A">
        <w:t>=</w:t>
      </w:r>
      <w:r>
        <w:t>.002)</w:t>
      </w:r>
    </w:p>
    <w:bookmarkStart w:id="121" w:name="_Hlk507676934"/>
    <w:p w14:paraId="7420E482" w14:textId="266C9D31" w:rsidR="00182760" w:rsidRPr="00313032" w:rsidRDefault="00182760" w:rsidP="00465B83">
      <w:pPr>
        <w:pStyle w:val="BodyText"/>
      </w:pPr>
      <w:r w:rsidRPr="00313032">
        <w:fldChar w:fldCharType="begin"/>
      </w:r>
      <w:r>
        <w:instrText xml:space="preserve"> ADDIN ZOTERO_ITEM CSL_CITATION {"citationID":"nqrll9df","properties":{"formattedCitation":"(Yeh, Schnur, Margolies, &amp; Montgomery, 2015)","plainCitation":"(Yeh, Schnur, Margolies, &amp; Montgomery, 2015)","dontUpdate":true},"citationItems":[{"id":47,"uris":["http://zotero.org/users/local/2fBHA0Hy/items/CPPXMTM9"],"uri":["http://zotero.org/users/local/2fBHA0Hy/items/CPPXMTM9"],"itemData":{"id":47,"type":"article-journal","title":"Dense breast tissue notification: Impact on women's perceived risk, anxiety, and intentions for future breast cancer screening","container-title":"Journal of the American College of Radiology","page":"261-266","volume":"12","issue":"3","abstract":"Purpose The aim of this study was to explore how women respond to the wording of dense breast tissue notifications, which are increasingly required by state law after mammography. The specific aims were to (1) determine whether perceived lifetime risk for breast cancer and intentions to undergo mammography increase after reviewing a sample notification, (2) explore individual difference variables (eg, minority status, insurance coverage) that may influence intentions for additional ultrasound screening, and (3) assess whether anxiety mediates the relationship between perceived risk and screening intentions. Methods A total of 184 women aged &gt;40 years in the United States were recruited from Amazon Mechanical Turk to respond to a dense breast tissue notification as if they had personally received it. Results After reviewing a notification, women reported greater perceived risk (d = 0.67) and intentions to undergo mammography (d = 0.25) than before. Most women intended to undergo additional ultrasound screening, although to a lesser extent when ultrasound was covered by insurance than when it was not (d = 1.03). All screening intentions were lower in women with ambiguity aversion, a tendency to avoid tests without medical consensus, and those who preferred an active decision-making role. Anxiety mediated the relationship between perceived breast cancer risk and all screening intentions. Conclusions Women who receive dense breast tissue notifications may generally increase their breast cancer screening intentions; however, intention strength varies depending on internal (eg, ambiguity aversion) and external (eg, insurance for ultrasound) factors. Although perceived risk increases after notification, it is anxiety that drives women's intentions for future screening.Copyright © 2015 American College of Radiology.","DOI":"10.1016/j.jacr.2014.11.001","ISSN":"1546-1440 1558-349X","shortTitle":"Dense breast tissue notification: Impact on women's perceived risk, anxiety, and intentions for future breast cancer screening","author":[{"family":"Yeh","given":"V. M."},{"family":"Schnur","given":"J. B."},{"family":"Margolies","given":"L."},{"family":"Montgomery","given":"G. H."}],"issued":{"date-parts":[["2015"]]}}}],"schema":"https://github.com/citation-style-language/schema/raw/master/csl-citation.json"} </w:instrText>
      </w:r>
      <w:r w:rsidRPr="00313032">
        <w:fldChar w:fldCharType="separate"/>
      </w:r>
      <w:r w:rsidRPr="00313032">
        <w:t>Yeh</w:t>
      </w:r>
      <w:r w:rsidR="000C2C53">
        <w:t xml:space="preserve"> et al. </w:t>
      </w:r>
      <w:r w:rsidRPr="00313032">
        <w:t>(2015)</w:t>
      </w:r>
      <w:r w:rsidRPr="00313032">
        <w:fldChar w:fldCharType="end"/>
      </w:r>
      <w:r w:rsidRPr="00313032">
        <w:t xml:space="preserve"> conducted an online study to explore women’s responses</w:t>
      </w:r>
      <w:r w:rsidR="00640ED7">
        <w:t xml:space="preserve"> to the wording of breast density notifications</w:t>
      </w:r>
      <w:r w:rsidRPr="00313032">
        <w:t xml:space="preserve">, including perceived risk and </w:t>
      </w:r>
      <w:r w:rsidR="00640ED7">
        <w:t xml:space="preserve">three types of </w:t>
      </w:r>
      <w:r w:rsidRPr="00313032">
        <w:t>screening intentions</w:t>
      </w:r>
      <w:r w:rsidR="00FB2FB4">
        <w:t xml:space="preserve"> (for future mammograms, </w:t>
      </w:r>
      <w:r w:rsidR="00640ED7">
        <w:t>and for future ultrasounds covered or not covered by insurance;</w:t>
      </w:r>
      <w:r w:rsidRPr="00313032">
        <w:t xml:space="preserve"> </w:t>
      </w:r>
      <w:r w:rsidRPr="005C240E">
        <w:rPr>
          <w:i/>
        </w:rPr>
        <w:t>N</w:t>
      </w:r>
      <w:r w:rsidRPr="00313032">
        <w:t xml:space="preserve"> = 184; mean age = 49.4 years, </w:t>
      </w:r>
      <w:r w:rsidRPr="005C240E">
        <w:rPr>
          <w:i/>
        </w:rPr>
        <w:t>SD</w:t>
      </w:r>
      <w:r w:rsidRPr="00313032">
        <w:t xml:space="preserve"> = 8.07). </w:t>
      </w:r>
      <w:r w:rsidR="00640ED7" w:rsidRPr="00313032">
        <w:t>Results indicated that the relationship between perceived lifetime breast cancer risk and the three screening intention outcomes were mediated by the level of anxiety women experienced after reading the dense breast tissue notification.</w:t>
      </w:r>
      <w:r w:rsidR="00640ED7">
        <w:t xml:space="preserve"> In other words, given the same level of risk for two women, the woman who experiences more anxiety after reading the notification is more likely to have increased motivation for screening</w:t>
      </w:r>
      <w:r w:rsidR="000C2C53">
        <w:t>. N</w:t>
      </w:r>
      <w:r w:rsidR="00640ED7">
        <w:t xml:space="preserve">o other predictor was found to increase all three screening intentions. Conversely, women who preferred to make active decisions, those who found the notification text complex, and those who were averse to ambiguous information demonstrated a decrease in screening intentions following the notification text, after controlling for breast cancer risk. </w:t>
      </w:r>
      <w:r w:rsidRPr="00313032">
        <w:t>The authors noted that psychological factors predicted screening intentions more consistently than demographic factors</w:t>
      </w:r>
      <w:r w:rsidR="00640ED7">
        <w:t>.</w:t>
      </w:r>
    </w:p>
    <w:p w14:paraId="2CEB3B46" w14:textId="77777777" w:rsidR="00182760" w:rsidRDefault="00182760" w:rsidP="00182760">
      <w:pPr>
        <w:pStyle w:val="NumberedHeading3"/>
        <w:ind w:left="851" w:hanging="851"/>
      </w:pPr>
      <w:bookmarkStart w:id="122" w:name="_Toc507914448"/>
      <w:bookmarkStart w:id="123" w:name="_Toc507976173"/>
      <w:bookmarkStart w:id="124" w:name="_Toc518922225"/>
      <w:r>
        <w:t>Breast density knowledge and awareness</w:t>
      </w:r>
      <w:bookmarkEnd w:id="122"/>
      <w:bookmarkEnd w:id="123"/>
      <w:bookmarkEnd w:id="124"/>
    </w:p>
    <w:p w14:paraId="574DC392" w14:textId="77777777" w:rsidR="00182760" w:rsidRDefault="00182760" w:rsidP="00182760">
      <w:pPr>
        <w:pStyle w:val="BodyText"/>
      </w:pPr>
      <w:r>
        <w:t>Two articles (six studies) reported on overall mental health outcomes associated with knowledge and awareness of breast density.</w:t>
      </w:r>
    </w:p>
    <w:p w14:paraId="5D549B64" w14:textId="60F0056B" w:rsidR="00182760" w:rsidRDefault="00182760" w:rsidP="00182760">
      <w:pPr>
        <w:pStyle w:val="BodyText"/>
      </w:pPr>
      <w:r>
        <w:t>Reporting of breast density appears to increase knowledge and awareness of breast density as a risk factor for breast cancer; however, the impact of this increased knowledge on positive or negative mental health outcomes or choices regarding screening participation is not well-described in the literature</w:t>
      </w:r>
      <w:r w:rsidR="00A8057D">
        <w:t>,</w:t>
      </w:r>
      <w:r>
        <w:t xml:space="preserve"> as few studies specifically describe or provide a long-term follow-up of women’s responses to screening participation following breast density notification. Of those studies that did report notification + knowledge + response, it appears that notification may increase engagement with screening.</w:t>
      </w:r>
    </w:p>
    <w:p w14:paraId="6B0FF6C7" w14:textId="77777777" w:rsidR="00E84DE3" w:rsidRDefault="00E84DE3">
      <w:pPr>
        <w:rPr>
          <w:b/>
          <w:color w:val="77B800" w:themeColor="background2"/>
        </w:rPr>
      </w:pPr>
      <w:r>
        <w:rPr>
          <w:b/>
        </w:rPr>
        <w:br w:type="page"/>
      </w:r>
    </w:p>
    <w:p w14:paraId="11DA45FD" w14:textId="43CB5886" w:rsidR="00182760" w:rsidRPr="002E6BBE" w:rsidRDefault="00182760" w:rsidP="00182760">
      <w:pPr>
        <w:pStyle w:val="BodyText-GREEN"/>
        <w:rPr>
          <w:b/>
        </w:rPr>
      </w:pPr>
      <w:r w:rsidRPr="00345CCE">
        <w:rPr>
          <w:b/>
          <w:color w:val="auto"/>
        </w:rPr>
        <w:lastRenderedPageBreak/>
        <w:t>Systematic review and literature reviews</w:t>
      </w:r>
    </w:p>
    <w:p w14:paraId="7DBBBBA5" w14:textId="2BE65D31" w:rsidR="00182760" w:rsidRPr="008C5DAF" w:rsidRDefault="00182760" w:rsidP="00182760">
      <w:pPr>
        <w:pStyle w:val="BodyText"/>
      </w:pPr>
      <w:r>
        <w:t xml:space="preserve">In the same RCT discussed above, </w:t>
      </w:r>
      <w:r>
        <w:fldChar w:fldCharType="begin"/>
      </w:r>
      <w:r>
        <w:instrText xml:space="preserve"> ADDIN ZOTERO_ITEM CSL_CITATION {"citationID":"8E2EmeUG","properties":{"formattedCitation":"(Melnikow et al., 2016)","plainCitation":"(Melnikow et al., 2016)","dontUpdate":true},"citationItems":[{"id":493,"uris":["http://zotero.org/users/local/2fBHA0Hy/items/XJJXMTRX"],"uri":["http://zotero.org/users/local/2fBHA0Hy/items/XJJXMTRX"],"itemData":{"id":493,"type":"article-journal","title":"Supplemental Screening for Breast Cancer in Women With Dense Breasts: A Systematic Review for the U.S. Preventive Services Task Force","container-title":"Annals of Internal Medicine","page":"268","volume":"164","issue":"4","source":"CrossRef","DOI":"10.7326/M15-1789","ISSN":"0003-4819","shortTitle":"Supplemental Screening for Breast Cancer in Women With Dense Breasts","language":"en","author":[{"family":"Melnikow","given":"Joy"},{"family":"Fenton","given":"Joshua J."},{"family":"Whitlock","given":"Evelyn P."},{"family":"Miglioretti","given":"Diana L."},{"family":"Weyrich","given":"Meghan S."},{"family":"Thompson","given":"Jamie H."},{"family":"Shah","given":"Kunal"}],"issued":{"date-parts":[["2016",2,16]]}}}],"schema":"https://github.com/citation-style-language/schema/raw/master/csl-citation.json"} </w:instrText>
      </w:r>
      <w:r>
        <w:fldChar w:fldCharType="separate"/>
      </w:r>
      <w:r w:rsidRPr="00436E12">
        <w:rPr>
          <w:rFonts w:ascii="Cambria" w:hAnsi="Cambria"/>
        </w:rPr>
        <w:t xml:space="preserve">Melnikow et al. </w:t>
      </w:r>
      <w:r>
        <w:rPr>
          <w:rFonts w:ascii="Cambria" w:hAnsi="Cambria"/>
        </w:rPr>
        <w:t>(</w:t>
      </w:r>
      <w:r w:rsidRPr="00436E12">
        <w:rPr>
          <w:rFonts w:ascii="Cambria" w:hAnsi="Cambria"/>
        </w:rPr>
        <w:t>2016)</w:t>
      </w:r>
      <w:r>
        <w:fldChar w:fldCharType="end"/>
      </w:r>
      <w:r>
        <w:t xml:space="preserve"> reported that, a</w:t>
      </w:r>
      <w:r w:rsidRPr="008C5DAF">
        <w:t xml:space="preserve">t </w:t>
      </w:r>
      <w:r>
        <w:t xml:space="preserve">four </w:t>
      </w:r>
      <w:r w:rsidRPr="008C5DAF">
        <w:t>weeks</w:t>
      </w:r>
      <w:r>
        <w:t xml:space="preserve"> follow-up</w:t>
      </w:r>
      <w:r w:rsidRPr="008C5DAF">
        <w:t xml:space="preserve">, </w:t>
      </w:r>
      <w:r w:rsidR="006E1F5B">
        <w:t xml:space="preserve">significantly </w:t>
      </w:r>
      <w:r w:rsidRPr="008C5DAF">
        <w:t>more women in the intervention group</w:t>
      </w:r>
      <w:r>
        <w:t xml:space="preserve"> (</w:t>
      </w:r>
      <w:r w:rsidR="00491761">
        <w:t>i.e.,</w:t>
      </w:r>
      <w:r>
        <w:t xml:space="preserve"> those who had received information advising them of their </w:t>
      </w:r>
      <w:r w:rsidRPr="008C5DAF">
        <w:t xml:space="preserve">breast density and </w:t>
      </w:r>
      <w:r>
        <w:t xml:space="preserve">information on </w:t>
      </w:r>
      <w:r w:rsidRPr="008C5DAF">
        <w:t>breast cancer risk factors, including density</w:t>
      </w:r>
      <w:r>
        <w:t>)</w:t>
      </w:r>
      <w:r w:rsidRPr="008C5DAF">
        <w:t xml:space="preserve"> had increased knowledge of breast density</w:t>
      </w:r>
      <w:r>
        <w:t xml:space="preserve"> compared to the control group</w:t>
      </w:r>
      <w:r w:rsidR="006E1F5B">
        <w:t>,</w:t>
      </w:r>
      <w:r>
        <w:t xml:space="preserve"> who did not receive additional information</w:t>
      </w:r>
      <w:r w:rsidRPr="008C5DAF">
        <w:t xml:space="preserve"> (25%</w:t>
      </w:r>
      <w:r w:rsidR="006E1F5B">
        <w:t xml:space="preserve"> </w:t>
      </w:r>
      <w:r>
        <w:t>compared to</w:t>
      </w:r>
      <w:r w:rsidRPr="008C5DAF">
        <w:t xml:space="preserve"> 8%</w:t>
      </w:r>
      <w:r w:rsidR="006E1F5B">
        <w:t>, respectively;</w:t>
      </w:r>
      <w:r>
        <w:t xml:space="preserve"> </w:t>
      </w:r>
      <w:r w:rsidRPr="00727B8E">
        <w:rPr>
          <w:i/>
        </w:rPr>
        <w:t>p</w:t>
      </w:r>
      <w:r>
        <w:t>&lt;.001</w:t>
      </w:r>
      <w:r w:rsidRPr="008C5DAF">
        <w:t>)</w:t>
      </w:r>
      <w:r>
        <w:t>. Women who had received the additional information</w:t>
      </w:r>
      <w:r w:rsidRPr="008C5DAF">
        <w:t xml:space="preserve"> were more likely to perceive themselves as having elevated breast cancer risk. These differences did not persist at </w:t>
      </w:r>
      <w:proofErr w:type="gramStart"/>
      <w:r>
        <w:t>six-</w:t>
      </w:r>
      <w:r w:rsidRPr="008C5DAF">
        <w:t>months</w:t>
      </w:r>
      <w:proofErr w:type="gramEnd"/>
      <w:r>
        <w:t xml:space="preserve"> follow-up</w:t>
      </w:r>
      <w:r w:rsidRPr="008C5DAF">
        <w:t xml:space="preserve">. </w:t>
      </w:r>
    </w:p>
    <w:p w14:paraId="261AA6BF" w14:textId="3EF23ACC" w:rsidR="00182760" w:rsidRPr="00C30BA4" w:rsidRDefault="00182760" w:rsidP="00182760">
      <w:pPr>
        <w:pStyle w:val="BodyText"/>
      </w:pPr>
      <w:r w:rsidRPr="00C30BA4">
        <w:fldChar w:fldCharType="begin"/>
      </w:r>
      <w:r>
        <w:instrText xml:space="preserve"> ADDIN ZOTERO_ITEM CSL_CITATION {"citationID":"FAVYSjX9","properties":{"formattedCitation":"(Santiago-Rivas, Benjamin, &amp; Jandorf, 2016)","plainCitation":"(Santiago-Rivas, Benjamin, &amp; Jandorf, 2016)","dontUpdate":true},"citationItems":[{"id":41,"uris":["http://zotero.org/users/local/2fBHA0Hy/items/ZNQPW9EV"],"uri":["http://zotero.org/users/local/2fBHA0Hy/items/ZNQPW9EV"],"itemData":{"id":41,"type":"article-journal","title":"Breast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rsidRPr="00C30BA4">
        <w:fldChar w:fldCharType="separate"/>
      </w:r>
      <w:r w:rsidRPr="00C30BA4">
        <w:t>Santiago-Rivas</w:t>
      </w:r>
      <w:r w:rsidR="000C2C53">
        <w:t xml:space="preserve"> et al. </w:t>
      </w:r>
      <w:r w:rsidRPr="00C30BA4">
        <w:t>(2016</w:t>
      </w:r>
      <w:r w:rsidRPr="00C30BA4">
        <w:fldChar w:fldCharType="end"/>
      </w:r>
      <w:r w:rsidRPr="00C30BA4">
        <w:t xml:space="preserve">) </w:t>
      </w:r>
      <w:bookmarkEnd w:id="121"/>
      <w:r w:rsidRPr="00C30BA4">
        <w:t xml:space="preserve">reviewed literature on breast density knowledge and breast density awareness. The review included five cross-sectional studies that used surveys for data collection. </w:t>
      </w:r>
      <w:r>
        <w:t xml:space="preserve">Results from these </w:t>
      </w:r>
      <w:r w:rsidRPr="00C30BA4">
        <w:t xml:space="preserve">five studies are described </w:t>
      </w:r>
      <w:r>
        <w:t xml:space="preserve">below and are more fully explained in Table </w:t>
      </w:r>
      <w:r w:rsidR="006E1F5B">
        <w:t>2</w:t>
      </w:r>
      <w:r w:rsidR="006465B1">
        <w:t>5</w:t>
      </w:r>
      <w:r w:rsidRPr="0073772E">
        <w:t>.</w:t>
      </w:r>
    </w:p>
    <w:p w14:paraId="677BC653" w14:textId="77777777" w:rsidR="00182760" w:rsidRPr="008611F0" w:rsidRDefault="00182760" w:rsidP="00182760">
      <w:pPr>
        <w:pStyle w:val="BodyText"/>
        <w:rPr>
          <w:b/>
        </w:rPr>
      </w:pPr>
      <w:r w:rsidRPr="008611F0">
        <w:rPr>
          <w:b/>
        </w:rPr>
        <w:t xml:space="preserve">Breast cancer awareness results reported by </w:t>
      </w:r>
      <w:r w:rsidRPr="008611F0">
        <w:rPr>
          <w:b/>
        </w:rPr>
        <w:fldChar w:fldCharType="begin"/>
      </w:r>
      <w:r>
        <w:rPr>
          <w:b/>
        </w:rPr>
        <w:instrText xml:space="preserve"> ADDIN ZOTERO_ITEM CSL_CITATION {"citationID":"xlgWT6so","properties":{"formattedCitation":"(Santiago-Rivas, Benjamin, &amp; Jandorf, 2016)","plainCitation":"(Santiago-Rivas, Benjamin, &amp; Jandorf, 2016)","dontUpdate":true},"citationItems":[{"id":41,"uris":["http://zotero.org/users/local/2fBHA0Hy/items/ZNQPW9EV"],"uri":["http://zotero.org/users/local/2fBHA0Hy/items/ZNQPW9EV"],"itemData":{"id":41,"type":"article-journal","title":"Breast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rsidRPr="008611F0">
        <w:rPr>
          <w:b/>
        </w:rPr>
        <w:fldChar w:fldCharType="separate"/>
      </w:r>
      <w:r w:rsidRPr="008611F0">
        <w:rPr>
          <w:b/>
        </w:rPr>
        <w:t>Santiago-Rivas</w:t>
      </w:r>
      <w:r>
        <w:rPr>
          <w:b/>
        </w:rPr>
        <w:t xml:space="preserve"> et al.</w:t>
      </w:r>
      <w:r w:rsidRPr="008611F0">
        <w:rPr>
          <w:b/>
        </w:rPr>
        <w:t xml:space="preserve"> (2016</w:t>
      </w:r>
      <w:r w:rsidRPr="008611F0">
        <w:rPr>
          <w:b/>
        </w:rPr>
        <w:fldChar w:fldCharType="end"/>
      </w:r>
      <w:r w:rsidRPr="008611F0">
        <w:rPr>
          <w:b/>
        </w:rPr>
        <w:t>)</w:t>
      </w:r>
    </w:p>
    <w:p w14:paraId="12744F4C" w14:textId="20CE7D9F" w:rsidR="00182760" w:rsidRPr="00C30BA4" w:rsidRDefault="00182760" w:rsidP="00182760">
      <w:pPr>
        <w:pStyle w:val="BodyText"/>
      </w:pPr>
      <w:r w:rsidRPr="00C30BA4">
        <w:t>Two of the included studies assessed breast cancer awareness</w:t>
      </w:r>
      <w:r>
        <w:t xml:space="preserve">. </w:t>
      </w:r>
      <w:r w:rsidRPr="00C30BA4">
        <w:t>Results from a national</w:t>
      </w:r>
      <w:r>
        <w:t xml:space="preserve"> </w:t>
      </w:r>
      <w:r w:rsidRPr="00C30BA4">
        <w:t xml:space="preserve">survey </w:t>
      </w:r>
      <w:r>
        <w:t>of 1</w:t>
      </w:r>
      <w:r w:rsidR="006E1F5B">
        <w:t>,</w:t>
      </w:r>
      <w:r>
        <w:t xml:space="preserve">506 American women </w:t>
      </w:r>
      <w:r w:rsidRPr="00C30BA4">
        <w:t xml:space="preserve">administered to women aged 40 to 74 years using an online service </w:t>
      </w:r>
      <w:r>
        <w:t xml:space="preserve">reported </w:t>
      </w:r>
      <w:r w:rsidRPr="00C30BA4">
        <w:t xml:space="preserve">that 57.5% of participants responded “yes” to the following item: “Have you ever heard of something called breast density?” </w:t>
      </w:r>
      <w:r w:rsidRPr="00C30BA4">
        <w:fldChar w:fldCharType="begin"/>
      </w:r>
      <w:r>
        <w:instrText xml:space="preserve"> ADDIN ZOTERO_ITEM CSL_CITATION {"citationID":"of2fbthkb","properties":{"formattedCitation":"(Rhodes et al., 2015)","plainCitation":"(Rhodes et al., 2015)"},"citationItems":[{"id":37,"uris":["http://zotero.org/users/local/2fBHA0Hy/items/CJ8W7BUJ"],"uri":["http://zotero.org/users/local/2fBHA0Hy/items/CJ8W7BUJ"],"itemData":{"id":37,"type":"article-journal","title":"Awareness of breast density and its impact on breast cancer detection and risk","container-title":"Journal of Clinical Oncology","page":"1143-1150","volume":"33","issue":"10","source":"EBSCOhost","archive":"cin20","archive_location":"109779332. Language: English. Entry Date: 20150612. Revision Date: 20161119. Publication Type: journal article","abstract":"Purpose: Legislation mandating disclosure of breast density (BD) information has passed in 21 states; however, actual awareness of BD and knowledge of its impact on breast cancer detection and risk are unknown.Methods: We conducted a national cross-sectional survey administered in English and Spanish using a probability-based sample of screening-age women, with oversampling of Connecticut, the only state with BD legislation in effect for &gt; 1 year before the survey.Results: Of 2,311 women surveyed, 65% responded. Overall, 58% of women had heard of BD, 49% knew that BD affects breast cancer detection, and 53% knew that BD affects cancer risk. After multivariable adjustment, increased BD awareness was associated with white non-Hispanic race/ethnicity (Hispanic v white non-Hispanic: odds ratio [OR], 0.23; P &lt; .001), household income (OR, 1.07 per category increase; P &lt; .001), education (OR, 1.19 per category increase; P &lt; .001), diagnostic evaluation after a mammogram (OR, 2.64; P &lt; .001), and postmenopausal hormone therapy (OR, 1.69; P = .002). Knowledge of the masking effect of BD was associated with higher household income (OR, 1.10; P &lt; .001), education (OR, 1.22; P = .01), prior breast biopsy (OR, 2.16; P &lt; .001), and residing in Connecticut (Connecticut v other states: OR, 3.82; P = .003). Connecticut residents were also more likely to have discussed their BD with a health care provider (67% v 43% for residents of other US states; P = .001).Conclusion: Disparities in BD awareness and knowledge exist by race/ethnicity, education, and income. BD legislation seems to be effective in increasing knowledge of BD impact on breast cancer detection. These findings support continued and targeted efforts to improve BD awareness and knowledge among women eligible for screening mammography.","DOI":"10.1200/JCO.2014.57.0325","ISSN":"0732-183X","shortTitle":"Awareness of breast density and its impact on breast cancer detection and risk","author":[{"family":"Rhodes","given":"Deborah J."},{"family":"Radecki Breitkopf","given":"Carmen"},{"family":"Ziegenfuss","given":"Jeanette Y."},{"family":"Jenkins","given":"Sarah M."},{"family":"Vachon","given":"Celine M."}],"issued":{"date-parts":[["2015"]]}}}],"schema":"https://github.com/citation-style-language/schema/raw/master/csl-citation.json"} </w:instrText>
      </w:r>
      <w:r w:rsidRPr="00C30BA4">
        <w:fldChar w:fldCharType="separate"/>
      </w:r>
      <w:r w:rsidRPr="00182758">
        <w:rPr>
          <w:rFonts w:ascii="Cambria" w:hAnsi="Cambria"/>
        </w:rPr>
        <w:t>(Rhodes et al., 2015)</w:t>
      </w:r>
      <w:r w:rsidRPr="00C30BA4">
        <w:fldChar w:fldCharType="end"/>
      </w:r>
      <w:r w:rsidRPr="00C30BA4">
        <w:t>. Women who participated in a small study (</w:t>
      </w:r>
      <w:r w:rsidRPr="006E1F5B">
        <w:rPr>
          <w:i/>
        </w:rPr>
        <w:t>N</w:t>
      </w:r>
      <w:r w:rsidRPr="00C30BA4">
        <w:t xml:space="preserve"> = 77) conducted at a breast clinic responded to the item “Do you know what breast density is?” by using a scale from 1 (I have never heard about it) to 5 (I know exactly what it is). Results showed that the average response to this item was 3.64 (</w:t>
      </w:r>
      <w:r w:rsidRPr="006E1F5B">
        <w:rPr>
          <w:i/>
        </w:rPr>
        <w:t>SD</w:t>
      </w:r>
      <w:r w:rsidRPr="00C30BA4">
        <w:t xml:space="preserve"> = 1.29</w:t>
      </w:r>
      <w:r w:rsidR="006E1F5B">
        <w:t xml:space="preserve">; Manning et al., 2013). </w:t>
      </w:r>
      <w:r>
        <w:t xml:space="preserve">It is not clear whether the reported results from either study increased the previous level of knowledge. </w:t>
      </w:r>
    </w:p>
    <w:p w14:paraId="1312D4BA" w14:textId="77777777" w:rsidR="00182760" w:rsidRPr="000E2505" w:rsidRDefault="00182760" w:rsidP="00182760">
      <w:pPr>
        <w:pStyle w:val="BodyText"/>
        <w:rPr>
          <w:b/>
        </w:rPr>
      </w:pPr>
      <w:r w:rsidRPr="000E2505">
        <w:rPr>
          <w:b/>
        </w:rPr>
        <w:t xml:space="preserve">Breast density knowledge results reported by </w:t>
      </w:r>
      <w:r w:rsidRPr="000E2505">
        <w:rPr>
          <w:b/>
        </w:rPr>
        <w:fldChar w:fldCharType="begin"/>
      </w:r>
      <w:r>
        <w:rPr>
          <w:b/>
        </w:rPr>
        <w:instrText xml:space="preserve"> ADDIN ZOTERO_ITEM CSL_CITATION {"citationID":"LIpgT2dv","properties":{"formattedCitation":"(Santiago-Rivas, Benjamin, &amp; Jandorf, 2016)","plainCitation":"(Santiago-Rivas, Benjamin, &amp; Jandorf, 2016)","dontUpdate":true},"citationItems":[{"id":41,"uris":["http://zotero.org/users/local/2fBHA0Hy/items/ZNQPW9EV"],"uri":["http://zotero.org/users/local/2fBHA0Hy/items/ZNQPW9EV"],"itemData":{"id":41,"type":"article-journal","title":"Breast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rsidRPr="000E2505">
        <w:rPr>
          <w:b/>
        </w:rPr>
        <w:fldChar w:fldCharType="separate"/>
      </w:r>
      <w:r w:rsidRPr="000E2505">
        <w:rPr>
          <w:b/>
        </w:rPr>
        <w:t>Santiago-Rivas et al. (2016</w:t>
      </w:r>
      <w:r w:rsidRPr="000E2505">
        <w:rPr>
          <w:b/>
        </w:rPr>
        <w:fldChar w:fldCharType="end"/>
      </w:r>
      <w:r>
        <w:rPr>
          <w:b/>
        </w:rPr>
        <w:t>)</w:t>
      </w:r>
    </w:p>
    <w:p w14:paraId="5477AD4D" w14:textId="294E7B0B" w:rsidR="00182760" w:rsidRDefault="00182760" w:rsidP="00182760">
      <w:pPr>
        <w:pStyle w:val="BodyText"/>
      </w:pPr>
      <w:r w:rsidRPr="00C30BA4">
        <w:t xml:space="preserve">Five studies in </w:t>
      </w:r>
      <w:r>
        <w:t xml:space="preserve">Santiago et al.’s </w:t>
      </w:r>
      <w:r w:rsidRPr="00C30BA4">
        <w:t>review assessed breast density knowledge (for example, “does having dense breasts mask the ability of a mammogram to correctly detect breast cancer</w:t>
      </w:r>
      <w:r w:rsidR="00D354E4">
        <w:t>?</w:t>
      </w:r>
      <w:r>
        <w:t xml:space="preserve">”). Generally, studies reported on overall awareness and knowledge of breast density in the study population (rather than testing knowledge before and after provision of specific information or notification of breast density assessments). </w:t>
      </w:r>
      <w:r w:rsidR="009441B1">
        <w:t xml:space="preserve">The review found that a relatively low proportion of women knew their own density status, and there was a general lack of knowledge regarding the association between breast density and breast cancer risk. </w:t>
      </w:r>
      <w:r w:rsidRPr="007551CD">
        <w:t>Overall</w:t>
      </w:r>
      <w:r w:rsidR="00D354E4">
        <w:t>,</w:t>
      </w:r>
      <w:r w:rsidRPr="007551CD">
        <w:t xml:space="preserve"> </w:t>
      </w:r>
      <w:r w:rsidRPr="007551CD">
        <w:fldChar w:fldCharType="begin"/>
      </w:r>
      <w:r w:rsidRPr="007551CD">
        <w:instrText xml:space="preserve"> ADDIN ZOTERO_ITEM CSL_CITATION {"citationID":"1almbg2bo6","properties":{"formattedCitation":"(Santiago-Rivas et al., 2016)","plainCitation":"(Santiago-Rivas et al., 2016)"},"citationItems":[{"id":41,"uris":["http://zotero.org/users/local/2fBHA0Hy/items/ZNQPW9EV"],"uri":["http://zotero.org/users/local/2fBHA0Hy/items/ZNQPW9EV"],"itemData":{"id":41,"type":"article-journal","title":"Breast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rsidRPr="007551CD">
        <w:fldChar w:fldCharType="separate"/>
      </w:r>
      <w:r w:rsidRPr="007551CD">
        <w:t xml:space="preserve">Santiago-Rivas et al. </w:t>
      </w:r>
      <w:r>
        <w:t>(</w:t>
      </w:r>
      <w:r w:rsidRPr="007551CD">
        <w:t>2016</w:t>
      </w:r>
      <w:r w:rsidRPr="007551CD">
        <w:fldChar w:fldCharType="end"/>
      </w:r>
      <w:r>
        <w:t>)</w:t>
      </w:r>
      <w:r w:rsidRPr="007551CD">
        <w:t xml:space="preserve"> concluded that there is insufficient evidence to determine a pattern of breast density knowledge and awareness in women, however increased breast density knowledge seem</w:t>
      </w:r>
      <w:r w:rsidR="000C2C53">
        <w:t>ed</w:t>
      </w:r>
      <w:r w:rsidRPr="007551CD">
        <w:t xml:space="preserve"> to be associated with sociodemographic and screening history factors, such as race, ethnicity, household income, and history of diagnostic evaluation after a mammogram.</w:t>
      </w:r>
      <w:r w:rsidR="009441B1">
        <w:t xml:space="preserve"> For example, two of the three studies that assessed breast density knowledge by race </w:t>
      </w:r>
      <w:r w:rsidR="00F6501C">
        <w:t xml:space="preserve">or ethnicity </w:t>
      </w:r>
      <w:r w:rsidR="009441B1">
        <w:t>found that</w:t>
      </w:r>
      <w:r w:rsidR="00F6501C">
        <w:t>,</w:t>
      </w:r>
      <w:r w:rsidR="009441B1">
        <w:t xml:space="preserve"> </w:t>
      </w:r>
      <w:r w:rsidR="00F6501C">
        <w:t xml:space="preserve">on average, </w:t>
      </w:r>
      <w:r w:rsidR="009441B1">
        <w:t xml:space="preserve">White </w:t>
      </w:r>
      <w:r w:rsidR="00F6501C">
        <w:t>women had significantly more knowledge about breast density than non-White women. T</w:t>
      </w:r>
      <w:r>
        <w:t>he authors also noted that their review findings suggest a need to inform women about breast density in general.</w:t>
      </w:r>
    </w:p>
    <w:p w14:paraId="4FE2DAD2" w14:textId="5B674DC8" w:rsidR="00182760" w:rsidRDefault="00182760" w:rsidP="00182760">
      <w:pPr>
        <w:pStyle w:val="BodyText"/>
      </w:pPr>
      <w:r w:rsidRPr="00C30BA4">
        <w:fldChar w:fldCharType="begin"/>
      </w:r>
      <w:r w:rsidRPr="00C30BA4">
        <w:instrText xml:space="preserve"> ADDIN ZOTERO_ITEM CSL_CITATION {"citationID":"2g1ibb5k9u","properties":{"formattedCitation":"(Rhodes et al., 2015)","plainCitation":"(Rhodes et al., 2015)"},"citationItems":[{"id":37,"uris":["http://zotero.org/users/local/2fBHA0Hy/items/CJ8W7BUJ"],"uri":["http://zotero.org/users/local/2fBHA0Hy/items/CJ8W7BUJ"],"itemData":{"id":37,"type":"article-journal","title":"Awareness of breast density and its impact on breast cancer detection and risk","container-title":"Journal of Clinical Oncology","page":"1143-1150","volume":"33","issue":"10","source":"EBSCOhost","archive":"cin20","archive_location":"109779332. Language: English. Entry Date: 20150612. Revision Date: 20161119. Publication Type: journal article","abstract":"Purpose: Legislation mandating disclosure of breast density (BD) information has passed in 21 states; however, actual awareness of BD and knowledge of its impact on breast cancer detection and risk are unknown.Methods: We conducted a national cross-sectional survey administered in English and Spanish using a probability-based sample of screening-age women, with oversampling of Connecticut, the only state with BD legislation in effect for &gt; 1 year before the survey.Results: Of 2,311 women surveyed, 65% responded. Overall, 58% of women had heard of BD, 49% knew that BD affects breast cancer detection, and 53% knew that BD affects cancer risk. After multivariable adjustment, increased BD awareness was associated with white non-Hispanic race/ethnicity (Hispanic v white non-Hispanic: odds ratio [OR], 0.23; P &lt; .001), household income (OR, 1.07 per category increase; P &lt; .001), education (OR, 1.19 per category increase; P &lt; .001), diagnostic evaluation after a mammogram (OR, 2.64; P &lt; .001), and postmenopausal hormone therapy (OR, 1.69; P = .002). Knowledge of the masking effect of BD was associated with higher household income (OR, 1.10; P &lt; .001), education (OR, 1.22; P = .01), prior breast biopsy (OR, 2.16; P &lt; .001), and residing in Connecticut (Connecticut v other states: OR, 3.82; P = .003). Connecticut residents were also more likely to have discussed their BD with a health care provider (67% v 43% for residents of other US states; P = .001).Conclusion: Disparities in BD awareness and knowledge exist by race/ethnicity, education, and income. BD legislation seems to be effective in increasing knowledge of BD impact on breast cancer detection. These findings support continued and targeted efforts to improve BD awareness and knowledge among women eligible for screening mammography.","DOI":"10.1200/JCO.2014.57.0325","ISSN":"0732-183X","shortTitle":"Awareness of breast density and its impact on breast cancer detection and risk","author":[{"family":"Rhodes","given":"Deborah J."},{"family":"Radecki Breitkopf","given":"Carmen"},{"family":"Ziegenfuss","given":"Jeanette Y."},{"family":"Jenkins","given":"Sarah M."},{"family":"Vachon","given":"Celine M."}],"issued":{"date-parts":[["2015"]]}}}],"schema":"https://github.com/citation-style-language/schema/raw/master/csl-citation.json"} </w:instrText>
      </w:r>
      <w:r w:rsidRPr="00C30BA4">
        <w:fldChar w:fldCharType="separate"/>
      </w:r>
      <w:r w:rsidRPr="00C30BA4">
        <w:t xml:space="preserve">Rhodes et al. </w:t>
      </w:r>
      <w:r>
        <w:t>(</w:t>
      </w:r>
      <w:r w:rsidRPr="00C30BA4">
        <w:t>2015</w:t>
      </w:r>
      <w:r w:rsidRPr="00C30BA4">
        <w:fldChar w:fldCharType="end"/>
      </w:r>
      <w:r>
        <w:t>)</w:t>
      </w:r>
      <w:r w:rsidRPr="00C30BA4">
        <w:t xml:space="preserve"> assessed </w:t>
      </w:r>
      <w:r>
        <w:t xml:space="preserve">study </w:t>
      </w:r>
      <w:r w:rsidRPr="00C30BA4">
        <w:t>participants</w:t>
      </w:r>
      <w:r>
        <w:t>’</w:t>
      </w:r>
      <w:r w:rsidRPr="00C30BA4">
        <w:t xml:space="preserve"> knowledge</w:t>
      </w:r>
      <w:r>
        <w:t xml:space="preserve"> of breast density</w:t>
      </w:r>
      <w:r w:rsidRPr="00C30BA4">
        <w:t xml:space="preserve"> by asking whether</w:t>
      </w:r>
      <w:r w:rsidR="00D354E4">
        <w:t xml:space="preserve"> “</w:t>
      </w:r>
      <w:r w:rsidRPr="00C30BA4">
        <w:t>having breasts that are mostly dense on a mammogram puts a woman at increased risk of breast cancer</w:t>
      </w:r>
      <w:r w:rsidR="00D354E4">
        <w:t>”</w:t>
      </w:r>
      <w:r>
        <w:t>. Slightly over half of respondents (</w:t>
      </w:r>
      <w:r w:rsidRPr="00C30BA4">
        <w:t>53.2%</w:t>
      </w:r>
      <w:r>
        <w:t>)</w:t>
      </w:r>
      <w:r w:rsidRPr="00C30BA4">
        <w:t xml:space="preserve"> </w:t>
      </w:r>
      <w:r>
        <w:t xml:space="preserve">agreed </w:t>
      </w:r>
      <w:r w:rsidRPr="00C30BA4">
        <w:t xml:space="preserve">with this statement. </w:t>
      </w:r>
      <w:r>
        <w:t xml:space="preserve">The authors also </w:t>
      </w:r>
      <w:r w:rsidRPr="007551CD">
        <w:t>tested a multivariate model and found no significant associations between the selected variables (</w:t>
      </w:r>
      <w:r w:rsidR="00491761">
        <w:t>i</w:t>
      </w:r>
      <w:r w:rsidR="00A36F4E">
        <w:t>.e.</w:t>
      </w:r>
      <w:r w:rsidRPr="007551CD">
        <w:t xml:space="preserve"> income, education,</w:t>
      </w:r>
      <w:r>
        <w:t xml:space="preserve"> or</w:t>
      </w:r>
      <w:r w:rsidRPr="007551CD">
        <w:t xml:space="preserve"> screening history) and knowledge o</w:t>
      </w:r>
      <w:r>
        <w:t>n the</w:t>
      </w:r>
      <w:r w:rsidRPr="007551CD">
        <w:t xml:space="preserve"> impact of </w:t>
      </w:r>
      <w:r w:rsidR="006E1F5B">
        <w:t>breast density</w:t>
      </w:r>
      <w:r w:rsidRPr="007551CD">
        <w:t xml:space="preserve"> on breast cancer risk. </w:t>
      </w:r>
      <w:r>
        <w:t xml:space="preserve">The authors noted that breast density awareness was lower among black </w:t>
      </w:r>
      <w:r w:rsidR="001863A0">
        <w:t>and</w:t>
      </w:r>
      <w:r>
        <w:t xml:space="preserve"> Hispanic women, however there was no statistically significant association between ethnicity and breast density knowledge. </w:t>
      </w:r>
    </w:p>
    <w:p w14:paraId="4CF19B0E" w14:textId="0546D05F" w:rsidR="00182760" w:rsidRPr="00C30BA4" w:rsidRDefault="006E1F5B" w:rsidP="00182760">
      <w:pPr>
        <w:pStyle w:val="BodyText"/>
      </w:pPr>
      <w:r>
        <w:lastRenderedPageBreak/>
        <w:t xml:space="preserve">Manning et al. (2013) </w:t>
      </w:r>
      <w:r w:rsidR="00182760" w:rsidRPr="00C30BA4">
        <w:t>evaluated breast density knowledge</w:t>
      </w:r>
      <w:r w:rsidR="00182760">
        <w:t xml:space="preserve"> and reported similar results to Rhodes et al. (2015). Manning et al. </w:t>
      </w:r>
      <w:r w:rsidR="00182760" w:rsidRPr="00C30BA4">
        <w:t xml:space="preserve">reported that </w:t>
      </w:r>
      <w:r w:rsidR="00182760">
        <w:t>over half of respondents (</w:t>
      </w:r>
      <w:r w:rsidR="00182760" w:rsidRPr="00C30BA4">
        <w:t>58.4%</w:t>
      </w:r>
      <w:r w:rsidR="00182760">
        <w:t>)</w:t>
      </w:r>
      <w:r w:rsidR="00182760" w:rsidRPr="00C30BA4">
        <w:t xml:space="preserve"> </w:t>
      </w:r>
      <w:r w:rsidR="00182760">
        <w:t xml:space="preserve">did </w:t>
      </w:r>
      <w:r w:rsidR="00182760" w:rsidRPr="00C30BA4">
        <w:t>not know their own breast density</w:t>
      </w:r>
      <w:r w:rsidR="00182760">
        <w:t>. P</w:t>
      </w:r>
      <w:r w:rsidR="00182760" w:rsidRPr="00C30BA4">
        <w:t>articipants indicated on a scale of 1 (strongly agree) to 5 (strongly disagree) for “women with more dense breasts are at greater risk for getting breast cancer” with a median value of 3.26.</w:t>
      </w:r>
      <w:r w:rsidR="00182760">
        <w:t xml:space="preserve"> The authors noted a statistically significant difference in breast density awareness and knowledge by race, with greater awareness reported by white women than black women and more accurate breast density definitions by white women. </w:t>
      </w:r>
    </w:p>
    <w:p w14:paraId="6BD65016" w14:textId="43413446" w:rsidR="00182760" w:rsidRDefault="00182760" w:rsidP="00182760">
      <w:pPr>
        <w:pStyle w:val="BodyText"/>
      </w:pPr>
      <w:r w:rsidRPr="00C30BA4">
        <w:t>Women recruited at a breast clinic after a normal mammogram examination (</w:t>
      </w:r>
      <w:r w:rsidRPr="006E1F5B">
        <w:rPr>
          <w:i/>
        </w:rPr>
        <w:t>N</w:t>
      </w:r>
      <w:r w:rsidRPr="00C30BA4">
        <w:t xml:space="preserve"> = 344; mean age = 45.71 years) reported </w:t>
      </w:r>
      <w:r>
        <w:t xml:space="preserve">on </w:t>
      </w:r>
      <w:r w:rsidRPr="00C30BA4">
        <w:t xml:space="preserve">their knowledge </w:t>
      </w:r>
      <w:r>
        <w:t>of</w:t>
      </w:r>
      <w:r w:rsidRPr="00C30BA4">
        <w:t xml:space="preserve"> breast density as a risk factor for breast cancer</w:t>
      </w:r>
      <w:r>
        <w:t xml:space="preserve">. A total of </w:t>
      </w:r>
      <w:r w:rsidRPr="00C30BA4">
        <w:t>62</w:t>
      </w:r>
      <w:r w:rsidR="006E1F5B">
        <w:t>.0</w:t>
      </w:r>
      <w:r w:rsidRPr="00C30BA4">
        <w:t xml:space="preserve">% reported they knew about breast density as </w:t>
      </w:r>
      <w:r w:rsidR="00D354E4">
        <w:t xml:space="preserve">a </w:t>
      </w:r>
      <w:r w:rsidRPr="00C30BA4">
        <w:t>risk factor</w:t>
      </w:r>
      <w:r>
        <w:t xml:space="preserve"> </w:t>
      </w:r>
      <w:r w:rsidRPr="00C30BA4">
        <w:t>if their health care provider ha</w:t>
      </w:r>
      <w:r>
        <w:t>d</w:t>
      </w:r>
      <w:r w:rsidRPr="00C30BA4">
        <w:t xml:space="preserve"> spoken to them about </w:t>
      </w:r>
      <w:r>
        <w:t xml:space="preserve">breast density. A further </w:t>
      </w:r>
      <w:r w:rsidRPr="00C30BA4">
        <w:t xml:space="preserve">32.6% reported having discussed </w:t>
      </w:r>
      <w:r>
        <w:t xml:space="preserve">breast density </w:t>
      </w:r>
      <w:r w:rsidRPr="00C30BA4">
        <w:t>with their health care provider</w:t>
      </w:r>
      <w:r w:rsidR="006E1F5B">
        <w:t xml:space="preserve"> and </w:t>
      </w:r>
      <w:r w:rsidRPr="00C30BA4">
        <w:t xml:space="preserve">18.3% were told they had dense breasts after they were provided a description of </w:t>
      </w:r>
      <w:r>
        <w:t>breast density</w:t>
      </w:r>
      <w:r w:rsidRPr="00C30BA4">
        <w:t xml:space="preserve"> </w:t>
      </w:r>
      <w:r w:rsidRPr="00C30BA4">
        <w:fldChar w:fldCharType="begin"/>
      </w:r>
      <w:r w:rsidRPr="00C30BA4">
        <w:instrText xml:space="preserve"> ADDIN ZOTERO_ITEM CSL_CITATION {"citationID":"2lms18hhs","properties":{"formattedCitation":"(Santiago-Rivas et al., 2016)","plainCitation":"(Santiago-Rivas et al., 2016)"},"citationItems":[{"id":41,"uris":["http://zotero.org/users/local/2fBHA0Hy/items/ZNQPW9EV"],"uri":["http://zotero.org/users/local/2fBHA0Hy/items/ZNQPW9EV"],"itemData":{"id":41,"type":"article-journal","title":"Breast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rsidRPr="00C30BA4">
        <w:fldChar w:fldCharType="separate"/>
      </w:r>
      <w:r w:rsidRPr="00C30BA4">
        <w:t>(Santiago-Rivas et al., 2016)</w:t>
      </w:r>
      <w:r w:rsidRPr="00C30BA4">
        <w:fldChar w:fldCharType="end"/>
      </w:r>
      <w:r w:rsidRPr="00C30BA4">
        <w:t xml:space="preserve">. </w:t>
      </w:r>
      <w:r>
        <w:t xml:space="preserve">The authors also reported that </w:t>
      </w:r>
      <w:r w:rsidRPr="007551CD">
        <w:t>knowledge of breast density as a risk factor was higher among those with first-degree relatives</w:t>
      </w:r>
      <w:r>
        <w:t xml:space="preserve"> who had previously had breast cancer. </w:t>
      </w:r>
    </w:p>
    <w:p w14:paraId="17CB3A54" w14:textId="2A93F544" w:rsidR="00182760" w:rsidRDefault="00182760" w:rsidP="00182760">
      <w:pPr>
        <w:pStyle w:val="BodyText"/>
      </w:pPr>
      <w:r w:rsidRPr="00C30BA4">
        <w:t>In another study</w:t>
      </w:r>
      <w:r>
        <w:t xml:space="preserve"> reported by Santiago-Rivas et al</w:t>
      </w:r>
      <w:r w:rsidR="006E1F5B">
        <w:t>. (2016)</w:t>
      </w:r>
      <w:r w:rsidRPr="00C30BA4">
        <w:t>, women (aged ≥31 years) responded to a survey at an academic facility (</w:t>
      </w:r>
      <w:r w:rsidR="001863A0">
        <w:rPr>
          <w:i/>
        </w:rPr>
        <w:t>n</w:t>
      </w:r>
      <w:r w:rsidRPr="00C30BA4">
        <w:t xml:space="preserve"> = 105) and a county hospital (</w:t>
      </w:r>
      <w:r w:rsidR="001863A0">
        <w:rPr>
          <w:i/>
        </w:rPr>
        <w:t>n</w:t>
      </w:r>
      <w:r w:rsidRPr="00C30BA4">
        <w:t xml:space="preserve"> = 132) serving women with high and lower socioeconomic status, respectively. Women were asked: “Do you know your breast density?” A greater percentage of women recruited at the academic facility (23%) answered “yes” to this item, compared with those recruited at the county hospital (5%). Most of the participants who answered “no” also reported they would want to know their </w:t>
      </w:r>
      <w:r w:rsidR="006E1F5B">
        <w:t>breast density</w:t>
      </w:r>
      <w:r w:rsidRPr="00C30BA4">
        <w:t xml:space="preserve"> (94% and 79%, respectively</w:t>
      </w:r>
      <w:r w:rsidR="006E1F5B">
        <w:t>; Trinh et al., 2015)</w:t>
      </w:r>
      <w:r w:rsidRPr="00C30BA4">
        <w:t>.</w:t>
      </w:r>
      <w:r w:rsidRPr="007551CD">
        <w:t xml:space="preserve"> </w:t>
      </w:r>
      <w:r>
        <w:t>This study did not statistically analyse the differences in breast density knowledge by ethnicity</w:t>
      </w:r>
      <w:r w:rsidR="00D354E4">
        <w:t>;</w:t>
      </w:r>
      <w:r>
        <w:t xml:space="preserve"> however</w:t>
      </w:r>
      <w:r w:rsidR="00D354E4">
        <w:t>,</w:t>
      </w:r>
      <w:r>
        <w:t xml:space="preserve"> the authors noted that most of the women recruited at the academic facility were </w:t>
      </w:r>
      <w:r w:rsidR="00D354E4">
        <w:t>W</w:t>
      </w:r>
      <w:r>
        <w:t>hite (69%) w</w:t>
      </w:r>
      <w:r w:rsidR="006E1F5B">
        <w:t>hereas</w:t>
      </w:r>
      <w:r>
        <w:t xml:space="preserve"> most of the women recruited at the county hospital were Hispanic (51%). </w:t>
      </w:r>
    </w:p>
    <w:p w14:paraId="6A89765D" w14:textId="093509BF" w:rsidR="00182760" w:rsidRDefault="00182760" w:rsidP="00182760">
      <w:pPr>
        <w:pStyle w:val="BodyText"/>
      </w:pPr>
      <w:r w:rsidRPr="007551CD">
        <w:t xml:space="preserve">Results from a study conducted online to explore how women respond to the wording of </w:t>
      </w:r>
      <w:r w:rsidR="006E1F5B">
        <w:t>breast density</w:t>
      </w:r>
      <w:r w:rsidRPr="007551CD">
        <w:t xml:space="preserve"> notifications (</w:t>
      </w:r>
      <w:r w:rsidRPr="006E1F5B">
        <w:rPr>
          <w:i/>
        </w:rPr>
        <w:t>N</w:t>
      </w:r>
      <w:r w:rsidRPr="007551CD">
        <w:t xml:space="preserve"> = 184; mean age = 49.4 years, </w:t>
      </w:r>
      <w:r w:rsidRPr="006E1F5B">
        <w:rPr>
          <w:i/>
        </w:rPr>
        <w:t>SD</w:t>
      </w:r>
      <w:r w:rsidRPr="007551CD">
        <w:t xml:space="preserve"> = 8.07) indicated that </w:t>
      </w:r>
      <w:r>
        <w:t>women perceived significantly greater lifetime breast cancer risk after notification of more dense breasts (</w:t>
      </w:r>
      <w:r w:rsidRPr="006E1F5B">
        <w:rPr>
          <w:i/>
        </w:rPr>
        <w:t>M</w:t>
      </w:r>
      <w:r w:rsidR="001863A0">
        <w:rPr>
          <w:i/>
        </w:rPr>
        <w:t xml:space="preserve"> </w:t>
      </w:r>
      <w:r>
        <w:t xml:space="preserve">= 27.82, </w:t>
      </w:r>
      <w:r w:rsidRPr="006E1F5B">
        <w:rPr>
          <w:i/>
        </w:rPr>
        <w:t>SE</w:t>
      </w:r>
      <w:r>
        <w:t xml:space="preserve"> = 1.53) than prior to notification (</w:t>
      </w:r>
      <w:r w:rsidRPr="006E1F5B">
        <w:rPr>
          <w:i/>
        </w:rPr>
        <w:t>M</w:t>
      </w:r>
      <w:r>
        <w:t xml:space="preserve"> = 19.79, </w:t>
      </w:r>
      <w:r w:rsidRPr="006E1F5B">
        <w:rPr>
          <w:i/>
        </w:rPr>
        <w:t>SE</w:t>
      </w:r>
      <w:r>
        <w:t xml:space="preserve"> = 1.29, </w:t>
      </w:r>
      <w:r w:rsidRPr="00BB388E">
        <w:rPr>
          <w:i/>
        </w:rPr>
        <w:t>p</w:t>
      </w:r>
      <w:r>
        <w:t xml:space="preserve"> &lt; .001</w:t>
      </w:r>
      <w:r w:rsidR="006E1F5B">
        <w:t>; Yeh et al., 2015)</w:t>
      </w:r>
      <w:r w:rsidRPr="007551CD">
        <w:t xml:space="preserve">. </w:t>
      </w:r>
    </w:p>
    <w:p w14:paraId="1DEBE6D2" w14:textId="77777777" w:rsidR="00182760" w:rsidRDefault="00182760" w:rsidP="00182760">
      <w:pPr>
        <w:pStyle w:val="BodyText"/>
        <w:sectPr w:rsidR="00182760" w:rsidSect="009A4F68">
          <w:footerReference w:type="even" r:id="rId30"/>
          <w:footerReference w:type="default" r:id="rId31"/>
          <w:pgSz w:w="11906" w:h="16838" w:code="9"/>
          <w:pgMar w:top="1418" w:right="1418" w:bottom="1418" w:left="1418" w:header="964" w:footer="964" w:gutter="0"/>
          <w:cols w:space="708"/>
          <w:docGrid w:linePitch="360"/>
        </w:sectPr>
      </w:pPr>
    </w:p>
    <w:p w14:paraId="7E02BEEE" w14:textId="738CF3EE" w:rsidR="00182760" w:rsidRPr="007551CD" w:rsidRDefault="00182760" w:rsidP="00182760">
      <w:pPr>
        <w:pStyle w:val="Caption"/>
      </w:pPr>
      <w:r>
        <w:lastRenderedPageBreak/>
        <w:t xml:space="preserve">Table </w:t>
      </w:r>
      <w:r w:rsidR="003579ED">
        <w:t>2</w:t>
      </w:r>
      <w:r w:rsidR="006465B1">
        <w:t>5</w:t>
      </w:r>
      <w:r>
        <w:t xml:space="preserve">: Studies reporting on breast density knowledge and awareness, as reported in </w:t>
      </w:r>
      <w:r>
        <w:fldChar w:fldCharType="begin"/>
      </w:r>
      <w:r>
        <w:instrText xml:space="preserve"> ADDIN ZOTERO_ITEM CSL_CITATION {"citationID":"1kcaag0tgc","properties":{"formattedCitation":"(Santiago-Rivas et al., 2016)","plainCitation":"(Santiago-Rivas et al., 2016)"},"citationItems":[{"id":41,"uris":["http://zotero.org/users/local/2fBHA0Hy/items/ZNQPW9EV"],"uri":["http://zotero.org/users/local/2fBHA0Hy/items/ZNQPW9EV"],"itemData":{"id":41,"type":"article-journal","title":"Breast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fldChar w:fldCharType="separate"/>
      </w:r>
      <w:r w:rsidRPr="00B72EA3">
        <w:rPr>
          <w:rFonts w:ascii="Cambria" w:hAnsi="Cambria"/>
        </w:rPr>
        <w:t>Santiago-Rivas et al., 2016</w:t>
      </w:r>
      <w:r>
        <w:fldChar w:fldCharType="end"/>
      </w:r>
    </w:p>
    <w:tbl>
      <w:tblPr>
        <w:tblStyle w:val="ACGreen-BasicTable"/>
        <w:tblW w:w="5000" w:type="pct"/>
        <w:tblCellMar>
          <w:top w:w="0" w:type="dxa"/>
          <w:bottom w:w="0" w:type="dxa"/>
        </w:tblCellMar>
        <w:tblLook w:val="04A0" w:firstRow="1" w:lastRow="0" w:firstColumn="1" w:lastColumn="0" w:noHBand="0" w:noVBand="1"/>
        <w:tblDescription w:val="The table summarises five studies, providing information on the sample, the study design, the measures of breast density knowledge and awareness, and the results of each study.&#10;Rhodes et al. (2015) conducted a cross-sectional study with a sample size of N = 1506; L = 11.8%; B = 12%; W = 70.6%; O = 5.5. The study was conducted online, with screening age women (age = 55.2%). &#10;Measures:&#10;Knowledge of the masking effect of BD: “If a woman has dense breasts, what impact does this have on the ability of a mammogram to correctly detect cancer? (Easier to see cancer/does not impact/more difficult to see cancer/I don’t know) Awareness: “Have you ever heard of something called BD?” (yes/no) Knowledge of impact on breast cancer risk: “Having breasts that are mostly dense on a mammogram” does or does not put a woman at increased risk of breast cancer.&#10;Results:&#10;Knowledge of the masking effect of BD (correct response): W 73.1%, B 58.0%, L 77.1%, O 67.3% &#10;Awareness (yes): W 65%, B 48.5%, L 22.9%, O 54.1%&#10;Knowledge of impact on breast cancer risk (correct response): W 57.5%, B 65.5%, L 66.8%, O 51.9%&#10;Knowledge of the masking effect of BD multivariate model: household income OR = 1.10, 95%CI 1.05-1.15; education OR = 1.22, 95%CI 1.05-1.42; legislation status OR = 3.82, 95%CI 1.56-9.32; past biopsy OR = 2.16, 95%CI 1.38-3.38; &#10;Awareness multivariate: L (compared with W) L: OR = 0.23, 95%CI 0.13-0.40, p &lt; .001; B: OR = 0.57, 95%CI 0.35-0.93; household income OR = 1.07, 95%CI, 1.03-1.11; education OR = 1.19, 95%CI 1.09-1.30; diagnostic evaluation OR = 2.64, 95%CI 1.94-3.58; hormonal therapy OR = 1.69, 95%CI 1.21-2.38&#10;&#10;Trinh et al (2015) conducted a cross-sectional study, with samples from both an academic acility and a county hospital. The sample size for the Academic facility is described as follows: 39% were aged 31-50 years, 50% were 51-70 years, 11% were &gt;70 years; n = 105; L = 8%, B = 3%. W = 69%; A = 15%; O = 5%. The sample size from the county hospital is described as follows: women after/waiting for their screening mammography appointments; 47% were aged 31-50 years, 59% were 51-70 years, 8% were &gt;70 years; n = 132; L = 51%; B = 3%, W = 20%; A = 21%; O = 5%. &#10;Measures: &#10;Knowledge: “Do you know your BD?” (yes/no)&#10;Interest in knowledge: “Would you like to know your BD?&#10;Results: &#10;Knowledge: 23% yes in academic facility; 5% yes in county hospital (p &lt; .0001)&#10;Interest: 94% in academic facility and 79% in county hospital (p &lt; .01) &#10;Willingness to pay for the supplemental tests: 22% the county hospital and 70% in the academic facility for ultrasound (p &lt; .0001); 20% and 65%, respectively, for contrast-enhanced spectral mammography (p &lt; .0001)&#10;&#10;Yeh et al (2015) conducted a cross-sectional study, with a sample size of N = 184 (213); L = 9; B = 16; W = 163; O = 9. &#10;Measures: Knowledge: If participants had been told by their physicians that they had dense breast tissue&#10;Results: Knowledge: 16.8% of women had already been told by their physicians that they had dense breast tissue&#10;&#10;O’Neill et al. (2014) conducted a cross-sectional study with a sample size of N = 344; L = 29; B = 24; W = 235; A = 14; O = 11; with a recent screening mammogram at a tertiary care centre (age = 45.71 years). &#10;Measures:&#10;Knowledge of the masking effect of BD: “If a woman has dense breasts, what impact does this have on the ability of a mammogram to correctly detect cancer? (Easier to see cancer/does not impact/more difficult to see cancer/I don’t know) Awareness: “Have you ever heard of something called BD?” (yes/no) Knowledge of impact on breast cancer risk: “Having breasts that are mostly dense on a mammogram” does or does not put a woman at increased risk of breast cancer&#10;Results:&#10;Knowledge of the masking effect of BD (correct response): W 73.1%, B 58.0%, L 77.1%, O 67.3%&#10;Awareness (yes): W 65.0%, B 48.5%, L 22.9%, O 54.1%&#10;Knowledge of impact on breast cancer risk (correct response): W 57.5%, B 65.5%, L 66.8%, O 51.9%&#10;Knowledge of the masking effect of BD multivariate mode: household income OR = 1.10, 95%CI 1.05-1.15; education OR = 1.22, 95%CI 1.05-1.42; legislation status OR = 3.82, 95%CI 1.56-9.32; past biopsy OR = 2.16, 95%CI 1.38-3.38; &#10;Awareness multivariate L (compared with W) L: OR = 0.23, 95%CI 0.13-0.40, p &lt; .001, B: OR = 0.57, 95%CI 0.35-0.93; household income OR = 1.07, 95%CI 1.03-1.11; education OR = 1.19, 95%CI 1.09-1.30; diagnostic evaluation OR = 2.64, 95%CI 1.94-3.58; hormonal therapy OR = 1.69, 95%CI 1.21-2.38&#10;&#10;Manning et al. (2013) conducted a cross-sectional study with a sample size of N = 76; B = 54.5% (42); W = 33.8% (26); O = 10.4% (8); clinic attendees for whom further screening was prescribed following a suspicious screening or diagnostic mammogram (age = 51.28 years).  &#10;Measures: &#10;Awareness: “Do you know what BD is?” 1 (I have never heard about it) to 5 (I know exactly what it is); “Do you know how dense your own breasts are?” (yes/no); if yes 1 (entirely fat) to 4 (extremely dense) Accuracy: Define BD in their own words &#10;Risk factor knowledge: “Older women are at greater risk for getting breast cancer,” “Women with female relatives who have breast cancer are more likely to get breast cancer;” “There is a gene that makes some women more likely to get breast cancer,” “Women with more dense breasts are at greater risk for getting breast cancer.” 1 (I strongly disagree) to 5 (I strongly agree) &#10;Results:&#10;Awareness: All sample: M = 364, SD = 129; W (M = 4.28, SD = 0.94), B (M = 3.29, SD = 1.31), t(64) = 3.11, p &lt; .01, d = 0.87. &#10;Accuracy: All sample: M = 2.42, SD = 0.97; W (M = 2.77, SD = 0.93), B (M = 2.27, SD = 0.96), t(67) = 2.07, p &lt; .05, d = 0.53 &#10;Correlation accuracy and knowledge: All sample: r = 0.35, p &lt; .01; W (r = 0.46, p &lt; .05), B (not significant) &#10;Risk factor knowledge: All sample: M = 3.26, SD = 1.19; by race (not significant) &#10;Knowledge own BD: All samples: 33.8%; by race (not significant)&#10;"/>
      </w:tblPr>
      <w:tblGrid>
        <w:gridCol w:w="2799"/>
        <w:gridCol w:w="2799"/>
        <w:gridCol w:w="2798"/>
        <w:gridCol w:w="2798"/>
        <w:gridCol w:w="2798"/>
      </w:tblGrid>
      <w:tr w:rsidR="00345CCE" w:rsidRPr="00345CCE" w14:paraId="739FE231" w14:textId="77777777" w:rsidTr="00182760">
        <w:trPr>
          <w:cnfStyle w:val="100000000000" w:firstRow="1" w:lastRow="0" w:firstColumn="0" w:lastColumn="0" w:oddVBand="0" w:evenVBand="0" w:oddHBand="0" w:evenHBand="0" w:firstRowFirstColumn="0" w:firstRowLastColumn="0" w:lastRowFirstColumn="0" w:lastRowLastColumn="0"/>
        </w:trPr>
        <w:tc>
          <w:tcPr>
            <w:tcW w:w="1000" w:type="pct"/>
          </w:tcPr>
          <w:p w14:paraId="4A63BCF4" w14:textId="77777777" w:rsidR="00182760" w:rsidRPr="00345CCE" w:rsidRDefault="00182760" w:rsidP="00182760">
            <w:pPr>
              <w:pStyle w:val="BodyText"/>
              <w:spacing w:line="240" w:lineRule="auto"/>
              <w:rPr>
                <w:color w:val="auto"/>
                <w:sz w:val="18"/>
                <w:szCs w:val="18"/>
              </w:rPr>
            </w:pPr>
            <w:r w:rsidRPr="00345CCE">
              <w:rPr>
                <w:color w:val="auto"/>
                <w:sz w:val="18"/>
                <w:szCs w:val="18"/>
              </w:rPr>
              <w:t>Study</w:t>
            </w:r>
          </w:p>
        </w:tc>
        <w:tc>
          <w:tcPr>
            <w:tcW w:w="1000" w:type="pct"/>
          </w:tcPr>
          <w:p w14:paraId="6F54A64B" w14:textId="77777777" w:rsidR="00182760" w:rsidRPr="00345CCE" w:rsidRDefault="00182760" w:rsidP="00182760">
            <w:pPr>
              <w:pStyle w:val="BodyText"/>
              <w:spacing w:line="240" w:lineRule="auto"/>
              <w:rPr>
                <w:color w:val="auto"/>
                <w:sz w:val="18"/>
                <w:szCs w:val="18"/>
              </w:rPr>
            </w:pPr>
            <w:r w:rsidRPr="00345CCE">
              <w:rPr>
                <w:color w:val="auto"/>
                <w:sz w:val="18"/>
                <w:szCs w:val="18"/>
              </w:rPr>
              <w:t>Sample</w:t>
            </w:r>
          </w:p>
        </w:tc>
        <w:tc>
          <w:tcPr>
            <w:tcW w:w="1000" w:type="pct"/>
          </w:tcPr>
          <w:p w14:paraId="1D7C7A4B" w14:textId="77777777" w:rsidR="00182760" w:rsidRPr="00345CCE" w:rsidRDefault="00182760" w:rsidP="00182760">
            <w:pPr>
              <w:pStyle w:val="BodyText"/>
              <w:spacing w:line="240" w:lineRule="auto"/>
              <w:rPr>
                <w:color w:val="auto"/>
                <w:sz w:val="18"/>
                <w:szCs w:val="18"/>
              </w:rPr>
            </w:pPr>
            <w:r w:rsidRPr="00345CCE">
              <w:rPr>
                <w:color w:val="auto"/>
                <w:sz w:val="18"/>
                <w:szCs w:val="18"/>
              </w:rPr>
              <w:t>Study design</w:t>
            </w:r>
          </w:p>
        </w:tc>
        <w:tc>
          <w:tcPr>
            <w:tcW w:w="1000" w:type="pct"/>
          </w:tcPr>
          <w:p w14:paraId="4B6C4A37" w14:textId="77777777" w:rsidR="00182760" w:rsidRPr="00345CCE" w:rsidRDefault="00182760" w:rsidP="00182760">
            <w:pPr>
              <w:pStyle w:val="BodyText"/>
              <w:spacing w:line="240" w:lineRule="auto"/>
              <w:rPr>
                <w:color w:val="auto"/>
                <w:sz w:val="18"/>
                <w:szCs w:val="18"/>
              </w:rPr>
            </w:pPr>
            <w:r w:rsidRPr="00345CCE">
              <w:rPr>
                <w:color w:val="auto"/>
                <w:sz w:val="18"/>
                <w:szCs w:val="18"/>
              </w:rPr>
              <w:t xml:space="preserve">Measures </w:t>
            </w:r>
          </w:p>
        </w:tc>
        <w:tc>
          <w:tcPr>
            <w:tcW w:w="1000" w:type="pct"/>
          </w:tcPr>
          <w:p w14:paraId="1467F7F3" w14:textId="77777777" w:rsidR="00182760" w:rsidRPr="00345CCE" w:rsidRDefault="00182760" w:rsidP="00182760">
            <w:pPr>
              <w:pStyle w:val="BodyText"/>
              <w:spacing w:line="240" w:lineRule="auto"/>
              <w:rPr>
                <w:color w:val="auto"/>
                <w:sz w:val="18"/>
                <w:szCs w:val="18"/>
              </w:rPr>
            </w:pPr>
            <w:r w:rsidRPr="00345CCE">
              <w:rPr>
                <w:color w:val="auto"/>
                <w:sz w:val="18"/>
                <w:szCs w:val="18"/>
              </w:rPr>
              <w:t>Results</w:t>
            </w:r>
          </w:p>
        </w:tc>
      </w:tr>
      <w:tr w:rsidR="00211D48" w14:paraId="56E4DBC0" w14:textId="77777777" w:rsidTr="00F66F74">
        <w:tc>
          <w:tcPr>
            <w:tcW w:w="1000" w:type="pct"/>
          </w:tcPr>
          <w:p w14:paraId="16D3286A" w14:textId="77777777" w:rsidR="00211D48" w:rsidRPr="005958D9" w:rsidRDefault="00211D48" w:rsidP="00F66F74">
            <w:pPr>
              <w:pStyle w:val="BodyText"/>
              <w:spacing w:line="240" w:lineRule="auto"/>
              <w:jc w:val="left"/>
              <w:rPr>
                <w:sz w:val="18"/>
                <w:szCs w:val="18"/>
              </w:rPr>
            </w:pPr>
            <w:r w:rsidRPr="005958D9">
              <w:rPr>
                <w:sz w:val="18"/>
                <w:szCs w:val="18"/>
              </w:rPr>
              <w:t>Rhodes et al</w:t>
            </w:r>
            <w:r>
              <w:rPr>
                <w:sz w:val="18"/>
                <w:szCs w:val="18"/>
              </w:rPr>
              <w:t>.</w:t>
            </w:r>
            <w:r w:rsidRPr="005958D9">
              <w:rPr>
                <w:sz w:val="18"/>
                <w:szCs w:val="18"/>
              </w:rPr>
              <w:t xml:space="preserve"> (2015)</w:t>
            </w:r>
          </w:p>
        </w:tc>
        <w:tc>
          <w:tcPr>
            <w:tcW w:w="1000" w:type="pct"/>
          </w:tcPr>
          <w:p w14:paraId="3DC22CD2" w14:textId="77777777" w:rsidR="00211D48" w:rsidRPr="005958D9" w:rsidRDefault="00211D48" w:rsidP="00F66F74">
            <w:pPr>
              <w:pStyle w:val="BodyText"/>
              <w:spacing w:line="240" w:lineRule="auto"/>
              <w:jc w:val="left"/>
              <w:rPr>
                <w:sz w:val="18"/>
                <w:szCs w:val="18"/>
              </w:rPr>
            </w:pPr>
            <w:r w:rsidRPr="00F74723">
              <w:rPr>
                <w:i/>
                <w:sz w:val="18"/>
                <w:szCs w:val="18"/>
              </w:rPr>
              <w:t>N</w:t>
            </w:r>
            <w:r w:rsidRPr="005958D9">
              <w:rPr>
                <w:sz w:val="18"/>
                <w:szCs w:val="18"/>
              </w:rPr>
              <w:t xml:space="preserve"> = 1506; L = 11.8%; B = 12%; W = 70.6%; O = 5.5; Online study of screening age women (age = 55.2%)</w:t>
            </w:r>
          </w:p>
        </w:tc>
        <w:tc>
          <w:tcPr>
            <w:tcW w:w="1000" w:type="pct"/>
          </w:tcPr>
          <w:p w14:paraId="5D3E449C" w14:textId="77777777" w:rsidR="00211D48" w:rsidRPr="005958D9" w:rsidRDefault="00211D48" w:rsidP="00F66F74">
            <w:pPr>
              <w:pStyle w:val="BodyText"/>
              <w:spacing w:line="240" w:lineRule="auto"/>
              <w:jc w:val="left"/>
              <w:rPr>
                <w:sz w:val="18"/>
                <w:szCs w:val="18"/>
              </w:rPr>
            </w:pPr>
            <w:r w:rsidRPr="005958D9">
              <w:rPr>
                <w:sz w:val="18"/>
                <w:szCs w:val="18"/>
              </w:rPr>
              <w:t>Cross-sectional</w:t>
            </w:r>
          </w:p>
        </w:tc>
        <w:tc>
          <w:tcPr>
            <w:tcW w:w="1000" w:type="pct"/>
          </w:tcPr>
          <w:p w14:paraId="38DB0A16" w14:textId="77777777" w:rsidR="00211D48" w:rsidRPr="005958D9" w:rsidRDefault="00211D48" w:rsidP="00F66F74">
            <w:pPr>
              <w:pStyle w:val="BodyText"/>
              <w:spacing w:line="240" w:lineRule="auto"/>
              <w:rPr>
                <w:sz w:val="18"/>
                <w:szCs w:val="18"/>
              </w:rPr>
            </w:pPr>
            <w:r w:rsidRPr="005958D9">
              <w:rPr>
                <w:sz w:val="18"/>
                <w:szCs w:val="18"/>
              </w:rPr>
              <w:t>Knowledge of the masking effect of BD: “If a woman has dense breasts, what impact does this have on the ability of a mammogram to correctly detect cancer? (Easier to see cancer/does not impact/more difficult to see cancer/I don’t know) Awareness: “Have you ever heard of something called BD?” (yes/no) Knowledge of impact on breast cancer risk: “Having breasts that are mostly dense on a mammogram” does or does not put a woman at increased risk of breast cancer</w:t>
            </w:r>
          </w:p>
        </w:tc>
        <w:tc>
          <w:tcPr>
            <w:tcW w:w="1000" w:type="pct"/>
          </w:tcPr>
          <w:p w14:paraId="461EB9AB" w14:textId="77777777" w:rsidR="00211D48" w:rsidRPr="005958D9" w:rsidRDefault="00211D48" w:rsidP="00F66F74">
            <w:pPr>
              <w:pStyle w:val="BodyText"/>
              <w:spacing w:line="240" w:lineRule="auto"/>
              <w:rPr>
                <w:sz w:val="18"/>
                <w:szCs w:val="18"/>
              </w:rPr>
            </w:pPr>
            <w:r w:rsidRPr="005958D9">
              <w:rPr>
                <w:sz w:val="18"/>
                <w:szCs w:val="18"/>
              </w:rPr>
              <w:t>Knowledge of the masking effect of BD (correct response): W 73.1%, B 58.0%, L 77.1%, O</w:t>
            </w:r>
            <w:r>
              <w:rPr>
                <w:sz w:val="18"/>
                <w:szCs w:val="18"/>
              </w:rPr>
              <w:t xml:space="preserve"> </w:t>
            </w:r>
            <w:r w:rsidRPr="005958D9">
              <w:rPr>
                <w:sz w:val="18"/>
                <w:szCs w:val="18"/>
              </w:rPr>
              <w:t xml:space="preserve">67.3% </w:t>
            </w:r>
          </w:p>
          <w:p w14:paraId="23C5C07F" w14:textId="77777777" w:rsidR="00211D48" w:rsidRPr="005958D9" w:rsidRDefault="00211D48" w:rsidP="00F66F74">
            <w:pPr>
              <w:pStyle w:val="BodyText"/>
              <w:spacing w:line="240" w:lineRule="auto"/>
              <w:jc w:val="left"/>
              <w:rPr>
                <w:sz w:val="18"/>
                <w:szCs w:val="18"/>
              </w:rPr>
            </w:pPr>
            <w:r w:rsidRPr="005958D9">
              <w:rPr>
                <w:sz w:val="18"/>
                <w:szCs w:val="18"/>
              </w:rPr>
              <w:t>Awareness (yes): W 65%, B 48.5%, L 22.9%, O 54.1%</w:t>
            </w:r>
          </w:p>
          <w:p w14:paraId="747686C6" w14:textId="77777777" w:rsidR="00211D48" w:rsidRDefault="00211D48" w:rsidP="00F66F74">
            <w:pPr>
              <w:pStyle w:val="BodyText"/>
              <w:spacing w:line="240" w:lineRule="auto"/>
              <w:jc w:val="left"/>
              <w:rPr>
                <w:sz w:val="18"/>
                <w:szCs w:val="18"/>
              </w:rPr>
            </w:pPr>
            <w:r w:rsidRPr="005958D9">
              <w:rPr>
                <w:sz w:val="18"/>
                <w:szCs w:val="18"/>
              </w:rPr>
              <w:t>Knowledge of impact on breast cancer risk (correct response): W 57.5%, B 65.5%, L 66.8%, O 51.9%</w:t>
            </w:r>
          </w:p>
          <w:p w14:paraId="021D5471" w14:textId="77777777" w:rsidR="00211D48" w:rsidRDefault="00211D48" w:rsidP="00F66F74">
            <w:pPr>
              <w:pStyle w:val="BodyText"/>
              <w:spacing w:line="240" w:lineRule="auto"/>
              <w:jc w:val="left"/>
              <w:rPr>
                <w:sz w:val="18"/>
                <w:szCs w:val="18"/>
              </w:rPr>
            </w:pPr>
            <w:r w:rsidRPr="005958D9">
              <w:rPr>
                <w:sz w:val="18"/>
                <w:szCs w:val="18"/>
              </w:rPr>
              <w:t>Knowledge of the masking effect of BD multivariate model</w:t>
            </w:r>
            <w:r>
              <w:rPr>
                <w:sz w:val="18"/>
                <w:szCs w:val="18"/>
              </w:rPr>
              <w:t xml:space="preserve">: </w:t>
            </w:r>
            <w:r w:rsidRPr="005958D9">
              <w:rPr>
                <w:sz w:val="18"/>
                <w:szCs w:val="18"/>
              </w:rPr>
              <w:t xml:space="preserve">household income OR = 1.10, </w:t>
            </w:r>
            <w:r>
              <w:rPr>
                <w:sz w:val="18"/>
                <w:szCs w:val="18"/>
              </w:rPr>
              <w:t>95%</w:t>
            </w:r>
            <w:r w:rsidRPr="005958D9">
              <w:rPr>
                <w:sz w:val="18"/>
                <w:szCs w:val="18"/>
              </w:rPr>
              <w:t xml:space="preserve">CI 1.05-1.15; education OR = 1.22, </w:t>
            </w:r>
            <w:r w:rsidRPr="00F74723">
              <w:rPr>
                <w:sz w:val="18"/>
                <w:szCs w:val="18"/>
              </w:rPr>
              <w:t>95%</w:t>
            </w:r>
            <w:r w:rsidRPr="005958D9">
              <w:rPr>
                <w:sz w:val="18"/>
                <w:szCs w:val="18"/>
              </w:rPr>
              <w:t xml:space="preserve">CI 1.05-1.42; legislation status OR = 3.82, </w:t>
            </w:r>
            <w:r w:rsidRPr="00F74723">
              <w:rPr>
                <w:sz w:val="18"/>
                <w:szCs w:val="18"/>
              </w:rPr>
              <w:t>95%</w:t>
            </w:r>
            <w:r w:rsidRPr="005958D9">
              <w:rPr>
                <w:sz w:val="18"/>
                <w:szCs w:val="18"/>
              </w:rPr>
              <w:t xml:space="preserve">CI 1.56-9.32; past biopsy OR = 2.16, </w:t>
            </w:r>
            <w:r w:rsidRPr="00F74723">
              <w:rPr>
                <w:sz w:val="18"/>
                <w:szCs w:val="18"/>
              </w:rPr>
              <w:t>95%</w:t>
            </w:r>
            <w:r w:rsidRPr="005958D9">
              <w:rPr>
                <w:sz w:val="18"/>
                <w:szCs w:val="18"/>
              </w:rPr>
              <w:t xml:space="preserve">CI 1.38-3.38; </w:t>
            </w:r>
          </w:p>
          <w:p w14:paraId="3A3D25EE" w14:textId="77777777" w:rsidR="00211D48" w:rsidRPr="005958D9" w:rsidRDefault="00211D48" w:rsidP="00F66F74">
            <w:pPr>
              <w:pStyle w:val="BodyText"/>
              <w:spacing w:line="240" w:lineRule="auto"/>
              <w:jc w:val="left"/>
              <w:rPr>
                <w:sz w:val="18"/>
                <w:szCs w:val="18"/>
              </w:rPr>
            </w:pPr>
            <w:r>
              <w:rPr>
                <w:sz w:val="18"/>
                <w:szCs w:val="18"/>
              </w:rPr>
              <w:t>A</w:t>
            </w:r>
            <w:r w:rsidRPr="005958D9">
              <w:rPr>
                <w:sz w:val="18"/>
                <w:szCs w:val="18"/>
              </w:rPr>
              <w:t>wareness multivariate</w:t>
            </w:r>
            <w:r>
              <w:rPr>
                <w:sz w:val="18"/>
                <w:szCs w:val="18"/>
              </w:rPr>
              <w:t>:</w:t>
            </w:r>
            <w:r w:rsidRPr="005958D9">
              <w:rPr>
                <w:sz w:val="18"/>
                <w:szCs w:val="18"/>
              </w:rPr>
              <w:t xml:space="preserve"> L (compared with W) L: OR = 0.23</w:t>
            </w:r>
            <w:r>
              <w:rPr>
                <w:sz w:val="18"/>
                <w:szCs w:val="18"/>
              </w:rPr>
              <w:t xml:space="preserve">, </w:t>
            </w:r>
            <w:r w:rsidRPr="00F74723">
              <w:rPr>
                <w:sz w:val="18"/>
                <w:szCs w:val="18"/>
              </w:rPr>
              <w:t>95%</w:t>
            </w:r>
            <w:r w:rsidRPr="005958D9">
              <w:rPr>
                <w:sz w:val="18"/>
                <w:szCs w:val="18"/>
              </w:rPr>
              <w:t xml:space="preserve">CI 0.13-0.40, </w:t>
            </w:r>
            <w:r>
              <w:rPr>
                <w:i/>
                <w:sz w:val="18"/>
                <w:szCs w:val="18"/>
              </w:rPr>
              <w:t>p</w:t>
            </w:r>
            <w:r w:rsidRPr="005958D9">
              <w:rPr>
                <w:sz w:val="18"/>
                <w:szCs w:val="18"/>
              </w:rPr>
              <w:t xml:space="preserve"> &lt; .001</w:t>
            </w:r>
            <w:r>
              <w:rPr>
                <w:sz w:val="18"/>
                <w:szCs w:val="18"/>
              </w:rPr>
              <w:t>;</w:t>
            </w:r>
            <w:r w:rsidRPr="005958D9">
              <w:rPr>
                <w:sz w:val="18"/>
                <w:szCs w:val="18"/>
              </w:rPr>
              <w:t xml:space="preserve"> B: OR = 0.57</w:t>
            </w:r>
            <w:r>
              <w:rPr>
                <w:sz w:val="18"/>
                <w:szCs w:val="18"/>
              </w:rPr>
              <w:t>,</w:t>
            </w:r>
            <w:r w:rsidRPr="005958D9">
              <w:rPr>
                <w:sz w:val="18"/>
                <w:szCs w:val="18"/>
              </w:rPr>
              <w:t xml:space="preserve"> </w:t>
            </w:r>
            <w:r w:rsidRPr="00F74723">
              <w:rPr>
                <w:sz w:val="18"/>
                <w:szCs w:val="18"/>
              </w:rPr>
              <w:t>95%</w:t>
            </w:r>
            <w:r w:rsidRPr="005958D9">
              <w:rPr>
                <w:sz w:val="18"/>
                <w:szCs w:val="18"/>
              </w:rPr>
              <w:t xml:space="preserve">CI 0.35-0.93; household income OR = 1.07, </w:t>
            </w:r>
            <w:r w:rsidRPr="00F74723">
              <w:rPr>
                <w:sz w:val="18"/>
                <w:szCs w:val="18"/>
              </w:rPr>
              <w:t>95%</w:t>
            </w:r>
            <w:r w:rsidRPr="005958D9">
              <w:rPr>
                <w:sz w:val="18"/>
                <w:szCs w:val="18"/>
              </w:rPr>
              <w:t>CI</w:t>
            </w:r>
            <w:r>
              <w:rPr>
                <w:sz w:val="18"/>
                <w:szCs w:val="18"/>
              </w:rPr>
              <w:t>,</w:t>
            </w:r>
            <w:r w:rsidRPr="005958D9">
              <w:rPr>
                <w:sz w:val="18"/>
                <w:szCs w:val="18"/>
              </w:rPr>
              <w:t xml:space="preserve"> 1.03-1.11; education OR = 1.19, </w:t>
            </w:r>
            <w:r w:rsidRPr="00F74723">
              <w:rPr>
                <w:sz w:val="18"/>
                <w:szCs w:val="18"/>
              </w:rPr>
              <w:t>95%</w:t>
            </w:r>
            <w:r w:rsidRPr="005958D9">
              <w:rPr>
                <w:sz w:val="18"/>
                <w:szCs w:val="18"/>
              </w:rPr>
              <w:t xml:space="preserve">CI 1.09-1.30; diagnostic evaluation OR = 2.64, </w:t>
            </w:r>
            <w:r w:rsidRPr="00F74723">
              <w:rPr>
                <w:sz w:val="18"/>
                <w:szCs w:val="18"/>
              </w:rPr>
              <w:t>95%</w:t>
            </w:r>
            <w:r w:rsidRPr="005958D9">
              <w:rPr>
                <w:sz w:val="18"/>
                <w:szCs w:val="18"/>
              </w:rPr>
              <w:t xml:space="preserve">CI 1.94-3.58; hormonal therapy OR = 1.69, </w:t>
            </w:r>
            <w:r w:rsidRPr="00F74723">
              <w:rPr>
                <w:sz w:val="18"/>
                <w:szCs w:val="18"/>
              </w:rPr>
              <w:t>95%</w:t>
            </w:r>
            <w:r w:rsidRPr="005958D9">
              <w:rPr>
                <w:sz w:val="18"/>
                <w:szCs w:val="18"/>
              </w:rPr>
              <w:t>CI 1.21-2.38</w:t>
            </w:r>
          </w:p>
        </w:tc>
      </w:tr>
      <w:tr w:rsidR="00211D48" w14:paraId="1A35CB37" w14:textId="77777777" w:rsidTr="00F66F74">
        <w:tc>
          <w:tcPr>
            <w:tcW w:w="1000" w:type="pct"/>
          </w:tcPr>
          <w:p w14:paraId="6CB65B9F" w14:textId="04F1978C" w:rsidR="00211D48" w:rsidRPr="005958D9" w:rsidRDefault="00211D48" w:rsidP="00F66F74">
            <w:pPr>
              <w:pStyle w:val="BodyText"/>
              <w:spacing w:line="240" w:lineRule="auto"/>
              <w:jc w:val="left"/>
              <w:rPr>
                <w:sz w:val="18"/>
                <w:szCs w:val="18"/>
              </w:rPr>
            </w:pPr>
            <w:r w:rsidRPr="005958D9">
              <w:rPr>
                <w:sz w:val="18"/>
                <w:szCs w:val="18"/>
              </w:rPr>
              <w:t>Trinh et al</w:t>
            </w:r>
            <w:r>
              <w:rPr>
                <w:sz w:val="18"/>
                <w:szCs w:val="18"/>
              </w:rPr>
              <w:t>.</w:t>
            </w:r>
            <w:r w:rsidRPr="005958D9">
              <w:rPr>
                <w:sz w:val="18"/>
                <w:szCs w:val="18"/>
              </w:rPr>
              <w:t xml:space="preserve"> (2015)</w:t>
            </w:r>
          </w:p>
        </w:tc>
        <w:tc>
          <w:tcPr>
            <w:tcW w:w="1000" w:type="pct"/>
          </w:tcPr>
          <w:p w14:paraId="2AE5DE8B" w14:textId="77777777" w:rsidR="00211D48" w:rsidRDefault="00211D48" w:rsidP="00F66F74">
            <w:pPr>
              <w:pStyle w:val="BodyText"/>
              <w:spacing w:line="240" w:lineRule="auto"/>
              <w:jc w:val="left"/>
              <w:rPr>
                <w:sz w:val="18"/>
                <w:szCs w:val="18"/>
              </w:rPr>
            </w:pPr>
            <w:r w:rsidRPr="005958D9">
              <w:rPr>
                <w:sz w:val="18"/>
                <w:szCs w:val="18"/>
              </w:rPr>
              <w:t>Academic facility</w:t>
            </w:r>
            <w:r>
              <w:rPr>
                <w:sz w:val="18"/>
                <w:szCs w:val="18"/>
              </w:rPr>
              <w:t xml:space="preserve">; </w:t>
            </w:r>
            <w:r w:rsidRPr="005958D9">
              <w:rPr>
                <w:sz w:val="18"/>
                <w:szCs w:val="18"/>
              </w:rPr>
              <w:t>39% were aged 31-50 years, 50% were 51-70 years, 11% were &gt;70 years</w:t>
            </w:r>
            <w:r>
              <w:rPr>
                <w:sz w:val="18"/>
                <w:szCs w:val="18"/>
              </w:rPr>
              <w:t>;</w:t>
            </w:r>
            <w:r w:rsidRPr="005958D9">
              <w:rPr>
                <w:sz w:val="18"/>
                <w:szCs w:val="18"/>
              </w:rPr>
              <w:t xml:space="preserve"> </w:t>
            </w:r>
            <w:r w:rsidRPr="00BD3AA7">
              <w:rPr>
                <w:i/>
                <w:sz w:val="18"/>
                <w:szCs w:val="18"/>
              </w:rPr>
              <w:t>n</w:t>
            </w:r>
            <w:r w:rsidRPr="005958D9">
              <w:rPr>
                <w:sz w:val="18"/>
                <w:szCs w:val="18"/>
              </w:rPr>
              <w:t xml:space="preserve"> = 105; L = 8%, B = 3%. W = 69%; A = 15%; O = 5% </w:t>
            </w:r>
          </w:p>
          <w:p w14:paraId="4F975708" w14:textId="77777777" w:rsidR="00211D48" w:rsidRPr="005958D9" w:rsidRDefault="00211D48" w:rsidP="00F66F74">
            <w:pPr>
              <w:pStyle w:val="BodyText"/>
              <w:spacing w:line="240" w:lineRule="auto"/>
              <w:jc w:val="left"/>
              <w:rPr>
                <w:sz w:val="18"/>
                <w:szCs w:val="18"/>
              </w:rPr>
            </w:pPr>
            <w:r w:rsidRPr="005958D9">
              <w:rPr>
                <w:sz w:val="18"/>
                <w:szCs w:val="18"/>
              </w:rPr>
              <w:t>County hospital</w:t>
            </w:r>
            <w:r>
              <w:rPr>
                <w:sz w:val="18"/>
                <w:szCs w:val="18"/>
              </w:rPr>
              <w:t>;</w:t>
            </w:r>
            <w:r w:rsidRPr="005958D9">
              <w:rPr>
                <w:sz w:val="18"/>
                <w:szCs w:val="18"/>
              </w:rPr>
              <w:t xml:space="preserve"> women after/waiting for their screening </w:t>
            </w:r>
            <w:r w:rsidRPr="005958D9">
              <w:rPr>
                <w:sz w:val="18"/>
                <w:szCs w:val="18"/>
              </w:rPr>
              <w:lastRenderedPageBreak/>
              <w:t>mammography appointments</w:t>
            </w:r>
            <w:r>
              <w:rPr>
                <w:sz w:val="18"/>
                <w:szCs w:val="18"/>
              </w:rPr>
              <w:t>;</w:t>
            </w:r>
            <w:r w:rsidRPr="005958D9">
              <w:rPr>
                <w:sz w:val="18"/>
                <w:szCs w:val="18"/>
              </w:rPr>
              <w:t xml:space="preserve"> 47% were aged 31-50 years, 59% were 51-70 years, 8% were &gt;70 years</w:t>
            </w:r>
            <w:r>
              <w:rPr>
                <w:sz w:val="18"/>
                <w:szCs w:val="18"/>
              </w:rPr>
              <w:t>;</w:t>
            </w:r>
            <w:r w:rsidRPr="005958D9">
              <w:rPr>
                <w:sz w:val="18"/>
                <w:szCs w:val="18"/>
              </w:rPr>
              <w:t xml:space="preserve"> </w:t>
            </w:r>
            <w:r>
              <w:rPr>
                <w:i/>
                <w:sz w:val="18"/>
                <w:szCs w:val="18"/>
              </w:rPr>
              <w:t>n</w:t>
            </w:r>
            <w:r w:rsidRPr="005958D9">
              <w:rPr>
                <w:sz w:val="18"/>
                <w:szCs w:val="18"/>
              </w:rPr>
              <w:t xml:space="preserve"> = 132; L = 51%; B = 3%, W = 20%; A = 21%; O = 5%</w:t>
            </w:r>
          </w:p>
        </w:tc>
        <w:tc>
          <w:tcPr>
            <w:tcW w:w="1000" w:type="pct"/>
          </w:tcPr>
          <w:p w14:paraId="7BF2B441" w14:textId="77777777" w:rsidR="00211D48" w:rsidRPr="005958D9" w:rsidRDefault="00211D48" w:rsidP="00F66F74">
            <w:pPr>
              <w:pStyle w:val="BodyText"/>
              <w:spacing w:line="240" w:lineRule="auto"/>
              <w:jc w:val="left"/>
              <w:rPr>
                <w:sz w:val="18"/>
                <w:szCs w:val="18"/>
              </w:rPr>
            </w:pPr>
            <w:r w:rsidRPr="005958D9">
              <w:rPr>
                <w:sz w:val="18"/>
                <w:szCs w:val="18"/>
              </w:rPr>
              <w:lastRenderedPageBreak/>
              <w:t>Cross-sectional</w:t>
            </w:r>
          </w:p>
        </w:tc>
        <w:tc>
          <w:tcPr>
            <w:tcW w:w="1000" w:type="pct"/>
          </w:tcPr>
          <w:p w14:paraId="28FA2676" w14:textId="77777777" w:rsidR="00211D48" w:rsidRPr="005958D9" w:rsidRDefault="00211D48" w:rsidP="00F66F74">
            <w:pPr>
              <w:pStyle w:val="BodyText"/>
              <w:spacing w:line="240" w:lineRule="auto"/>
              <w:rPr>
                <w:sz w:val="18"/>
                <w:szCs w:val="18"/>
              </w:rPr>
            </w:pPr>
            <w:r w:rsidRPr="005958D9">
              <w:rPr>
                <w:sz w:val="18"/>
                <w:szCs w:val="18"/>
              </w:rPr>
              <w:t xml:space="preserve">Knowledge: “Do you know your BD?” (yes/no) </w:t>
            </w:r>
          </w:p>
          <w:p w14:paraId="1FA258A8" w14:textId="77777777" w:rsidR="00211D48" w:rsidRPr="005958D9" w:rsidRDefault="00211D48" w:rsidP="00F66F74">
            <w:pPr>
              <w:pStyle w:val="BodyText"/>
              <w:spacing w:line="240" w:lineRule="auto"/>
              <w:jc w:val="left"/>
              <w:rPr>
                <w:sz w:val="18"/>
                <w:szCs w:val="18"/>
              </w:rPr>
            </w:pPr>
            <w:r w:rsidRPr="005958D9">
              <w:rPr>
                <w:sz w:val="18"/>
                <w:szCs w:val="18"/>
              </w:rPr>
              <w:t>Interest in knowledge: “Would you like to know your BD?</w:t>
            </w:r>
          </w:p>
        </w:tc>
        <w:tc>
          <w:tcPr>
            <w:tcW w:w="1000" w:type="pct"/>
          </w:tcPr>
          <w:p w14:paraId="322FEC10" w14:textId="77777777" w:rsidR="00211D48" w:rsidRDefault="00211D48" w:rsidP="00F66F74">
            <w:pPr>
              <w:pStyle w:val="BodyText"/>
              <w:spacing w:line="240" w:lineRule="auto"/>
              <w:jc w:val="left"/>
              <w:rPr>
                <w:sz w:val="18"/>
                <w:szCs w:val="18"/>
              </w:rPr>
            </w:pPr>
            <w:r w:rsidRPr="005958D9">
              <w:rPr>
                <w:sz w:val="18"/>
                <w:szCs w:val="18"/>
              </w:rPr>
              <w:t>Knowledge: 23% yes in academic facility; 5% yes in county hospital (</w:t>
            </w:r>
            <w:r>
              <w:rPr>
                <w:i/>
                <w:sz w:val="18"/>
                <w:szCs w:val="18"/>
              </w:rPr>
              <w:t>p</w:t>
            </w:r>
            <w:r w:rsidRPr="005958D9">
              <w:rPr>
                <w:sz w:val="18"/>
                <w:szCs w:val="18"/>
              </w:rPr>
              <w:t xml:space="preserve"> &lt; .0001)</w:t>
            </w:r>
          </w:p>
          <w:p w14:paraId="73800324" w14:textId="77777777" w:rsidR="00211D48" w:rsidRDefault="00211D48" w:rsidP="00F66F74">
            <w:pPr>
              <w:pStyle w:val="BodyText"/>
              <w:spacing w:line="240" w:lineRule="auto"/>
              <w:jc w:val="left"/>
              <w:rPr>
                <w:sz w:val="18"/>
                <w:szCs w:val="18"/>
              </w:rPr>
            </w:pPr>
            <w:r w:rsidRPr="005958D9">
              <w:rPr>
                <w:sz w:val="18"/>
                <w:szCs w:val="18"/>
              </w:rPr>
              <w:t xml:space="preserve">Interest: 94% </w:t>
            </w:r>
            <w:r>
              <w:rPr>
                <w:sz w:val="18"/>
                <w:szCs w:val="18"/>
              </w:rPr>
              <w:t xml:space="preserve">in academic facility </w:t>
            </w:r>
            <w:r w:rsidRPr="005958D9">
              <w:rPr>
                <w:sz w:val="18"/>
                <w:szCs w:val="18"/>
              </w:rPr>
              <w:t>and 79</w:t>
            </w:r>
            <w:r>
              <w:rPr>
                <w:sz w:val="18"/>
                <w:szCs w:val="18"/>
              </w:rPr>
              <w:t>% in county hospital</w:t>
            </w:r>
            <w:r w:rsidRPr="005958D9">
              <w:rPr>
                <w:sz w:val="18"/>
                <w:szCs w:val="18"/>
              </w:rPr>
              <w:t xml:space="preserve"> (</w:t>
            </w:r>
            <w:r>
              <w:rPr>
                <w:i/>
                <w:sz w:val="18"/>
                <w:szCs w:val="18"/>
              </w:rPr>
              <w:t>p</w:t>
            </w:r>
            <w:r w:rsidRPr="005958D9">
              <w:rPr>
                <w:sz w:val="18"/>
                <w:szCs w:val="18"/>
              </w:rPr>
              <w:t xml:space="preserve"> &lt; .01) </w:t>
            </w:r>
          </w:p>
          <w:p w14:paraId="11057A69" w14:textId="77777777" w:rsidR="00211D48" w:rsidRPr="005958D9" w:rsidRDefault="00211D48" w:rsidP="00F66F74">
            <w:pPr>
              <w:pStyle w:val="BodyText"/>
              <w:spacing w:line="240" w:lineRule="auto"/>
              <w:jc w:val="left"/>
              <w:rPr>
                <w:sz w:val="18"/>
                <w:szCs w:val="18"/>
              </w:rPr>
            </w:pPr>
            <w:r>
              <w:rPr>
                <w:sz w:val="18"/>
                <w:szCs w:val="18"/>
              </w:rPr>
              <w:lastRenderedPageBreak/>
              <w:t>W</w:t>
            </w:r>
            <w:r w:rsidRPr="005958D9">
              <w:rPr>
                <w:sz w:val="18"/>
                <w:szCs w:val="18"/>
              </w:rPr>
              <w:t>illingness to pay for the supplemental tests</w:t>
            </w:r>
            <w:r>
              <w:rPr>
                <w:sz w:val="18"/>
                <w:szCs w:val="18"/>
              </w:rPr>
              <w:t>:</w:t>
            </w:r>
            <w:r w:rsidRPr="005958D9">
              <w:rPr>
                <w:sz w:val="18"/>
                <w:szCs w:val="18"/>
              </w:rPr>
              <w:t xml:space="preserve"> </w:t>
            </w:r>
            <w:r>
              <w:rPr>
                <w:sz w:val="18"/>
                <w:szCs w:val="18"/>
              </w:rPr>
              <w:t>22%</w:t>
            </w:r>
            <w:r w:rsidRPr="005958D9">
              <w:rPr>
                <w:sz w:val="18"/>
                <w:szCs w:val="18"/>
              </w:rPr>
              <w:t xml:space="preserve"> the county hospital</w:t>
            </w:r>
            <w:r>
              <w:rPr>
                <w:sz w:val="18"/>
                <w:szCs w:val="18"/>
              </w:rPr>
              <w:t xml:space="preserve"> and 70%</w:t>
            </w:r>
            <w:r w:rsidRPr="005958D9">
              <w:rPr>
                <w:sz w:val="18"/>
                <w:szCs w:val="18"/>
              </w:rPr>
              <w:t xml:space="preserve"> </w:t>
            </w:r>
            <w:r>
              <w:rPr>
                <w:sz w:val="18"/>
                <w:szCs w:val="18"/>
              </w:rPr>
              <w:t xml:space="preserve">in the </w:t>
            </w:r>
            <w:r w:rsidRPr="005958D9">
              <w:rPr>
                <w:sz w:val="18"/>
                <w:szCs w:val="18"/>
              </w:rPr>
              <w:t>academic facility</w:t>
            </w:r>
            <w:r>
              <w:rPr>
                <w:sz w:val="18"/>
                <w:szCs w:val="18"/>
              </w:rPr>
              <w:t xml:space="preserve"> for ultrasound</w:t>
            </w:r>
            <w:r w:rsidRPr="005958D9">
              <w:rPr>
                <w:sz w:val="18"/>
                <w:szCs w:val="18"/>
              </w:rPr>
              <w:t xml:space="preserve"> </w:t>
            </w:r>
            <w:r>
              <w:rPr>
                <w:sz w:val="18"/>
                <w:szCs w:val="18"/>
              </w:rPr>
              <w:t>(</w:t>
            </w:r>
            <w:r>
              <w:rPr>
                <w:i/>
                <w:sz w:val="18"/>
                <w:szCs w:val="18"/>
              </w:rPr>
              <w:t>p</w:t>
            </w:r>
            <w:r w:rsidRPr="005958D9">
              <w:rPr>
                <w:sz w:val="18"/>
                <w:szCs w:val="18"/>
              </w:rPr>
              <w:t xml:space="preserve"> &lt; .0001</w:t>
            </w:r>
            <w:r>
              <w:rPr>
                <w:sz w:val="18"/>
                <w:szCs w:val="18"/>
              </w:rPr>
              <w:t>)</w:t>
            </w:r>
            <w:r w:rsidRPr="005958D9">
              <w:rPr>
                <w:sz w:val="18"/>
                <w:szCs w:val="18"/>
              </w:rPr>
              <w:t xml:space="preserve">; 20% and 65%, respectively, for contrast-enhanced spectral mammography </w:t>
            </w:r>
            <w:r>
              <w:rPr>
                <w:sz w:val="18"/>
                <w:szCs w:val="18"/>
              </w:rPr>
              <w:t>(</w:t>
            </w:r>
            <w:r>
              <w:rPr>
                <w:i/>
                <w:sz w:val="18"/>
                <w:szCs w:val="18"/>
              </w:rPr>
              <w:t>p</w:t>
            </w:r>
            <w:r w:rsidRPr="005958D9">
              <w:rPr>
                <w:sz w:val="18"/>
                <w:szCs w:val="18"/>
              </w:rPr>
              <w:t xml:space="preserve"> &lt; .0001)</w:t>
            </w:r>
          </w:p>
        </w:tc>
      </w:tr>
      <w:tr w:rsidR="00211D48" w14:paraId="3E5F348B" w14:textId="77777777" w:rsidTr="00F66F74">
        <w:tc>
          <w:tcPr>
            <w:tcW w:w="1000" w:type="pct"/>
          </w:tcPr>
          <w:p w14:paraId="1CC1B1E2" w14:textId="656F969B" w:rsidR="00211D48" w:rsidRPr="005958D9" w:rsidRDefault="00211D48" w:rsidP="00F66F74">
            <w:pPr>
              <w:pStyle w:val="BodyText"/>
              <w:spacing w:line="240" w:lineRule="auto"/>
              <w:jc w:val="left"/>
              <w:rPr>
                <w:sz w:val="18"/>
                <w:szCs w:val="18"/>
              </w:rPr>
            </w:pPr>
            <w:r w:rsidRPr="005958D9">
              <w:rPr>
                <w:sz w:val="18"/>
                <w:szCs w:val="18"/>
              </w:rPr>
              <w:lastRenderedPageBreak/>
              <w:t>Yeh et al</w:t>
            </w:r>
            <w:r>
              <w:rPr>
                <w:sz w:val="18"/>
                <w:szCs w:val="18"/>
              </w:rPr>
              <w:t>.</w:t>
            </w:r>
            <w:r w:rsidRPr="005958D9">
              <w:rPr>
                <w:sz w:val="18"/>
                <w:szCs w:val="18"/>
              </w:rPr>
              <w:t xml:space="preserve"> (2015)</w:t>
            </w:r>
          </w:p>
        </w:tc>
        <w:tc>
          <w:tcPr>
            <w:tcW w:w="1000" w:type="pct"/>
          </w:tcPr>
          <w:p w14:paraId="4DD1E7B8" w14:textId="77777777" w:rsidR="00211D48" w:rsidRPr="005958D9" w:rsidRDefault="00211D48" w:rsidP="00F66F74">
            <w:pPr>
              <w:pStyle w:val="BodyText"/>
              <w:spacing w:line="240" w:lineRule="auto"/>
              <w:jc w:val="left"/>
              <w:rPr>
                <w:sz w:val="18"/>
                <w:szCs w:val="18"/>
              </w:rPr>
            </w:pPr>
            <w:r>
              <w:rPr>
                <w:i/>
                <w:sz w:val="18"/>
                <w:szCs w:val="18"/>
              </w:rPr>
              <w:t>N</w:t>
            </w:r>
            <w:r w:rsidRPr="005958D9">
              <w:rPr>
                <w:sz w:val="18"/>
                <w:szCs w:val="18"/>
              </w:rPr>
              <w:t xml:space="preserve"> = 184 (213); L = 9; B = 16; W = 163; O = 9</w:t>
            </w:r>
          </w:p>
        </w:tc>
        <w:tc>
          <w:tcPr>
            <w:tcW w:w="1000" w:type="pct"/>
          </w:tcPr>
          <w:p w14:paraId="08B355AA" w14:textId="77777777" w:rsidR="00211D48" w:rsidRPr="005958D9" w:rsidRDefault="00211D48" w:rsidP="00F66F74">
            <w:pPr>
              <w:pStyle w:val="BodyText"/>
              <w:spacing w:line="240" w:lineRule="auto"/>
              <w:jc w:val="left"/>
              <w:rPr>
                <w:sz w:val="18"/>
                <w:szCs w:val="18"/>
              </w:rPr>
            </w:pPr>
            <w:r w:rsidRPr="005958D9">
              <w:rPr>
                <w:sz w:val="18"/>
                <w:szCs w:val="18"/>
              </w:rPr>
              <w:t>Cross-sectional</w:t>
            </w:r>
          </w:p>
        </w:tc>
        <w:tc>
          <w:tcPr>
            <w:tcW w:w="1000" w:type="pct"/>
          </w:tcPr>
          <w:p w14:paraId="62EA09BC" w14:textId="77777777" w:rsidR="00211D48" w:rsidRPr="005958D9" w:rsidRDefault="00211D48" w:rsidP="00F66F74">
            <w:pPr>
              <w:pStyle w:val="BodyText"/>
              <w:spacing w:line="240" w:lineRule="auto"/>
              <w:jc w:val="left"/>
              <w:rPr>
                <w:sz w:val="18"/>
                <w:szCs w:val="18"/>
              </w:rPr>
            </w:pPr>
            <w:r w:rsidRPr="005958D9">
              <w:rPr>
                <w:sz w:val="18"/>
                <w:szCs w:val="18"/>
              </w:rPr>
              <w:t>Knowledge: If participants had been told by their physicians that they had dense breast tissue</w:t>
            </w:r>
          </w:p>
        </w:tc>
        <w:tc>
          <w:tcPr>
            <w:tcW w:w="1000" w:type="pct"/>
          </w:tcPr>
          <w:p w14:paraId="47846D3A" w14:textId="77777777" w:rsidR="00211D48" w:rsidRPr="005958D9" w:rsidRDefault="00211D48" w:rsidP="00F66F74">
            <w:pPr>
              <w:pStyle w:val="BodyText"/>
              <w:spacing w:line="240" w:lineRule="auto"/>
              <w:jc w:val="left"/>
              <w:rPr>
                <w:sz w:val="18"/>
                <w:szCs w:val="18"/>
              </w:rPr>
            </w:pPr>
            <w:r w:rsidRPr="005958D9">
              <w:rPr>
                <w:sz w:val="18"/>
                <w:szCs w:val="18"/>
              </w:rPr>
              <w:t>Knowledge: 16.8% of women had already been told by their physicians that they had dense breast tissue</w:t>
            </w:r>
          </w:p>
        </w:tc>
      </w:tr>
      <w:tr w:rsidR="00182760" w14:paraId="467AD71D" w14:textId="77777777" w:rsidTr="00182760">
        <w:tc>
          <w:tcPr>
            <w:tcW w:w="1000" w:type="pct"/>
          </w:tcPr>
          <w:p w14:paraId="633284A9" w14:textId="29243B31" w:rsidR="00182760" w:rsidRPr="005958D9" w:rsidRDefault="00182760" w:rsidP="00182760">
            <w:pPr>
              <w:pStyle w:val="BodyText"/>
              <w:spacing w:line="240" w:lineRule="auto"/>
              <w:jc w:val="left"/>
              <w:rPr>
                <w:sz w:val="18"/>
                <w:szCs w:val="18"/>
              </w:rPr>
            </w:pPr>
            <w:r w:rsidRPr="005958D9">
              <w:rPr>
                <w:sz w:val="18"/>
                <w:szCs w:val="18"/>
              </w:rPr>
              <w:t>O’Neill et al</w:t>
            </w:r>
            <w:r w:rsidR="003F36E5">
              <w:rPr>
                <w:sz w:val="18"/>
                <w:szCs w:val="18"/>
              </w:rPr>
              <w:t>.</w:t>
            </w:r>
            <w:r w:rsidRPr="005958D9">
              <w:rPr>
                <w:sz w:val="18"/>
                <w:szCs w:val="18"/>
              </w:rPr>
              <w:t xml:space="preserve"> (2014)</w:t>
            </w:r>
          </w:p>
        </w:tc>
        <w:tc>
          <w:tcPr>
            <w:tcW w:w="1000" w:type="pct"/>
          </w:tcPr>
          <w:p w14:paraId="24182BF3" w14:textId="77777777" w:rsidR="00182760" w:rsidRPr="005958D9" w:rsidRDefault="00182760" w:rsidP="00182760">
            <w:pPr>
              <w:pStyle w:val="BodyText"/>
              <w:spacing w:line="240" w:lineRule="auto"/>
              <w:rPr>
                <w:sz w:val="18"/>
                <w:szCs w:val="18"/>
              </w:rPr>
            </w:pPr>
            <w:r w:rsidRPr="003F36E5">
              <w:rPr>
                <w:i/>
                <w:sz w:val="18"/>
                <w:szCs w:val="18"/>
              </w:rPr>
              <w:t>N</w:t>
            </w:r>
            <w:r w:rsidRPr="005958D9">
              <w:rPr>
                <w:sz w:val="18"/>
                <w:szCs w:val="18"/>
              </w:rPr>
              <w:t xml:space="preserve"> = 344; L = 29; B = 24; W = 235; A = 14; O = 11; with a recent screening mammogram at a tertiary care </w:t>
            </w:r>
            <w:r w:rsidR="008D405F" w:rsidRPr="005958D9">
              <w:rPr>
                <w:sz w:val="18"/>
                <w:szCs w:val="18"/>
              </w:rPr>
              <w:t>centre</w:t>
            </w:r>
            <w:r w:rsidRPr="005958D9">
              <w:rPr>
                <w:sz w:val="18"/>
                <w:szCs w:val="18"/>
              </w:rPr>
              <w:t xml:space="preserve"> </w:t>
            </w:r>
          </w:p>
          <w:p w14:paraId="4E5AD9F9" w14:textId="77777777" w:rsidR="00182760" w:rsidRPr="005958D9" w:rsidRDefault="00182760" w:rsidP="00182760">
            <w:pPr>
              <w:pStyle w:val="BodyText"/>
              <w:spacing w:line="240" w:lineRule="auto"/>
              <w:jc w:val="left"/>
              <w:rPr>
                <w:sz w:val="18"/>
                <w:szCs w:val="18"/>
              </w:rPr>
            </w:pPr>
            <w:r w:rsidRPr="005958D9">
              <w:rPr>
                <w:sz w:val="18"/>
                <w:szCs w:val="18"/>
              </w:rPr>
              <w:t>(age = 45.71 years)</w:t>
            </w:r>
          </w:p>
        </w:tc>
        <w:tc>
          <w:tcPr>
            <w:tcW w:w="1000" w:type="pct"/>
          </w:tcPr>
          <w:p w14:paraId="0E69175A" w14:textId="77777777" w:rsidR="00182760" w:rsidRPr="005958D9" w:rsidRDefault="00182760" w:rsidP="00182760">
            <w:pPr>
              <w:pStyle w:val="BodyText"/>
              <w:spacing w:line="240" w:lineRule="auto"/>
              <w:jc w:val="left"/>
              <w:rPr>
                <w:sz w:val="18"/>
                <w:szCs w:val="18"/>
              </w:rPr>
            </w:pPr>
            <w:r w:rsidRPr="005958D9">
              <w:rPr>
                <w:sz w:val="18"/>
                <w:szCs w:val="18"/>
              </w:rPr>
              <w:t>Cross-sectional</w:t>
            </w:r>
          </w:p>
        </w:tc>
        <w:tc>
          <w:tcPr>
            <w:tcW w:w="1000" w:type="pct"/>
          </w:tcPr>
          <w:p w14:paraId="70B18EC4" w14:textId="77777777" w:rsidR="00182760" w:rsidRPr="005958D9" w:rsidRDefault="00182760" w:rsidP="00182760">
            <w:pPr>
              <w:pStyle w:val="BodyText"/>
              <w:spacing w:line="240" w:lineRule="auto"/>
              <w:jc w:val="left"/>
              <w:rPr>
                <w:sz w:val="18"/>
                <w:szCs w:val="18"/>
              </w:rPr>
            </w:pPr>
            <w:r w:rsidRPr="005958D9">
              <w:rPr>
                <w:sz w:val="18"/>
                <w:szCs w:val="18"/>
              </w:rPr>
              <w:t>Knowledge of the masking effect of BD: “If a woman has dense breasts, what impact does this have on the ability of a mammogram to correctly detect cancer? (Easier to see cancer/does not impact/more difficult to see cancer/I don’t know) Awareness: “Have you ever heard of something called BD?” (yes/no) Knowledge of impact on breast cancer risk: “Having breasts that are mostly dense on a mammogram” does or does not put a woman at increased risk of breast cancer</w:t>
            </w:r>
          </w:p>
        </w:tc>
        <w:tc>
          <w:tcPr>
            <w:tcW w:w="1000" w:type="pct"/>
          </w:tcPr>
          <w:p w14:paraId="44022953" w14:textId="53DB54F1" w:rsidR="00182760" w:rsidRPr="005958D9" w:rsidRDefault="00182760" w:rsidP="00182760">
            <w:pPr>
              <w:pStyle w:val="BodyText"/>
              <w:spacing w:line="240" w:lineRule="auto"/>
              <w:jc w:val="left"/>
              <w:rPr>
                <w:sz w:val="18"/>
                <w:szCs w:val="18"/>
              </w:rPr>
            </w:pPr>
            <w:r w:rsidRPr="005958D9">
              <w:rPr>
                <w:sz w:val="18"/>
                <w:szCs w:val="18"/>
              </w:rPr>
              <w:t>Knowledge of the masking effect of BD (correct response): W 73.1%, B 58.0%, L 77.1%, O</w:t>
            </w:r>
            <w:r w:rsidR="003F36E5">
              <w:rPr>
                <w:sz w:val="18"/>
                <w:szCs w:val="18"/>
              </w:rPr>
              <w:t xml:space="preserve"> </w:t>
            </w:r>
            <w:r w:rsidRPr="005958D9">
              <w:rPr>
                <w:sz w:val="18"/>
                <w:szCs w:val="18"/>
              </w:rPr>
              <w:t>67.3%</w:t>
            </w:r>
            <w:r w:rsidR="00211D48">
              <w:rPr>
                <w:sz w:val="18"/>
                <w:szCs w:val="18"/>
              </w:rPr>
              <w:t xml:space="preserve">. </w:t>
            </w:r>
            <w:r w:rsidRPr="005958D9">
              <w:rPr>
                <w:sz w:val="18"/>
                <w:szCs w:val="18"/>
              </w:rPr>
              <w:t>Awareness (yes): W 65</w:t>
            </w:r>
            <w:r w:rsidR="003F36E5">
              <w:rPr>
                <w:sz w:val="18"/>
                <w:szCs w:val="18"/>
              </w:rPr>
              <w:t>.0</w:t>
            </w:r>
            <w:r w:rsidRPr="005958D9">
              <w:rPr>
                <w:sz w:val="18"/>
                <w:szCs w:val="18"/>
              </w:rPr>
              <w:t>%, B 48.5%, L 22.9%, O 54.1%</w:t>
            </w:r>
          </w:p>
          <w:p w14:paraId="6B8AFDE0" w14:textId="77777777" w:rsidR="003F36E5" w:rsidRDefault="00182760" w:rsidP="00182760">
            <w:pPr>
              <w:pStyle w:val="BodyText"/>
              <w:spacing w:line="240" w:lineRule="auto"/>
              <w:jc w:val="left"/>
              <w:rPr>
                <w:sz w:val="18"/>
                <w:szCs w:val="18"/>
              </w:rPr>
            </w:pPr>
            <w:r w:rsidRPr="005958D9">
              <w:rPr>
                <w:sz w:val="18"/>
                <w:szCs w:val="18"/>
              </w:rPr>
              <w:t>Knowledge of impact on breast cancer risk (correct response): W 57.5%, B 65.5%, L 66.8%, O 51.9%</w:t>
            </w:r>
          </w:p>
          <w:p w14:paraId="21F81CF0" w14:textId="20567C4B" w:rsidR="00182760" w:rsidRPr="005958D9" w:rsidRDefault="00182760" w:rsidP="00211D48">
            <w:pPr>
              <w:pStyle w:val="BodyText"/>
              <w:spacing w:line="240" w:lineRule="auto"/>
              <w:jc w:val="left"/>
              <w:rPr>
                <w:sz w:val="18"/>
                <w:szCs w:val="18"/>
              </w:rPr>
            </w:pPr>
            <w:r w:rsidRPr="005958D9">
              <w:rPr>
                <w:sz w:val="18"/>
                <w:szCs w:val="18"/>
              </w:rPr>
              <w:t>Knowledge of the masking effect of BD multivariate mode</w:t>
            </w:r>
            <w:r w:rsidR="003F36E5">
              <w:rPr>
                <w:sz w:val="18"/>
                <w:szCs w:val="18"/>
              </w:rPr>
              <w:t xml:space="preserve">: </w:t>
            </w:r>
            <w:r w:rsidRPr="005958D9">
              <w:rPr>
                <w:sz w:val="18"/>
                <w:szCs w:val="18"/>
              </w:rPr>
              <w:t xml:space="preserve">household income OR = 1.10, </w:t>
            </w:r>
            <w:r w:rsidR="003F36E5">
              <w:rPr>
                <w:sz w:val="18"/>
                <w:szCs w:val="18"/>
              </w:rPr>
              <w:t>95%</w:t>
            </w:r>
            <w:r w:rsidRPr="005958D9">
              <w:rPr>
                <w:sz w:val="18"/>
                <w:szCs w:val="18"/>
              </w:rPr>
              <w:t xml:space="preserve">CI 1.05-1.15; education OR = 1.22, </w:t>
            </w:r>
            <w:r w:rsidR="003F36E5">
              <w:rPr>
                <w:sz w:val="18"/>
                <w:szCs w:val="18"/>
              </w:rPr>
              <w:t>95%</w:t>
            </w:r>
            <w:r w:rsidRPr="005958D9">
              <w:rPr>
                <w:sz w:val="18"/>
                <w:szCs w:val="18"/>
              </w:rPr>
              <w:t xml:space="preserve">CI 1.05-1.42; legislation status OR = 3.82, </w:t>
            </w:r>
            <w:r w:rsidR="003F36E5">
              <w:rPr>
                <w:sz w:val="18"/>
                <w:szCs w:val="18"/>
              </w:rPr>
              <w:t>95%</w:t>
            </w:r>
            <w:r w:rsidRPr="005958D9">
              <w:rPr>
                <w:sz w:val="18"/>
                <w:szCs w:val="18"/>
              </w:rPr>
              <w:t xml:space="preserve">CI 1.56-9.32; past biopsy OR = 2.16, </w:t>
            </w:r>
            <w:r w:rsidR="003F36E5">
              <w:rPr>
                <w:sz w:val="18"/>
                <w:szCs w:val="18"/>
              </w:rPr>
              <w:t>95%</w:t>
            </w:r>
            <w:r w:rsidRPr="005958D9">
              <w:rPr>
                <w:sz w:val="18"/>
                <w:szCs w:val="18"/>
              </w:rPr>
              <w:t xml:space="preserve">CI 1.38-3.38; </w:t>
            </w:r>
            <w:r w:rsidR="003F36E5">
              <w:rPr>
                <w:sz w:val="18"/>
                <w:szCs w:val="18"/>
              </w:rPr>
              <w:t>A</w:t>
            </w:r>
            <w:r w:rsidRPr="005958D9">
              <w:rPr>
                <w:sz w:val="18"/>
                <w:szCs w:val="18"/>
              </w:rPr>
              <w:t>wareness multivariate L (compared with W) L: OR = 0.23</w:t>
            </w:r>
            <w:r w:rsidR="003F36E5">
              <w:rPr>
                <w:sz w:val="18"/>
                <w:szCs w:val="18"/>
              </w:rPr>
              <w:t>, 95%</w:t>
            </w:r>
            <w:r w:rsidRPr="005958D9">
              <w:rPr>
                <w:sz w:val="18"/>
                <w:szCs w:val="18"/>
              </w:rPr>
              <w:t xml:space="preserve">CI 0.13-0.40, </w:t>
            </w:r>
            <w:r w:rsidR="003F36E5">
              <w:rPr>
                <w:i/>
                <w:sz w:val="18"/>
                <w:szCs w:val="18"/>
              </w:rPr>
              <w:t xml:space="preserve">p </w:t>
            </w:r>
            <w:r w:rsidRPr="005958D9">
              <w:rPr>
                <w:sz w:val="18"/>
                <w:szCs w:val="18"/>
              </w:rPr>
              <w:t>&lt; .001, B: OR = 0.57</w:t>
            </w:r>
            <w:r w:rsidR="003F36E5">
              <w:rPr>
                <w:sz w:val="18"/>
                <w:szCs w:val="18"/>
              </w:rPr>
              <w:t>, 95%</w:t>
            </w:r>
            <w:r w:rsidRPr="005958D9">
              <w:rPr>
                <w:sz w:val="18"/>
                <w:szCs w:val="18"/>
              </w:rPr>
              <w:t xml:space="preserve">CI 0.35-0.93; household income OR = 1.07, </w:t>
            </w:r>
            <w:r w:rsidR="003F36E5">
              <w:rPr>
                <w:sz w:val="18"/>
                <w:szCs w:val="18"/>
              </w:rPr>
              <w:t>95%</w:t>
            </w:r>
            <w:r w:rsidRPr="005958D9">
              <w:rPr>
                <w:sz w:val="18"/>
                <w:szCs w:val="18"/>
              </w:rPr>
              <w:t xml:space="preserve">CI 1.03-1.11; education OR = 1.19, </w:t>
            </w:r>
            <w:r w:rsidR="003F36E5">
              <w:rPr>
                <w:sz w:val="18"/>
                <w:szCs w:val="18"/>
              </w:rPr>
              <w:t>95%</w:t>
            </w:r>
            <w:r w:rsidRPr="005958D9">
              <w:rPr>
                <w:sz w:val="18"/>
                <w:szCs w:val="18"/>
              </w:rPr>
              <w:t xml:space="preserve">CI 1.09-1.30; diagnostic evaluation OR = 2.64, </w:t>
            </w:r>
            <w:r w:rsidR="003F36E5">
              <w:rPr>
                <w:sz w:val="18"/>
                <w:szCs w:val="18"/>
              </w:rPr>
              <w:t>95%</w:t>
            </w:r>
            <w:r w:rsidRPr="005958D9">
              <w:rPr>
                <w:sz w:val="18"/>
                <w:szCs w:val="18"/>
              </w:rPr>
              <w:t>CI 1.94-</w:t>
            </w:r>
            <w:r w:rsidRPr="005958D9">
              <w:rPr>
                <w:sz w:val="18"/>
                <w:szCs w:val="18"/>
              </w:rPr>
              <w:lastRenderedPageBreak/>
              <w:t xml:space="preserve">3.58; hormonal therapy OR = 1.69, </w:t>
            </w:r>
            <w:r w:rsidR="00F74723">
              <w:rPr>
                <w:sz w:val="18"/>
                <w:szCs w:val="18"/>
              </w:rPr>
              <w:t>95%</w:t>
            </w:r>
            <w:r w:rsidRPr="005958D9">
              <w:rPr>
                <w:sz w:val="18"/>
                <w:szCs w:val="18"/>
              </w:rPr>
              <w:t>CI 1.21-2.38</w:t>
            </w:r>
          </w:p>
        </w:tc>
      </w:tr>
      <w:tr w:rsidR="00211D48" w14:paraId="6F9D947E" w14:textId="77777777" w:rsidTr="00F66F74">
        <w:tc>
          <w:tcPr>
            <w:tcW w:w="1000" w:type="pct"/>
          </w:tcPr>
          <w:p w14:paraId="3142644C" w14:textId="77777777" w:rsidR="00211D48" w:rsidRPr="005958D9" w:rsidRDefault="00211D48" w:rsidP="00F66F74">
            <w:pPr>
              <w:pStyle w:val="BodyText"/>
              <w:spacing w:line="240" w:lineRule="auto"/>
              <w:jc w:val="left"/>
              <w:rPr>
                <w:sz w:val="18"/>
                <w:szCs w:val="18"/>
              </w:rPr>
            </w:pPr>
            <w:r w:rsidRPr="005958D9">
              <w:rPr>
                <w:sz w:val="18"/>
                <w:szCs w:val="18"/>
              </w:rPr>
              <w:lastRenderedPageBreak/>
              <w:t>Manning et al</w:t>
            </w:r>
            <w:r>
              <w:rPr>
                <w:sz w:val="18"/>
                <w:szCs w:val="18"/>
              </w:rPr>
              <w:t>.</w:t>
            </w:r>
            <w:r w:rsidRPr="005958D9">
              <w:rPr>
                <w:sz w:val="18"/>
                <w:szCs w:val="18"/>
              </w:rPr>
              <w:t xml:space="preserve"> (2013)</w:t>
            </w:r>
          </w:p>
        </w:tc>
        <w:tc>
          <w:tcPr>
            <w:tcW w:w="1000" w:type="pct"/>
          </w:tcPr>
          <w:p w14:paraId="5B0E7F04" w14:textId="77777777" w:rsidR="00211D48" w:rsidRPr="005958D9" w:rsidRDefault="00211D48" w:rsidP="00F66F74">
            <w:pPr>
              <w:pStyle w:val="BodyText"/>
              <w:spacing w:line="240" w:lineRule="auto"/>
              <w:jc w:val="left"/>
              <w:rPr>
                <w:sz w:val="18"/>
                <w:szCs w:val="18"/>
              </w:rPr>
            </w:pPr>
            <w:r w:rsidRPr="00097008">
              <w:rPr>
                <w:i/>
                <w:sz w:val="18"/>
                <w:szCs w:val="18"/>
              </w:rPr>
              <w:t>N</w:t>
            </w:r>
            <w:r w:rsidRPr="005958D9">
              <w:rPr>
                <w:sz w:val="18"/>
                <w:szCs w:val="18"/>
              </w:rPr>
              <w:t xml:space="preserve"> = 76; B = 54.5% (42); W = 33.8% (26); O = 10.4% (8); clinic attendees for whom further screening was prescribed following a suspicious screening or diagnostic mammogram (age = 51.28 years)</w:t>
            </w:r>
          </w:p>
        </w:tc>
        <w:tc>
          <w:tcPr>
            <w:tcW w:w="1000" w:type="pct"/>
          </w:tcPr>
          <w:p w14:paraId="562B9A43" w14:textId="77777777" w:rsidR="00211D48" w:rsidRPr="005958D9" w:rsidRDefault="00211D48" w:rsidP="00F66F74">
            <w:pPr>
              <w:pStyle w:val="BodyText"/>
              <w:spacing w:line="240" w:lineRule="auto"/>
              <w:jc w:val="left"/>
              <w:rPr>
                <w:sz w:val="18"/>
                <w:szCs w:val="18"/>
              </w:rPr>
            </w:pPr>
            <w:r w:rsidRPr="005958D9">
              <w:rPr>
                <w:sz w:val="18"/>
                <w:szCs w:val="18"/>
              </w:rPr>
              <w:t>Cross-sectional</w:t>
            </w:r>
          </w:p>
        </w:tc>
        <w:tc>
          <w:tcPr>
            <w:tcW w:w="1000" w:type="pct"/>
          </w:tcPr>
          <w:p w14:paraId="61C9E610" w14:textId="77777777" w:rsidR="00211D48" w:rsidRPr="005958D9" w:rsidRDefault="00211D48" w:rsidP="00F66F74">
            <w:pPr>
              <w:pStyle w:val="BodyText"/>
              <w:spacing w:line="240" w:lineRule="auto"/>
              <w:rPr>
                <w:sz w:val="18"/>
                <w:szCs w:val="18"/>
              </w:rPr>
            </w:pPr>
            <w:r w:rsidRPr="005958D9">
              <w:rPr>
                <w:sz w:val="18"/>
                <w:szCs w:val="18"/>
              </w:rPr>
              <w:t xml:space="preserve">Awareness: “Do you know what BD is?” 1 (I have never heard about it) to 5 (I know exactly what it is); “Do you know how dense your own breasts are?” (yes/no); if yes 1 (entirely fat) to 4 (extremely dense) Accuracy: Define BD in their own words </w:t>
            </w:r>
          </w:p>
          <w:p w14:paraId="198BD8F8" w14:textId="77777777" w:rsidR="00211D48" w:rsidRPr="005958D9" w:rsidRDefault="00211D48" w:rsidP="00F66F74">
            <w:pPr>
              <w:pStyle w:val="BodyText"/>
              <w:spacing w:line="240" w:lineRule="auto"/>
              <w:rPr>
                <w:sz w:val="18"/>
                <w:szCs w:val="18"/>
              </w:rPr>
            </w:pPr>
            <w:r w:rsidRPr="005958D9">
              <w:rPr>
                <w:sz w:val="18"/>
                <w:szCs w:val="18"/>
              </w:rPr>
              <w:t xml:space="preserve">Risk factor knowledge </w:t>
            </w:r>
          </w:p>
          <w:p w14:paraId="250F5DD0" w14:textId="77777777" w:rsidR="00211D48" w:rsidRPr="005958D9" w:rsidRDefault="00211D48" w:rsidP="00F66F74">
            <w:pPr>
              <w:pStyle w:val="BodyText"/>
              <w:spacing w:line="240" w:lineRule="auto"/>
              <w:jc w:val="left"/>
              <w:rPr>
                <w:sz w:val="18"/>
                <w:szCs w:val="18"/>
              </w:rPr>
            </w:pPr>
            <w:r w:rsidRPr="005958D9">
              <w:rPr>
                <w:sz w:val="18"/>
                <w:szCs w:val="18"/>
              </w:rPr>
              <w:t>“Older women are at greater risk for getting breast cancer,” “Women with female relatives who have breast cancer are more likely to get breast cancer;” “There is a gene that makes some women more likely to get breast cancer,” “Women with more dense breasts are at greater risk for getting breast cancer.” 1 (I strongly disagree) to 5 (I strongly agree)</w:t>
            </w:r>
          </w:p>
        </w:tc>
        <w:tc>
          <w:tcPr>
            <w:tcW w:w="1000" w:type="pct"/>
          </w:tcPr>
          <w:p w14:paraId="598EC57C" w14:textId="77777777" w:rsidR="00211D48" w:rsidRDefault="00211D48" w:rsidP="00F66F74">
            <w:pPr>
              <w:pStyle w:val="BodyText"/>
              <w:spacing w:line="240" w:lineRule="auto"/>
              <w:jc w:val="left"/>
              <w:rPr>
                <w:sz w:val="18"/>
                <w:szCs w:val="18"/>
              </w:rPr>
            </w:pPr>
            <w:r w:rsidRPr="005958D9">
              <w:rPr>
                <w:sz w:val="18"/>
                <w:szCs w:val="18"/>
              </w:rPr>
              <w:t xml:space="preserve">Awareness: All sample: </w:t>
            </w:r>
            <w:r w:rsidRPr="00097008">
              <w:rPr>
                <w:i/>
                <w:sz w:val="18"/>
                <w:szCs w:val="18"/>
              </w:rPr>
              <w:t>M</w:t>
            </w:r>
            <w:r w:rsidRPr="005958D9">
              <w:rPr>
                <w:sz w:val="18"/>
                <w:szCs w:val="18"/>
              </w:rPr>
              <w:t xml:space="preserve"> = 364, </w:t>
            </w:r>
            <w:r w:rsidRPr="00097008">
              <w:rPr>
                <w:i/>
                <w:sz w:val="18"/>
                <w:szCs w:val="18"/>
              </w:rPr>
              <w:t>SD</w:t>
            </w:r>
            <w:r w:rsidRPr="005958D9">
              <w:rPr>
                <w:sz w:val="18"/>
                <w:szCs w:val="18"/>
              </w:rPr>
              <w:t xml:space="preserve"> = 129; W (</w:t>
            </w:r>
            <w:r w:rsidRPr="00097008">
              <w:rPr>
                <w:i/>
                <w:sz w:val="18"/>
                <w:szCs w:val="18"/>
              </w:rPr>
              <w:t>M</w:t>
            </w:r>
            <w:r w:rsidRPr="005958D9">
              <w:rPr>
                <w:sz w:val="18"/>
                <w:szCs w:val="18"/>
              </w:rPr>
              <w:t xml:space="preserve"> = 4.28, </w:t>
            </w:r>
            <w:r w:rsidRPr="00097008">
              <w:rPr>
                <w:i/>
                <w:sz w:val="18"/>
                <w:szCs w:val="18"/>
              </w:rPr>
              <w:t>SD</w:t>
            </w:r>
            <w:r w:rsidRPr="005958D9">
              <w:rPr>
                <w:sz w:val="18"/>
                <w:szCs w:val="18"/>
              </w:rPr>
              <w:t xml:space="preserve"> = 0.94), B (</w:t>
            </w:r>
            <w:r w:rsidRPr="00097008">
              <w:rPr>
                <w:i/>
                <w:sz w:val="18"/>
                <w:szCs w:val="18"/>
              </w:rPr>
              <w:t>M</w:t>
            </w:r>
            <w:r w:rsidRPr="005958D9">
              <w:rPr>
                <w:sz w:val="18"/>
                <w:szCs w:val="18"/>
              </w:rPr>
              <w:t xml:space="preserve"> = 3.29, </w:t>
            </w:r>
            <w:r w:rsidRPr="00097008">
              <w:rPr>
                <w:i/>
                <w:sz w:val="18"/>
                <w:szCs w:val="18"/>
              </w:rPr>
              <w:t>SD</w:t>
            </w:r>
            <w:r w:rsidRPr="005958D9">
              <w:rPr>
                <w:sz w:val="18"/>
                <w:szCs w:val="18"/>
              </w:rPr>
              <w:t xml:space="preserve"> = 1.31), </w:t>
            </w:r>
            <w:proofErr w:type="gramStart"/>
            <w:r w:rsidRPr="00097008">
              <w:rPr>
                <w:i/>
                <w:sz w:val="18"/>
                <w:szCs w:val="18"/>
              </w:rPr>
              <w:t>t</w:t>
            </w:r>
            <w:r>
              <w:rPr>
                <w:sz w:val="18"/>
                <w:szCs w:val="18"/>
              </w:rPr>
              <w:t>(</w:t>
            </w:r>
            <w:proofErr w:type="gramEnd"/>
            <w:r w:rsidRPr="005958D9">
              <w:rPr>
                <w:sz w:val="18"/>
                <w:szCs w:val="18"/>
              </w:rPr>
              <w:t>64</w:t>
            </w:r>
            <w:r>
              <w:rPr>
                <w:sz w:val="18"/>
                <w:szCs w:val="18"/>
              </w:rPr>
              <w:t>)</w:t>
            </w:r>
            <w:r w:rsidRPr="005958D9">
              <w:rPr>
                <w:sz w:val="18"/>
                <w:szCs w:val="18"/>
              </w:rPr>
              <w:t xml:space="preserve"> = 3.11, </w:t>
            </w:r>
            <w:r>
              <w:rPr>
                <w:i/>
                <w:sz w:val="18"/>
                <w:szCs w:val="18"/>
              </w:rPr>
              <w:t>p</w:t>
            </w:r>
            <w:r w:rsidRPr="005958D9">
              <w:rPr>
                <w:sz w:val="18"/>
                <w:szCs w:val="18"/>
              </w:rPr>
              <w:t xml:space="preserve"> &lt; .01, </w:t>
            </w:r>
            <w:r w:rsidRPr="00097008">
              <w:rPr>
                <w:i/>
                <w:sz w:val="18"/>
                <w:szCs w:val="18"/>
              </w:rPr>
              <w:t>d</w:t>
            </w:r>
            <w:r w:rsidRPr="005958D9">
              <w:rPr>
                <w:sz w:val="18"/>
                <w:szCs w:val="18"/>
              </w:rPr>
              <w:t xml:space="preserve"> = 0.87</w:t>
            </w:r>
            <w:r>
              <w:rPr>
                <w:sz w:val="18"/>
                <w:szCs w:val="18"/>
              </w:rPr>
              <w:t>.</w:t>
            </w:r>
            <w:r w:rsidRPr="005958D9">
              <w:rPr>
                <w:sz w:val="18"/>
                <w:szCs w:val="18"/>
              </w:rPr>
              <w:t xml:space="preserve"> </w:t>
            </w:r>
          </w:p>
          <w:p w14:paraId="553B067B" w14:textId="77777777" w:rsidR="00211D48" w:rsidRPr="005958D9" w:rsidRDefault="00211D48" w:rsidP="00F66F74">
            <w:pPr>
              <w:pStyle w:val="BodyText"/>
              <w:spacing w:line="240" w:lineRule="auto"/>
              <w:jc w:val="left"/>
              <w:rPr>
                <w:sz w:val="18"/>
                <w:szCs w:val="18"/>
              </w:rPr>
            </w:pPr>
            <w:r w:rsidRPr="005958D9">
              <w:rPr>
                <w:sz w:val="18"/>
                <w:szCs w:val="18"/>
              </w:rPr>
              <w:t xml:space="preserve">Accuracy: All sample: </w:t>
            </w:r>
            <w:r w:rsidRPr="00097008">
              <w:rPr>
                <w:i/>
                <w:sz w:val="18"/>
                <w:szCs w:val="18"/>
              </w:rPr>
              <w:t>M</w:t>
            </w:r>
            <w:r w:rsidRPr="005958D9">
              <w:rPr>
                <w:sz w:val="18"/>
                <w:szCs w:val="18"/>
              </w:rPr>
              <w:t xml:space="preserve"> = 2.42, </w:t>
            </w:r>
            <w:r w:rsidRPr="00097008">
              <w:rPr>
                <w:i/>
                <w:sz w:val="18"/>
                <w:szCs w:val="18"/>
              </w:rPr>
              <w:t>SD</w:t>
            </w:r>
            <w:r w:rsidRPr="005958D9">
              <w:rPr>
                <w:sz w:val="18"/>
                <w:szCs w:val="18"/>
              </w:rPr>
              <w:t xml:space="preserve"> = 0.97; W (</w:t>
            </w:r>
            <w:r w:rsidRPr="00097008">
              <w:rPr>
                <w:i/>
                <w:sz w:val="18"/>
                <w:szCs w:val="18"/>
              </w:rPr>
              <w:t>M</w:t>
            </w:r>
            <w:r w:rsidRPr="005958D9">
              <w:rPr>
                <w:sz w:val="18"/>
                <w:szCs w:val="18"/>
              </w:rPr>
              <w:t xml:space="preserve"> = 2.77, </w:t>
            </w:r>
            <w:r w:rsidRPr="00097008">
              <w:rPr>
                <w:i/>
                <w:sz w:val="18"/>
                <w:szCs w:val="18"/>
              </w:rPr>
              <w:t>SD</w:t>
            </w:r>
            <w:r w:rsidRPr="005958D9">
              <w:rPr>
                <w:sz w:val="18"/>
                <w:szCs w:val="18"/>
              </w:rPr>
              <w:t xml:space="preserve"> = 0.93), B (</w:t>
            </w:r>
            <w:r w:rsidRPr="00097008">
              <w:rPr>
                <w:i/>
                <w:sz w:val="18"/>
                <w:szCs w:val="18"/>
              </w:rPr>
              <w:t>M</w:t>
            </w:r>
            <w:r w:rsidRPr="005958D9">
              <w:rPr>
                <w:sz w:val="18"/>
                <w:szCs w:val="18"/>
              </w:rPr>
              <w:t xml:space="preserve"> = 2.27, </w:t>
            </w:r>
            <w:r w:rsidRPr="00097008">
              <w:rPr>
                <w:i/>
                <w:sz w:val="18"/>
                <w:szCs w:val="18"/>
              </w:rPr>
              <w:t>SD</w:t>
            </w:r>
            <w:r w:rsidRPr="005958D9">
              <w:rPr>
                <w:sz w:val="18"/>
                <w:szCs w:val="18"/>
              </w:rPr>
              <w:t xml:space="preserve"> = 0.96)</w:t>
            </w:r>
            <w:r>
              <w:rPr>
                <w:sz w:val="18"/>
                <w:szCs w:val="18"/>
              </w:rPr>
              <w:t>,</w:t>
            </w:r>
            <w:r w:rsidRPr="005958D9">
              <w:rPr>
                <w:sz w:val="18"/>
                <w:szCs w:val="18"/>
              </w:rPr>
              <w:t xml:space="preserve"> </w:t>
            </w:r>
            <w:r w:rsidRPr="00097008">
              <w:rPr>
                <w:i/>
                <w:sz w:val="18"/>
                <w:szCs w:val="18"/>
              </w:rPr>
              <w:t>t</w:t>
            </w:r>
            <w:r w:rsidRPr="005958D9">
              <w:rPr>
                <w:sz w:val="18"/>
                <w:szCs w:val="18"/>
              </w:rPr>
              <w:t xml:space="preserve">(67) = 2.07, </w:t>
            </w:r>
            <w:r>
              <w:rPr>
                <w:i/>
                <w:sz w:val="18"/>
                <w:szCs w:val="18"/>
              </w:rPr>
              <w:t>p</w:t>
            </w:r>
            <w:r w:rsidRPr="005958D9">
              <w:rPr>
                <w:sz w:val="18"/>
                <w:szCs w:val="18"/>
              </w:rPr>
              <w:t xml:space="preserve"> &lt; .05, </w:t>
            </w:r>
            <w:r w:rsidRPr="00097008">
              <w:rPr>
                <w:i/>
                <w:sz w:val="18"/>
                <w:szCs w:val="18"/>
              </w:rPr>
              <w:t>d</w:t>
            </w:r>
            <w:r w:rsidRPr="005958D9">
              <w:rPr>
                <w:sz w:val="18"/>
                <w:szCs w:val="18"/>
              </w:rPr>
              <w:t xml:space="preserve"> = 0.53 </w:t>
            </w:r>
          </w:p>
          <w:p w14:paraId="54746DC1" w14:textId="77777777" w:rsidR="00211D48" w:rsidRPr="005958D9" w:rsidRDefault="00211D48" w:rsidP="00F66F74">
            <w:pPr>
              <w:pStyle w:val="BodyText"/>
              <w:spacing w:line="240" w:lineRule="auto"/>
              <w:jc w:val="left"/>
              <w:rPr>
                <w:sz w:val="18"/>
                <w:szCs w:val="18"/>
              </w:rPr>
            </w:pPr>
            <w:r w:rsidRPr="005958D9">
              <w:rPr>
                <w:sz w:val="18"/>
                <w:szCs w:val="18"/>
              </w:rPr>
              <w:t xml:space="preserve">Correlation accuracy and knowledge: All sample: </w:t>
            </w:r>
            <w:r w:rsidRPr="001B58F9">
              <w:rPr>
                <w:i/>
                <w:sz w:val="18"/>
                <w:szCs w:val="18"/>
              </w:rPr>
              <w:t>r</w:t>
            </w:r>
            <w:r w:rsidRPr="005958D9">
              <w:rPr>
                <w:sz w:val="18"/>
                <w:szCs w:val="18"/>
              </w:rPr>
              <w:t xml:space="preserve"> = 0.35, </w:t>
            </w:r>
            <w:r>
              <w:rPr>
                <w:i/>
                <w:sz w:val="18"/>
                <w:szCs w:val="18"/>
              </w:rPr>
              <w:t>p</w:t>
            </w:r>
            <w:r w:rsidRPr="005958D9">
              <w:rPr>
                <w:sz w:val="18"/>
                <w:szCs w:val="18"/>
              </w:rPr>
              <w:t xml:space="preserve"> &lt; .01; W (</w:t>
            </w:r>
            <w:r w:rsidRPr="001B58F9">
              <w:rPr>
                <w:i/>
                <w:sz w:val="18"/>
                <w:szCs w:val="18"/>
              </w:rPr>
              <w:t>r</w:t>
            </w:r>
            <w:r w:rsidRPr="005958D9">
              <w:rPr>
                <w:sz w:val="18"/>
                <w:szCs w:val="18"/>
              </w:rPr>
              <w:t xml:space="preserve"> = 0.46, </w:t>
            </w:r>
            <w:r>
              <w:rPr>
                <w:i/>
                <w:sz w:val="18"/>
                <w:szCs w:val="18"/>
              </w:rPr>
              <w:t>p</w:t>
            </w:r>
            <w:r w:rsidRPr="005958D9">
              <w:rPr>
                <w:sz w:val="18"/>
                <w:szCs w:val="18"/>
              </w:rPr>
              <w:t xml:space="preserve"> &lt; .05), B (no</w:t>
            </w:r>
            <w:r>
              <w:rPr>
                <w:sz w:val="18"/>
                <w:szCs w:val="18"/>
              </w:rPr>
              <w:t xml:space="preserve">t </w:t>
            </w:r>
            <w:r w:rsidRPr="005958D9">
              <w:rPr>
                <w:sz w:val="18"/>
                <w:szCs w:val="18"/>
              </w:rPr>
              <w:t xml:space="preserve">significant) </w:t>
            </w:r>
          </w:p>
          <w:p w14:paraId="11A3737C" w14:textId="77777777" w:rsidR="00211D48" w:rsidRPr="005958D9" w:rsidRDefault="00211D48" w:rsidP="00F66F74">
            <w:pPr>
              <w:pStyle w:val="BodyText"/>
              <w:spacing w:line="240" w:lineRule="auto"/>
              <w:jc w:val="left"/>
              <w:rPr>
                <w:sz w:val="18"/>
                <w:szCs w:val="18"/>
              </w:rPr>
            </w:pPr>
            <w:r w:rsidRPr="005958D9">
              <w:rPr>
                <w:sz w:val="18"/>
                <w:szCs w:val="18"/>
              </w:rPr>
              <w:t xml:space="preserve">Risk factor knowledge: All sample: </w:t>
            </w:r>
            <w:r w:rsidRPr="001B58F9">
              <w:rPr>
                <w:i/>
                <w:sz w:val="18"/>
                <w:szCs w:val="18"/>
              </w:rPr>
              <w:t>M</w:t>
            </w:r>
            <w:r w:rsidRPr="005958D9">
              <w:rPr>
                <w:sz w:val="18"/>
                <w:szCs w:val="18"/>
              </w:rPr>
              <w:t xml:space="preserve"> = 3.26, </w:t>
            </w:r>
            <w:r w:rsidRPr="001B58F9">
              <w:rPr>
                <w:i/>
                <w:sz w:val="18"/>
                <w:szCs w:val="18"/>
              </w:rPr>
              <w:t>SD</w:t>
            </w:r>
            <w:r w:rsidRPr="005958D9">
              <w:rPr>
                <w:sz w:val="18"/>
                <w:szCs w:val="18"/>
              </w:rPr>
              <w:t xml:space="preserve"> = 1.19; by race</w:t>
            </w:r>
            <w:r>
              <w:rPr>
                <w:sz w:val="18"/>
                <w:szCs w:val="18"/>
              </w:rPr>
              <w:t xml:space="preserve"> (</w:t>
            </w:r>
            <w:r w:rsidRPr="005958D9">
              <w:rPr>
                <w:sz w:val="18"/>
                <w:szCs w:val="18"/>
              </w:rPr>
              <w:t>no</w:t>
            </w:r>
            <w:r>
              <w:rPr>
                <w:sz w:val="18"/>
                <w:szCs w:val="18"/>
              </w:rPr>
              <w:t xml:space="preserve">t </w:t>
            </w:r>
            <w:r w:rsidRPr="005958D9">
              <w:rPr>
                <w:sz w:val="18"/>
                <w:szCs w:val="18"/>
              </w:rPr>
              <w:t>significant</w:t>
            </w:r>
            <w:r>
              <w:rPr>
                <w:sz w:val="18"/>
                <w:szCs w:val="18"/>
              </w:rPr>
              <w:t>)</w:t>
            </w:r>
            <w:r w:rsidRPr="005958D9">
              <w:rPr>
                <w:sz w:val="18"/>
                <w:szCs w:val="18"/>
              </w:rPr>
              <w:t xml:space="preserve"> </w:t>
            </w:r>
          </w:p>
          <w:p w14:paraId="469224E1" w14:textId="77777777" w:rsidR="00211D48" w:rsidRPr="005958D9" w:rsidRDefault="00211D48" w:rsidP="00F66F74">
            <w:pPr>
              <w:pStyle w:val="BodyText"/>
              <w:spacing w:line="240" w:lineRule="auto"/>
              <w:jc w:val="left"/>
              <w:rPr>
                <w:sz w:val="18"/>
                <w:szCs w:val="18"/>
              </w:rPr>
            </w:pPr>
            <w:r w:rsidRPr="005958D9">
              <w:rPr>
                <w:sz w:val="18"/>
                <w:szCs w:val="18"/>
              </w:rPr>
              <w:t>Knowledge own BD: All samples: 33.8%; by race</w:t>
            </w:r>
            <w:r>
              <w:rPr>
                <w:sz w:val="18"/>
                <w:szCs w:val="18"/>
              </w:rPr>
              <w:t xml:space="preserve"> (</w:t>
            </w:r>
            <w:r w:rsidRPr="005958D9">
              <w:rPr>
                <w:sz w:val="18"/>
                <w:szCs w:val="18"/>
              </w:rPr>
              <w:t>no</w:t>
            </w:r>
            <w:r>
              <w:rPr>
                <w:sz w:val="18"/>
                <w:szCs w:val="18"/>
              </w:rPr>
              <w:t xml:space="preserve">t </w:t>
            </w:r>
            <w:r w:rsidRPr="005958D9">
              <w:rPr>
                <w:sz w:val="18"/>
                <w:szCs w:val="18"/>
              </w:rPr>
              <w:t>significant</w:t>
            </w:r>
            <w:r>
              <w:rPr>
                <w:sz w:val="18"/>
                <w:szCs w:val="18"/>
              </w:rPr>
              <w:t>)</w:t>
            </w:r>
          </w:p>
        </w:tc>
      </w:tr>
    </w:tbl>
    <w:p w14:paraId="10380435" w14:textId="77777777" w:rsidR="00182760" w:rsidRDefault="00182760" w:rsidP="00182760">
      <w:pPr>
        <w:pStyle w:val="BodyText"/>
      </w:pPr>
      <w:r w:rsidRPr="00B72EA3">
        <w:t xml:space="preserve">Abbreviations: BD, breast density; </w:t>
      </w:r>
      <w:r w:rsidRPr="00BD3AA7">
        <w:rPr>
          <w:i/>
        </w:rPr>
        <w:t>N</w:t>
      </w:r>
      <w:r w:rsidR="00BD3AA7">
        <w:t>/</w:t>
      </w:r>
      <w:r w:rsidR="00BD3AA7">
        <w:rPr>
          <w:i/>
        </w:rPr>
        <w:t>n</w:t>
      </w:r>
      <w:r w:rsidRPr="00B72EA3">
        <w:t xml:space="preserve"> sample</w:t>
      </w:r>
      <w:r w:rsidR="00BD3AA7">
        <w:t xml:space="preserve"> size</w:t>
      </w:r>
      <w:r w:rsidRPr="00B72EA3">
        <w:t xml:space="preserve">; B, </w:t>
      </w:r>
      <w:r w:rsidR="0051255E">
        <w:t>B</w:t>
      </w:r>
      <w:r w:rsidRPr="00B72EA3">
        <w:t xml:space="preserve">lack; W, </w:t>
      </w:r>
      <w:r w:rsidR="0051255E">
        <w:t>W</w:t>
      </w:r>
      <w:r w:rsidRPr="00B72EA3">
        <w:t xml:space="preserve">hite; L, Latina; O, </w:t>
      </w:r>
      <w:r w:rsidR="0051255E">
        <w:t>O</w:t>
      </w:r>
      <w:r w:rsidRPr="00B72EA3">
        <w:t xml:space="preserve">ther; A, Asian/Asian American; OR, odds ratio; </w:t>
      </w:r>
      <w:r w:rsidR="00660FAE" w:rsidRPr="00660FAE">
        <w:rPr>
          <w:i/>
        </w:rPr>
        <w:t>M</w:t>
      </w:r>
      <w:r w:rsidR="00660FAE">
        <w:t xml:space="preserve">, mean; </w:t>
      </w:r>
      <w:r w:rsidR="00660FAE" w:rsidRPr="00660FAE">
        <w:rPr>
          <w:i/>
        </w:rPr>
        <w:t>SD</w:t>
      </w:r>
      <w:r w:rsidR="00660FAE">
        <w:t xml:space="preserve">, standard deviation; </w:t>
      </w:r>
      <w:r w:rsidRPr="00660FAE">
        <w:rPr>
          <w:i/>
        </w:rPr>
        <w:t>r</w:t>
      </w:r>
      <w:r w:rsidRPr="00B72EA3">
        <w:t xml:space="preserve">, Pearson correlation coefficient; </w:t>
      </w:r>
      <w:r w:rsidRPr="00BD3AA7">
        <w:rPr>
          <w:i/>
        </w:rPr>
        <w:t>d</w:t>
      </w:r>
      <w:r w:rsidRPr="00B72EA3">
        <w:t>, Cohen’s d.</w:t>
      </w:r>
    </w:p>
    <w:p w14:paraId="1E787B02" w14:textId="59864CAA" w:rsidR="006235B7" w:rsidRDefault="006235B7" w:rsidP="00182760">
      <w:pPr>
        <w:pStyle w:val="BodyText"/>
        <w:sectPr w:rsidR="006235B7" w:rsidSect="009A4F68">
          <w:footerReference w:type="even" r:id="rId32"/>
          <w:footerReference w:type="default" r:id="rId33"/>
          <w:pgSz w:w="16838" w:h="11906" w:orient="landscape" w:code="9"/>
          <w:pgMar w:top="1418" w:right="1418" w:bottom="1418" w:left="1418" w:header="964" w:footer="964" w:gutter="0"/>
          <w:cols w:space="708"/>
          <w:docGrid w:linePitch="360"/>
        </w:sectPr>
      </w:pPr>
    </w:p>
    <w:p w14:paraId="0F13C203" w14:textId="77777777" w:rsidR="00182760" w:rsidRPr="009911DA" w:rsidRDefault="00182760" w:rsidP="00182760">
      <w:pPr>
        <w:pStyle w:val="BodyText-GREEN"/>
        <w:rPr>
          <w:b/>
        </w:rPr>
      </w:pPr>
      <w:r w:rsidRPr="00345CCE">
        <w:rPr>
          <w:b/>
          <w:color w:val="auto"/>
        </w:rPr>
        <w:lastRenderedPageBreak/>
        <w:t>Observational studies</w:t>
      </w:r>
    </w:p>
    <w:p w14:paraId="0406AF1B" w14:textId="77777777" w:rsidR="00182760" w:rsidRDefault="00182760" w:rsidP="00182760">
      <w:pPr>
        <w:pStyle w:val="BodyText"/>
      </w:pPr>
      <w:r>
        <w:t>Our literature search returned seven observational studies that assessed factors such as knowledge, awareness and understandability relating to breast density notifications. These studies were all carried out in the United States following implementation of breast density notification legislation. In these studies, the authors examined women’s responses to receiving breast density notifications with six of the papers also assessing demographic variables.</w:t>
      </w:r>
    </w:p>
    <w:bookmarkStart w:id="125" w:name="_Hlk507677054"/>
    <w:p w14:paraId="0F785343" w14:textId="01314B91" w:rsidR="00182760" w:rsidRDefault="00182760" w:rsidP="00182760">
      <w:pPr>
        <w:pStyle w:val="BodyText"/>
      </w:pPr>
      <w:r w:rsidRPr="007551CD">
        <w:fldChar w:fldCharType="begin"/>
      </w:r>
      <w:r>
        <w:instrText xml:space="preserve"> ADDIN ZOTERO_ITEM CSL_CITATION {"citationID":"NIOHFUhF","properties":{"formattedCitation":"(M. Manning et al., 2016)","plainCitation":"(M. Manning et al., 2016)"},"citationItems":[{"id":28,"uris":["http://zotero.org/users/local/2fBHA0Hy/items/5I56NRTS"],"uri":["http://zotero.org/users/local/2fBHA0Hy/items/5I56NRTS"],"itemData":{"id":28,"type":"article-journal","title":"Influences of race and breast density on related cognitive and emotion outcomes before mandated breast density notification","container-title":"Social Science and Medicine","page":"171-179","volume":"169","abstract":"Rationale Many states have adopted laws mandating breast density (BD) notification for applicable women; however, very little is known about what women knew or felt about BD and related breast cancer (BC) risk before implementation of BD notification laws. Objective We examined between-race differences in the extent to which having dense breasts was associated with women's related BD cognition and emotion, and with health care providers' communication about BD. Methods We received surveys between May and October of 2015 assessing health care provider (HCP) communication about BD, BD-related knowledge, BD-related anxiety and BC worry from 182 African American (AA) and 113 European American (EA) women in the state of Michigan for whom we had radiologists' assessments of BD. Results Whereas having dense breasts was not associated with any BD-related cognition or emotion, there were robust effects of race as follows: EA women were more likely to have been told about BD by a HCP, more likely to know their BD status, had greater knowledge of BD and of BC risk, and had greater perceptions of BC risk and worry; AA women had greater BD-related anxieties. EA women's greater knowledge of their own BD status was directly related to the increased likelihood of HCP communication about BD. However, HCP communication about BD attenuated anxiety for AA women only. Conclusion We present the only data of which we are aware that examines between-race differences in the associations between actual BD, HCP communication and BD related cognition and emotion before the implementation of BD notification laws. Our findings suggest that the BD notification laws could yield positive benefits for disparities in BD-related knowledge and anxiety when the notifications are followed by discussions with health care providers.Copyright © 2016 Elsevier Ltd","DOI":"10.1016/j.socscimed.2016.09.037","ISSN":"0277-9536 1873-5347","shortTitle":"Influences of race and breast density on related cognitive and emotion outcomes before mandated breast density notification","author":[{"family":"Manning","given":"M."},{"family":"Albrecht","given":"T. L."},{"family":"Yilmaz-Saab","given":"Z."},{"family":"Shultz","given":"J."},{"family":"Purrington","given":"K."}],"issued":{"date-parts":[["2016"]]}}}],"schema":"https://github.com/citation-style-language/schema/raw/master/csl-citation.json"} </w:instrText>
      </w:r>
      <w:r w:rsidRPr="007551CD">
        <w:fldChar w:fldCharType="separate"/>
      </w:r>
      <w:r w:rsidRPr="007551CD">
        <w:t xml:space="preserve">Manning et al. </w:t>
      </w:r>
      <w:r>
        <w:t>(</w:t>
      </w:r>
      <w:r w:rsidRPr="007551CD">
        <w:t>2016</w:t>
      </w:r>
      <w:r w:rsidRPr="007551CD">
        <w:fldChar w:fldCharType="end"/>
      </w:r>
      <w:r>
        <w:t>)</w:t>
      </w:r>
      <w:r w:rsidRPr="007551CD">
        <w:t xml:space="preserve"> </w:t>
      </w:r>
      <w:bookmarkEnd w:id="125"/>
      <w:r>
        <w:t>reported that European American</w:t>
      </w:r>
      <w:r w:rsidRPr="007551CD">
        <w:t xml:space="preserve"> women were more likely to report knowing how dense their breasts were </w:t>
      </w:r>
      <w:r w:rsidR="00C306E2">
        <w:t xml:space="preserve">compared with African American women </w:t>
      </w:r>
      <w:r w:rsidRPr="007551CD">
        <w:t xml:space="preserve">(42% vs 15%, </w:t>
      </w:r>
      <w:r w:rsidRPr="007D0D36">
        <w:rPr>
          <w:i/>
        </w:rPr>
        <w:t>p</w:t>
      </w:r>
      <w:r w:rsidRPr="007551CD">
        <w:t>&lt;.0001).</w:t>
      </w:r>
      <w:r>
        <w:t xml:space="preserve"> European American</w:t>
      </w:r>
      <w:r w:rsidRPr="007551CD">
        <w:t xml:space="preserve"> women </w:t>
      </w:r>
      <w:r w:rsidR="00C306E2">
        <w:t xml:space="preserve">also </w:t>
      </w:r>
      <w:r w:rsidRPr="007551CD">
        <w:t xml:space="preserve">had greater breast cancer risk knowledge (0.68 vs. 0.54, </w:t>
      </w:r>
      <w:r w:rsidRPr="007D0D36">
        <w:rPr>
          <w:i/>
        </w:rPr>
        <w:t>p</w:t>
      </w:r>
      <w:r w:rsidRPr="007551CD">
        <w:t xml:space="preserve">&lt;.001), breast density knowledge (3.85 vs. 2.85, </w:t>
      </w:r>
      <w:r w:rsidRPr="007D0D36">
        <w:rPr>
          <w:i/>
        </w:rPr>
        <w:t>p</w:t>
      </w:r>
      <w:r w:rsidRPr="007551CD">
        <w:t xml:space="preserve">&lt;.001) and breast cancer risk perception (39.74 vs 32.26, </w:t>
      </w:r>
      <w:r w:rsidRPr="007D0D36">
        <w:rPr>
          <w:i/>
        </w:rPr>
        <w:t>p</w:t>
      </w:r>
      <w:r w:rsidRPr="007551CD">
        <w:t xml:space="preserve">&lt;.05) compared to </w:t>
      </w:r>
      <w:r>
        <w:t>African American</w:t>
      </w:r>
      <w:r w:rsidRPr="007551CD">
        <w:t xml:space="preserve"> women. Women with less education and lower income also had less knowledge about breast cancer risk and breast density risk.</w:t>
      </w:r>
      <w:r>
        <w:t xml:space="preserve"> These findings reflect those noted in Santiago-Rivas et al.’s </w:t>
      </w:r>
      <w:r w:rsidR="00C306E2">
        <w:t xml:space="preserve">(2016) </w:t>
      </w:r>
      <w:r>
        <w:t>literature review: that sociodemographic factors may impact on knowledge about and understanding of breast density and cancer risk.</w:t>
      </w:r>
    </w:p>
    <w:p w14:paraId="161EEA83" w14:textId="083F9753" w:rsidR="00182760" w:rsidRDefault="00182760" w:rsidP="00182760">
      <w:pPr>
        <w:pStyle w:val="BodyText"/>
      </w:pPr>
      <w:r>
        <w:t>A follow-on study (</w:t>
      </w:r>
      <w:r>
        <w:fldChar w:fldCharType="begin"/>
      </w:r>
      <w:r>
        <w:instrText xml:space="preserve"> ADDIN ZOTERO_ITEM CSL_CITATION {"citationID":"wOHAePEJ","properties":{"formattedCitation":"(M. Manning et al., 2017)","plainCitation":"(M. Manning et al., 2017)"},"citationItems":[{"id":27,"uris":["http://zotero.org/users/local/2fBHA0Hy/items/HUHWJZ5S"],"uri":["http://zotero.org/users/local/2fBHA0Hy/items/HUHWJZ5S"],"itemData":{"id":27,"type":"article-journal","title":"Explaining between-race differences in African-American and European-American women's responses to breast density notification","container-title":"Social Science and Medicine","page":"149-158","volume":"195","abstract":"Background Prior research shows between-race differences in women's knowledge and emotions related to having dense breasts, thus suggesting that between-race differences in behavioral decision-making following receipt of breast density (BD) notifications are likely. Guided by the theory of planned behavior, this study examined differences in emotion-related responses (i.e., anxiety, worry, confusion) and behavioral cognition (e.g., intentions, behavioral attitudes) following receipt of BD notifications among African American (AA) and European American (EA) women. This study also examined whether race-related perceptions (i.e., discrimination, group-based medical mistrust), relevant knowledge and socioeconomic status (SES) explained the between race differences. Method Michigan women (N = 457) who presented for routine screening mammogram and had dense breasts, no prior breast cancer diagnoses, and had screen-negative mammograms were recruited from July, 2015 to March 2016. MANOVA was used to examine between race differences in psychological responses (i.e., emotional responses and behavioral cognition), and a multi-group structural regression model was used to examine whether race-related constructs, knowledge and SES mediated the effect of race on emotional responses and behavioral cognition. Prior awareness of BD was accounted for in all analyses. Results AA women generally reported more negative psychological responses to receiving BD notifications regardless of prior BD awareness. AA women had more favorable perceptions related to talking to their physicians about the BD notifications. Generally, race-related perceptions, SES, and related knowledge partially accounted for the effect of race on psychological response. Race-related perceptions and SES partially accounted for the differences in behavioral intentions. Between-race differences in emotional responses to BD notifications did not explain differences in women's intentions to discuss BD notifications with their physicians. Conclusions Future examinations are warranted to examine whether there are between-race differences in actual post-BD notification behaviors and whether similar race-related variables account for differences.Copyright © 2017","DOI":"10.1016/j.socscimed.2017.10.006","ISSN":"0277-9536 1873-5347","shortTitle":"Explaining between-race differences in African-American and European-American women's responses to breast density notification","author":[{"family":"Manning","given":"M."},{"family":"Albrecht","given":"T. L."},{"family":"Yilmaz-Saab","given":"Z."},{"family":"Penner","given":"L."},{"family":"Norman","given":"A."},{"family":"Purrington","given":"K."}],"issued":{"date-parts":[["2017"]]}}}],"schema":"https://github.com/citation-style-language/schema/raw/master/csl-citation.json"} </w:instrText>
      </w:r>
      <w:r>
        <w:fldChar w:fldCharType="separate"/>
      </w:r>
      <w:r w:rsidRPr="004150F4">
        <w:rPr>
          <w:rFonts w:ascii="Cambria" w:hAnsi="Cambria"/>
        </w:rPr>
        <w:t>Manning et al., 2017)</w:t>
      </w:r>
      <w:r>
        <w:fldChar w:fldCharType="end"/>
      </w:r>
      <w:r>
        <w:t xml:space="preserve"> examined differences in cognition</w:t>
      </w:r>
      <w:r w:rsidR="00FF0A89">
        <w:t xml:space="preserve"> and</w:t>
      </w:r>
      <w:r w:rsidR="008D2EF6">
        <w:t xml:space="preserve"> emotional response</w:t>
      </w:r>
      <w:r>
        <w:t xml:space="preserve"> between African American and European American women who received breast density notifications. Most women (</w:t>
      </w:r>
      <w:r w:rsidR="00FF0A89">
        <w:rPr>
          <w:i/>
        </w:rPr>
        <w:t>n</w:t>
      </w:r>
      <w:r>
        <w:t>=266, 59%) reported no prior awareness of breast density; however, significantly more European American women reported prior awareness</w:t>
      </w:r>
      <w:r w:rsidR="00FF0A89">
        <w:t xml:space="preserve"> compared with African American women</w:t>
      </w:r>
      <w:r>
        <w:t xml:space="preserve"> (58% vs. 26%, </w:t>
      </w:r>
      <w:r w:rsidR="00FF0A89">
        <w:t xml:space="preserve">respectively; </w:t>
      </w:r>
      <w:r w:rsidRPr="00E753A2">
        <w:rPr>
          <w:i/>
        </w:rPr>
        <w:t>p</w:t>
      </w:r>
      <w:r>
        <w:t xml:space="preserve">&lt;.01). </w:t>
      </w:r>
    </w:p>
    <w:p w14:paraId="499FB71B" w14:textId="1F334B89" w:rsidR="00FF0A89" w:rsidRDefault="00182760" w:rsidP="00182760">
      <w:pPr>
        <w:pStyle w:val="BodyText"/>
      </w:pPr>
      <w:r>
        <w:t>The text and advice provided in notification of density may affect a woman’s ability to understand the message, and therefore how she respond</w:t>
      </w:r>
      <w:r w:rsidR="00FF0A89">
        <w:t>s</w:t>
      </w:r>
      <w:r>
        <w:t xml:space="preserve"> to it. </w:t>
      </w:r>
      <w:bookmarkStart w:id="126" w:name="_Hlk507677096"/>
      <w:r w:rsidRPr="007551CD">
        <w:fldChar w:fldCharType="begin"/>
      </w:r>
      <w:r>
        <w:instrText xml:space="preserve"> ADDIN ZOTERO_ITEM CSL_CITATION {"citationID":"fkA7qyWZ","properties":{"formattedCitation":"(Kressin, Gunn, &amp; Battaglia, 2016)","plainCitation":"(Kressin, Gunn, &amp; Battaglia, 2016)","dontUpdate":true},"citationItems":[{"id":22,"uris":["http://zotero.org/users/local/2fBHA0Hy/items/Z2FKGDJS"],"uri":["http://zotero.org/users/local/2fBHA0Hy/items/Z2FKGDJS"],"itemData":{"id":22,"type":"article-journal","title":"Content, readability, and understandability of dense breast notifications by state","container-title":"JAMA - Journal of the American Medical Association","page":"1786-1788","volume":"315","issue":"16","ISSN":"0098-7484 1538-3598","shortTitle":"Content, readability, and understandability of dense breast notifications by state","author":[{"family":"Kressin","given":"N. R."},{"family":"Gunn","given":"C. M."},{"family":"Battaglia","given":"T. A."}],"issued":{"date-parts":[["2016"]]}}}],"schema":"https://github.com/citation-style-language/schema/raw/master/csl-citation.json"} </w:instrText>
      </w:r>
      <w:r w:rsidRPr="007551CD">
        <w:fldChar w:fldCharType="separate"/>
      </w:r>
      <w:r w:rsidRPr="007551CD">
        <w:t xml:space="preserve">Kressin, Gunn, &amp; Battaglia </w:t>
      </w:r>
      <w:r>
        <w:t>(</w:t>
      </w:r>
      <w:r w:rsidRPr="007551CD">
        <w:t>2016</w:t>
      </w:r>
      <w:r w:rsidRPr="007551CD">
        <w:fldChar w:fldCharType="end"/>
      </w:r>
      <w:r>
        <w:t>)</w:t>
      </w:r>
      <w:r w:rsidRPr="007551CD">
        <w:t xml:space="preserve"> </w:t>
      </w:r>
      <w:bookmarkEnd w:id="126"/>
      <w:r w:rsidRPr="007551CD">
        <w:t xml:space="preserve">measured the readability and understandability of dense breast notifications across </w:t>
      </w:r>
      <w:r>
        <w:t xml:space="preserve">US </w:t>
      </w:r>
      <w:r w:rsidRPr="007551CD">
        <w:t xml:space="preserve">states. The authors assessed the required components of dense breast notifications for each state, including whether the notification informed the recipient of masking bias, density as a risk factor, and </w:t>
      </w:r>
      <w:r w:rsidR="00962232" w:rsidRPr="0044553E">
        <w:t>supplementa</w:t>
      </w:r>
      <w:r w:rsidR="00962232">
        <w:t>l</w:t>
      </w:r>
      <w:r w:rsidRPr="007551CD">
        <w:t xml:space="preserve"> </w:t>
      </w:r>
      <w:r w:rsidR="002D74B6">
        <w:t>imaging</w:t>
      </w:r>
      <w:r w:rsidRPr="007551CD">
        <w:t>. Readability was measured using the Flesch-Kincaid reading grade level in MS Word (range: theoretical lower bound, −3.4; no upper bound) and the Dale</w:t>
      </w:r>
      <w:r w:rsidR="008D405F">
        <w:t>-</w:t>
      </w:r>
      <w:r w:rsidRPr="007551CD">
        <w:t>Chall readability grade score (range, ≤4 to ≥16). Understandability was assessed using the Patient Education Materials Assessment Tool (PEMAT; range, 1% to 100%). Flesch-Kincaid readability levels ranged from grades 7 to 19.4 (</w:t>
      </w:r>
      <w:r w:rsidR="00FF0A89">
        <w:rPr>
          <w:i/>
        </w:rPr>
        <w:t xml:space="preserve">M </w:t>
      </w:r>
      <w:r w:rsidR="00FF0A89" w:rsidRPr="00FF0A89">
        <w:t>=</w:t>
      </w:r>
      <w:r w:rsidRPr="007551CD">
        <w:t xml:space="preserve"> 10.5)</w:t>
      </w:r>
      <w:r>
        <w:t xml:space="preserve">. </w:t>
      </w:r>
    </w:p>
    <w:p w14:paraId="3B176DC5" w14:textId="14D3DD65" w:rsidR="00182760" w:rsidRPr="007551CD" w:rsidRDefault="00182760" w:rsidP="00182760">
      <w:pPr>
        <w:pStyle w:val="BodyText"/>
      </w:pPr>
      <w:r>
        <w:t xml:space="preserve">Most of the advice provided exceeded </w:t>
      </w:r>
      <w:r w:rsidRPr="007551CD">
        <w:t>the recommended readability level (grades 7-8</w:t>
      </w:r>
      <w:r w:rsidR="00FF0A89">
        <w:t xml:space="preserve">; </w:t>
      </w:r>
      <w:r>
        <w:rPr>
          <w:i/>
        </w:rPr>
        <w:t xml:space="preserve">NB </w:t>
      </w:r>
      <w:r w:rsidRPr="007551CD">
        <w:t>about 20% of the population reads below a grade 5 level</w:t>
      </w:r>
      <w:r>
        <w:t>)</w:t>
      </w:r>
      <w:r w:rsidRPr="007551CD">
        <w:t xml:space="preserve">. Dale-Chall readability grade scoring produced slightly higher scores overall (grade range: 9-10 to 13-15). All dense breast notifications scored poorly on understandability (PEMAT; range, 11%-33%). The authors reported that only three states’ dense breast notifications readability level was at the grade 8 level or below. Kressin </w:t>
      </w:r>
      <w:r>
        <w:t xml:space="preserve">et al. </w:t>
      </w:r>
      <w:r w:rsidRPr="007551CD">
        <w:t>discussed the impact of having dense breast notifications with poor understandability</w:t>
      </w:r>
      <w:r w:rsidR="00533884">
        <w:t>,</w:t>
      </w:r>
      <w:r w:rsidRPr="007551CD">
        <w:t xml:space="preserve"> due to the uncertainty women face about supplemental </w:t>
      </w:r>
      <w:r w:rsidR="002D74B6">
        <w:t>testing</w:t>
      </w:r>
      <w:r w:rsidR="002D74B6" w:rsidRPr="007551CD">
        <w:t xml:space="preserve"> </w:t>
      </w:r>
      <w:r w:rsidRPr="007551CD">
        <w:t>and disparities in breast cancer related to low health literacy</w:t>
      </w:r>
      <w:r w:rsidR="00D23723">
        <w:t xml:space="preserve">. </w:t>
      </w:r>
      <w:r w:rsidRPr="007551CD">
        <w:t xml:space="preserve">The study was limited by its analysis of the text only, with no data on outcomes such as anxiety, </w:t>
      </w:r>
      <w:r w:rsidR="00962232" w:rsidRPr="0044553E">
        <w:t>supplementa</w:t>
      </w:r>
      <w:r w:rsidR="00962232">
        <w:t>l</w:t>
      </w:r>
      <w:r>
        <w:t xml:space="preserve"> </w:t>
      </w:r>
      <w:r w:rsidR="002D74B6">
        <w:t>testing</w:t>
      </w:r>
      <w:r w:rsidR="002D74B6" w:rsidRPr="007551CD">
        <w:t xml:space="preserve"> </w:t>
      </w:r>
      <w:r w:rsidRPr="007551CD">
        <w:t xml:space="preserve">or additional cancers detected </w:t>
      </w:r>
      <w:r w:rsidRPr="007551CD">
        <w:fldChar w:fldCharType="begin"/>
      </w:r>
      <w:r w:rsidRPr="007551CD">
        <w:instrText xml:space="preserve"> ADDIN ZOTERO_ITEM CSL_CITATION {"citationID":"28ggh2lo00","properties":{"formattedCitation":"(Kressin et al., 2016)","plainCitation":"(Kressin et al., 2016)"},"citationItems":[{"id":22,"uris":["http://zotero.org/users/local/2fBHA0Hy/items/Z2FKGDJS"],"uri":["http://zotero.org/users/local/2fBHA0Hy/items/Z2FKGDJS"],"itemData":{"id":22,"type":"article-journal","title":"Content, readability, and understandability of dense breast notifications by state","container-title":"JAMA - Journal of the American Medical Association","page":"1786-1788","volume":"315","issue":"16","ISSN":"0098-7484 1538-3598","shortTitle":"Content, readability, and understandability of dense breast notifications by state","author":[{"family":"Kressin","given":"N. R."},{"family":"Gunn","given":"C. M."},{"family":"Battaglia","given":"T. A."}],"issued":{"date-parts":[["2016"]]}}}],"schema":"https://github.com/citation-style-language/schema/raw/master/csl-citation.json"} </w:instrText>
      </w:r>
      <w:r w:rsidRPr="007551CD">
        <w:fldChar w:fldCharType="separate"/>
      </w:r>
      <w:r w:rsidRPr="007551CD">
        <w:t>(Kressin et al., 2016)</w:t>
      </w:r>
      <w:r w:rsidRPr="007551CD">
        <w:fldChar w:fldCharType="end"/>
      </w:r>
      <w:r w:rsidRPr="007551CD">
        <w:t>.</w:t>
      </w:r>
      <w:r>
        <w:t xml:space="preserve"> This study demonstrates that a deficit in women’s understandability of dense breast notifications may create uncertainties for women attempting to make personalised decisions about supplemental </w:t>
      </w:r>
      <w:r w:rsidR="002D74B6">
        <w:t xml:space="preserve">testing </w:t>
      </w:r>
      <w:r>
        <w:t xml:space="preserve">and may exacerbate disparities in breast cancer screening related to low health literacy. </w:t>
      </w:r>
    </w:p>
    <w:bookmarkStart w:id="127" w:name="_Hlk507677127"/>
    <w:p w14:paraId="0CDAF1AA" w14:textId="1EE1398C" w:rsidR="00182760" w:rsidRPr="007551CD" w:rsidRDefault="00182760" w:rsidP="00182760">
      <w:pPr>
        <w:pStyle w:val="BodyText"/>
      </w:pPr>
      <w:r w:rsidRPr="007551CD">
        <w:fldChar w:fldCharType="begin"/>
      </w:r>
      <w:r>
        <w:instrText xml:space="preserve"> ADDIN ZOTERO_ITEM CSL_CITATION {"citationID":"WjC5hOBq","properties":{"formattedCitation":"(Moothathu et al., 2017)","plainCitation":"(Moothathu et al., 2017)"},"citationItems":[{"id":30,"uris":["http://zotero.org/users/local/2fBHA0Hy/items/43VZWQ4S"],"uri":["http://zotero.org/users/local/2fBHA0Hy/items/43VZWQ4S"],"itemData":{"id":30,"type":"article-journal","title":"Knowledge of Density and Screening Ultrasound","container-title":"Breast Journal","page":"323-332","volume":"23","issue":"3","abstract":"To determine breast density awareness and attitudes regarding supplemental breast ultrasound screening since implementation of the nation's first breast density notification law, Connecticut Public Act 09-41. A self-administered survey was distributed at a Connecticut academic breast imaging center between February 2013 and February 2014. Women with prior mammography reports describing heterogeneous or extremely dense breast tissue were invited to participate when presenting for screening mammography, screening ultrasound, or both. Data were collected on breast density awareness, history of prior ultrasounds, attitudes toward ultrasound and breast-cancer risk, and demographics. Data were collected from 950 completed surveys. The majority of surveyed women (92%) were aware of their breast density, and 77% had undergone a prior screening ultrasound. Forty-three percent of participants who were aware of their breast density also expressed increased anxiety about developing breast cancer due to having dense breast tissue. Caucasian race and higher education were significantly associated (p &lt; 0.05) with knowledge of personal breast density (93% and 95%, respectively) and having a prior screening breast ultrasound (79% and 80%, respectively). Patients with less than a college degree (82%) were significantly more likely to rely exclusively on their provider's recommendation regarding obtaining screening ultrasound (p &lt; 0.05). Breast density awareness is strongly associated with higher education, higher income, and Caucasian race. Non-Caucasian patients and those with less than a college education rely more heavily on their physicians' recommendations regarding screening ultrasound. Among women aware of their increased breast density, nearly half reported associated increased anxiety regarding the possibility of developing breast cancer.Copyright © 2016 Wiley Periodicals, Inc.","DOI":"10.1111/tbj.12734","ISSN":"1075-122X 1524-4741","shortTitle":"Knowledge of Density and Screening Ultrasound","author":[{"family":"Moothathu","given":"N. S."},{"family":"Philpotts","given":"L. E."},{"family":"Busch","given":"S. H."},{"family":"Gross","given":"C. P."},{"family":"Staib","given":"L. H."},{"family":"Hooley","given":"R. J."}],"issued":{"date-parts":[["2017"]]}}}],"schema":"https://github.com/citation-style-language/schema/raw/master/csl-citation.json"} </w:instrText>
      </w:r>
      <w:r w:rsidRPr="007551CD">
        <w:fldChar w:fldCharType="separate"/>
      </w:r>
      <w:r w:rsidRPr="007551CD">
        <w:t xml:space="preserve">Moothathu et al., </w:t>
      </w:r>
      <w:r>
        <w:t>(</w:t>
      </w:r>
      <w:r w:rsidRPr="007551CD">
        <w:t>2017</w:t>
      </w:r>
      <w:r w:rsidRPr="007551CD">
        <w:fldChar w:fldCharType="end"/>
      </w:r>
      <w:bookmarkEnd w:id="127"/>
      <w:r>
        <w:t>)</w:t>
      </w:r>
      <w:r w:rsidRPr="007551CD">
        <w:t xml:space="preserve"> conducted a survey of 950 women in Connecticut</w:t>
      </w:r>
      <w:r>
        <w:t xml:space="preserve"> to determine breast density awareness and attitudes towards supplemental breast ultrasound </w:t>
      </w:r>
      <w:r w:rsidR="00C7222E">
        <w:t>testing</w:t>
      </w:r>
      <w:r>
        <w:t>, following the implementation of the state’s breast density notification legislation</w:t>
      </w:r>
      <w:r w:rsidRPr="007551CD">
        <w:t xml:space="preserve">. </w:t>
      </w:r>
      <w:r>
        <w:t xml:space="preserve">Almost all </w:t>
      </w:r>
      <w:r w:rsidRPr="007551CD">
        <w:t xml:space="preserve">surveyed women </w:t>
      </w:r>
      <w:r w:rsidRPr="007551CD">
        <w:lastRenderedPageBreak/>
        <w:t xml:space="preserve">(92%) were aware of their breast density, and 77% reported having a prior screening ultrasound. Of those who responded as not having a prior screening ultrasound, 28% (56/203) indicated it was because their physician had never discussed it with them, and 26% (53/203) stated it was because they were not familiar with the test. Other less common reasons were dislike of undergoing medical tests (3%, 7/203), </w:t>
      </w:r>
      <w:r>
        <w:t xml:space="preserve">a </w:t>
      </w:r>
      <w:r w:rsidRPr="007551CD">
        <w:t>physician stating it was not needed (9%, 19/ 203), lack of time (2%, 5/203), and concern over insurance reimbursement and costs (3%, 6/203).</w:t>
      </w:r>
    </w:p>
    <w:p w14:paraId="4675CB18" w14:textId="72B64E64" w:rsidR="00182760" w:rsidRDefault="00182760" w:rsidP="00182760">
      <w:pPr>
        <w:pStyle w:val="BodyText"/>
      </w:pPr>
      <w:r w:rsidRPr="007551CD">
        <w:fldChar w:fldCharType="begin"/>
      </w:r>
      <w:r>
        <w:instrText xml:space="preserve"> ADDIN ZOTERO_ITEM CSL_CITATION {"citationID":"JZ66xAEz","properties":{"formattedCitation":"(Moothathu et al., 2017)","plainCitation":"(Moothathu et al., 2017)"},"citationItems":[{"id":30,"uris":["http://zotero.org/users/local/2fBHA0Hy/items/43VZWQ4S"],"uri":["http://zotero.org/users/local/2fBHA0Hy/items/43VZWQ4S"],"itemData":{"id":30,"type":"article-journal","title":"Knowledge of Density and Screening Ultrasound","container-title":"Breast Journal","page":"323-332","volume":"23","issue":"3","abstract":"To determine breast density awareness and attitudes regarding supplemental breast ultrasound screening since implementation of the nation's first breast density notification law, Connecticut Public Act 09-41. A self-administered survey was distributed at a Connecticut academic breast imaging center between February 2013 and February 2014. Women with prior mammography reports describing heterogeneous or extremely dense breast tissue were invited to participate when presenting for screening mammography, screening ultrasound, or both. Data were collected on breast density awareness, history of prior ultrasounds, attitudes toward ultrasound and breast-cancer risk, and demographics. Data were collected from 950 completed surveys. The majority of surveyed women (92%) were aware of their breast density, and 77% had undergone a prior screening ultrasound. Forty-three percent of participants who were aware of their breast density also expressed increased anxiety about developing breast cancer due to having dense breast tissue. Caucasian race and higher education were significantly associated (p &lt; 0.05) with knowledge of personal breast density (93% and 95%, respectively) and having a prior screening breast ultrasound (79% and 80%, respectively). Patients with less than a college degree (82%) were significantly more likely to rely exclusively on their provider's recommendation regarding obtaining screening ultrasound (p &lt; 0.05). Breast density awareness is strongly associated with higher education, higher income, and Caucasian race. Non-Caucasian patients and those with less than a college education rely more heavily on their physicians' recommendations regarding screening ultrasound. Among women aware of their increased breast density, nearly half reported associated increased anxiety regarding the possibility of developing breast cancer.Copyright © 2016 Wiley Periodicals, Inc.","DOI":"10.1111/tbj.12734","ISSN":"1075-122X 1524-4741","shortTitle":"Knowledge of Density and Screening Ultrasound","author":[{"family":"Moothathu","given":"N. S."},{"family":"Philpotts","given":"L. E."},{"family":"Busch","given":"S. H."},{"family":"Gross","given":"C. P."},{"family":"Staib","given":"L. H."},{"family":"Hooley","given":"R. J."}],"issued":{"date-parts":[["2017"]]}}}],"schema":"https://github.com/citation-style-language/schema/raw/master/csl-citation.json"} </w:instrText>
      </w:r>
      <w:r w:rsidRPr="007551CD">
        <w:fldChar w:fldCharType="separate"/>
      </w:r>
      <w:r w:rsidRPr="007551CD">
        <w:t xml:space="preserve">Moothathu et al., </w:t>
      </w:r>
      <w:r>
        <w:t>(</w:t>
      </w:r>
      <w:r w:rsidRPr="007551CD">
        <w:t>2017</w:t>
      </w:r>
      <w:r w:rsidRPr="007551CD">
        <w:fldChar w:fldCharType="end"/>
      </w:r>
      <w:r>
        <w:t>)</w:t>
      </w:r>
      <w:r w:rsidRPr="007551CD">
        <w:t xml:space="preserve"> </w:t>
      </w:r>
      <w:r>
        <w:t xml:space="preserve">also reported that </w:t>
      </w:r>
      <w:r w:rsidR="00533884">
        <w:t xml:space="preserve">identifying as </w:t>
      </w:r>
      <w:r w:rsidR="0099573E">
        <w:t>European and</w:t>
      </w:r>
      <w:r w:rsidRPr="007551CD">
        <w:t xml:space="preserve"> </w:t>
      </w:r>
      <w:r w:rsidR="00533884">
        <w:t xml:space="preserve">having </w:t>
      </w:r>
      <w:r w:rsidRPr="007551CD">
        <w:t>higher education were signiﬁcantly associated (</w:t>
      </w:r>
      <w:r w:rsidRPr="002E585D">
        <w:rPr>
          <w:i/>
        </w:rPr>
        <w:t>p</w:t>
      </w:r>
      <w:r w:rsidRPr="007551CD">
        <w:t xml:space="preserve">&lt;.05) with knowledge of personal breast density (93% and 95%, respectively) and having a prior screening breast ultrasound (79% and 80%, respectively). </w:t>
      </w:r>
      <w:r>
        <w:t>Women</w:t>
      </w:r>
      <w:r w:rsidRPr="007551CD">
        <w:t xml:space="preserve"> with less than a college degree (82%) were signiﬁcantly more likely to rely exclusively on their provider’s recommendation regarding obtaining screening ultrasound (</w:t>
      </w:r>
      <w:r w:rsidRPr="002E585D">
        <w:rPr>
          <w:i/>
        </w:rPr>
        <w:t>p</w:t>
      </w:r>
      <w:r w:rsidRPr="007551CD">
        <w:t xml:space="preserve">&lt;.05). The authors </w:t>
      </w:r>
      <w:r>
        <w:t>concluded</w:t>
      </w:r>
      <w:r w:rsidRPr="007551CD">
        <w:t xml:space="preserve"> that breast density awareness is strongly associated with higher education, higher income, and </w:t>
      </w:r>
      <w:r w:rsidR="00533884">
        <w:t xml:space="preserve">identifying as </w:t>
      </w:r>
      <w:r w:rsidR="0099573E">
        <w:t>European</w:t>
      </w:r>
      <w:r w:rsidRPr="007551CD">
        <w:t xml:space="preserve">. </w:t>
      </w:r>
    </w:p>
    <w:p w14:paraId="2FFD245F" w14:textId="62E3B43F" w:rsidR="00182760" w:rsidRDefault="00182760" w:rsidP="00182760">
      <w:pPr>
        <w:pStyle w:val="BodyText"/>
      </w:pPr>
      <w:r>
        <w:t xml:space="preserve">Our search also returned studies from </w:t>
      </w:r>
      <w:r w:rsidR="00533884">
        <w:t>Rhodes et al. (2015), Manning et al. (2013); Trinh et al. (2015) and Yeh et al. (2015).</w:t>
      </w:r>
      <w:r>
        <w:t xml:space="preserve"> The findings of these papers have been described in the literature review above by </w:t>
      </w:r>
      <w:r>
        <w:fldChar w:fldCharType="begin"/>
      </w:r>
      <w:r>
        <w:instrText xml:space="preserve"> ADDIN ZOTERO_ITEM CSL_CITATION {"citationID":"lbtm48hmp","properties":{"formattedCitation":"(Santiago-Rivas et al., 2016)","plainCitation":"(Santiago-Rivas et al., 2016)"},"citationItems":[{"id":41,"uris":["http://zotero.org/users/local/2fBHA0Hy/items/ZNQPW9EV"],"uri":["http://zotero.org/users/local/2fBHA0Hy/items/ZNQPW9EV"],"itemData":{"id":41,"type":"article-journal","title":"Breast Density Knowledge and Awareness: A Review of Literature","container-title":"Journal of primary care &amp; community health","page":"207-14","volume":"7","issue":"3","abstract":"OBJECTIVES: We reviewed the literature on breast density knowledge and breast density awareness to explore what challenges are faced by this area of research., METHOD: A review of PubMED, PsycINFO, and CINAHL databases was performed. Studies were published in peer-reviewed journals (in all years available) and written in English. The broad search terms used were [\"breast density\"] AND [\"knowledge\" OR \"awareness\"]. Eligible articles were included in the final analysis after meeting the following inclusion criteria: (1) the records had to quantitatively examine and report breast density knowledge and awareness, (2) the number of participants in the sample had to be clearly specified, and (3) studies reporting differences in breast density knowledge and awareness between racial and ethnic groups were included in the review., RESULTS: Of the 277 articles identified, only 5 met inclusion criteria and addressed breast density knowledge and awareness. Characteristics of studies and results were examined., CONCLUSIONS: There is insufficient evidence to determine a pattern of breast density knowledge and awareness in women. More quality studies are needed that focus on how well women understand the relationship between breast density, breast cancer risk, and breast cancer screening, especially in diverse populations.Copyright © The Author(s) 2016.","DOI":"10.1177/2150131916633138","ISSN":"2150-1327 2150-1319","shortTitle":"Breast Density Knowledge and Awareness: A Review of Literature","author":[{"family":"Santiago-Rivas","given":"Marimer"},{"family":"Benjamin","given":"Shayna"},{"family":"Jandorf","given":"Lina"}],"issued":{"date-parts":[["2016"]]}}}],"schema":"https://github.com/citation-style-language/schema/raw/master/csl-citation.json"} </w:instrText>
      </w:r>
      <w:r>
        <w:fldChar w:fldCharType="separate"/>
      </w:r>
      <w:r w:rsidRPr="00E753A2">
        <w:rPr>
          <w:rFonts w:ascii="Cambria" w:hAnsi="Cambria"/>
        </w:rPr>
        <w:t xml:space="preserve">Santiago-Rivas et al. </w:t>
      </w:r>
      <w:r>
        <w:rPr>
          <w:rFonts w:ascii="Cambria" w:hAnsi="Cambria"/>
        </w:rPr>
        <w:t>(</w:t>
      </w:r>
      <w:r w:rsidRPr="00E753A2">
        <w:rPr>
          <w:rFonts w:ascii="Cambria" w:hAnsi="Cambria"/>
        </w:rPr>
        <w:t>2016)</w:t>
      </w:r>
      <w:r>
        <w:fldChar w:fldCharType="end"/>
      </w:r>
      <w:r>
        <w:t>.</w:t>
      </w:r>
    </w:p>
    <w:p w14:paraId="1D692363" w14:textId="77777777" w:rsidR="00182760" w:rsidRDefault="00182760" w:rsidP="00182760">
      <w:pPr>
        <w:rPr>
          <w:rFonts w:asciiTheme="majorHAnsi" w:hAnsiTheme="majorHAnsi"/>
          <w:b/>
          <w:caps/>
          <w:color w:val="36424A" w:themeColor="text2"/>
          <w:sz w:val="28"/>
        </w:rPr>
      </w:pPr>
      <w:r>
        <w:br w:type="page"/>
      </w:r>
    </w:p>
    <w:p w14:paraId="657F3C64" w14:textId="77777777" w:rsidR="00182760" w:rsidRDefault="00182760" w:rsidP="00182760">
      <w:pPr>
        <w:pStyle w:val="NumberedHeading1"/>
        <w:jc w:val="both"/>
      </w:pPr>
      <w:bookmarkStart w:id="128" w:name="_Toc518922226"/>
      <w:r>
        <w:lastRenderedPageBreak/>
        <w:t>Notification and reporting</w:t>
      </w:r>
      <w:bookmarkEnd w:id="128"/>
    </w:p>
    <w:p w14:paraId="5D3CC7B4" w14:textId="3E461444" w:rsidR="0073772E" w:rsidRDefault="00182760" w:rsidP="00182760">
      <w:pPr>
        <w:pStyle w:val="BodyText"/>
      </w:pPr>
      <w:r>
        <w:t xml:space="preserve">Reporting of breast density assessment is common in some jurisdictions, particularly the United States (where it is required by law in </w:t>
      </w:r>
      <w:r w:rsidR="000C2C53">
        <w:t xml:space="preserve">31 </w:t>
      </w:r>
      <w:r>
        <w:t xml:space="preserve">states). In contrast, </w:t>
      </w:r>
      <w:r w:rsidR="00761B6F">
        <w:t>BSA</w:t>
      </w:r>
      <w:r>
        <w:t xml:space="preserve">’s </w:t>
      </w:r>
      <w:r w:rsidR="0073772E">
        <w:t>2016 p</w:t>
      </w:r>
      <w:r>
        <w:t xml:space="preserve">osition </w:t>
      </w:r>
      <w:r w:rsidR="0073772E">
        <w:t>s</w:t>
      </w:r>
      <w:r>
        <w:t>tatement states that</w:t>
      </w:r>
      <w:r w:rsidR="0073772E">
        <w:t>:</w:t>
      </w:r>
    </w:p>
    <w:p w14:paraId="7FC63C7F" w14:textId="77777777" w:rsidR="00182760" w:rsidRDefault="00182760" w:rsidP="0073772E">
      <w:pPr>
        <w:pStyle w:val="Quote"/>
      </w:pPr>
      <w:r>
        <w:t xml:space="preserve">“until such time that more evidence is available on how breast density should be best assessed and managed, and evidence supports clinical pathways for women, </w:t>
      </w:r>
      <w:r w:rsidR="00761B6F">
        <w:t>BSA</w:t>
      </w:r>
      <w:r>
        <w:t xml:space="preserve"> </w:t>
      </w:r>
      <w:r w:rsidR="00761B6F">
        <w:t xml:space="preserve">programs </w:t>
      </w:r>
      <w:r>
        <w:t>should not routinely record breast density or provide supplemental screening for women with dense breasts”.</w:t>
      </w:r>
    </w:p>
    <w:p w14:paraId="730BDADB" w14:textId="77777777" w:rsidR="00182760" w:rsidRDefault="00182760" w:rsidP="00182760">
      <w:pPr>
        <w:pStyle w:val="BodyText"/>
      </w:pPr>
      <w:r>
        <w:t>Chapter 5 of this report discusses our findings on notification and reporting of breast density to women and health practitioners</w:t>
      </w:r>
      <w:r w:rsidR="00D23723">
        <w:t xml:space="preserve">. </w:t>
      </w:r>
      <w:r>
        <w:t>Specific topics are:</w:t>
      </w:r>
    </w:p>
    <w:p w14:paraId="28D7F42D" w14:textId="77777777" w:rsidR="00182760" w:rsidRDefault="00182760" w:rsidP="00182760">
      <w:pPr>
        <w:pStyle w:val="List-BulletLvl1"/>
      </w:pPr>
      <w:r>
        <w:t xml:space="preserve">Lessons from jurisdictions where breast density information is reported to women, including acceptability of reporting (or not) and reporting protocols, and </w:t>
      </w:r>
    </w:p>
    <w:p w14:paraId="234E4ABE" w14:textId="649C62B1" w:rsidR="006C415F" w:rsidRDefault="00182760" w:rsidP="006C415F">
      <w:pPr>
        <w:pStyle w:val="List-BulletLvl1"/>
      </w:pPr>
      <w:r>
        <w:t xml:space="preserve">Advice and support that women and health practitioners want and need if density is reported. </w:t>
      </w:r>
    </w:p>
    <w:p w14:paraId="56548A4E" w14:textId="77777777" w:rsidR="006C415F" w:rsidRPr="001D235E"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1D235E">
        <w:rPr>
          <w:b/>
        </w:rPr>
        <w:t>Key findings</w:t>
      </w:r>
      <w:r>
        <w:rPr>
          <w:b/>
        </w:rPr>
        <w:t xml:space="preserve"> about notification and reporting of breast density</w:t>
      </w:r>
    </w:p>
    <w:p w14:paraId="044ABCE3" w14:textId="77777777" w:rsidR="006C415F" w:rsidRPr="001D235E" w:rsidRDefault="006C415F" w:rsidP="006C415F">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1D235E">
        <w:t xml:space="preserve">No studies identified what information women require to be included in or additional to a breast density notification letter. Legislation has been implemented at an individual state level in the </w:t>
      </w:r>
      <w:r>
        <w:t xml:space="preserve">United States </w:t>
      </w:r>
      <w:r w:rsidRPr="001D235E">
        <w:t xml:space="preserve">(as opposed to federal legislation) and this has resulted in variations in the language of the notifications, which can impact on the quality of care delivered. </w:t>
      </w:r>
    </w:p>
    <w:p w14:paraId="30DD8D9D" w14:textId="66BF3C4A" w:rsidR="006C415F" w:rsidRDefault="006C415F" w:rsidP="006C415F">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pPr>
      <w:r w:rsidRPr="001D235E">
        <w:t xml:space="preserve">The studies highlight that where breast density notification occurs, it is critical for </w:t>
      </w:r>
      <w:r>
        <w:t>women</w:t>
      </w:r>
      <w:r w:rsidRPr="001D235E">
        <w:t xml:space="preserve"> and providers to be informed of the meaning of the information in the notification, and how it should influence their approach to breast screening. This relies on providers being confident in communicating breast density information and emphasises the need for </w:t>
      </w:r>
      <w:r>
        <w:t>health providers’</w:t>
      </w:r>
      <w:r w:rsidRPr="001D235E">
        <w:t xml:space="preserve"> education and evidence-based guidelines for the management of women with dense breasts</w:t>
      </w:r>
      <w:r>
        <w:t>.</w:t>
      </w:r>
    </w:p>
    <w:p w14:paraId="526B9979" w14:textId="77777777" w:rsidR="00182760" w:rsidRDefault="00182760" w:rsidP="00182760">
      <w:pPr>
        <w:pStyle w:val="NumberedHeading2"/>
      </w:pPr>
      <w:bookmarkStart w:id="129" w:name="_Toc518922227"/>
      <w:r>
        <w:t>Notification and reporting in other jurisdictions</w:t>
      </w:r>
      <w:bookmarkEnd w:id="129"/>
    </w:p>
    <w:p w14:paraId="04EB984B" w14:textId="4A61CA37" w:rsidR="00182760" w:rsidRPr="00761387" w:rsidRDefault="00182760" w:rsidP="00182760">
      <w:pPr>
        <w:pStyle w:val="BodyText"/>
      </w:pPr>
      <w:r>
        <w:t>This section provides an overview of the developments in breast density notification legislation</w:t>
      </w:r>
      <w:r w:rsidR="000721DA">
        <w:t xml:space="preserve"> (namely </w:t>
      </w:r>
      <w:r w:rsidR="00533884">
        <w:t xml:space="preserve">in </w:t>
      </w:r>
      <w:r w:rsidR="000721DA">
        <w:t>the United States and Western Australia)</w:t>
      </w:r>
      <w:r>
        <w:t xml:space="preserve">. The legislation has typically been implemented with the goal of empowering women’s decision-making and improving the quality of breast screening, however these benefits are yet to be realised in recent studies. </w:t>
      </w:r>
    </w:p>
    <w:p w14:paraId="5D3E26D9" w14:textId="77777777" w:rsidR="00182760" w:rsidRDefault="00182760" w:rsidP="00182760">
      <w:pPr>
        <w:pStyle w:val="NumberedHeading3"/>
      </w:pPr>
      <w:bookmarkStart w:id="130" w:name="_Toc507914451"/>
      <w:bookmarkStart w:id="131" w:name="_Toc507976176"/>
      <w:bookmarkStart w:id="132" w:name="_Toc518922228"/>
      <w:r>
        <w:t>Notification and reporting in the United States</w:t>
      </w:r>
      <w:bookmarkEnd w:id="130"/>
      <w:bookmarkEnd w:id="131"/>
      <w:bookmarkEnd w:id="132"/>
    </w:p>
    <w:p w14:paraId="3465361D" w14:textId="280E65F0" w:rsidR="000721DA" w:rsidRDefault="00182760" w:rsidP="00182760">
      <w:pPr>
        <w:pStyle w:val="BodyText"/>
      </w:pPr>
      <w:r>
        <w:t xml:space="preserve">In the United States, successful lobbying by advocacy groups has seen changes in the law </w:t>
      </w:r>
      <w:r w:rsidR="00C3709F">
        <w:t>(</w:t>
      </w:r>
      <w:r>
        <w:t>beginning in Connecticut in 2009</w:t>
      </w:r>
      <w:r w:rsidR="00C3709F">
        <w:t>). T</w:t>
      </w:r>
      <w:r>
        <w:t>here is no current federal legislation</w:t>
      </w:r>
      <w:r w:rsidR="00C3709F">
        <w:t xml:space="preserve"> stipulating what can and cannot be reported</w:t>
      </w:r>
      <w:r>
        <w:t xml:space="preserve">. The Breast Density and Reporting Act 2017 </w:t>
      </w:r>
      <w:r w:rsidR="001863A0">
        <w:t>was introduced to the Senate in October 2017,</w:t>
      </w:r>
      <w:r>
        <w:t xml:space="preserve"> and</w:t>
      </w:r>
      <w:r w:rsidR="001863A0">
        <w:t xml:space="preserve"> as at July 2018, has been referred to the Committee on Health, Education, Labor and Pensions. I</w:t>
      </w:r>
      <w:r>
        <w:t>f passed, t</w:t>
      </w:r>
      <w:r w:rsidRPr="00052640">
        <w:t>he bill would set a minimum standard for dense breast tissue notification after mammograms and recommend women discuss options with their physician to see if additional breast cancer screening is needed.</w:t>
      </w:r>
      <w:r>
        <w:t xml:space="preserve"> The lack in federal legislation has resulted in some inconsistencies in reporting across states in the U</w:t>
      </w:r>
      <w:r w:rsidR="00C3709F">
        <w:t xml:space="preserve">nited </w:t>
      </w:r>
      <w:r>
        <w:t>S</w:t>
      </w:r>
      <w:r w:rsidR="00C3709F">
        <w:t>tates</w:t>
      </w:r>
      <w:r>
        <w:t xml:space="preserve">. </w:t>
      </w:r>
    </w:p>
    <w:p w14:paraId="223BBA25" w14:textId="4B696AA6" w:rsidR="00182760" w:rsidRDefault="000721DA" w:rsidP="001863A0">
      <w:r>
        <w:br w:type="page"/>
      </w:r>
      <w:r w:rsidR="00A528BA">
        <w:lastRenderedPageBreak/>
        <w:t>S</w:t>
      </w:r>
      <w:r w:rsidR="00182760">
        <w:t>ummary report</w:t>
      </w:r>
      <w:r w:rsidR="00A528BA">
        <w:t>s</w:t>
      </w:r>
      <w:r w:rsidR="00182760">
        <w:t xml:space="preserve"> typically include some, or all the following information about breast density:</w:t>
      </w:r>
    </w:p>
    <w:p w14:paraId="6860F482" w14:textId="77777777" w:rsidR="00182760" w:rsidRDefault="00182760" w:rsidP="00522F1A">
      <w:pPr>
        <w:pStyle w:val="List-AlphanumericLvl1"/>
        <w:numPr>
          <w:ilvl w:val="0"/>
          <w:numId w:val="21"/>
        </w:numPr>
        <w:spacing w:line="252" w:lineRule="auto"/>
        <w:jc w:val="both"/>
      </w:pPr>
      <w:r>
        <w:t xml:space="preserve">scientific knowledge about breast density and screening </w:t>
      </w:r>
    </w:p>
    <w:p w14:paraId="6A90FB9C" w14:textId="77777777" w:rsidR="00182760" w:rsidRDefault="00182760" w:rsidP="00182760">
      <w:pPr>
        <w:pStyle w:val="List-AlphanumericLvl1"/>
        <w:numPr>
          <w:ilvl w:val="0"/>
          <w:numId w:val="6"/>
        </w:numPr>
        <w:spacing w:line="252" w:lineRule="auto"/>
        <w:jc w:val="both"/>
      </w:pPr>
      <w:r>
        <w:t xml:space="preserve">the effect of breast density in masking the presence of breast cancer on a mammogram (based on individual woman’s breast density assessment), and </w:t>
      </w:r>
    </w:p>
    <w:p w14:paraId="57118E73" w14:textId="77777777" w:rsidR="00182760" w:rsidRDefault="00182760" w:rsidP="00182760">
      <w:pPr>
        <w:pStyle w:val="List-AlphanumericLvl1"/>
        <w:numPr>
          <w:ilvl w:val="0"/>
          <w:numId w:val="6"/>
        </w:numPr>
        <w:spacing w:line="252" w:lineRule="auto"/>
        <w:ind w:left="993"/>
        <w:jc w:val="both"/>
      </w:pPr>
      <w:proofErr w:type="gramStart"/>
      <w:r>
        <w:t>that</w:t>
      </w:r>
      <w:proofErr w:type="gramEnd"/>
      <w:r>
        <w:t xml:space="preserve"> individuals with more dense breasts should talk with their physicians about any questions or concerns regarding the summary and whether they would benefit from any additional tests. </w:t>
      </w:r>
    </w:p>
    <w:p w14:paraId="5792B881" w14:textId="4BABD24C" w:rsidR="00182760" w:rsidRDefault="00182760" w:rsidP="00182760">
      <w:pPr>
        <w:pStyle w:val="BodyText"/>
      </w:pPr>
      <w:r>
        <w:t xml:space="preserve">For more detail on what each US state’s notification is required to contain, see </w:t>
      </w:r>
      <w:r w:rsidR="003579ED">
        <w:t>Table 2</w:t>
      </w:r>
      <w:r w:rsidR="006465B1">
        <w:t>6</w:t>
      </w:r>
      <w:r>
        <w:t xml:space="preserve"> overleaf. </w:t>
      </w:r>
    </w:p>
    <w:p w14:paraId="1AA63E03" w14:textId="30C0022C" w:rsidR="006465B1" w:rsidRDefault="00182760" w:rsidP="006465B1">
      <w:pPr>
        <w:pStyle w:val="BodyText"/>
      </w:pPr>
      <w:r>
        <w:t xml:space="preserve">As at </w:t>
      </w:r>
      <w:r w:rsidR="001863A0">
        <w:t>July</w:t>
      </w:r>
      <w:r>
        <w:t xml:space="preserve"> 2018, breast density notification laws have been</w:t>
      </w:r>
      <w:r w:rsidR="001863A0">
        <w:t xml:space="preserve"> (or are planned to be)</w:t>
      </w:r>
      <w:r>
        <w:t xml:space="preserve"> put into effect in 3</w:t>
      </w:r>
      <w:r w:rsidR="001863A0">
        <w:t>5</w:t>
      </w:r>
      <w:r>
        <w:t xml:space="preserve"> states in the United States. However, concerns are being raised in the literature about breast density notification laws limiting a broader understanding and discussion of personal risk, the legislation bringing the probability of greater clinical uncertainty and increased liability for radiologists and primary care physicians, and for women additional tests leading to an increased likelihood of false-positive results, unnecessary biopsies and over-diagnosis. </w:t>
      </w:r>
    </w:p>
    <w:p w14:paraId="49EBB738" w14:textId="77777777" w:rsidR="006465B1" w:rsidRDefault="006465B1" w:rsidP="006465B1">
      <w:pPr>
        <w:pStyle w:val="NumberedHeading3"/>
      </w:pPr>
      <w:bookmarkStart w:id="133" w:name="_Toc507914452"/>
      <w:bookmarkStart w:id="134" w:name="_Toc507976177"/>
      <w:bookmarkStart w:id="135" w:name="_Toc518922229"/>
      <w:r>
        <w:t>Notification and reporting in Western Australia</w:t>
      </w:r>
      <w:bookmarkEnd w:id="133"/>
      <w:bookmarkEnd w:id="134"/>
      <w:bookmarkEnd w:id="135"/>
    </w:p>
    <w:p w14:paraId="40F4A2D0" w14:textId="14E95EF1" w:rsidR="006465B1" w:rsidRDefault="006465B1" w:rsidP="006465B1">
      <w:pPr>
        <w:pStyle w:val="BodyText"/>
      </w:pPr>
      <w:r>
        <w:t xml:space="preserve">In the BSA program, only the Western Australia BSA program reports breast density. </w:t>
      </w:r>
      <w:r w:rsidRPr="00294412">
        <w:t>BreastScreen WA advises women with dense breasts to consult their GP to discuss the significance of breast density</w:t>
      </w:r>
      <w:r>
        <w:t xml:space="preserve"> findings</w:t>
      </w:r>
      <w:r w:rsidRPr="00294412">
        <w:t xml:space="preserve">, to have a clinical examination and receive further advice about their breast cancer risk. </w:t>
      </w:r>
      <w:r>
        <w:t xml:space="preserve">This literature review did not identify any further information that is reported in Western Australia’s breast density letter. </w:t>
      </w:r>
    </w:p>
    <w:p w14:paraId="0416E52D" w14:textId="77777777" w:rsidR="006465B1" w:rsidRDefault="006465B1" w:rsidP="006465B1">
      <w:pPr>
        <w:pStyle w:val="NumberedHeading3"/>
      </w:pPr>
      <w:bookmarkStart w:id="136" w:name="_Toc518922230"/>
      <w:r>
        <w:t>Notification and reporting in New Zealand</w:t>
      </w:r>
      <w:bookmarkEnd w:id="136"/>
    </w:p>
    <w:p w14:paraId="7D629A21" w14:textId="77777777" w:rsidR="006465B1" w:rsidRDefault="006465B1" w:rsidP="006465B1">
      <w:pPr>
        <w:pStyle w:val="BodyText"/>
      </w:pPr>
      <w:r>
        <w:t>Breast Screen Aotearoa does not measure breast density or provide notification to women as part of the BSA program, as the harms of extra screening may outweigh the benefits. Additionally, the Royal Australian and New Zealand College of Radiologists released a position statement in 2016, which stated that:</w:t>
      </w:r>
    </w:p>
    <w:p w14:paraId="4ABFD953" w14:textId="77777777" w:rsidR="006465B1" w:rsidRDefault="006465B1" w:rsidP="006465B1">
      <w:pPr>
        <w:pStyle w:val="Quote"/>
      </w:pPr>
      <w:r>
        <w:t>“</w:t>
      </w:r>
      <w:proofErr w:type="gramStart"/>
      <w:r>
        <w:t>the</w:t>
      </w:r>
      <w:proofErr w:type="gramEnd"/>
      <w:r>
        <w:t xml:space="preserve"> receipt of breast density information may create undue anxiety </w:t>
      </w:r>
      <w:r w:rsidRPr="00CE738F">
        <w:t>about the risk and worry that mammography may have missed a breast cancer</w:t>
      </w:r>
      <w:r>
        <w:t xml:space="preserve"> in women with dense breasts</w:t>
      </w:r>
      <w:r w:rsidRPr="00CE738F">
        <w:t>. For women with fatty breasts, it may convey a false sense of security.</w:t>
      </w:r>
      <w:r>
        <w:t>”</w:t>
      </w:r>
    </w:p>
    <w:p w14:paraId="3D013060" w14:textId="77777777" w:rsidR="006465B1" w:rsidRDefault="006465B1" w:rsidP="006465B1">
      <w:pPr>
        <w:pStyle w:val="NumberedHeading3"/>
      </w:pPr>
      <w:bookmarkStart w:id="137" w:name="_Toc518922231"/>
      <w:r>
        <w:t>Notification and reporting in European countries</w:t>
      </w:r>
      <w:bookmarkEnd w:id="137"/>
    </w:p>
    <w:p w14:paraId="71A9A9F0" w14:textId="77777777" w:rsidR="006465B1" w:rsidRDefault="006465B1" w:rsidP="006465B1">
      <w:pPr>
        <w:pStyle w:val="BodyText"/>
      </w:pPr>
      <w:r>
        <w:t xml:space="preserve">No European countries currently have legislated breast density notifications for women. The European Society of Breast Imaging (EUSOBI) and 30 national breast radiology bodies released a position paper on breast cancer screening in 2017. The EUSOBI did not present a view on breast density notifications. </w:t>
      </w:r>
    </w:p>
    <w:p w14:paraId="18E21720" w14:textId="49A458EF" w:rsidR="006465B1" w:rsidRDefault="006465B1" w:rsidP="00182760">
      <w:pPr>
        <w:sectPr w:rsidR="006465B1" w:rsidSect="009A4F68">
          <w:pgSz w:w="11906" w:h="16838" w:code="9"/>
          <w:pgMar w:top="1418" w:right="1418" w:bottom="1418" w:left="1418" w:header="964" w:footer="964" w:gutter="0"/>
          <w:cols w:space="708"/>
          <w:docGrid w:linePitch="360"/>
        </w:sectPr>
      </w:pPr>
    </w:p>
    <w:p w14:paraId="349DE890" w14:textId="7E004301" w:rsidR="00182760" w:rsidRPr="008D2EF6" w:rsidRDefault="00182760" w:rsidP="008D2EF6">
      <w:pPr>
        <w:pStyle w:val="BodyText"/>
        <w:rPr>
          <w:b/>
          <w:bCs/>
          <w:color w:val="36424A" w:themeColor="accent1"/>
          <w:sz w:val="18"/>
          <w:szCs w:val="18"/>
        </w:rPr>
      </w:pPr>
      <w:r w:rsidRPr="008D2EF6">
        <w:rPr>
          <w:b/>
          <w:bCs/>
          <w:color w:val="36424A" w:themeColor="accent1"/>
          <w:sz w:val="18"/>
          <w:szCs w:val="18"/>
        </w:rPr>
        <w:lastRenderedPageBreak/>
        <w:t xml:space="preserve">Table </w:t>
      </w:r>
      <w:r w:rsidR="003579ED">
        <w:rPr>
          <w:b/>
          <w:bCs/>
          <w:color w:val="36424A" w:themeColor="accent1"/>
          <w:sz w:val="18"/>
          <w:szCs w:val="18"/>
        </w:rPr>
        <w:t>2</w:t>
      </w:r>
      <w:r w:rsidR="006465B1">
        <w:rPr>
          <w:b/>
          <w:bCs/>
          <w:color w:val="36424A" w:themeColor="accent1"/>
          <w:sz w:val="18"/>
          <w:szCs w:val="18"/>
        </w:rPr>
        <w:t>6</w:t>
      </w:r>
      <w:r w:rsidRPr="008D2EF6">
        <w:rPr>
          <w:b/>
          <w:bCs/>
          <w:color w:val="36424A" w:themeColor="accent1"/>
          <w:sz w:val="18"/>
          <w:szCs w:val="18"/>
        </w:rPr>
        <w:t xml:space="preserve">: Information provided on breast density notifications in legislated states in the US </w:t>
      </w:r>
    </w:p>
    <w:tbl>
      <w:tblPr>
        <w:tblStyle w:val="ACGreen-BasicTable"/>
        <w:tblW w:w="5000" w:type="pct"/>
        <w:tblLook w:val="04A0" w:firstRow="1" w:lastRow="0" w:firstColumn="1" w:lastColumn="0" w:noHBand="0" w:noVBand="1"/>
        <w:tblDescription w:val="State: Alabama &#10;Who receives information:Dense2&#10;Informs woman her breasts are dense (BI-RADS 3-4): Yes &#10;Includes personal breast density category: No &#10;Masking effect mentioned: Yes&#10;Density as a risk factor mentioned: Yes&#10;Supplemental imaging tests mentioned1: Yes &#10;Insurance mandate to cover additional testing : No&#10;&#10;State: Arizona  &#10;Who receives information: Dense &#10;Informs woman her breasts are dense (BI-RADS 3-4): Yes &#10;Includes personal breast density category: No &#10;Masking effect mentioned: Yes&#10;Density as a risk factor mentioned: Yes&#10;Supplemental imaging tests mentioned1: No &#10;Insurance mandate to cover additional testing: No&#10;&#10;State: California &#10;Who receives information: Dense &#10;Informs woman her breasts are dense (BI-RADS 3-4): Yes &#10;Includes personal breast density category: No &#10;Masking effect mentioned: No&#10;Density as a risk factor mentioned: Yes&#10;Supplemental imaging tests mentioned1: No &#10;Insurance mandate to cover additional testing :No&#10;&#10;State: Colorado&#10;Who receives information: Dense&#10;Informs woman her breasts are dense (BI-RADS 3-4): Yes &#10;Includes personal breast density category: No &#10;Masking effect mentioned: No&#10;Density as a risk factor mentioned: Yes&#10;Supplemental imaging tests mentioned1: No &#10;Insurance mandate to cover additional testing : No&#10;&#10;State: Connecticut&#10;Who receives information: All, general info. If dense, supplemental imaging info&#10;Informs woman her breasts are dense (BI-RADS 3-4): No &#10;Includes personal breast density category: No  &#10;Masking effect mentioned: Yes&#10;Density as a risk factor mentioned: No&#10;Supplemental imaging tests mentioned1: Yes, if dense &#10;Insurance mandate to cover additional testing : Yes - If dense, US; if high risk, US or MRI. All women, 3D&#10;&#10;State: Delaware&#10;Who receives information: All2&#10;Informs woman her breasts are dense (BI-RADS 3-4): Yes &#10;Includes personal breast density category: Yes &#10;Masking effect mentioned: Yes&#10;Density as a risk factor mentioned: Yes&#10;Supplemental imaging tests mentioned1: Yes &#10;Insurance mandate to cover additional testing : No&#10;&#10;State: Florida&#10;Who receives information: Dense&#10;Informs woman her breasts are dense (BI-RADS 3-4): Yes &#10;Includes personal breast density category: No &#10;Masking effect mentioned: Yes&#10;Density as a risk factor mentioned: Yes&#10;Supplemental imaging tests mentioned1:No &#10;Insurance mandate to cover additional testing : No&#10;&#10;State: Hawaii &#10;Who receives information: Dense &#10;Informs woman her breasts are dense (BI-RADS 3-4): Yes &#10;Includes personal breast density category: No &#10;Masking effect mentioned: Yes&#10;Density as a risk factor mentioned: Yes&#10;Supplemental imaging tests mentioned1: Yes &#10;Insurance mandate to cover additional testing : No&#10;&#10;State: Iowa&#10;Who receives information: All &#10;Informs woman her breasts are dense (BI-RADS 3-4): Yes &#10;Includes personal breast density category: Yes  &#10;Masking effect mentioned: TBD&#10;Density as a risk factor mentioned: Yes&#10;Supplemental imaging tests mentioned1: TBD &#10;Insurance mandate to cover additional testing : No&#10;&#10;State: Kentucky &#10;Who receives information: Dense &#10;Informs woman her breasts are dense (BI-RADS 3-4): Yes &#10;Includes personal breast density category:No &#10;Masking effect mentioned: Yes&#10;Density as a risk factor mentioned: Yes&#10;Supplemental imaging tests mentioned1: No &#10;Insurance mandate to cover additional testing : Yes – all women, 3D&#10;&#10;State: Louisiana&#10;Who receives information: All &#10;Informs woman her breasts are dense (BI-RADS 3-4): No &#10;Includes personal breast density category: No &#10;Masking effect mentioned: Yes&#10;Density as a risk factor mentioned: Yes&#10;Supplemental imaging tests mentioned1: Yes &#10;Insurance mandate to cover additional testing : No&#10;&#10;State: Maryland&#10;Who receives information: All &#10;Informs woman her breasts are dense (BI-RADS 3-4): No &#10;Includes personal breast density category: No &#10;Masking effect mentioned: Yes&#10;Density as a risk factor mentioned: Yes&#10;Supplemental imaging tests mentioned1: No &#10;Insurance mandate to cover additional testing : Yes – all women, 3D&#10;&#10;State: Massachusetts&#10;Who receives information: Dense &#10;Informs woman her breasts are dense (BI-RADS 3-4):Yes &#10;Includes personal breast density category: Yes &#10;Masking effect mentioned: Yes&#10;Density as a risk factor mentioned: Yes&#10;Supplemental imaging tests mentioned1: Yes &#10;Insurance mandate to cover additional testing : No&#10;&#10;State: Michigan&#10;Who receives information: Dense &#10;Informs woman her breasts are dense (BI-RADS 3-4): Yes &#10;Includes personal breast density category: No &#10;Masking effect mentioned: Yes&#10;Density as a risk factor mentioned: Yes&#10;Supplemental imaging tests mentioned1: Yes &#10;Insurance mandate to cover additional testing : No&#10;&#10;State: Minnesota&#10;Who receives information: Dense &#10;Informs woman her breasts are dense (BI-RADS 3-4): Yes &#10;Includes personal breast density category: No &#10;Masking effect mentioned: Yes&#10;Density as a risk factor mentioned: Yes&#10;Supplemental imaging tests mentioned1: No &#10;Insurance mandate to cover additional testing : No&#10;&#10;State: Missouri&#10;Who receives information: All &#10;Informs woman her breasts are dense (BI-RADS 3-4): No &#10;Includes personal breast density category: No  &#10;Masking effect mentioned: Yes&#10;Density as a risk factor mentioned: Yes&#10;Supplemental imaging tests mentioned1: Yes &#10;Insurance mandate to cover additional testing : No&#10;&#10;State: Nebraska&#10;Who receives information: All &#10;Informs woman her breasts are dense (BI-RADS 3-4): Yes &#10;Includes personal breast density category: Yes &#10;Masking effect mentioned: Yes&#10;Density as a risk factor mentioned: Yes&#10;Supplemental imaging tests mentioned1: No &#10;Insurance mandate to cover additional testing : No&#10;&#10;State: Nevada&#10;Who receives information: All&#10;Informs woman her breasts are dense (BI-RADS 3-4): Yes &#10;Includes personal breast density category: Yes &#10;Masking effect mentioned: No&#10;Density as a risk factor mentioned: Yes&#10;Supplemental imaging tests mentioned1: No &#10;Insurance mandate to cover additional testing : No&#10;&#10;State: New Jersey&#10;Who receives information: All &#10;Informs woman her breasts are dense (BI-RADS 3-4): No &#10;Includes personal breast density category: No  &#10;Masking effect mentioned: Yes&#10;Density as a risk factor mentioned: Yes&#10;Supplemental imaging tests mentioned1: No &#10;Insurance mandate to cover additional testing : If extremely dense or as determined by health care provider, not modality specific&#10;&#10;State: New York&#10;Who receives information: Dense &#10;Informs woman her breasts are dense (BI-RADS 3-4): Yes &#10;Includes personal breast density category: No  &#10;Masking effect mentioned: Yes&#10;Density as a risk factor mentioned: Yes &#10;Supplemental imaging tests mentioned1: Yes &#10;Insurance mandate to cover additional testing : Yes - all women, screening (all modalities) + diagnostic breast imaging&#10;&#10;State: North Carolina&#10;Who receives information: Dense &#10;Informs woman her breasts are dense (BI-RADS 3-4): Yes &#10;Includes personal breast density category: Yes &#10;Masking effect mentioned: Yes&#10;Density as a risk factor mentioned: Yes &#10;Supplemental imaging tests mentioned1: No &#10;Insurance mandate to cover additional testing : No&#10;&#10;State: Ohio&#10;Who receives information: Dense &#10;Informs woman her breasts are dense (BI-RADS 3-4): Yes &#10;Includes personal breast density category: No &#10;Masking effect mentioned: Yes&#10;Density as a risk factor mentioned: Yes &#10;Supplemental imaging tests mentioned1: No &#10;Insurance mandate to cover additional testing : No&#10;&#10;State: Oklahoma&#10;Who receives information: Dense &#10;Informs woman her breasts are dense (BI-RADS 3-4): Yes &#10;Includes personal breast density category: Yes &#10;Masking effect mentioned: Yes&#10;Density as a risk factor mentioned: Yes &#10;Supplemental imaging tests mentioned1: No &#10;Insurance mandate to cover additional testing : No&#10;&#10;State: Oregon&#10;Who receives information: Extremely Dense &#10;Informs woman her breasts are dense (BI-RADS 3-4): Yes &#10;Includes personal breast density category: No &#10;Masking effect mentioned: Yes&#10;Density as a risk factor mentioned: Yes &#10;Supplemental imaging tests mentioned1: Yes &#10;Insurance mandate to cover additional testing : No&#10;&#10;State: Pennsylvania&#10;Who receives information: All &#10;Informs woman her breasts are dense (BI-RADS 3-4): Yes &#10;Includes personal breast density category: Yes &#10;Masking effect mentioned: Yes&#10;Density as a risk factor mentioned: Yes &#10;Supplemental imaging tests mentioned1: No &#10;Insurance mandate to cover additional testing : Yes – all women, 3D&#10;&#10;State: Rhode Island&#10;Who receives information: Dense &#10;Informs woman her breasts are dense (BI-RADS 3-4): Yes &#10;Includes personal breast density category: Yes &#10;Masking effect mentioned: Yes&#10;Density as a risk factor mentioned: Yes &#10;Supplemental imaging tests mentioned1: Yes &#10;Insurance mandate to cover additional testing : No&#10;&#10;State: South Carolina&#10;Who receives information: “Where applicable”  &#10;Informs woman her breasts are dense (BI-RADS 3-4): Yes &#10;Includes personal breast density category: No &#10;Masking effect mentioned: No&#10;Density as a risk factor mentioned: Yes &#10;Supplemental imaging tests mentioned1: No &#10;Insurance mandate to cover additional testing : No&#10;&#10;State: Tennessee&#10;Who receives information: Dense &#10;Informs woman her breasts are dense (BI-RADS 3-4): Yes &#10;Includes personal breast density category: No &#10;Masking effect mentioned: No&#10;Density as a risk factor mentioned: Yes &#10;Supplemental imaging tests mentioned1: No &#10;Insurance mandate to cover additional testing : No&#10;&#10;State: Texas&#10;Who receives information: All&#10;Informs woman her breasts are dense (BI-RADS 3-4): No &#10;Includes personal breast density category: No &#10;Masking effect mentioned: Yes&#10;Density as a risk factor mentioned: Yes &#10;Supplemental imaging tests mentioned1: Yes &#10;Insurance mandate to cover additional testing : Yes - all women, 3D &#10;&#10;State: Vermont &#10;Who receives information: Dense&#10;Informs woman her breasts are dense (BI-RADS 3-4): Yes &#10;Includes personal breast density category: Yes &#10;Masking effect mentioned: Yes&#10;Density as a risk factor mentioned:Yes &#10;Supplemental imaging tests mentioned1: No &#10;Insurance mandate to cover additional testing : No&#10;&#10;State: Virginia&#10;Who receives information: Dense  &#10;Informs woman her breasts are dense (BI-RADS 3-4): Yes &#10;Includes personal breast density category: No &#10;Masking effect mentioned: Yes&#10;Density as a risk factor mentioned: Yes &#10;Supplemental imaging tests mentioned1: Yes &#10;Insurance mandate to cover additional testing : No&#10;&#10;State&#10;Washington3&#10;Who receives information: Dense &#10;Informs woman her breasts are dense (BI-RADS 3-4): Yes &#10;Includes personal breast density category: Yes &#10;Masking effect mentioned: No&#10;Density as a risk factor mentioned: Yes &#10;Supplemental imaging tests mentioned1: No &#10;Insurance mandate to cover additional testing : Yes – all women, 3D&#10;&#10;State: Wisconsin&#10;Who receives information: Dense &#10;Informs woman her breasts are dense (BI-RADS 3-4): Yes &#10;Includes personal breast density category: No &#10;Masking effect mentioned: Yes&#10;Density as a risk factor mentioned: Yes &#10;Supplemental imaging tests mentioned1: No &#10;Insurance mandate to cover additional testing : No&#10;&#10;Australia&#10;&#10;State: Western Australia &#10;Who receives information: Dense &#10;Informs woman her breasts are dense (BI-RADS 3-4): Yes &#10;Includes personal breast density category: Unknown &#10;Masking effect mentioned: Unknown&#10;Density as a risk factor mentioned: Unknown &#10;Supplemental imaging tests mentioned1: Unknown &#10;Insurance mandate to cover additional testing : Unknown&#10;"/>
      </w:tblPr>
      <w:tblGrid>
        <w:gridCol w:w="1975"/>
        <w:gridCol w:w="1875"/>
        <w:gridCol w:w="1643"/>
        <w:gridCol w:w="1693"/>
        <w:gridCol w:w="1819"/>
        <w:gridCol w:w="1500"/>
        <w:gridCol w:w="1713"/>
        <w:gridCol w:w="1774"/>
      </w:tblGrid>
      <w:tr w:rsidR="00345CCE" w:rsidRPr="00345CCE" w14:paraId="3A913EE8" w14:textId="77777777" w:rsidTr="00182760">
        <w:trPr>
          <w:cnfStyle w:val="100000000000" w:firstRow="1" w:lastRow="0" w:firstColumn="0" w:lastColumn="0" w:oddVBand="0" w:evenVBand="0" w:oddHBand="0" w:evenHBand="0" w:firstRowFirstColumn="0" w:firstRowLastColumn="0" w:lastRowFirstColumn="0" w:lastRowLastColumn="0"/>
        </w:trPr>
        <w:tc>
          <w:tcPr>
            <w:tcW w:w="706" w:type="pct"/>
          </w:tcPr>
          <w:p w14:paraId="28EFB029" w14:textId="77777777" w:rsidR="00182760" w:rsidRPr="00345CCE" w:rsidRDefault="00182760" w:rsidP="00182760">
            <w:pPr>
              <w:rPr>
                <w:color w:val="auto"/>
                <w:sz w:val="18"/>
                <w:szCs w:val="18"/>
              </w:rPr>
            </w:pPr>
            <w:r w:rsidRPr="00345CCE">
              <w:rPr>
                <w:color w:val="auto"/>
                <w:sz w:val="18"/>
                <w:szCs w:val="18"/>
              </w:rPr>
              <w:t>State</w:t>
            </w:r>
          </w:p>
        </w:tc>
        <w:tc>
          <w:tcPr>
            <w:tcW w:w="670" w:type="pct"/>
          </w:tcPr>
          <w:p w14:paraId="0E45D230" w14:textId="77777777" w:rsidR="00182760" w:rsidRPr="00345CCE" w:rsidRDefault="00182760" w:rsidP="00182760">
            <w:pPr>
              <w:rPr>
                <w:color w:val="auto"/>
                <w:sz w:val="18"/>
                <w:szCs w:val="18"/>
              </w:rPr>
            </w:pPr>
            <w:r w:rsidRPr="00345CCE">
              <w:rPr>
                <w:color w:val="auto"/>
                <w:sz w:val="18"/>
                <w:szCs w:val="18"/>
              </w:rPr>
              <w:t>Who receives information</w:t>
            </w:r>
          </w:p>
        </w:tc>
        <w:tc>
          <w:tcPr>
            <w:tcW w:w="587" w:type="pct"/>
          </w:tcPr>
          <w:p w14:paraId="279D453E" w14:textId="2C8051EE" w:rsidR="00182760" w:rsidRPr="00345CCE" w:rsidRDefault="00182760" w:rsidP="00182760">
            <w:pPr>
              <w:rPr>
                <w:color w:val="auto"/>
                <w:sz w:val="18"/>
                <w:szCs w:val="18"/>
              </w:rPr>
            </w:pPr>
            <w:r w:rsidRPr="00345CCE">
              <w:rPr>
                <w:color w:val="auto"/>
                <w:sz w:val="18"/>
                <w:szCs w:val="18"/>
              </w:rPr>
              <w:t>Informs woman her breasts are dense (</w:t>
            </w:r>
            <w:r w:rsidR="00275D65">
              <w:rPr>
                <w:color w:val="auto"/>
                <w:sz w:val="18"/>
                <w:szCs w:val="18"/>
              </w:rPr>
              <w:t>BIRADS</w:t>
            </w:r>
            <w:r w:rsidRPr="00345CCE">
              <w:rPr>
                <w:color w:val="auto"/>
                <w:sz w:val="18"/>
                <w:szCs w:val="18"/>
              </w:rPr>
              <w:t xml:space="preserve"> 3-4)</w:t>
            </w:r>
          </w:p>
        </w:tc>
        <w:tc>
          <w:tcPr>
            <w:tcW w:w="605" w:type="pct"/>
          </w:tcPr>
          <w:p w14:paraId="57763224" w14:textId="77777777" w:rsidR="00182760" w:rsidRPr="00345CCE" w:rsidRDefault="00182760" w:rsidP="00182760">
            <w:pPr>
              <w:rPr>
                <w:color w:val="auto"/>
                <w:sz w:val="18"/>
                <w:szCs w:val="18"/>
              </w:rPr>
            </w:pPr>
            <w:r w:rsidRPr="00345CCE">
              <w:rPr>
                <w:color w:val="auto"/>
                <w:sz w:val="18"/>
                <w:szCs w:val="18"/>
              </w:rPr>
              <w:t>Includes personal breast density category</w:t>
            </w:r>
          </w:p>
        </w:tc>
        <w:tc>
          <w:tcPr>
            <w:tcW w:w="650" w:type="pct"/>
          </w:tcPr>
          <w:p w14:paraId="6C6E6804" w14:textId="77777777" w:rsidR="00182760" w:rsidRPr="00345CCE" w:rsidRDefault="00182760" w:rsidP="00182760">
            <w:pPr>
              <w:rPr>
                <w:color w:val="auto"/>
                <w:sz w:val="18"/>
                <w:szCs w:val="18"/>
              </w:rPr>
            </w:pPr>
            <w:r w:rsidRPr="00345CCE">
              <w:rPr>
                <w:color w:val="auto"/>
                <w:sz w:val="18"/>
                <w:szCs w:val="18"/>
              </w:rPr>
              <w:t xml:space="preserve">Masking effect mentioned </w:t>
            </w:r>
          </w:p>
        </w:tc>
        <w:tc>
          <w:tcPr>
            <w:tcW w:w="536" w:type="pct"/>
          </w:tcPr>
          <w:p w14:paraId="62995298" w14:textId="77777777" w:rsidR="00182760" w:rsidRPr="00345CCE" w:rsidRDefault="00182760" w:rsidP="00182760">
            <w:pPr>
              <w:rPr>
                <w:color w:val="auto"/>
                <w:sz w:val="18"/>
                <w:szCs w:val="18"/>
              </w:rPr>
            </w:pPr>
            <w:r w:rsidRPr="00345CCE">
              <w:rPr>
                <w:color w:val="auto"/>
                <w:sz w:val="18"/>
                <w:szCs w:val="18"/>
              </w:rPr>
              <w:t>Density as a risk factor mentioned</w:t>
            </w:r>
          </w:p>
        </w:tc>
        <w:tc>
          <w:tcPr>
            <w:tcW w:w="612" w:type="pct"/>
          </w:tcPr>
          <w:p w14:paraId="2F0275D9" w14:textId="41696FC6" w:rsidR="00182760" w:rsidRPr="00345CCE" w:rsidRDefault="00182760" w:rsidP="002D74B6">
            <w:pPr>
              <w:rPr>
                <w:color w:val="auto"/>
                <w:sz w:val="18"/>
                <w:szCs w:val="18"/>
              </w:rPr>
            </w:pPr>
            <w:r w:rsidRPr="00345CCE">
              <w:rPr>
                <w:color w:val="auto"/>
                <w:sz w:val="18"/>
                <w:szCs w:val="18"/>
              </w:rPr>
              <w:t xml:space="preserve">Supplemental </w:t>
            </w:r>
            <w:r w:rsidR="002D74B6" w:rsidRPr="00345CCE">
              <w:rPr>
                <w:color w:val="auto"/>
                <w:sz w:val="18"/>
                <w:szCs w:val="18"/>
              </w:rPr>
              <w:t xml:space="preserve">imaging </w:t>
            </w:r>
            <w:r w:rsidRPr="00345CCE">
              <w:rPr>
                <w:color w:val="auto"/>
                <w:sz w:val="18"/>
                <w:szCs w:val="18"/>
              </w:rPr>
              <w:t>tests mentioned</w:t>
            </w:r>
            <w:r w:rsidRPr="00345CCE">
              <w:rPr>
                <w:color w:val="auto"/>
                <w:sz w:val="18"/>
                <w:szCs w:val="18"/>
                <w:vertAlign w:val="superscript"/>
              </w:rPr>
              <w:t>1</w:t>
            </w:r>
          </w:p>
        </w:tc>
        <w:tc>
          <w:tcPr>
            <w:tcW w:w="634" w:type="pct"/>
          </w:tcPr>
          <w:p w14:paraId="0C6FDD80" w14:textId="77777777" w:rsidR="00182760" w:rsidRPr="00345CCE" w:rsidRDefault="00182760" w:rsidP="00182760">
            <w:pPr>
              <w:rPr>
                <w:color w:val="auto"/>
                <w:sz w:val="18"/>
                <w:szCs w:val="18"/>
              </w:rPr>
            </w:pPr>
            <w:r w:rsidRPr="00345CCE">
              <w:rPr>
                <w:color w:val="auto"/>
                <w:sz w:val="18"/>
                <w:szCs w:val="18"/>
              </w:rPr>
              <w:t xml:space="preserve">Insurance mandate to cover additional testing </w:t>
            </w:r>
          </w:p>
        </w:tc>
      </w:tr>
      <w:tr w:rsidR="00182760" w:rsidRPr="001D235E" w14:paraId="017BA61A" w14:textId="77777777" w:rsidTr="00182760">
        <w:tc>
          <w:tcPr>
            <w:tcW w:w="706" w:type="pct"/>
          </w:tcPr>
          <w:p w14:paraId="71272817" w14:textId="77777777" w:rsidR="00182760" w:rsidRPr="001D235E" w:rsidRDefault="00182760" w:rsidP="00182760">
            <w:pPr>
              <w:rPr>
                <w:sz w:val="18"/>
                <w:szCs w:val="18"/>
              </w:rPr>
            </w:pPr>
            <w:r w:rsidRPr="001D235E">
              <w:rPr>
                <w:sz w:val="18"/>
                <w:szCs w:val="18"/>
              </w:rPr>
              <w:t>Alabama</w:t>
            </w:r>
          </w:p>
        </w:tc>
        <w:tc>
          <w:tcPr>
            <w:tcW w:w="670" w:type="pct"/>
          </w:tcPr>
          <w:p w14:paraId="0639E415" w14:textId="77777777" w:rsidR="00182760" w:rsidRPr="001D235E" w:rsidRDefault="00182760" w:rsidP="00182760">
            <w:pPr>
              <w:rPr>
                <w:sz w:val="18"/>
                <w:szCs w:val="18"/>
              </w:rPr>
            </w:pPr>
            <w:r w:rsidRPr="001D235E">
              <w:rPr>
                <w:sz w:val="18"/>
                <w:szCs w:val="18"/>
              </w:rPr>
              <w:t>Dense</w:t>
            </w:r>
            <w:r w:rsidRPr="001D235E">
              <w:rPr>
                <w:sz w:val="18"/>
                <w:szCs w:val="18"/>
                <w:vertAlign w:val="superscript"/>
              </w:rPr>
              <w:t>2</w:t>
            </w:r>
          </w:p>
        </w:tc>
        <w:tc>
          <w:tcPr>
            <w:tcW w:w="587" w:type="pct"/>
          </w:tcPr>
          <w:p w14:paraId="75EFB87E" w14:textId="77777777" w:rsidR="00182760" w:rsidRPr="001D235E" w:rsidRDefault="00182760" w:rsidP="00182760">
            <w:pPr>
              <w:rPr>
                <w:sz w:val="18"/>
                <w:szCs w:val="18"/>
              </w:rPr>
            </w:pPr>
            <w:r w:rsidRPr="001D235E">
              <w:rPr>
                <w:sz w:val="18"/>
                <w:szCs w:val="18"/>
              </w:rPr>
              <w:t>Yes</w:t>
            </w:r>
          </w:p>
        </w:tc>
        <w:tc>
          <w:tcPr>
            <w:tcW w:w="605" w:type="pct"/>
          </w:tcPr>
          <w:p w14:paraId="0885A2D4" w14:textId="77777777" w:rsidR="00182760" w:rsidRPr="001D235E" w:rsidRDefault="00182760" w:rsidP="00182760">
            <w:pPr>
              <w:rPr>
                <w:sz w:val="18"/>
                <w:szCs w:val="18"/>
              </w:rPr>
            </w:pPr>
            <w:r w:rsidRPr="001D235E">
              <w:rPr>
                <w:sz w:val="18"/>
                <w:szCs w:val="18"/>
              </w:rPr>
              <w:t>No</w:t>
            </w:r>
          </w:p>
        </w:tc>
        <w:tc>
          <w:tcPr>
            <w:tcW w:w="650" w:type="pct"/>
          </w:tcPr>
          <w:p w14:paraId="09C4459B" w14:textId="77777777" w:rsidR="00182760" w:rsidRPr="001D235E" w:rsidRDefault="00182760" w:rsidP="00182760">
            <w:pPr>
              <w:rPr>
                <w:sz w:val="18"/>
                <w:szCs w:val="18"/>
              </w:rPr>
            </w:pPr>
            <w:r w:rsidRPr="001D235E">
              <w:rPr>
                <w:sz w:val="18"/>
                <w:szCs w:val="18"/>
              </w:rPr>
              <w:t>Yes</w:t>
            </w:r>
          </w:p>
        </w:tc>
        <w:tc>
          <w:tcPr>
            <w:tcW w:w="536" w:type="pct"/>
          </w:tcPr>
          <w:p w14:paraId="49AF13B0" w14:textId="77777777" w:rsidR="00182760" w:rsidRPr="001D235E" w:rsidRDefault="00182760" w:rsidP="00182760">
            <w:pPr>
              <w:rPr>
                <w:sz w:val="18"/>
                <w:szCs w:val="18"/>
              </w:rPr>
            </w:pPr>
            <w:r w:rsidRPr="001D235E">
              <w:rPr>
                <w:sz w:val="18"/>
                <w:szCs w:val="18"/>
              </w:rPr>
              <w:t>Yes</w:t>
            </w:r>
          </w:p>
        </w:tc>
        <w:tc>
          <w:tcPr>
            <w:tcW w:w="612" w:type="pct"/>
          </w:tcPr>
          <w:p w14:paraId="5C93329C" w14:textId="77777777" w:rsidR="00182760" w:rsidRPr="001D235E" w:rsidRDefault="00182760" w:rsidP="00182760">
            <w:pPr>
              <w:rPr>
                <w:sz w:val="18"/>
                <w:szCs w:val="18"/>
              </w:rPr>
            </w:pPr>
            <w:r w:rsidRPr="001D235E">
              <w:rPr>
                <w:sz w:val="18"/>
                <w:szCs w:val="18"/>
              </w:rPr>
              <w:t>Yes</w:t>
            </w:r>
          </w:p>
        </w:tc>
        <w:tc>
          <w:tcPr>
            <w:tcW w:w="634" w:type="pct"/>
          </w:tcPr>
          <w:p w14:paraId="16096530" w14:textId="77777777" w:rsidR="00182760" w:rsidRPr="001D235E" w:rsidRDefault="00182760" w:rsidP="00182760">
            <w:pPr>
              <w:rPr>
                <w:sz w:val="18"/>
                <w:szCs w:val="18"/>
              </w:rPr>
            </w:pPr>
            <w:r w:rsidRPr="001D235E">
              <w:rPr>
                <w:sz w:val="18"/>
                <w:szCs w:val="18"/>
              </w:rPr>
              <w:t>No</w:t>
            </w:r>
          </w:p>
        </w:tc>
      </w:tr>
      <w:tr w:rsidR="00182760" w:rsidRPr="001D235E" w14:paraId="0A0F3670" w14:textId="77777777" w:rsidTr="00182760">
        <w:tc>
          <w:tcPr>
            <w:tcW w:w="706" w:type="pct"/>
          </w:tcPr>
          <w:p w14:paraId="7F9FE7BE" w14:textId="77777777" w:rsidR="00182760" w:rsidRPr="001D235E" w:rsidRDefault="00182760" w:rsidP="00182760">
            <w:pPr>
              <w:rPr>
                <w:sz w:val="18"/>
                <w:szCs w:val="18"/>
              </w:rPr>
            </w:pPr>
            <w:r w:rsidRPr="001D235E">
              <w:rPr>
                <w:sz w:val="18"/>
                <w:szCs w:val="18"/>
              </w:rPr>
              <w:t xml:space="preserve">Arizona </w:t>
            </w:r>
          </w:p>
        </w:tc>
        <w:tc>
          <w:tcPr>
            <w:tcW w:w="670" w:type="pct"/>
          </w:tcPr>
          <w:p w14:paraId="348A5BFC" w14:textId="77777777" w:rsidR="00182760" w:rsidRPr="001D235E" w:rsidRDefault="00182760" w:rsidP="00182760">
            <w:pPr>
              <w:rPr>
                <w:sz w:val="18"/>
                <w:szCs w:val="18"/>
              </w:rPr>
            </w:pPr>
            <w:r w:rsidRPr="001D235E">
              <w:rPr>
                <w:sz w:val="18"/>
                <w:szCs w:val="18"/>
              </w:rPr>
              <w:t xml:space="preserve">Dense </w:t>
            </w:r>
          </w:p>
        </w:tc>
        <w:tc>
          <w:tcPr>
            <w:tcW w:w="587" w:type="pct"/>
          </w:tcPr>
          <w:p w14:paraId="3AF7B095" w14:textId="77777777" w:rsidR="00182760" w:rsidRPr="001D235E" w:rsidRDefault="00182760" w:rsidP="00182760">
            <w:pPr>
              <w:rPr>
                <w:sz w:val="18"/>
                <w:szCs w:val="18"/>
              </w:rPr>
            </w:pPr>
            <w:r w:rsidRPr="001D235E">
              <w:rPr>
                <w:sz w:val="18"/>
                <w:szCs w:val="18"/>
              </w:rPr>
              <w:t>Yes</w:t>
            </w:r>
          </w:p>
        </w:tc>
        <w:tc>
          <w:tcPr>
            <w:tcW w:w="605" w:type="pct"/>
          </w:tcPr>
          <w:p w14:paraId="4B3E1C65" w14:textId="77777777" w:rsidR="00182760" w:rsidRPr="001D235E" w:rsidRDefault="00182760" w:rsidP="00182760">
            <w:pPr>
              <w:rPr>
                <w:sz w:val="18"/>
                <w:szCs w:val="18"/>
              </w:rPr>
            </w:pPr>
            <w:r w:rsidRPr="001D235E">
              <w:rPr>
                <w:sz w:val="18"/>
                <w:szCs w:val="18"/>
              </w:rPr>
              <w:t>No</w:t>
            </w:r>
          </w:p>
        </w:tc>
        <w:tc>
          <w:tcPr>
            <w:tcW w:w="650" w:type="pct"/>
          </w:tcPr>
          <w:p w14:paraId="28D4277C" w14:textId="77777777" w:rsidR="00182760" w:rsidRPr="001D235E" w:rsidRDefault="00182760" w:rsidP="00182760">
            <w:pPr>
              <w:rPr>
                <w:sz w:val="18"/>
                <w:szCs w:val="18"/>
              </w:rPr>
            </w:pPr>
            <w:r w:rsidRPr="001D235E">
              <w:rPr>
                <w:sz w:val="18"/>
                <w:szCs w:val="18"/>
              </w:rPr>
              <w:t>Yes</w:t>
            </w:r>
          </w:p>
        </w:tc>
        <w:tc>
          <w:tcPr>
            <w:tcW w:w="536" w:type="pct"/>
          </w:tcPr>
          <w:p w14:paraId="6DFB7CE3" w14:textId="77777777" w:rsidR="00182760" w:rsidRPr="001D235E" w:rsidRDefault="00182760" w:rsidP="00182760">
            <w:pPr>
              <w:rPr>
                <w:sz w:val="18"/>
                <w:szCs w:val="18"/>
              </w:rPr>
            </w:pPr>
            <w:r w:rsidRPr="001D235E">
              <w:rPr>
                <w:sz w:val="18"/>
                <w:szCs w:val="18"/>
              </w:rPr>
              <w:t>Yes</w:t>
            </w:r>
          </w:p>
        </w:tc>
        <w:tc>
          <w:tcPr>
            <w:tcW w:w="612" w:type="pct"/>
          </w:tcPr>
          <w:p w14:paraId="63F2FD2F" w14:textId="77777777" w:rsidR="00182760" w:rsidRPr="001D235E" w:rsidRDefault="00182760" w:rsidP="00182760">
            <w:pPr>
              <w:rPr>
                <w:sz w:val="18"/>
                <w:szCs w:val="18"/>
              </w:rPr>
            </w:pPr>
            <w:r w:rsidRPr="001D235E">
              <w:rPr>
                <w:sz w:val="18"/>
                <w:szCs w:val="18"/>
              </w:rPr>
              <w:t>No</w:t>
            </w:r>
          </w:p>
        </w:tc>
        <w:tc>
          <w:tcPr>
            <w:tcW w:w="634" w:type="pct"/>
          </w:tcPr>
          <w:p w14:paraId="7BE7E37D" w14:textId="77777777" w:rsidR="00182760" w:rsidRPr="001D235E" w:rsidRDefault="00182760" w:rsidP="00182760">
            <w:pPr>
              <w:rPr>
                <w:sz w:val="18"/>
                <w:szCs w:val="18"/>
              </w:rPr>
            </w:pPr>
            <w:r w:rsidRPr="001D235E">
              <w:rPr>
                <w:sz w:val="18"/>
                <w:szCs w:val="18"/>
              </w:rPr>
              <w:t>No</w:t>
            </w:r>
          </w:p>
        </w:tc>
      </w:tr>
      <w:tr w:rsidR="00182760" w:rsidRPr="001D235E" w14:paraId="03D8D1FC" w14:textId="77777777" w:rsidTr="00182760">
        <w:tc>
          <w:tcPr>
            <w:tcW w:w="706" w:type="pct"/>
          </w:tcPr>
          <w:p w14:paraId="04A81C44" w14:textId="77777777" w:rsidR="00182760" w:rsidRPr="001D235E" w:rsidRDefault="00182760" w:rsidP="00182760">
            <w:pPr>
              <w:rPr>
                <w:sz w:val="18"/>
                <w:szCs w:val="18"/>
              </w:rPr>
            </w:pPr>
            <w:r w:rsidRPr="001D235E">
              <w:rPr>
                <w:sz w:val="18"/>
                <w:szCs w:val="18"/>
              </w:rPr>
              <w:t xml:space="preserve">California </w:t>
            </w:r>
          </w:p>
        </w:tc>
        <w:tc>
          <w:tcPr>
            <w:tcW w:w="670" w:type="pct"/>
          </w:tcPr>
          <w:p w14:paraId="40510B4F" w14:textId="77777777" w:rsidR="00182760" w:rsidRPr="001D235E" w:rsidRDefault="00182760" w:rsidP="00182760">
            <w:pPr>
              <w:rPr>
                <w:sz w:val="18"/>
                <w:szCs w:val="18"/>
              </w:rPr>
            </w:pPr>
            <w:r w:rsidRPr="001D235E">
              <w:rPr>
                <w:sz w:val="18"/>
                <w:szCs w:val="18"/>
              </w:rPr>
              <w:t xml:space="preserve">Dense </w:t>
            </w:r>
          </w:p>
        </w:tc>
        <w:tc>
          <w:tcPr>
            <w:tcW w:w="587" w:type="pct"/>
          </w:tcPr>
          <w:p w14:paraId="002BAECB" w14:textId="77777777" w:rsidR="00182760" w:rsidRPr="001D235E" w:rsidRDefault="00182760" w:rsidP="00182760">
            <w:pPr>
              <w:rPr>
                <w:sz w:val="18"/>
                <w:szCs w:val="18"/>
              </w:rPr>
            </w:pPr>
            <w:r w:rsidRPr="001D235E">
              <w:rPr>
                <w:sz w:val="18"/>
                <w:szCs w:val="18"/>
              </w:rPr>
              <w:t>Yes</w:t>
            </w:r>
          </w:p>
        </w:tc>
        <w:tc>
          <w:tcPr>
            <w:tcW w:w="605" w:type="pct"/>
          </w:tcPr>
          <w:p w14:paraId="26DD541A" w14:textId="77777777" w:rsidR="00182760" w:rsidRPr="001D235E" w:rsidRDefault="00182760" w:rsidP="00182760">
            <w:pPr>
              <w:rPr>
                <w:sz w:val="18"/>
                <w:szCs w:val="18"/>
              </w:rPr>
            </w:pPr>
            <w:r w:rsidRPr="001D235E">
              <w:rPr>
                <w:sz w:val="18"/>
                <w:szCs w:val="18"/>
              </w:rPr>
              <w:t>No</w:t>
            </w:r>
          </w:p>
        </w:tc>
        <w:tc>
          <w:tcPr>
            <w:tcW w:w="650" w:type="pct"/>
          </w:tcPr>
          <w:p w14:paraId="13F01F53" w14:textId="77777777" w:rsidR="00182760" w:rsidRPr="001D235E" w:rsidRDefault="00182760" w:rsidP="00182760">
            <w:pPr>
              <w:rPr>
                <w:sz w:val="18"/>
                <w:szCs w:val="18"/>
              </w:rPr>
            </w:pPr>
            <w:r w:rsidRPr="001D235E">
              <w:rPr>
                <w:sz w:val="18"/>
                <w:szCs w:val="18"/>
              </w:rPr>
              <w:t>No</w:t>
            </w:r>
          </w:p>
        </w:tc>
        <w:tc>
          <w:tcPr>
            <w:tcW w:w="536" w:type="pct"/>
          </w:tcPr>
          <w:p w14:paraId="7DEE65A7" w14:textId="77777777" w:rsidR="00182760" w:rsidRPr="001D235E" w:rsidRDefault="00182760" w:rsidP="00182760">
            <w:pPr>
              <w:rPr>
                <w:sz w:val="18"/>
                <w:szCs w:val="18"/>
              </w:rPr>
            </w:pPr>
            <w:r w:rsidRPr="001D235E">
              <w:rPr>
                <w:sz w:val="18"/>
                <w:szCs w:val="18"/>
              </w:rPr>
              <w:t>Yes</w:t>
            </w:r>
          </w:p>
        </w:tc>
        <w:tc>
          <w:tcPr>
            <w:tcW w:w="612" w:type="pct"/>
          </w:tcPr>
          <w:p w14:paraId="3DBEA1D8" w14:textId="77777777" w:rsidR="00182760" w:rsidRPr="001D235E" w:rsidRDefault="00182760" w:rsidP="00182760">
            <w:pPr>
              <w:rPr>
                <w:sz w:val="18"/>
                <w:szCs w:val="18"/>
              </w:rPr>
            </w:pPr>
            <w:r w:rsidRPr="001D235E">
              <w:rPr>
                <w:sz w:val="18"/>
                <w:szCs w:val="18"/>
              </w:rPr>
              <w:t>No</w:t>
            </w:r>
          </w:p>
        </w:tc>
        <w:tc>
          <w:tcPr>
            <w:tcW w:w="634" w:type="pct"/>
          </w:tcPr>
          <w:p w14:paraId="55539DC8" w14:textId="77777777" w:rsidR="00182760" w:rsidRPr="001D235E" w:rsidRDefault="00182760" w:rsidP="00182760">
            <w:pPr>
              <w:rPr>
                <w:sz w:val="18"/>
                <w:szCs w:val="18"/>
              </w:rPr>
            </w:pPr>
            <w:r w:rsidRPr="001D235E">
              <w:rPr>
                <w:sz w:val="18"/>
                <w:szCs w:val="18"/>
              </w:rPr>
              <w:t>No</w:t>
            </w:r>
          </w:p>
        </w:tc>
      </w:tr>
      <w:tr w:rsidR="00182760" w:rsidRPr="001D235E" w14:paraId="2465BC4B" w14:textId="77777777" w:rsidTr="00182760">
        <w:tc>
          <w:tcPr>
            <w:tcW w:w="706" w:type="pct"/>
          </w:tcPr>
          <w:p w14:paraId="2FFC593C" w14:textId="77777777" w:rsidR="00182760" w:rsidRPr="001D235E" w:rsidRDefault="00182760" w:rsidP="00182760">
            <w:pPr>
              <w:rPr>
                <w:sz w:val="18"/>
                <w:szCs w:val="18"/>
              </w:rPr>
            </w:pPr>
            <w:r w:rsidRPr="001D235E">
              <w:rPr>
                <w:sz w:val="18"/>
                <w:szCs w:val="18"/>
              </w:rPr>
              <w:t>Colorado</w:t>
            </w:r>
          </w:p>
        </w:tc>
        <w:tc>
          <w:tcPr>
            <w:tcW w:w="670" w:type="pct"/>
          </w:tcPr>
          <w:p w14:paraId="7EF81E79" w14:textId="77777777" w:rsidR="00182760" w:rsidRPr="001D235E" w:rsidRDefault="00182760" w:rsidP="00182760">
            <w:pPr>
              <w:rPr>
                <w:sz w:val="18"/>
                <w:szCs w:val="18"/>
              </w:rPr>
            </w:pPr>
            <w:r w:rsidRPr="001D235E">
              <w:rPr>
                <w:sz w:val="18"/>
                <w:szCs w:val="18"/>
              </w:rPr>
              <w:t>Dense</w:t>
            </w:r>
          </w:p>
        </w:tc>
        <w:tc>
          <w:tcPr>
            <w:tcW w:w="587" w:type="pct"/>
          </w:tcPr>
          <w:p w14:paraId="0FB5F355" w14:textId="77777777" w:rsidR="00182760" w:rsidRPr="001D235E" w:rsidRDefault="00182760" w:rsidP="00182760">
            <w:pPr>
              <w:rPr>
                <w:sz w:val="18"/>
                <w:szCs w:val="18"/>
              </w:rPr>
            </w:pPr>
            <w:r w:rsidRPr="001D235E">
              <w:rPr>
                <w:sz w:val="18"/>
                <w:szCs w:val="18"/>
              </w:rPr>
              <w:t>Yes</w:t>
            </w:r>
          </w:p>
        </w:tc>
        <w:tc>
          <w:tcPr>
            <w:tcW w:w="605" w:type="pct"/>
          </w:tcPr>
          <w:p w14:paraId="5244C298" w14:textId="77777777" w:rsidR="00182760" w:rsidRPr="001D235E" w:rsidRDefault="00182760" w:rsidP="00182760">
            <w:pPr>
              <w:rPr>
                <w:sz w:val="18"/>
                <w:szCs w:val="18"/>
              </w:rPr>
            </w:pPr>
            <w:r w:rsidRPr="001D235E">
              <w:rPr>
                <w:sz w:val="18"/>
                <w:szCs w:val="18"/>
              </w:rPr>
              <w:t>No</w:t>
            </w:r>
          </w:p>
        </w:tc>
        <w:tc>
          <w:tcPr>
            <w:tcW w:w="650" w:type="pct"/>
          </w:tcPr>
          <w:p w14:paraId="32EA1C55" w14:textId="77777777" w:rsidR="00182760" w:rsidRPr="001D235E" w:rsidRDefault="00182760" w:rsidP="00182760">
            <w:pPr>
              <w:rPr>
                <w:sz w:val="18"/>
                <w:szCs w:val="18"/>
              </w:rPr>
            </w:pPr>
            <w:r w:rsidRPr="001D235E">
              <w:rPr>
                <w:sz w:val="18"/>
                <w:szCs w:val="18"/>
              </w:rPr>
              <w:t>No</w:t>
            </w:r>
          </w:p>
        </w:tc>
        <w:tc>
          <w:tcPr>
            <w:tcW w:w="536" w:type="pct"/>
          </w:tcPr>
          <w:p w14:paraId="5A4DBDEC" w14:textId="77777777" w:rsidR="00182760" w:rsidRPr="001D235E" w:rsidRDefault="00182760" w:rsidP="00182760">
            <w:pPr>
              <w:rPr>
                <w:sz w:val="18"/>
                <w:szCs w:val="18"/>
              </w:rPr>
            </w:pPr>
            <w:r w:rsidRPr="001D235E">
              <w:rPr>
                <w:sz w:val="18"/>
                <w:szCs w:val="18"/>
              </w:rPr>
              <w:t>Yes</w:t>
            </w:r>
          </w:p>
        </w:tc>
        <w:tc>
          <w:tcPr>
            <w:tcW w:w="612" w:type="pct"/>
          </w:tcPr>
          <w:p w14:paraId="737BE6CA" w14:textId="77777777" w:rsidR="00182760" w:rsidRPr="001D235E" w:rsidRDefault="00182760" w:rsidP="00182760">
            <w:pPr>
              <w:rPr>
                <w:sz w:val="18"/>
                <w:szCs w:val="18"/>
              </w:rPr>
            </w:pPr>
            <w:r w:rsidRPr="001D235E">
              <w:rPr>
                <w:sz w:val="18"/>
                <w:szCs w:val="18"/>
              </w:rPr>
              <w:t>No</w:t>
            </w:r>
          </w:p>
        </w:tc>
        <w:tc>
          <w:tcPr>
            <w:tcW w:w="634" w:type="pct"/>
          </w:tcPr>
          <w:p w14:paraId="7351CE56" w14:textId="77777777" w:rsidR="00182760" w:rsidRPr="001D235E" w:rsidRDefault="00182760" w:rsidP="00182760">
            <w:pPr>
              <w:rPr>
                <w:sz w:val="18"/>
                <w:szCs w:val="18"/>
              </w:rPr>
            </w:pPr>
            <w:r w:rsidRPr="001D235E">
              <w:rPr>
                <w:sz w:val="18"/>
                <w:szCs w:val="18"/>
              </w:rPr>
              <w:t>No</w:t>
            </w:r>
          </w:p>
        </w:tc>
      </w:tr>
      <w:tr w:rsidR="00182760" w:rsidRPr="001D235E" w14:paraId="7CAF141B" w14:textId="77777777" w:rsidTr="00182760">
        <w:tc>
          <w:tcPr>
            <w:tcW w:w="706" w:type="pct"/>
          </w:tcPr>
          <w:p w14:paraId="6DF5573E" w14:textId="77777777" w:rsidR="00182760" w:rsidRPr="001D235E" w:rsidRDefault="00182760" w:rsidP="00182760">
            <w:pPr>
              <w:rPr>
                <w:sz w:val="18"/>
                <w:szCs w:val="18"/>
              </w:rPr>
            </w:pPr>
            <w:r w:rsidRPr="001D235E">
              <w:rPr>
                <w:sz w:val="18"/>
                <w:szCs w:val="18"/>
              </w:rPr>
              <w:t>Connecticut</w:t>
            </w:r>
          </w:p>
        </w:tc>
        <w:tc>
          <w:tcPr>
            <w:tcW w:w="670" w:type="pct"/>
          </w:tcPr>
          <w:p w14:paraId="7820E918" w14:textId="04F1D673" w:rsidR="00182760" w:rsidRPr="001D235E" w:rsidRDefault="00EE52D6" w:rsidP="002D74B6">
            <w:pPr>
              <w:rPr>
                <w:sz w:val="18"/>
                <w:szCs w:val="18"/>
              </w:rPr>
            </w:pPr>
            <w:r>
              <w:rPr>
                <w:sz w:val="18"/>
                <w:szCs w:val="18"/>
              </w:rPr>
              <w:t xml:space="preserve">All, general info. If dense, supplemental </w:t>
            </w:r>
            <w:r w:rsidR="002D74B6">
              <w:rPr>
                <w:sz w:val="18"/>
                <w:szCs w:val="18"/>
              </w:rPr>
              <w:t xml:space="preserve">imaging </w:t>
            </w:r>
            <w:r>
              <w:rPr>
                <w:sz w:val="18"/>
                <w:szCs w:val="18"/>
              </w:rPr>
              <w:t>info</w:t>
            </w:r>
          </w:p>
        </w:tc>
        <w:tc>
          <w:tcPr>
            <w:tcW w:w="587" w:type="pct"/>
          </w:tcPr>
          <w:p w14:paraId="219B3C6D" w14:textId="77777777" w:rsidR="00182760" w:rsidRPr="001D235E" w:rsidRDefault="00182760" w:rsidP="00182760">
            <w:pPr>
              <w:rPr>
                <w:sz w:val="18"/>
                <w:szCs w:val="18"/>
              </w:rPr>
            </w:pPr>
            <w:r w:rsidRPr="001D235E">
              <w:rPr>
                <w:sz w:val="18"/>
                <w:szCs w:val="18"/>
              </w:rPr>
              <w:t>No</w:t>
            </w:r>
          </w:p>
        </w:tc>
        <w:tc>
          <w:tcPr>
            <w:tcW w:w="605" w:type="pct"/>
          </w:tcPr>
          <w:p w14:paraId="5B69DB11" w14:textId="77777777" w:rsidR="00182760" w:rsidRPr="001D235E" w:rsidRDefault="00182760" w:rsidP="00182760">
            <w:pPr>
              <w:rPr>
                <w:sz w:val="18"/>
                <w:szCs w:val="18"/>
              </w:rPr>
            </w:pPr>
            <w:r w:rsidRPr="001D235E">
              <w:rPr>
                <w:sz w:val="18"/>
                <w:szCs w:val="18"/>
              </w:rPr>
              <w:t xml:space="preserve">No </w:t>
            </w:r>
          </w:p>
        </w:tc>
        <w:tc>
          <w:tcPr>
            <w:tcW w:w="650" w:type="pct"/>
          </w:tcPr>
          <w:p w14:paraId="0706013B" w14:textId="77777777" w:rsidR="00182760" w:rsidRPr="001D235E" w:rsidRDefault="00182760" w:rsidP="00182760">
            <w:pPr>
              <w:rPr>
                <w:sz w:val="18"/>
                <w:szCs w:val="18"/>
              </w:rPr>
            </w:pPr>
            <w:r w:rsidRPr="001D235E">
              <w:rPr>
                <w:sz w:val="18"/>
                <w:szCs w:val="18"/>
              </w:rPr>
              <w:t>Yes</w:t>
            </w:r>
          </w:p>
        </w:tc>
        <w:tc>
          <w:tcPr>
            <w:tcW w:w="536" w:type="pct"/>
          </w:tcPr>
          <w:p w14:paraId="0C69F70C" w14:textId="77777777" w:rsidR="00182760" w:rsidRPr="001D235E" w:rsidRDefault="00182760" w:rsidP="00182760">
            <w:pPr>
              <w:rPr>
                <w:sz w:val="18"/>
                <w:szCs w:val="18"/>
              </w:rPr>
            </w:pPr>
            <w:r w:rsidRPr="001D235E">
              <w:rPr>
                <w:sz w:val="18"/>
                <w:szCs w:val="18"/>
              </w:rPr>
              <w:t>No</w:t>
            </w:r>
          </w:p>
        </w:tc>
        <w:tc>
          <w:tcPr>
            <w:tcW w:w="612" w:type="pct"/>
          </w:tcPr>
          <w:p w14:paraId="58374D31" w14:textId="7ECFF0B9" w:rsidR="00182760" w:rsidRPr="001D235E" w:rsidRDefault="00182760" w:rsidP="00182760">
            <w:pPr>
              <w:rPr>
                <w:sz w:val="18"/>
                <w:szCs w:val="18"/>
              </w:rPr>
            </w:pPr>
            <w:r w:rsidRPr="001D235E">
              <w:rPr>
                <w:sz w:val="18"/>
                <w:szCs w:val="18"/>
              </w:rPr>
              <w:t>Yes</w:t>
            </w:r>
            <w:r w:rsidR="00EE52D6">
              <w:rPr>
                <w:sz w:val="18"/>
                <w:szCs w:val="18"/>
              </w:rPr>
              <w:t>, if dense</w:t>
            </w:r>
          </w:p>
        </w:tc>
        <w:tc>
          <w:tcPr>
            <w:tcW w:w="634" w:type="pct"/>
          </w:tcPr>
          <w:p w14:paraId="5C9935BA" w14:textId="77777777" w:rsidR="00182760" w:rsidRPr="001D235E" w:rsidRDefault="00182760" w:rsidP="00182760">
            <w:pPr>
              <w:rPr>
                <w:sz w:val="18"/>
                <w:szCs w:val="18"/>
              </w:rPr>
            </w:pPr>
            <w:r w:rsidRPr="001D235E">
              <w:rPr>
                <w:sz w:val="18"/>
                <w:szCs w:val="18"/>
              </w:rPr>
              <w:t>Yes - If dense, US; if high risk, US or MRI. All women, 3D</w:t>
            </w:r>
          </w:p>
        </w:tc>
      </w:tr>
      <w:tr w:rsidR="00182760" w:rsidRPr="001D235E" w14:paraId="43A7366A" w14:textId="77777777" w:rsidTr="00182760">
        <w:tc>
          <w:tcPr>
            <w:tcW w:w="706" w:type="pct"/>
          </w:tcPr>
          <w:p w14:paraId="63A35375" w14:textId="77777777" w:rsidR="00182760" w:rsidRPr="001D235E" w:rsidRDefault="00182760" w:rsidP="00182760">
            <w:pPr>
              <w:rPr>
                <w:sz w:val="18"/>
                <w:szCs w:val="18"/>
              </w:rPr>
            </w:pPr>
            <w:r w:rsidRPr="001D235E">
              <w:rPr>
                <w:sz w:val="18"/>
                <w:szCs w:val="18"/>
              </w:rPr>
              <w:t>Delaware</w:t>
            </w:r>
          </w:p>
        </w:tc>
        <w:tc>
          <w:tcPr>
            <w:tcW w:w="670" w:type="pct"/>
          </w:tcPr>
          <w:p w14:paraId="0BC58EE4" w14:textId="77777777" w:rsidR="00182760" w:rsidRPr="001D235E" w:rsidRDefault="00182760" w:rsidP="00182760">
            <w:pPr>
              <w:rPr>
                <w:sz w:val="18"/>
                <w:szCs w:val="18"/>
              </w:rPr>
            </w:pPr>
            <w:r w:rsidRPr="001D235E">
              <w:rPr>
                <w:sz w:val="18"/>
                <w:szCs w:val="18"/>
              </w:rPr>
              <w:t>All</w:t>
            </w:r>
            <w:r w:rsidRPr="001D235E">
              <w:rPr>
                <w:sz w:val="18"/>
                <w:szCs w:val="18"/>
                <w:vertAlign w:val="superscript"/>
              </w:rPr>
              <w:t>2</w:t>
            </w:r>
          </w:p>
        </w:tc>
        <w:tc>
          <w:tcPr>
            <w:tcW w:w="587" w:type="pct"/>
          </w:tcPr>
          <w:p w14:paraId="35077D12" w14:textId="77777777" w:rsidR="00182760" w:rsidRPr="001D235E" w:rsidRDefault="00182760" w:rsidP="00182760">
            <w:pPr>
              <w:rPr>
                <w:sz w:val="18"/>
                <w:szCs w:val="18"/>
              </w:rPr>
            </w:pPr>
            <w:r w:rsidRPr="001D235E">
              <w:rPr>
                <w:sz w:val="18"/>
                <w:szCs w:val="18"/>
              </w:rPr>
              <w:t>Yes</w:t>
            </w:r>
          </w:p>
        </w:tc>
        <w:tc>
          <w:tcPr>
            <w:tcW w:w="605" w:type="pct"/>
          </w:tcPr>
          <w:p w14:paraId="7B55F6E0" w14:textId="77777777" w:rsidR="00182760" w:rsidRPr="001D235E" w:rsidRDefault="00182760" w:rsidP="00182760">
            <w:pPr>
              <w:rPr>
                <w:sz w:val="18"/>
                <w:szCs w:val="18"/>
              </w:rPr>
            </w:pPr>
            <w:r w:rsidRPr="001D235E">
              <w:rPr>
                <w:sz w:val="18"/>
                <w:szCs w:val="18"/>
              </w:rPr>
              <w:t>Yes</w:t>
            </w:r>
          </w:p>
        </w:tc>
        <w:tc>
          <w:tcPr>
            <w:tcW w:w="650" w:type="pct"/>
          </w:tcPr>
          <w:p w14:paraId="2BECD953" w14:textId="77777777" w:rsidR="00182760" w:rsidRPr="001D235E" w:rsidRDefault="00182760" w:rsidP="00182760">
            <w:pPr>
              <w:rPr>
                <w:sz w:val="18"/>
                <w:szCs w:val="18"/>
              </w:rPr>
            </w:pPr>
            <w:r w:rsidRPr="001D235E">
              <w:rPr>
                <w:sz w:val="18"/>
                <w:szCs w:val="18"/>
              </w:rPr>
              <w:t>Yes</w:t>
            </w:r>
          </w:p>
        </w:tc>
        <w:tc>
          <w:tcPr>
            <w:tcW w:w="536" w:type="pct"/>
          </w:tcPr>
          <w:p w14:paraId="385A18FF" w14:textId="77777777" w:rsidR="00182760" w:rsidRPr="001D235E" w:rsidRDefault="00182760" w:rsidP="00182760">
            <w:pPr>
              <w:rPr>
                <w:sz w:val="18"/>
                <w:szCs w:val="18"/>
              </w:rPr>
            </w:pPr>
            <w:r w:rsidRPr="001D235E">
              <w:rPr>
                <w:sz w:val="18"/>
                <w:szCs w:val="18"/>
              </w:rPr>
              <w:t>Yes</w:t>
            </w:r>
          </w:p>
        </w:tc>
        <w:tc>
          <w:tcPr>
            <w:tcW w:w="612" w:type="pct"/>
          </w:tcPr>
          <w:p w14:paraId="737DD24A" w14:textId="77777777" w:rsidR="00182760" w:rsidRPr="001D235E" w:rsidRDefault="00182760" w:rsidP="00182760">
            <w:pPr>
              <w:rPr>
                <w:sz w:val="18"/>
                <w:szCs w:val="18"/>
              </w:rPr>
            </w:pPr>
            <w:r w:rsidRPr="001D235E">
              <w:rPr>
                <w:sz w:val="18"/>
                <w:szCs w:val="18"/>
              </w:rPr>
              <w:t>Yes</w:t>
            </w:r>
          </w:p>
        </w:tc>
        <w:tc>
          <w:tcPr>
            <w:tcW w:w="634" w:type="pct"/>
          </w:tcPr>
          <w:p w14:paraId="3CF9510D" w14:textId="77777777" w:rsidR="00182760" w:rsidRPr="001D235E" w:rsidRDefault="00182760" w:rsidP="00182760">
            <w:pPr>
              <w:rPr>
                <w:sz w:val="18"/>
                <w:szCs w:val="18"/>
              </w:rPr>
            </w:pPr>
            <w:r w:rsidRPr="001D235E">
              <w:rPr>
                <w:sz w:val="18"/>
                <w:szCs w:val="18"/>
              </w:rPr>
              <w:t>No</w:t>
            </w:r>
          </w:p>
        </w:tc>
      </w:tr>
      <w:tr w:rsidR="00EE52D6" w:rsidRPr="001D235E" w14:paraId="7B648527" w14:textId="77777777" w:rsidTr="00182760">
        <w:tc>
          <w:tcPr>
            <w:tcW w:w="706" w:type="pct"/>
          </w:tcPr>
          <w:p w14:paraId="0444891B" w14:textId="55D78056" w:rsidR="00EE52D6" w:rsidRPr="001D235E" w:rsidRDefault="00EE52D6" w:rsidP="00182760">
            <w:pPr>
              <w:rPr>
                <w:sz w:val="18"/>
                <w:szCs w:val="18"/>
              </w:rPr>
            </w:pPr>
            <w:r>
              <w:rPr>
                <w:sz w:val="18"/>
                <w:szCs w:val="18"/>
              </w:rPr>
              <w:t>Florida</w:t>
            </w:r>
          </w:p>
        </w:tc>
        <w:tc>
          <w:tcPr>
            <w:tcW w:w="670" w:type="pct"/>
          </w:tcPr>
          <w:p w14:paraId="544C72FA" w14:textId="4209D1EF" w:rsidR="00EE52D6" w:rsidRPr="001D235E" w:rsidRDefault="00EE52D6" w:rsidP="00182760">
            <w:pPr>
              <w:rPr>
                <w:sz w:val="18"/>
                <w:szCs w:val="18"/>
              </w:rPr>
            </w:pPr>
            <w:r>
              <w:rPr>
                <w:sz w:val="18"/>
                <w:szCs w:val="18"/>
              </w:rPr>
              <w:t>Dense</w:t>
            </w:r>
          </w:p>
        </w:tc>
        <w:tc>
          <w:tcPr>
            <w:tcW w:w="587" w:type="pct"/>
          </w:tcPr>
          <w:p w14:paraId="13E3B412" w14:textId="7EBC7BD7" w:rsidR="00EE52D6" w:rsidRPr="001D235E" w:rsidRDefault="00EE52D6" w:rsidP="00182760">
            <w:pPr>
              <w:rPr>
                <w:sz w:val="18"/>
                <w:szCs w:val="18"/>
              </w:rPr>
            </w:pPr>
            <w:r>
              <w:rPr>
                <w:sz w:val="18"/>
                <w:szCs w:val="18"/>
              </w:rPr>
              <w:t>Yes</w:t>
            </w:r>
          </w:p>
        </w:tc>
        <w:tc>
          <w:tcPr>
            <w:tcW w:w="605" w:type="pct"/>
          </w:tcPr>
          <w:p w14:paraId="217FC273" w14:textId="1BD013D6" w:rsidR="00EE52D6" w:rsidRPr="001D235E" w:rsidRDefault="00EE52D6" w:rsidP="00182760">
            <w:pPr>
              <w:rPr>
                <w:sz w:val="18"/>
                <w:szCs w:val="18"/>
              </w:rPr>
            </w:pPr>
            <w:r>
              <w:rPr>
                <w:sz w:val="18"/>
                <w:szCs w:val="18"/>
              </w:rPr>
              <w:t>No</w:t>
            </w:r>
          </w:p>
        </w:tc>
        <w:tc>
          <w:tcPr>
            <w:tcW w:w="650" w:type="pct"/>
          </w:tcPr>
          <w:p w14:paraId="3D537A30" w14:textId="7465C593" w:rsidR="00EE52D6" w:rsidRPr="001D235E" w:rsidRDefault="00EE52D6" w:rsidP="00182760">
            <w:pPr>
              <w:rPr>
                <w:sz w:val="18"/>
                <w:szCs w:val="18"/>
              </w:rPr>
            </w:pPr>
            <w:r>
              <w:rPr>
                <w:sz w:val="18"/>
                <w:szCs w:val="18"/>
              </w:rPr>
              <w:t>Yes</w:t>
            </w:r>
          </w:p>
        </w:tc>
        <w:tc>
          <w:tcPr>
            <w:tcW w:w="536" w:type="pct"/>
          </w:tcPr>
          <w:p w14:paraId="4683570F" w14:textId="3E7BDC22" w:rsidR="00EE52D6" w:rsidRPr="001D235E" w:rsidRDefault="00EE52D6" w:rsidP="00182760">
            <w:pPr>
              <w:rPr>
                <w:sz w:val="18"/>
                <w:szCs w:val="18"/>
              </w:rPr>
            </w:pPr>
            <w:r>
              <w:rPr>
                <w:sz w:val="18"/>
                <w:szCs w:val="18"/>
              </w:rPr>
              <w:t>Yes</w:t>
            </w:r>
          </w:p>
        </w:tc>
        <w:tc>
          <w:tcPr>
            <w:tcW w:w="612" w:type="pct"/>
          </w:tcPr>
          <w:p w14:paraId="37AFA933" w14:textId="3F676D04" w:rsidR="00EE52D6" w:rsidRPr="001D235E" w:rsidRDefault="00EE52D6" w:rsidP="00182760">
            <w:pPr>
              <w:rPr>
                <w:sz w:val="18"/>
                <w:szCs w:val="18"/>
              </w:rPr>
            </w:pPr>
            <w:r>
              <w:rPr>
                <w:sz w:val="18"/>
                <w:szCs w:val="18"/>
              </w:rPr>
              <w:t>No</w:t>
            </w:r>
          </w:p>
        </w:tc>
        <w:tc>
          <w:tcPr>
            <w:tcW w:w="634" w:type="pct"/>
          </w:tcPr>
          <w:p w14:paraId="68FADFB1" w14:textId="646CCE68" w:rsidR="00EE52D6" w:rsidRPr="001D235E" w:rsidRDefault="00EE52D6" w:rsidP="00182760">
            <w:pPr>
              <w:rPr>
                <w:sz w:val="18"/>
                <w:szCs w:val="18"/>
              </w:rPr>
            </w:pPr>
            <w:r>
              <w:rPr>
                <w:sz w:val="18"/>
                <w:szCs w:val="18"/>
              </w:rPr>
              <w:t>No</w:t>
            </w:r>
          </w:p>
        </w:tc>
      </w:tr>
      <w:tr w:rsidR="00182760" w:rsidRPr="001D235E" w14:paraId="4755C537" w14:textId="77777777" w:rsidTr="00182760">
        <w:tc>
          <w:tcPr>
            <w:tcW w:w="706" w:type="pct"/>
          </w:tcPr>
          <w:p w14:paraId="00DF606C" w14:textId="77777777" w:rsidR="00182760" w:rsidRPr="001D235E" w:rsidRDefault="00182760" w:rsidP="00182760">
            <w:pPr>
              <w:rPr>
                <w:sz w:val="18"/>
                <w:szCs w:val="18"/>
              </w:rPr>
            </w:pPr>
            <w:r w:rsidRPr="001D235E">
              <w:rPr>
                <w:sz w:val="18"/>
                <w:szCs w:val="18"/>
              </w:rPr>
              <w:t xml:space="preserve">Hawaii </w:t>
            </w:r>
          </w:p>
        </w:tc>
        <w:tc>
          <w:tcPr>
            <w:tcW w:w="670" w:type="pct"/>
          </w:tcPr>
          <w:p w14:paraId="1482AF88" w14:textId="77777777" w:rsidR="00182760" w:rsidRPr="001D235E" w:rsidRDefault="00182760" w:rsidP="00182760">
            <w:pPr>
              <w:rPr>
                <w:sz w:val="18"/>
                <w:szCs w:val="18"/>
              </w:rPr>
            </w:pPr>
            <w:r w:rsidRPr="001D235E">
              <w:rPr>
                <w:sz w:val="18"/>
                <w:szCs w:val="18"/>
              </w:rPr>
              <w:t xml:space="preserve">Dense </w:t>
            </w:r>
          </w:p>
        </w:tc>
        <w:tc>
          <w:tcPr>
            <w:tcW w:w="587" w:type="pct"/>
          </w:tcPr>
          <w:p w14:paraId="7494B2E5" w14:textId="77777777" w:rsidR="00182760" w:rsidRPr="001D235E" w:rsidRDefault="00182760" w:rsidP="00182760">
            <w:pPr>
              <w:rPr>
                <w:sz w:val="18"/>
                <w:szCs w:val="18"/>
              </w:rPr>
            </w:pPr>
            <w:r w:rsidRPr="001D235E">
              <w:rPr>
                <w:sz w:val="18"/>
                <w:szCs w:val="18"/>
              </w:rPr>
              <w:t>Yes</w:t>
            </w:r>
          </w:p>
        </w:tc>
        <w:tc>
          <w:tcPr>
            <w:tcW w:w="605" w:type="pct"/>
          </w:tcPr>
          <w:p w14:paraId="079FF345" w14:textId="77777777" w:rsidR="00182760" w:rsidRPr="001D235E" w:rsidRDefault="00182760" w:rsidP="00182760">
            <w:pPr>
              <w:rPr>
                <w:sz w:val="18"/>
                <w:szCs w:val="18"/>
              </w:rPr>
            </w:pPr>
            <w:r w:rsidRPr="001D235E">
              <w:rPr>
                <w:sz w:val="18"/>
                <w:szCs w:val="18"/>
              </w:rPr>
              <w:t>No</w:t>
            </w:r>
          </w:p>
        </w:tc>
        <w:tc>
          <w:tcPr>
            <w:tcW w:w="650" w:type="pct"/>
          </w:tcPr>
          <w:p w14:paraId="1E444183" w14:textId="77777777" w:rsidR="00182760" w:rsidRPr="001D235E" w:rsidRDefault="00182760" w:rsidP="00182760">
            <w:pPr>
              <w:rPr>
                <w:sz w:val="18"/>
                <w:szCs w:val="18"/>
              </w:rPr>
            </w:pPr>
            <w:r w:rsidRPr="001D235E">
              <w:rPr>
                <w:sz w:val="18"/>
                <w:szCs w:val="18"/>
              </w:rPr>
              <w:t>Yes</w:t>
            </w:r>
          </w:p>
        </w:tc>
        <w:tc>
          <w:tcPr>
            <w:tcW w:w="536" w:type="pct"/>
          </w:tcPr>
          <w:p w14:paraId="3B91EED8" w14:textId="77777777" w:rsidR="00182760" w:rsidRPr="001D235E" w:rsidRDefault="00182760" w:rsidP="00182760">
            <w:pPr>
              <w:rPr>
                <w:sz w:val="18"/>
                <w:szCs w:val="18"/>
              </w:rPr>
            </w:pPr>
            <w:r w:rsidRPr="001D235E">
              <w:rPr>
                <w:sz w:val="18"/>
                <w:szCs w:val="18"/>
              </w:rPr>
              <w:t>Yes</w:t>
            </w:r>
          </w:p>
        </w:tc>
        <w:tc>
          <w:tcPr>
            <w:tcW w:w="612" w:type="pct"/>
          </w:tcPr>
          <w:p w14:paraId="6884AD68" w14:textId="77777777" w:rsidR="00182760" w:rsidRPr="001D235E" w:rsidRDefault="00182760" w:rsidP="00182760">
            <w:pPr>
              <w:rPr>
                <w:sz w:val="18"/>
                <w:szCs w:val="18"/>
              </w:rPr>
            </w:pPr>
            <w:r w:rsidRPr="001D235E">
              <w:rPr>
                <w:sz w:val="18"/>
                <w:szCs w:val="18"/>
              </w:rPr>
              <w:t>Yes</w:t>
            </w:r>
          </w:p>
        </w:tc>
        <w:tc>
          <w:tcPr>
            <w:tcW w:w="634" w:type="pct"/>
          </w:tcPr>
          <w:p w14:paraId="44FD5FEC" w14:textId="77777777" w:rsidR="00182760" w:rsidRPr="001D235E" w:rsidRDefault="00182760" w:rsidP="00182760">
            <w:pPr>
              <w:rPr>
                <w:sz w:val="18"/>
                <w:szCs w:val="18"/>
              </w:rPr>
            </w:pPr>
            <w:r w:rsidRPr="001D235E">
              <w:rPr>
                <w:sz w:val="18"/>
                <w:szCs w:val="18"/>
              </w:rPr>
              <w:t>No</w:t>
            </w:r>
          </w:p>
        </w:tc>
      </w:tr>
      <w:tr w:rsidR="00182760" w:rsidRPr="001D235E" w14:paraId="7B3E21F5" w14:textId="77777777" w:rsidTr="00182760">
        <w:tc>
          <w:tcPr>
            <w:tcW w:w="706" w:type="pct"/>
          </w:tcPr>
          <w:p w14:paraId="407B98B6" w14:textId="77777777" w:rsidR="00182760" w:rsidRPr="001D235E" w:rsidRDefault="00182760" w:rsidP="00182760">
            <w:pPr>
              <w:rPr>
                <w:sz w:val="18"/>
                <w:szCs w:val="18"/>
              </w:rPr>
            </w:pPr>
            <w:r w:rsidRPr="001D235E">
              <w:rPr>
                <w:sz w:val="18"/>
                <w:szCs w:val="18"/>
              </w:rPr>
              <w:t>Iowa</w:t>
            </w:r>
          </w:p>
        </w:tc>
        <w:tc>
          <w:tcPr>
            <w:tcW w:w="670" w:type="pct"/>
          </w:tcPr>
          <w:p w14:paraId="609E4DC4" w14:textId="77777777" w:rsidR="00182760" w:rsidRPr="001D235E" w:rsidRDefault="00182760" w:rsidP="00182760">
            <w:pPr>
              <w:rPr>
                <w:sz w:val="18"/>
                <w:szCs w:val="18"/>
              </w:rPr>
            </w:pPr>
            <w:r w:rsidRPr="001D235E">
              <w:rPr>
                <w:sz w:val="18"/>
                <w:szCs w:val="18"/>
              </w:rPr>
              <w:t xml:space="preserve">All </w:t>
            </w:r>
          </w:p>
        </w:tc>
        <w:tc>
          <w:tcPr>
            <w:tcW w:w="587" w:type="pct"/>
          </w:tcPr>
          <w:p w14:paraId="341A3544" w14:textId="77777777" w:rsidR="00182760" w:rsidRPr="001D235E" w:rsidRDefault="00182760" w:rsidP="00182760">
            <w:pPr>
              <w:rPr>
                <w:sz w:val="18"/>
                <w:szCs w:val="18"/>
              </w:rPr>
            </w:pPr>
            <w:r w:rsidRPr="001D235E">
              <w:rPr>
                <w:sz w:val="18"/>
                <w:szCs w:val="18"/>
              </w:rPr>
              <w:t>Yes</w:t>
            </w:r>
          </w:p>
        </w:tc>
        <w:tc>
          <w:tcPr>
            <w:tcW w:w="605" w:type="pct"/>
          </w:tcPr>
          <w:p w14:paraId="6C7A3C1B" w14:textId="77777777" w:rsidR="00182760" w:rsidRPr="001D235E" w:rsidRDefault="00182760" w:rsidP="00182760">
            <w:pPr>
              <w:rPr>
                <w:sz w:val="18"/>
                <w:szCs w:val="18"/>
              </w:rPr>
            </w:pPr>
            <w:r w:rsidRPr="001D235E">
              <w:rPr>
                <w:sz w:val="18"/>
                <w:szCs w:val="18"/>
              </w:rPr>
              <w:t xml:space="preserve">Yes </w:t>
            </w:r>
          </w:p>
        </w:tc>
        <w:tc>
          <w:tcPr>
            <w:tcW w:w="650" w:type="pct"/>
          </w:tcPr>
          <w:p w14:paraId="2860BFD0" w14:textId="77777777" w:rsidR="00182760" w:rsidRPr="001D235E" w:rsidRDefault="00182760" w:rsidP="00182760">
            <w:pPr>
              <w:rPr>
                <w:sz w:val="18"/>
                <w:szCs w:val="18"/>
              </w:rPr>
            </w:pPr>
            <w:r w:rsidRPr="001D235E">
              <w:rPr>
                <w:sz w:val="18"/>
                <w:szCs w:val="18"/>
              </w:rPr>
              <w:t>TBD</w:t>
            </w:r>
          </w:p>
        </w:tc>
        <w:tc>
          <w:tcPr>
            <w:tcW w:w="536" w:type="pct"/>
          </w:tcPr>
          <w:p w14:paraId="22AB4689" w14:textId="77777777" w:rsidR="00182760" w:rsidRPr="001D235E" w:rsidRDefault="00182760" w:rsidP="00182760">
            <w:pPr>
              <w:rPr>
                <w:sz w:val="18"/>
                <w:szCs w:val="18"/>
              </w:rPr>
            </w:pPr>
            <w:r w:rsidRPr="001D235E">
              <w:rPr>
                <w:sz w:val="18"/>
                <w:szCs w:val="18"/>
              </w:rPr>
              <w:t>Yes</w:t>
            </w:r>
          </w:p>
        </w:tc>
        <w:tc>
          <w:tcPr>
            <w:tcW w:w="612" w:type="pct"/>
          </w:tcPr>
          <w:p w14:paraId="1FBDC38C" w14:textId="77777777" w:rsidR="00182760" w:rsidRPr="001D235E" w:rsidRDefault="00182760" w:rsidP="00182760">
            <w:pPr>
              <w:rPr>
                <w:sz w:val="18"/>
                <w:szCs w:val="18"/>
              </w:rPr>
            </w:pPr>
            <w:r w:rsidRPr="001D235E">
              <w:rPr>
                <w:sz w:val="18"/>
                <w:szCs w:val="18"/>
              </w:rPr>
              <w:t>TBD</w:t>
            </w:r>
          </w:p>
        </w:tc>
        <w:tc>
          <w:tcPr>
            <w:tcW w:w="634" w:type="pct"/>
          </w:tcPr>
          <w:p w14:paraId="4E039A2A" w14:textId="77777777" w:rsidR="00182760" w:rsidRPr="001D235E" w:rsidRDefault="00182760" w:rsidP="00182760">
            <w:pPr>
              <w:rPr>
                <w:sz w:val="18"/>
                <w:szCs w:val="18"/>
              </w:rPr>
            </w:pPr>
            <w:r w:rsidRPr="001D235E">
              <w:rPr>
                <w:sz w:val="18"/>
                <w:szCs w:val="18"/>
              </w:rPr>
              <w:t>No</w:t>
            </w:r>
          </w:p>
        </w:tc>
      </w:tr>
      <w:tr w:rsidR="00182760" w:rsidRPr="001D235E" w14:paraId="3587F1D1" w14:textId="77777777" w:rsidTr="00182760">
        <w:tc>
          <w:tcPr>
            <w:tcW w:w="706" w:type="pct"/>
          </w:tcPr>
          <w:p w14:paraId="19A9B901" w14:textId="77777777" w:rsidR="00182760" w:rsidRPr="001D235E" w:rsidRDefault="00182760" w:rsidP="00182760">
            <w:pPr>
              <w:rPr>
                <w:sz w:val="18"/>
                <w:szCs w:val="18"/>
              </w:rPr>
            </w:pPr>
            <w:r w:rsidRPr="001D235E">
              <w:rPr>
                <w:sz w:val="18"/>
                <w:szCs w:val="18"/>
              </w:rPr>
              <w:t>Kentucky</w:t>
            </w:r>
          </w:p>
        </w:tc>
        <w:tc>
          <w:tcPr>
            <w:tcW w:w="670" w:type="pct"/>
          </w:tcPr>
          <w:p w14:paraId="1F2B1EBA" w14:textId="77777777" w:rsidR="00182760" w:rsidRPr="001D235E" w:rsidRDefault="00182760" w:rsidP="00182760">
            <w:pPr>
              <w:rPr>
                <w:sz w:val="18"/>
                <w:szCs w:val="18"/>
              </w:rPr>
            </w:pPr>
            <w:r w:rsidRPr="001D235E">
              <w:rPr>
                <w:sz w:val="18"/>
                <w:szCs w:val="18"/>
              </w:rPr>
              <w:t xml:space="preserve">Dense </w:t>
            </w:r>
          </w:p>
        </w:tc>
        <w:tc>
          <w:tcPr>
            <w:tcW w:w="587" w:type="pct"/>
          </w:tcPr>
          <w:p w14:paraId="5446845C" w14:textId="77777777" w:rsidR="00182760" w:rsidRPr="001D235E" w:rsidRDefault="00182760" w:rsidP="00182760">
            <w:pPr>
              <w:rPr>
                <w:sz w:val="18"/>
                <w:szCs w:val="18"/>
              </w:rPr>
            </w:pPr>
            <w:r w:rsidRPr="001D235E">
              <w:rPr>
                <w:sz w:val="18"/>
                <w:szCs w:val="18"/>
              </w:rPr>
              <w:t xml:space="preserve">Yes </w:t>
            </w:r>
          </w:p>
        </w:tc>
        <w:tc>
          <w:tcPr>
            <w:tcW w:w="605" w:type="pct"/>
          </w:tcPr>
          <w:p w14:paraId="30509F81" w14:textId="77777777" w:rsidR="00182760" w:rsidRPr="001D235E" w:rsidRDefault="00182760" w:rsidP="00182760">
            <w:pPr>
              <w:rPr>
                <w:sz w:val="18"/>
                <w:szCs w:val="18"/>
              </w:rPr>
            </w:pPr>
            <w:r w:rsidRPr="001D235E">
              <w:rPr>
                <w:sz w:val="18"/>
                <w:szCs w:val="18"/>
              </w:rPr>
              <w:t>No</w:t>
            </w:r>
          </w:p>
        </w:tc>
        <w:tc>
          <w:tcPr>
            <w:tcW w:w="650" w:type="pct"/>
          </w:tcPr>
          <w:p w14:paraId="2003E8CA" w14:textId="77777777" w:rsidR="00182760" w:rsidRPr="001D235E" w:rsidRDefault="00182760" w:rsidP="00182760">
            <w:pPr>
              <w:rPr>
                <w:sz w:val="18"/>
                <w:szCs w:val="18"/>
              </w:rPr>
            </w:pPr>
            <w:r w:rsidRPr="001D235E">
              <w:rPr>
                <w:sz w:val="18"/>
                <w:szCs w:val="18"/>
              </w:rPr>
              <w:t>Yes</w:t>
            </w:r>
          </w:p>
        </w:tc>
        <w:tc>
          <w:tcPr>
            <w:tcW w:w="536" w:type="pct"/>
          </w:tcPr>
          <w:p w14:paraId="51064774" w14:textId="77777777" w:rsidR="00182760" w:rsidRPr="001D235E" w:rsidRDefault="00182760" w:rsidP="00182760">
            <w:pPr>
              <w:rPr>
                <w:sz w:val="18"/>
                <w:szCs w:val="18"/>
              </w:rPr>
            </w:pPr>
            <w:r w:rsidRPr="001D235E">
              <w:rPr>
                <w:sz w:val="18"/>
                <w:szCs w:val="18"/>
              </w:rPr>
              <w:t>Yes</w:t>
            </w:r>
          </w:p>
        </w:tc>
        <w:tc>
          <w:tcPr>
            <w:tcW w:w="612" w:type="pct"/>
          </w:tcPr>
          <w:p w14:paraId="78EFFE36" w14:textId="77777777" w:rsidR="00182760" w:rsidRPr="001D235E" w:rsidRDefault="00182760" w:rsidP="00182760">
            <w:pPr>
              <w:rPr>
                <w:sz w:val="18"/>
                <w:szCs w:val="18"/>
              </w:rPr>
            </w:pPr>
            <w:r w:rsidRPr="001D235E">
              <w:rPr>
                <w:sz w:val="18"/>
                <w:szCs w:val="18"/>
              </w:rPr>
              <w:t>No</w:t>
            </w:r>
          </w:p>
        </w:tc>
        <w:tc>
          <w:tcPr>
            <w:tcW w:w="634" w:type="pct"/>
          </w:tcPr>
          <w:p w14:paraId="29F84BFD" w14:textId="77777777" w:rsidR="00182760" w:rsidRPr="001D235E" w:rsidRDefault="00182760" w:rsidP="00182760">
            <w:pPr>
              <w:rPr>
                <w:sz w:val="18"/>
                <w:szCs w:val="18"/>
              </w:rPr>
            </w:pPr>
            <w:r w:rsidRPr="001D235E">
              <w:rPr>
                <w:sz w:val="18"/>
                <w:szCs w:val="18"/>
              </w:rPr>
              <w:t>Yes – all women, 3D</w:t>
            </w:r>
          </w:p>
        </w:tc>
      </w:tr>
      <w:tr w:rsidR="00182760" w:rsidRPr="001D235E" w14:paraId="66BEC8DA" w14:textId="77777777" w:rsidTr="00182760">
        <w:tc>
          <w:tcPr>
            <w:tcW w:w="706" w:type="pct"/>
          </w:tcPr>
          <w:p w14:paraId="3B54AEA6" w14:textId="77777777" w:rsidR="00182760" w:rsidRPr="001D235E" w:rsidRDefault="00182760" w:rsidP="00182760">
            <w:pPr>
              <w:rPr>
                <w:sz w:val="18"/>
                <w:szCs w:val="18"/>
              </w:rPr>
            </w:pPr>
            <w:r w:rsidRPr="001D235E">
              <w:rPr>
                <w:sz w:val="18"/>
                <w:szCs w:val="18"/>
              </w:rPr>
              <w:t>Louisiana</w:t>
            </w:r>
          </w:p>
        </w:tc>
        <w:tc>
          <w:tcPr>
            <w:tcW w:w="670" w:type="pct"/>
          </w:tcPr>
          <w:p w14:paraId="3ABCFA56" w14:textId="77777777" w:rsidR="00182760" w:rsidRPr="001D235E" w:rsidRDefault="00182760" w:rsidP="00182760">
            <w:pPr>
              <w:rPr>
                <w:sz w:val="18"/>
                <w:szCs w:val="18"/>
              </w:rPr>
            </w:pPr>
            <w:r w:rsidRPr="001D235E">
              <w:rPr>
                <w:sz w:val="18"/>
                <w:szCs w:val="18"/>
              </w:rPr>
              <w:t xml:space="preserve">All </w:t>
            </w:r>
          </w:p>
        </w:tc>
        <w:tc>
          <w:tcPr>
            <w:tcW w:w="587" w:type="pct"/>
          </w:tcPr>
          <w:p w14:paraId="7EDC7B85" w14:textId="77777777" w:rsidR="00182760" w:rsidRPr="001D235E" w:rsidRDefault="00182760" w:rsidP="00182760">
            <w:pPr>
              <w:rPr>
                <w:sz w:val="18"/>
                <w:szCs w:val="18"/>
              </w:rPr>
            </w:pPr>
            <w:r w:rsidRPr="001D235E">
              <w:rPr>
                <w:sz w:val="18"/>
                <w:szCs w:val="18"/>
              </w:rPr>
              <w:t>No</w:t>
            </w:r>
          </w:p>
        </w:tc>
        <w:tc>
          <w:tcPr>
            <w:tcW w:w="605" w:type="pct"/>
          </w:tcPr>
          <w:p w14:paraId="6B7BAC0D" w14:textId="77777777" w:rsidR="00182760" w:rsidRPr="001D235E" w:rsidRDefault="00182760" w:rsidP="00182760">
            <w:pPr>
              <w:rPr>
                <w:sz w:val="18"/>
                <w:szCs w:val="18"/>
              </w:rPr>
            </w:pPr>
            <w:r w:rsidRPr="001D235E">
              <w:rPr>
                <w:sz w:val="18"/>
                <w:szCs w:val="18"/>
              </w:rPr>
              <w:t>No</w:t>
            </w:r>
          </w:p>
        </w:tc>
        <w:tc>
          <w:tcPr>
            <w:tcW w:w="650" w:type="pct"/>
          </w:tcPr>
          <w:p w14:paraId="02846FFA" w14:textId="77777777" w:rsidR="00182760" w:rsidRPr="001D235E" w:rsidRDefault="00182760" w:rsidP="00182760">
            <w:pPr>
              <w:rPr>
                <w:sz w:val="18"/>
                <w:szCs w:val="18"/>
              </w:rPr>
            </w:pPr>
            <w:r w:rsidRPr="001D235E">
              <w:rPr>
                <w:sz w:val="18"/>
                <w:szCs w:val="18"/>
              </w:rPr>
              <w:t>Yes</w:t>
            </w:r>
          </w:p>
        </w:tc>
        <w:tc>
          <w:tcPr>
            <w:tcW w:w="536" w:type="pct"/>
          </w:tcPr>
          <w:p w14:paraId="2DC88A09" w14:textId="77777777" w:rsidR="00182760" w:rsidRPr="001D235E" w:rsidRDefault="00182760" w:rsidP="00182760">
            <w:pPr>
              <w:rPr>
                <w:sz w:val="18"/>
                <w:szCs w:val="18"/>
              </w:rPr>
            </w:pPr>
            <w:r w:rsidRPr="001D235E">
              <w:rPr>
                <w:sz w:val="18"/>
                <w:szCs w:val="18"/>
              </w:rPr>
              <w:t>Yes</w:t>
            </w:r>
          </w:p>
        </w:tc>
        <w:tc>
          <w:tcPr>
            <w:tcW w:w="612" w:type="pct"/>
          </w:tcPr>
          <w:p w14:paraId="0164484D" w14:textId="77777777" w:rsidR="00182760" w:rsidRPr="001D235E" w:rsidRDefault="00182760" w:rsidP="00182760">
            <w:pPr>
              <w:rPr>
                <w:sz w:val="18"/>
                <w:szCs w:val="18"/>
              </w:rPr>
            </w:pPr>
            <w:r w:rsidRPr="001D235E">
              <w:rPr>
                <w:sz w:val="18"/>
                <w:szCs w:val="18"/>
              </w:rPr>
              <w:t>Yes</w:t>
            </w:r>
          </w:p>
        </w:tc>
        <w:tc>
          <w:tcPr>
            <w:tcW w:w="634" w:type="pct"/>
          </w:tcPr>
          <w:p w14:paraId="7F3671F5" w14:textId="77777777" w:rsidR="00182760" w:rsidRPr="001D235E" w:rsidRDefault="00182760" w:rsidP="00182760">
            <w:pPr>
              <w:rPr>
                <w:sz w:val="18"/>
                <w:szCs w:val="18"/>
              </w:rPr>
            </w:pPr>
            <w:r w:rsidRPr="001D235E">
              <w:rPr>
                <w:sz w:val="18"/>
                <w:szCs w:val="18"/>
              </w:rPr>
              <w:t>No</w:t>
            </w:r>
          </w:p>
        </w:tc>
      </w:tr>
      <w:tr w:rsidR="00182760" w:rsidRPr="001D235E" w14:paraId="26F4CF70" w14:textId="77777777" w:rsidTr="00182760">
        <w:tc>
          <w:tcPr>
            <w:tcW w:w="706" w:type="pct"/>
          </w:tcPr>
          <w:p w14:paraId="402C3A86" w14:textId="77777777" w:rsidR="00182760" w:rsidRPr="001D235E" w:rsidRDefault="00182760" w:rsidP="00182760">
            <w:pPr>
              <w:rPr>
                <w:sz w:val="18"/>
                <w:szCs w:val="18"/>
              </w:rPr>
            </w:pPr>
            <w:r w:rsidRPr="001D235E">
              <w:rPr>
                <w:sz w:val="18"/>
                <w:szCs w:val="18"/>
              </w:rPr>
              <w:t>Maryland</w:t>
            </w:r>
          </w:p>
        </w:tc>
        <w:tc>
          <w:tcPr>
            <w:tcW w:w="670" w:type="pct"/>
          </w:tcPr>
          <w:p w14:paraId="7BCDECA9" w14:textId="77777777" w:rsidR="00182760" w:rsidRPr="001D235E" w:rsidRDefault="00182760" w:rsidP="00182760">
            <w:pPr>
              <w:rPr>
                <w:sz w:val="18"/>
                <w:szCs w:val="18"/>
              </w:rPr>
            </w:pPr>
            <w:r w:rsidRPr="001D235E">
              <w:rPr>
                <w:sz w:val="18"/>
                <w:szCs w:val="18"/>
              </w:rPr>
              <w:t xml:space="preserve">All </w:t>
            </w:r>
          </w:p>
        </w:tc>
        <w:tc>
          <w:tcPr>
            <w:tcW w:w="587" w:type="pct"/>
          </w:tcPr>
          <w:p w14:paraId="25FD0243" w14:textId="77777777" w:rsidR="00182760" w:rsidRPr="001D235E" w:rsidRDefault="00182760" w:rsidP="00182760">
            <w:pPr>
              <w:rPr>
                <w:sz w:val="18"/>
                <w:szCs w:val="18"/>
              </w:rPr>
            </w:pPr>
            <w:r w:rsidRPr="001D235E">
              <w:rPr>
                <w:sz w:val="18"/>
                <w:szCs w:val="18"/>
              </w:rPr>
              <w:t>No</w:t>
            </w:r>
          </w:p>
        </w:tc>
        <w:tc>
          <w:tcPr>
            <w:tcW w:w="605" w:type="pct"/>
          </w:tcPr>
          <w:p w14:paraId="764C8959" w14:textId="77777777" w:rsidR="00182760" w:rsidRPr="001D235E" w:rsidRDefault="00182760" w:rsidP="00182760">
            <w:pPr>
              <w:rPr>
                <w:sz w:val="18"/>
                <w:szCs w:val="18"/>
              </w:rPr>
            </w:pPr>
            <w:r w:rsidRPr="001D235E">
              <w:rPr>
                <w:sz w:val="18"/>
                <w:szCs w:val="18"/>
              </w:rPr>
              <w:t>No</w:t>
            </w:r>
          </w:p>
        </w:tc>
        <w:tc>
          <w:tcPr>
            <w:tcW w:w="650" w:type="pct"/>
          </w:tcPr>
          <w:p w14:paraId="713E0055" w14:textId="77777777" w:rsidR="00182760" w:rsidRPr="001D235E" w:rsidRDefault="00182760" w:rsidP="00182760">
            <w:pPr>
              <w:rPr>
                <w:sz w:val="18"/>
                <w:szCs w:val="18"/>
              </w:rPr>
            </w:pPr>
            <w:r w:rsidRPr="001D235E">
              <w:rPr>
                <w:sz w:val="18"/>
                <w:szCs w:val="18"/>
              </w:rPr>
              <w:t>Yes</w:t>
            </w:r>
          </w:p>
        </w:tc>
        <w:tc>
          <w:tcPr>
            <w:tcW w:w="536" w:type="pct"/>
          </w:tcPr>
          <w:p w14:paraId="729FB762" w14:textId="77777777" w:rsidR="00182760" w:rsidRPr="001D235E" w:rsidRDefault="00182760" w:rsidP="00182760">
            <w:pPr>
              <w:rPr>
                <w:sz w:val="18"/>
                <w:szCs w:val="18"/>
              </w:rPr>
            </w:pPr>
            <w:r w:rsidRPr="001D235E">
              <w:rPr>
                <w:sz w:val="18"/>
                <w:szCs w:val="18"/>
              </w:rPr>
              <w:t>Yes</w:t>
            </w:r>
          </w:p>
        </w:tc>
        <w:tc>
          <w:tcPr>
            <w:tcW w:w="612" w:type="pct"/>
          </w:tcPr>
          <w:p w14:paraId="744B2A34" w14:textId="77777777" w:rsidR="00182760" w:rsidRPr="001D235E" w:rsidRDefault="00182760" w:rsidP="00182760">
            <w:pPr>
              <w:rPr>
                <w:sz w:val="18"/>
                <w:szCs w:val="18"/>
              </w:rPr>
            </w:pPr>
            <w:r w:rsidRPr="001D235E">
              <w:rPr>
                <w:sz w:val="18"/>
                <w:szCs w:val="18"/>
              </w:rPr>
              <w:t>No</w:t>
            </w:r>
          </w:p>
        </w:tc>
        <w:tc>
          <w:tcPr>
            <w:tcW w:w="634" w:type="pct"/>
          </w:tcPr>
          <w:p w14:paraId="029EF39F" w14:textId="77777777" w:rsidR="00182760" w:rsidRPr="001D235E" w:rsidRDefault="00182760" w:rsidP="00182760">
            <w:pPr>
              <w:rPr>
                <w:sz w:val="18"/>
                <w:szCs w:val="18"/>
              </w:rPr>
            </w:pPr>
            <w:r w:rsidRPr="001D235E">
              <w:rPr>
                <w:sz w:val="18"/>
                <w:szCs w:val="18"/>
              </w:rPr>
              <w:t>Yes – all women, 3D</w:t>
            </w:r>
          </w:p>
        </w:tc>
      </w:tr>
      <w:tr w:rsidR="00182760" w:rsidRPr="001D235E" w14:paraId="6F03679C" w14:textId="77777777" w:rsidTr="00182760">
        <w:tc>
          <w:tcPr>
            <w:tcW w:w="706" w:type="pct"/>
          </w:tcPr>
          <w:p w14:paraId="18C6C9C5" w14:textId="77777777" w:rsidR="00182760" w:rsidRPr="001D235E" w:rsidRDefault="00182760" w:rsidP="00182760">
            <w:pPr>
              <w:rPr>
                <w:sz w:val="18"/>
                <w:szCs w:val="18"/>
              </w:rPr>
            </w:pPr>
            <w:r w:rsidRPr="001D235E">
              <w:rPr>
                <w:sz w:val="18"/>
                <w:szCs w:val="18"/>
              </w:rPr>
              <w:t>Massachusetts</w:t>
            </w:r>
          </w:p>
        </w:tc>
        <w:tc>
          <w:tcPr>
            <w:tcW w:w="670" w:type="pct"/>
          </w:tcPr>
          <w:p w14:paraId="1D373906" w14:textId="77777777" w:rsidR="00182760" w:rsidRPr="001D235E" w:rsidRDefault="00182760" w:rsidP="00182760">
            <w:pPr>
              <w:rPr>
                <w:sz w:val="18"/>
                <w:szCs w:val="18"/>
              </w:rPr>
            </w:pPr>
            <w:r w:rsidRPr="001D235E">
              <w:rPr>
                <w:sz w:val="18"/>
                <w:szCs w:val="18"/>
              </w:rPr>
              <w:t xml:space="preserve">Dense </w:t>
            </w:r>
          </w:p>
        </w:tc>
        <w:tc>
          <w:tcPr>
            <w:tcW w:w="587" w:type="pct"/>
          </w:tcPr>
          <w:p w14:paraId="6A936655" w14:textId="77777777" w:rsidR="00182760" w:rsidRPr="001D235E" w:rsidRDefault="00182760" w:rsidP="00182760">
            <w:pPr>
              <w:rPr>
                <w:sz w:val="18"/>
                <w:szCs w:val="18"/>
              </w:rPr>
            </w:pPr>
            <w:r w:rsidRPr="001D235E">
              <w:rPr>
                <w:sz w:val="18"/>
                <w:szCs w:val="18"/>
              </w:rPr>
              <w:t>Yes</w:t>
            </w:r>
          </w:p>
        </w:tc>
        <w:tc>
          <w:tcPr>
            <w:tcW w:w="605" w:type="pct"/>
          </w:tcPr>
          <w:p w14:paraId="33C9ABD6" w14:textId="77777777" w:rsidR="00182760" w:rsidRPr="001D235E" w:rsidRDefault="00182760" w:rsidP="00182760">
            <w:pPr>
              <w:rPr>
                <w:sz w:val="18"/>
                <w:szCs w:val="18"/>
              </w:rPr>
            </w:pPr>
            <w:r w:rsidRPr="001D235E">
              <w:rPr>
                <w:sz w:val="18"/>
                <w:szCs w:val="18"/>
              </w:rPr>
              <w:t>Yes</w:t>
            </w:r>
          </w:p>
        </w:tc>
        <w:tc>
          <w:tcPr>
            <w:tcW w:w="650" w:type="pct"/>
          </w:tcPr>
          <w:p w14:paraId="5AD20C3A" w14:textId="77777777" w:rsidR="00182760" w:rsidRPr="001D235E" w:rsidRDefault="00182760" w:rsidP="00182760">
            <w:pPr>
              <w:rPr>
                <w:sz w:val="18"/>
                <w:szCs w:val="18"/>
              </w:rPr>
            </w:pPr>
            <w:r w:rsidRPr="001D235E">
              <w:rPr>
                <w:sz w:val="18"/>
                <w:szCs w:val="18"/>
              </w:rPr>
              <w:t>Yes</w:t>
            </w:r>
          </w:p>
        </w:tc>
        <w:tc>
          <w:tcPr>
            <w:tcW w:w="536" w:type="pct"/>
          </w:tcPr>
          <w:p w14:paraId="472C04F5" w14:textId="77777777" w:rsidR="00182760" w:rsidRPr="001D235E" w:rsidRDefault="00182760" w:rsidP="00182760">
            <w:pPr>
              <w:rPr>
                <w:sz w:val="18"/>
                <w:szCs w:val="18"/>
              </w:rPr>
            </w:pPr>
            <w:r w:rsidRPr="001D235E">
              <w:rPr>
                <w:sz w:val="18"/>
                <w:szCs w:val="18"/>
              </w:rPr>
              <w:t>Yes</w:t>
            </w:r>
          </w:p>
        </w:tc>
        <w:tc>
          <w:tcPr>
            <w:tcW w:w="612" w:type="pct"/>
          </w:tcPr>
          <w:p w14:paraId="7EC6F674" w14:textId="77777777" w:rsidR="00182760" w:rsidRPr="001D235E" w:rsidRDefault="00182760" w:rsidP="00182760">
            <w:pPr>
              <w:rPr>
                <w:sz w:val="18"/>
                <w:szCs w:val="18"/>
              </w:rPr>
            </w:pPr>
            <w:r w:rsidRPr="001D235E">
              <w:rPr>
                <w:sz w:val="18"/>
                <w:szCs w:val="18"/>
              </w:rPr>
              <w:t>Yes</w:t>
            </w:r>
          </w:p>
        </w:tc>
        <w:tc>
          <w:tcPr>
            <w:tcW w:w="634" w:type="pct"/>
          </w:tcPr>
          <w:p w14:paraId="31E9BCF9" w14:textId="77777777" w:rsidR="00182760" w:rsidRPr="001D235E" w:rsidRDefault="00182760" w:rsidP="00182760">
            <w:pPr>
              <w:rPr>
                <w:sz w:val="18"/>
                <w:szCs w:val="18"/>
              </w:rPr>
            </w:pPr>
            <w:r w:rsidRPr="001D235E">
              <w:rPr>
                <w:sz w:val="18"/>
                <w:szCs w:val="18"/>
              </w:rPr>
              <w:t>No</w:t>
            </w:r>
          </w:p>
        </w:tc>
      </w:tr>
      <w:tr w:rsidR="00182760" w:rsidRPr="001D235E" w14:paraId="4B8814E2" w14:textId="77777777" w:rsidTr="00182760">
        <w:tc>
          <w:tcPr>
            <w:tcW w:w="706" w:type="pct"/>
          </w:tcPr>
          <w:p w14:paraId="70AAACA0" w14:textId="77777777" w:rsidR="00182760" w:rsidRPr="001D235E" w:rsidRDefault="00182760" w:rsidP="00182760">
            <w:pPr>
              <w:rPr>
                <w:sz w:val="18"/>
                <w:szCs w:val="18"/>
              </w:rPr>
            </w:pPr>
            <w:r w:rsidRPr="001D235E">
              <w:rPr>
                <w:sz w:val="18"/>
                <w:szCs w:val="18"/>
              </w:rPr>
              <w:t>Michigan</w:t>
            </w:r>
          </w:p>
        </w:tc>
        <w:tc>
          <w:tcPr>
            <w:tcW w:w="670" w:type="pct"/>
          </w:tcPr>
          <w:p w14:paraId="5EAD7820" w14:textId="77777777" w:rsidR="00182760" w:rsidRPr="001D235E" w:rsidRDefault="00182760" w:rsidP="00182760">
            <w:pPr>
              <w:rPr>
                <w:sz w:val="18"/>
                <w:szCs w:val="18"/>
              </w:rPr>
            </w:pPr>
            <w:r w:rsidRPr="001D235E">
              <w:rPr>
                <w:sz w:val="18"/>
                <w:szCs w:val="18"/>
              </w:rPr>
              <w:t xml:space="preserve">Dense </w:t>
            </w:r>
          </w:p>
        </w:tc>
        <w:tc>
          <w:tcPr>
            <w:tcW w:w="587" w:type="pct"/>
          </w:tcPr>
          <w:p w14:paraId="3FE64329" w14:textId="77777777" w:rsidR="00182760" w:rsidRPr="001D235E" w:rsidRDefault="00182760" w:rsidP="00182760">
            <w:pPr>
              <w:rPr>
                <w:sz w:val="18"/>
                <w:szCs w:val="18"/>
              </w:rPr>
            </w:pPr>
            <w:r w:rsidRPr="001D235E">
              <w:rPr>
                <w:sz w:val="18"/>
                <w:szCs w:val="18"/>
              </w:rPr>
              <w:t>Yes</w:t>
            </w:r>
          </w:p>
        </w:tc>
        <w:tc>
          <w:tcPr>
            <w:tcW w:w="605" w:type="pct"/>
          </w:tcPr>
          <w:p w14:paraId="7FAB4612" w14:textId="77777777" w:rsidR="00182760" w:rsidRPr="001D235E" w:rsidRDefault="00182760" w:rsidP="00182760">
            <w:pPr>
              <w:rPr>
                <w:sz w:val="18"/>
                <w:szCs w:val="18"/>
              </w:rPr>
            </w:pPr>
            <w:r w:rsidRPr="001D235E">
              <w:rPr>
                <w:sz w:val="18"/>
                <w:szCs w:val="18"/>
              </w:rPr>
              <w:t>No</w:t>
            </w:r>
          </w:p>
        </w:tc>
        <w:tc>
          <w:tcPr>
            <w:tcW w:w="650" w:type="pct"/>
          </w:tcPr>
          <w:p w14:paraId="68AC19FF" w14:textId="77777777" w:rsidR="00182760" w:rsidRPr="001D235E" w:rsidRDefault="00182760" w:rsidP="00182760">
            <w:pPr>
              <w:rPr>
                <w:sz w:val="18"/>
                <w:szCs w:val="18"/>
              </w:rPr>
            </w:pPr>
            <w:r w:rsidRPr="001D235E">
              <w:rPr>
                <w:sz w:val="18"/>
                <w:szCs w:val="18"/>
              </w:rPr>
              <w:t>Yes</w:t>
            </w:r>
          </w:p>
        </w:tc>
        <w:tc>
          <w:tcPr>
            <w:tcW w:w="536" w:type="pct"/>
          </w:tcPr>
          <w:p w14:paraId="2D6E3669" w14:textId="77777777" w:rsidR="00182760" w:rsidRPr="001D235E" w:rsidRDefault="00182760" w:rsidP="00182760">
            <w:pPr>
              <w:rPr>
                <w:sz w:val="18"/>
                <w:szCs w:val="18"/>
              </w:rPr>
            </w:pPr>
            <w:r w:rsidRPr="001D235E">
              <w:rPr>
                <w:sz w:val="18"/>
                <w:szCs w:val="18"/>
              </w:rPr>
              <w:t>Yes</w:t>
            </w:r>
          </w:p>
        </w:tc>
        <w:tc>
          <w:tcPr>
            <w:tcW w:w="612" w:type="pct"/>
          </w:tcPr>
          <w:p w14:paraId="782A2DC3" w14:textId="77777777" w:rsidR="00182760" w:rsidRPr="001D235E" w:rsidRDefault="00182760" w:rsidP="00182760">
            <w:pPr>
              <w:rPr>
                <w:sz w:val="18"/>
                <w:szCs w:val="18"/>
              </w:rPr>
            </w:pPr>
            <w:r w:rsidRPr="001D235E">
              <w:rPr>
                <w:sz w:val="18"/>
                <w:szCs w:val="18"/>
              </w:rPr>
              <w:t>Yes</w:t>
            </w:r>
          </w:p>
        </w:tc>
        <w:tc>
          <w:tcPr>
            <w:tcW w:w="634" w:type="pct"/>
          </w:tcPr>
          <w:p w14:paraId="052A86F5" w14:textId="77777777" w:rsidR="00182760" w:rsidRPr="001D235E" w:rsidRDefault="00182760" w:rsidP="00182760">
            <w:pPr>
              <w:rPr>
                <w:sz w:val="18"/>
                <w:szCs w:val="18"/>
              </w:rPr>
            </w:pPr>
            <w:r w:rsidRPr="001D235E">
              <w:rPr>
                <w:sz w:val="18"/>
                <w:szCs w:val="18"/>
              </w:rPr>
              <w:t>No</w:t>
            </w:r>
          </w:p>
        </w:tc>
      </w:tr>
      <w:tr w:rsidR="00182760" w:rsidRPr="001D235E" w14:paraId="780ED148" w14:textId="77777777" w:rsidTr="00182760">
        <w:tc>
          <w:tcPr>
            <w:tcW w:w="706" w:type="pct"/>
          </w:tcPr>
          <w:p w14:paraId="3E95FE90" w14:textId="77777777" w:rsidR="00182760" w:rsidRPr="001D235E" w:rsidRDefault="00182760" w:rsidP="00182760">
            <w:pPr>
              <w:rPr>
                <w:sz w:val="18"/>
                <w:szCs w:val="18"/>
              </w:rPr>
            </w:pPr>
            <w:r w:rsidRPr="001D235E">
              <w:rPr>
                <w:sz w:val="18"/>
                <w:szCs w:val="18"/>
              </w:rPr>
              <w:t>Minnesota</w:t>
            </w:r>
          </w:p>
        </w:tc>
        <w:tc>
          <w:tcPr>
            <w:tcW w:w="670" w:type="pct"/>
          </w:tcPr>
          <w:p w14:paraId="1B53B9B3" w14:textId="77777777" w:rsidR="00182760" w:rsidRPr="001D235E" w:rsidRDefault="00182760" w:rsidP="00182760">
            <w:pPr>
              <w:rPr>
                <w:sz w:val="18"/>
                <w:szCs w:val="18"/>
              </w:rPr>
            </w:pPr>
            <w:r w:rsidRPr="001D235E">
              <w:rPr>
                <w:sz w:val="18"/>
                <w:szCs w:val="18"/>
              </w:rPr>
              <w:t xml:space="preserve">Dense </w:t>
            </w:r>
          </w:p>
        </w:tc>
        <w:tc>
          <w:tcPr>
            <w:tcW w:w="587" w:type="pct"/>
          </w:tcPr>
          <w:p w14:paraId="7607C444" w14:textId="77777777" w:rsidR="00182760" w:rsidRPr="001D235E" w:rsidRDefault="00182760" w:rsidP="00182760">
            <w:pPr>
              <w:rPr>
                <w:sz w:val="18"/>
                <w:szCs w:val="18"/>
              </w:rPr>
            </w:pPr>
            <w:r w:rsidRPr="001D235E">
              <w:rPr>
                <w:sz w:val="18"/>
                <w:szCs w:val="18"/>
              </w:rPr>
              <w:t>Yes</w:t>
            </w:r>
          </w:p>
        </w:tc>
        <w:tc>
          <w:tcPr>
            <w:tcW w:w="605" w:type="pct"/>
          </w:tcPr>
          <w:p w14:paraId="23016668" w14:textId="77777777" w:rsidR="00182760" w:rsidRPr="001D235E" w:rsidRDefault="00182760" w:rsidP="00182760">
            <w:pPr>
              <w:rPr>
                <w:sz w:val="18"/>
                <w:szCs w:val="18"/>
              </w:rPr>
            </w:pPr>
            <w:r w:rsidRPr="001D235E">
              <w:rPr>
                <w:sz w:val="18"/>
                <w:szCs w:val="18"/>
              </w:rPr>
              <w:t>No</w:t>
            </w:r>
          </w:p>
        </w:tc>
        <w:tc>
          <w:tcPr>
            <w:tcW w:w="650" w:type="pct"/>
          </w:tcPr>
          <w:p w14:paraId="07C26772" w14:textId="77777777" w:rsidR="00182760" w:rsidRPr="001D235E" w:rsidRDefault="00182760" w:rsidP="00182760">
            <w:pPr>
              <w:rPr>
                <w:sz w:val="18"/>
                <w:szCs w:val="18"/>
              </w:rPr>
            </w:pPr>
            <w:r w:rsidRPr="001D235E">
              <w:rPr>
                <w:sz w:val="18"/>
                <w:szCs w:val="18"/>
              </w:rPr>
              <w:t>Yes</w:t>
            </w:r>
          </w:p>
        </w:tc>
        <w:tc>
          <w:tcPr>
            <w:tcW w:w="536" w:type="pct"/>
          </w:tcPr>
          <w:p w14:paraId="480734B7" w14:textId="77777777" w:rsidR="00182760" w:rsidRPr="001D235E" w:rsidRDefault="00182760" w:rsidP="00182760">
            <w:pPr>
              <w:rPr>
                <w:sz w:val="18"/>
                <w:szCs w:val="18"/>
              </w:rPr>
            </w:pPr>
            <w:r w:rsidRPr="001D235E">
              <w:rPr>
                <w:sz w:val="18"/>
                <w:szCs w:val="18"/>
              </w:rPr>
              <w:t>Yes</w:t>
            </w:r>
          </w:p>
        </w:tc>
        <w:tc>
          <w:tcPr>
            <w:tcW w:w="612" w:type="pct"/>
          </w:tcPr>
          <w:p w14:paraId="577E2214" w14:textId="77777777" w:rsidR="00182760" w:rsidRPr="001D235E" w:rsidRDefault="00182760" w:rsidP="00182760">
            <w:pPr>
              <w:rPr>
                <w:sz w:val="18"/>
                <w:szCs w:val="18"/>
              </w:rPr>
            </w:pPr>
            <w:r w:rsidRPr="001D235E">
              <w:rPr>
                <w:sz w:val="18"/>
                <w:szCs w:val="18"/>
              </w:rPr>
              <w:t>No</w:t>
            </w:r>
          </w:p>
        </w:tc>
        <w:tc>
          <w:tcPr>
            <w:tcW w:w="634" w:type="pct"/>
          </w:tcPr>
          <w:p w14:paraId="1CEE2BB0" w14:textId="77777777" w:rsidR="00182760" w:rsidRPr="001D235E" w:rsidRDefault="00182760" w:rsidP="00182760">
            <w:pPr>
              <w:rPr>
                <w:sz w:val="18"/>
                <w:szCs w:val="18"/>
              </w:rPr>
            </w:pPr>
            <w:r w:rsidRPr="001D235E">
              <w:rPr>
                <w:sz w:val="18"/>
                <w:szCs w:val="18"/>
              </w:rPr>
              <w:t>No</w:t>
            </w:r>
          </w:p>
        </w:tc>
      </w:tr>
      <w:tr w:rsidR="00182760" w:rsidRPr="001D235E" w14:paraId="4C0812D3" w14:textId="77777777" w:rsidTr="00182760">
        <w:tc>
          <w:tcPr>
            <w:tcW w:w="706" w:type="pct"/>
          </w:tcPr>
          <w:p w14:paraId="6B7FA8E5" w14:textId="77777777" w:rsidR="00182760" w:rsidRPr="001D235E" w:rsidRDefault="00182760" w:rsidP="00182760">
            <w:pPr>
              <w:rPr>
                <w:sz w:val="18"/>
                <w:szCs w:val="18"/>
              </w:rPr>
            </w:pPr>
            <w:r w:rsidRPr="001D235E">
              <w:rPr>
                <w:sz w:val="18"/>
                <w:szCs w:val="18"/>
              </w:rPr>
              <w:lastRenderedPageBreak/>
              <w:t>Missouri</w:t>
            </w:r>
          </w:p>
        </w:tc>
        <w:tc>
          <w:tcPr>
            <w:tcW w:w="670" w:type="pct"/>
          </w:tcPr>
          <w:p w14:paraId="1B7F4F35" w14:textId="77777777" w:rsidR="00182760" w:rsidRPr="001D235E" w:rsidRDefault="00182760" w:rsidP="00182760">
            <w:pPr>
              <w:rPr>
                <w:sz w:val="18"/>
                <w:szCs w:val="18"/>
              </w:rPr>
            </w:pPr>
            <w:r w:rsidRPr="001D235E">
              <w:rPr>
                <w:sz w:val="18"/>
                <w:szCs w:val="18"/>
              </w:rPr>
              <w:t xml:space="preserve">All </w:t>
            </w:r>
          </w:p>
        </w:tc>
        <w:tc>
          <w:tcPr>
            <w:tcW w:w="587" w:type="pct"/>
          </w:tcPr>
          <w:p w14:paraId="7E0E5B06" w14:textId="77777777" w:rsidR="00182760" w:rsidRPr="001D235E" w:rsidRDefault="00182760" w:rsidP="00182760">
            <w:pPr>
              <w:rPr>
                <w:sz w:val="18"/>
                <w:szCs w:val="18"/>
              </w:rPr>
            </w:pPr>
            <w:r w:rsidRPr="001D235E">
              <w:rPr>
                <w:sz w:val="18"/>
                <w:szCs w:val="18"/>
              </w:rPr>
              <w:t>No</w:t>
            </w:r>
          </w:p>
        </w:tc>
        <w:tc>
          <w:tcPr>
            <w:tcW w:w="605" w:type="pct"/>
          </w:tcPr>
          <w:p w14:paraId="07C6ECEB" w14:textId="77777777" w:rsidR="00182760" w:rsidRPr="001D235E" w:rsidRDefault="00182760" w:rsidP="00182760">
            <w:pPr>
              <w:rPr>
                <w:sz w:val="18"/>
                <w:szCs w:val="18"/>
              </w:rPr>
            </w:pPr>
            <w:r w:rsidRPr="001D235E">
              <w:rPr>
                <w:sz w:val="18"/>
                <w:szCs w:val="18"/>
              </w:rPr>
              <w:t xml:space="preserve">No </w:t>
            </w:r>
          </w:p>
        </w:tc>
        <w:tc>
          <w:tcPr>
            <w:tcW w:w="650" w:type="pct"/>
          </w:tcPr>
          <w:p w14:paraId="757BB109" w14:textId="77777777" w:rsidR="00182760" w:rsidRPr="001D235E" w:rsidRDefault="00182760" w:rsidP="00182760">
            <w:pPr>
              <w:rPr>
                <w:sz w:val="18"/>
                <w:szCs w:val="18"/>
              </w:rPr>
            </w:pPr>
            <w:r w:rsidRPr="001D235E">
              <w:rPr>
                <w:sz w:val="18"/>
                <w:szCs w:val="18"/>
              </w:rPr>
              <w:t>Yes</w:t>
            </w:r>
          </w:p>
        </w:tc>
        <w:tc>
          <w:tcPr>
            <w:tcW w:w="536" w:type="pct"/>
          </w:tcPr>
          <w:p w14:paraId="254392EB" w14:textId="77777777" w:rsidR="00182760" w:rsidRPr="001D235E" w:rsidRDefault="00182760" w:rsidP="00182760">
            <w:pPr>
              <w:rPr>
                <w:sz w:val="18"/>
                <w:szCs w:val="18"/>
              </w:rPr>
            </w:pPr>
            <w:r w:rsidRPr="001D235E">
              <w:rPr>
                <w:sz w:val="18"/>
                <w:szCs w:val="18"/>
              </w:rPr>
              <w:t>Yes</w:t>
            </w:r>
          </w:p>
        </w:tc>
        <w:tc>
          <w:tcPr>
            <w:tcW w:w="612" w:type="pct"/>
          </w:tcPr>
          <w:p w14:paraId="2C680389" w14:textId="77777777" w:rsidR="00182760" w:rsidRPr="001D235E" w:rsidRDefault="00182760" w:rsidP="00182760">
            <w:pPr>
              <w:rPr>
                <w:sz w:val="18"/>
                <w:szCs w:val="18"/>
              </w:rPr>
            </w:pPr>
            <w:r w:rsidRPr="001D235E">
              <w:rPr>
                <w:sz w:val="18"/>
                <w:szCs w:val="18"/>
              </w:rPr>
              <w:t>Yes</w:t>
            </w:r>
          </w:p>
        </w:tc>
        <w:tc>
          <w:tcPr>
            <w:tcW w:w="634" w:type="pct"/>
          </w:tcPr>
          <w:p w14:paraId="2D5C6128" w14:textId="77777777" w:rsidR="00182760" w:rsidRPr="001D235E" w:rsidRDefault="00182760" w:rsidP="00182760">
            <w:pPr>
              <w:rPr>
                <w:sz w:val="18"/>
                <w:szCs w:val="18"/>
              </w:rPr>
            </w:pPr>
            <w:r w:rsidRPr="001D235E">
              <w:rPr>
                <w:sz w:val="18"/>
                <w:szCs w:val="18"/>
              </w:rPr>
              <w:t>No</w:t>
            </w:r>
          </w:p>
        </w:tc>
      </w:tr>
      <w:tr w:rsidR="00182760" w:rsidRPr="001D235E" w14:paraId="6BF9C40D" w14:textId="77777777" w:rsidTr="00182760">
        <w:tc>
          <w:tcPr>
            <w:tcW w:w="706" w:type="pct"/>
          </w:tcPr>
          <w:p w14:paraId="6CC6F394" w14:textId="77777777" w:rsidR="00182760" w:rsidRPr="001D235E" w:rsidRDefault="00182760" w:rsidP="00182760">
            <w:pPr>
              <w:rPr>
                <w:sz w:val="18"/>
                <w:szCs w:val="18"/>
              </w:rPr>
            </w:pPr>
            <w:r w:rsidRPr="001D235E">
              <w:rPr>
                <w:sz w:val="18"/>
                <w:szCs w:val="18"/>
              </w:rPr>
              <w:t>Nebraska</w:t>
            </w:r>
          </w:p>
        </w:tc>
        <w:tc>
          <w:tcPr>
            <w:tcW w:w="670" w:type="pct"/>
          </w:tcPr>
          <w:p w14:paraId="277B672F" w14:textId="77777777" w:rsidR="00182760" w:rsidRPr="001D235E" w:rsidRDefault="00182760" w:rsidP="00182760">
            <w:pPr>
              <w:rPr>
                <w:sz w:val="18"/>
                <w:szCs w:val="18"/>
              </w:rPr>
            </w:pPr>
            <w:r w:rsidRPr="001D235E">
              <w:rPr>
                <w:sz w:val="18"/>
                <w:szCs w:val="18"/>
              </w:rPr>
              <w:t xml:space="preserve">All </w:t>
            </w:r>
          </w:p>
        </w:tc>
        <w:tc>
          <w:tcPr>
            <w:tcW w:w="587" w:type="pct"/>
          </w:tcPr>
          <w:p w14:paraId="443237A3" w14:textId="77777777" w:rsidR="00182760" w:rsidRPr="001D235E" w:rsidRDefault="00182760" w:rsidP="00182760">
            <w:pPr>
              <w:rPr>
                <w:sz w:val="18"/>
                <w:szCs w:val="18"/>
              </w:rPr>
            </w:pPr>
            <w:r w:rsidRPr="001D235E">
              <w:rPr>
                <w:sz w:val="18"/>
                <w:szCs w:val="18"/>
              </w:rPr>
              <w:t>Yes</w:t>
            </w:r>
          </w:p>
        </w:tc>
        <w:tc>
          <w:tcPr>
            <w:tcW w:w="605" w:type="pct"/>
          </w:tcPr>
          <w:p w14:paraId="558D3F95" w14:textId="77777777" w:rsidR="00182760" w:rsidRPr="001D235E" w:rsidRDefault="00182760" w:rsidP="00182760">
            <w:pPr>
              <w:rPr>
                <w:sz w:val="18"/>
                <w:szCs w:val="18"/>
              </w:rPr>
            </w:pPr>
            <w:r w:rsidRPr="001D235E">
              <w:rPr>
                <w:sz w:val="18"/>
                <w:szCs w:val="18"/>
              </w:rPr>
              <w:t>Yes</w:t>
            </w:r>
          </w:p>
        </w:tc>
        <w:tc>
          <w:tcPr>
            <w:tcW w:w="650" w:type="pct"/>
          </w:tcPr>
          <w:p w14:paraId="26CD0907" w14:textId="77777777" w:rsidR="00182760" w:rsidRPr="001D235E" w:rsidRDefault="00182760" w:rsidP="00182760">
            <w:pPr>
              <w:rPr>
                <w:sz w:val="18"/>
                <w:szCs w:val="18"/>
              </w:rPr>
            </w:pPr>
            <w:r w:rsidRPr="001D235E">
              <w:rPr>
                <w:sz w:val="18"/>
                <w:szCs w:val="18"/>
              </w:rPr>
              <w:t>Yes</w:t>
            </w:r>
          </w:p>
        </w:tc>
        <w:tc>
          <w:tcPr>
            <w:tcW w:w="536" w:type="pct"/>
          </w:tcPr>
          <w:p w14:paraId="22E0197A" w14:textId="77777777" w:rsidR="00182760" w:rsidRPr="001D235E" w:rsidRDefault="00182760" w:rsidP="00182760">
            <w:pPr>
              <w:rPr>
                <w:sz w:val="18"/>
                <w:szCs w:val="18"/>
              </w:rPr>
            </w:pPr>
            <w:r w:rsidRPr="001D235E">
              <w:rPr>
                <w:sz w:val="18"/>
                <w:szCs w:val="18"/>
              </w:rPr>
              <w:t>Yes</w:t>
            </w:r>
          </w:p>
        </w:tc>
        <w:tc>
          <w:tcPr>
            <w:tcW w:w="612" w:type="pct"/>
          </w:tcPr>
          <w:p w14:paraId="0A3E1F30" w14:textId="77777777" w:rsidR="00182760" w:rsidRPr="001D235E" w:rsidRDefault="00182760" w:rsidP="00182760">
            <w:pPr>
              <w:rPr>
                <w:sz w:val="18"/>
                <w:szCs w:val="18"/>
              </w:rPr>
            </w:pPr>
            <w:r w:rsidRPr="001D235E">
              <w:rPr>
                <w:sz w:val="18"/>
                <w:szCs w:val="18"/>
              </w:rPr>
              <w:t>No</w:t>
            </w:r>
          </w:p>
        </w:tc>
        <w:tc>
          <w:tcPr>
            <w:tcW w:w="634" w:type="pct"/>
          </w:tcPr>
          <w:p w14:paraId="0C3F1AF4" w14:textId="77777777" w:rsidR="00182760" w:rsidRPr="001D235E" w:rsidRDefault="00182760" w:rsidP="00182760">
            <w:pPr>
              <w:rPr>
                <w:sz w:val="18"/>
                <w:szCs w:val="18"/>
              </w:rPr>
            </w:pPr>
            <w:r w:rsidRPr="001D235E">
              <w:rPr>
                <w:sz w:val="18"/>
                <w:szCs w:val="18"/>
              </w:rPr>
              <w:t>No</w:t>
            </w:r>
          </w:p>
        </w:tc>
      </w:tr>
      <w:tr w:rsidR="00182760" w:rsidRPr="001D235E" w14:paraId="10A0D4DB" w14:textId="77777777" w:rsidTr="00182760">
        <w:tc>
          <w:tcPr>
            <w:tcW w:w="706" w:type="pct"/>
          </w:tcPr>
          <w:p w14:paraId="70817FE6" w14:textId="77777777" w:rsidR="00182760" w:rsidRPr="001D235E" w:rsidRDefault="00182760" w:rsidP="00182760">
            <w:pPr>
              <w:rPr>
                <w:sz w:val="18"/>
                <w:szCs w:val="18"/>
              </w:rPr>
            </w:pPr>
            <w:r w:rsidRPr="001D235E">
              <w:rPr>
                <w:sz w:val="18"/>
                <w:szCs w:val="18"/>
              </w:rPr>
              <w:t>Nevada</w:t>
            </w:r>
          </w:p>
        </w:tc>
        <w:tc>
          <w:tcPr>
            <w:tcW w:w="670" w:type="pct"/>
          </w:tcPr>
          <w:p w14:paraId="331489D3" w14:textId="77777777" w:rsidR="00182760" w:rsidRPr="001D235E" w:rsidRDefault="00182760" w:rsidP="00182760">
            <w:pPr>
              <w:rPr>
                <w:sz w:val="18"/>
                <w:szCs w:val="18"/>
              </w:rPr>
            </w:pPr>
            <w:r w:rsidRPr="001D235E">
              <w:rPr>
                <w:sz w:val="18"/>
                <w:szCs w:val="18"/>
              </w:rPr>
              <w:t>All</w:t>
            </w:r>
          </w:p>
        </w:tc>
        <w:tc>
          <w:tcPr>
            <w:tcW w:w="587" w:type="pct"/>
          </w:tcPr>
          <w:p w14:paraId="35F83374" w14:textId="77777777" w:rsidR="00182760" w:rsidRPr="001D235E" w:rsidRDefault="00182760" w:rsidP="00182760">
            <w:pPr>
              <w:rPr>
                <w:sz w:val="18"/>
                <w:szCs w:val="18"/>
              </w:rPr>
            </w:pPr>
            <w:r w:rsidRPr="001D235E">
              <w:rPr>
                <w:sz w:val="18"/>
                <w:szCs w:val="18"/>
              </w:rPr>
              <w:t>Yes</w:t>
            </w:r>
          </w:p>
        </w:tc>
        <w:tc>
          <w:tcPr>
            <w:tcW w:w="605" w:type="pct"/>
          </w:tcPr>
          <w:p w14:paraId="0DDAADC7" w14:textId="77777777" w:rsidR="00182760" w:rsidRPr="001D235E" w:rsidRDefault="00182760" w:rsidP="00182760">
            <w:pPr>
              <w:rPr>
                <w:sz w:val="18"/>
                <w:szCs w:val="18"/>
              </w:rPr>
            </w:pPr>
            <w:r w:rsidRPr="001D235E">
              <w:rPr>
                <w:sz w:val="18"/>
                <w:szCs w:val="18"/>
              </w:rPr>
              <w:t>Yes</w:t>
            </w:r>
          </w:p>
        </w:tc>
        <w:tc>
          <w:tcPr>
            <w:tcW w:w="650" w:type="pct"/>
          </w:tcPr>
          <w:p w14:paraId="19496D75" w14:textId="77777777" w:rsidR="00182760" w:rsidRPr="001D235E" w:rsidRDefault="00182760" w:rsidP="00182760">
            <w:pPr>
              <w:rPr>
                <w:sz w:val="18"/>
                <w:szCs w:val="18"/>
              </w:rPr>
            </w:pPr>
            <w:r w:rsidRPr="001D235E">
              <w:rPr>
                <w:sz w:val="18"/>
                <w:szCs w:val="18"/>
              </w:rPr>
              <w:t>No</w:t>
            </w:r>
          </w:p>
        </w:tc>
        <w:tc>
          <w:tcPr>
            <w:tcW w:w="536" w:type="pct"/>
          </w:tcPr>
          <w:p w14:paraId="30F8E3E4" w14:textId="77777777" w:rsidR="00182760" w:rsidRPr="001D235E" w:rsidRDefault="00182760" w:rsidP="00182760">
            <w:pPr>
              <w:rPr>
                <w:sz w:val="18"/>
                <w:szCs w:val="18"/>
              </w:rPr>
            </w:pPr>
            <w:r w:rsidRPr="001D235E">
              <w:rPr>
                <w:sz w:val="18"/>
                <w:szCs w:val="18"/>
              </w:rPr>
              <w:t>Yes</w:t>
            </w:r>
          </w:p>
        </w:tc>
        <w:tc>
          <w:tcPr>
            <w:tcW w:w="612" w:type="pct"/>
          </w:tcPr>
          <w:p w14:paraId="574B791E" w14:textId="77777777" w:rsidR="00182760" w:rsidRPr="001D235E" w:rsidRDefault="00182760" w:rsidP="00182760">
            <w:pPr>
              <w:rPr>
                <w:sz w:val="18"/>
                <w:szCs w:val="18"/>
              </w:rPr>
            </w:pPr>
            <w:r w:rsidRPr="001D235E">
              <w:rPr>
                <w:sz w:val="18"/>
                <w:szCs w:val="18"/>
              </w:rPr>
              <w:t>No</w:t>
            </w:r>
          </w:p>
        </w:tc>
        <w:tc>
          <w:tcPr>
            <w:tcW w:w="634" w:type="pct"/>
          </w:tcPr>
          <w:p w14:paraId="05726532" w14:textId="77777777" w:rsidR="00182760" w:rsidRPr="001D235E" w:rsidRDefault="00182760" w:rsidP="00182760">
            <w:pPr>
              <w:rPr>
                <w:sz w:val="18"/>
                <w:szCs w:val="18"/>
              </w:rPr>
            </w:pPr>
            <w:r w:rsidRPr="001D235E">
              <w:rPr>
                <w:sz w:val="18"/>
                <w:szCs w:val="18"/>
              </w:rPr>
              <w:t>No</w:t>
            </w:r>
          </w:p>
        </w:tc>
      </w:tr>
      <w:tr w:rsidR="00182760" w:rsidRPr="001D235E" w14:paraId="4FF31E98" w14:textId="77777777" w:rsidTr="00182760">
        <w:tc>
          <w:tcPr>
            <w:tcW w:w="706" w:type="pct"/>
          </w:tcPr>
          <w:p w14:paraId="0512970D" w14:textId="77777777" w:rsidR="00182760" w:rsidRPr="001D235E" w:rsidRDefault="00182760" w:rsidP="00182760">
            <w:pPr>
              <w:rPr>
                <w:sz w:val="18"/>
                <w:szCs w:val="18"/>
              </w:rPr>
            </w:pPr>
            <w:r w:rsidRPr="001D235E">
              <w:rPr>
                <w:sz w:val="18"/>
                <w:szCs w:val="18"/>
              </w:rPr>
              <w:t>New Jersey</w:t>
            </w:r>
          </w:p>
        </w:tc>
        <w:tc>
          <w:tcPr>
            <w:tcW w:w="670" w:type="pct"/>
          </w:tcPr>
          <w:p w14:paraId="353977C2" w14:textId="77777777" w:rsidR="00182760" w:rsidRPr="001D235E" w:rsidRDefault="00182760" w:rsidP="00182760">
            <w:pPr>
              <w:rPr>
                <w:sz w:val="18"/>
                <w:szCs w:val="18"/>
              </w:rPr>
            </w:pPr>
            <w:r w:rsidRPr="001D235E">
              <w:rPr>
                <w:sz w:val="18"/>
                <w:szCs w:val="18"/>
              </w:rPr>
              <w:t xml:space="preserve">All </w:t>
            </w:r>
          </w:p>
        </w:tc>
        <w:tc>
          <w:tcPr>
            <w:tcW w:w="587" w:type="pct"/>
          </w:tcPr>
          <w:p w14:paraId="78B4237E" w14:textId="77777777" w:rsidR="00182760" w:rsidRPr="001D235E" w:rsidRDefault="00182760" w:rsidP="00182760">
            <w:pPr>
              <w:rPr>
                <w:sz w:val="18"/>
                <w:szCs w:val="18"/>
              </w:rPr>
            </w:pPr>
            <w:r w:rsidRPr="001D235E">
              <w:rPr>
                <w:sz w:val="18"/>
                <w:szCs w:val="18"/>
              </w:rPr>
              <w:t>No</w:t>
            </w:r>
          </w:p>
        </w:tc>
        <w:tc>
          <w:tcPr>
            <w:tcW w:w="605" w:type="pct"/>
          </w:tcPr>
          <w:p w14:paraId="31C286B2" w14:textId="77777777" w:rsidR="00182760" w:rsidRPr="001D235E" w:rsidRDefault="00182760" w:rsidP="00182760">
            <w:pPr>
              <w:rPr>
                <w:sz w:val="18"/>
                <w:szCs w:val="18"/>
              </w:rPr>
            </w:pPr>
            <w:r w:rsidRPr="001D235E">
              <w:rPr>
                <w:sz w:val="18"/>
                <w:szCs w:val="18"/>
              </w:rPr>
              <w:t xml:space="preserve">No </w:t>
            </w:r>
          </w:p>
        </w:tc>
        <w:tc>
          <w:tcPr>
            <w:tcW w:w="650" w:type="pct"/>
          </w:tcPr>
          <w:p w14:paraId="0EB62020" w14:textId="77777777" w:rsidR="00182760" w:rsidRPr="001D235E" w:rsidRDefault="00182760" w:rsidP="00182760">
            <w:pPr>
              <w:rPr>
                <w:sz w:val="18"/>
                <w:szCs w:val="18"/>
              </w:rPr>
            </w:pPr>
            <w:r w:rsidRPr="001D235E">
              <w:rPr>
                <w:sz w:val="18"/>
                <w:szCs w:val="18"/>
              </w:rPr>
              <w:t>Yes</w:t>
            </w:r>
          </w:p>
        </w:tc>
        <w:tc>
          <w:tcPr>
            <w:tcW w:w="536" w:type="pct"/>
          </w:tcPr>
          <w:p w14:paraId="7BFB2DB5" w14:textId="77777777" w:rsidR="00182760" w:rsidRPr="001D235E" w:rsidRDefault="00182760" w:rsidP="00182760">
            <w:pPr>
              <w:rPr>
                <w:sz w:val="18"/>
                <w:szCs w:val="18"/>
              </w:rPr>
            </w:pPr>
            <w:r w:rsidRPr="001D235E">
              <w:rPr>
                <w:sz w:val="18"/>
                <w:szCs w:val="18"/>
              </w:rPr>
              <w:t>Yes</w:t>
            </w:r>
          </w:p>
        </w:tc>
        <w:tc>
          <w:tcPr>
            <w:tcW w:w="612" w:type="pct"/>
          </w:tcPr>
          <w:p w14:paraId="6E1580E5" w14:textId="77777777" w:rsidR="00182760" w:rsidRPr="001D235E" w:rsidRDefault="00182760" w:rsidP="00182760">
            <w:pPr>
              <w:rPr>
                <w:sz w:val="18"/>
                <w:szCs w:val="18"/>
              </w:rPr>
            </w:pPr>
            <w:r w:rsidRPr="001D235E">
              <w:rPr>
                <w:sz w:val="18"/>
                <w:szCs w:val="18"/>
              </w:rPr>
              <w:t>No</w:t>
            </w:r>
          </w:p>
        </w:tc>
        <w:tc>
          <w:tcPr>
            <w:tcW w:w="634" w:type="pct"/>
          </w:tcPr>
          <w:p w14:paraId="49FED30B" w14:textId="77777777" w:rsidR="00182760" w:rsidRPr="001D235E" w:rsidRDefault="00182760" w:rsidP="00182760">
            <w:pPr>
              <w:rPr>
                <w:sz w:val="18"/>
                <w:szCs w:val="18"/>
              </w:rPr>
            </w:pPr>
            <w:r w:rsidRPr="001D235E">
              <w:rPr>
                <w:sz w:val="18"/>
                <w:szCs w:val="18"/>
              </w:rPr>
              <w:t>If extremely dense or as determined by health care provider, not modality specific</w:t>
            </w:r>
          </w:p>
        </w:tc>
      </w:tr>
      <w:tr w:rsidR="00182760" w:rsidRPr="001D235E" w14:paraId="26C8563E" w14:textId="77777777" w:rsidTr="00182760">
        <w:tc>
          <w:tcPr>
            <w:tcW w:w="706" w:type="pct"/>
          </w:tcPr>
          <w:p w14:paraId="3CE97FA4" w14:textId="77777777" w:rsidR="00182760" w:rsidRPr="001D235E" w:rsidRDefault="00182760" w:rsidP="00182760">
            <w:pPr>
              <w:rPr>
                <w:sz w:val="18"/>
                <w:szCs w:val="18"/>
              </w:rPr>
            </w:pPr>
            <w:r w:rsidRPr="001D235E">
              <w:rPr>
                <w:sz w:val="18"/>
                <w:szCs w:val="18"/>
              </w:rPr>
              <w:t>New York</w:t>
            </w:r>
          </w:p>
        </w:tc>
        <w:tc>
          <w:tcPr>
            <w:tcW w:w="670" w:type="pct"/>
          </w:tcPr>
          <w:p w14:paraId="64D288EC" w14:textId="77777777" w:rsidR="00182760" w:rsidRPr="001D235E" w:rsidRDefault="00182760" w:rsidP="00182760">
            <w:pPr>
              <w:rPr>
                <w:sz w:val="18"/>
                <w:szCs w:val="18"/>
              </w:rPr>
            </w:pPr>
            <w:r w:rsidRPr="001D235E">
              <w:rPr>
                <w:sz w:val="18"/>
                <w:szCs w:val="18"/>
              </w:rPr>
              <w:t xml:space="preserve">Dense </w:t>
            </w:r>
          </w:p>
        </w:tc>
        <w:tc>
          <w:tcPr>
            <w:tcW w:w="587" w:type="pct"/>
          </w:tcPr>
          <w:p w14:paraId="7BDBB779" w14:textId="77777777" w:rsidR="00182760" w:rsidRPr="001D235E" w:rsidRDefault="00182760" w:rsidP="00182760">
            <w:pPr>
              <w:rPr>
                <w:sz w:val="18"/>
                <w:szCs w:val="18"/>
              </w:rPr>
            </w:pPr>
            <w:r w:rsidRPr="001D235E">
              <w:rPr>
                <w:sz w:val="18"/>
                <w:szCs w:val="18"/>
              </w:rPr>
              <w:t>Yes</w:t>
            </w:r>
          </w:p>
        </w:tc>
        <w:tc>
          <w:tcPr>
            <w:tcW w:w="605" w:type="pct"/>
          </w:tcPr>
          <w:p w14:paraId="371A92D2" w14:textId="77777777" w:rsidR="00182760" w:rsidRPr="001D235E" w:rsidRDefault="00182760" w:rsidP="00182760">
            <w:pPr>
              <w:rPr>
                <w:sz w:val="18"/>
                <w:szCs w:val="18"/>
              </w:rPr>
            </w:pPr>
            <w:r w:rsidRPr="001D235E">
              <w:rPr>
                <w:sz w:val="18"/>
                <w:szCs w:val="18"/>
              </w:rPr>
              <w:t xml:space="preserve">No </w:t>
            </w:r>
          </w:p>
        </w:tc>
        <w:tc>
          <w:tcPr>
            <w:tcW w:w="650" w:type="pct"/>
          </w:tcPr>
          <w:p w14:paraId="117F517E" w14:textId="77777777" w:rsidR="00182760" w:rsidRPr="001D235E" w:rsidRDefault="00182760" w:rsidP="00182760">
            <w:pPr>
              <w:rPr>
                <w:sz w:val="18"/>
                <w:szCs w:val="18"/>
              </w:rPr>
            </w:pPr>
            <w:r w:rsidRPr="001D235E">
              <w:rPr>
                <w:sz w:val="18"/>
                <w:szCs w:val="18"/>
              </w:rPr>
              <w:t>Yes</w:t>
            </w:r>
          </w:p>
        </w:tc>
        <w:tc>
          <w:tcPr>
            <w:tcW w:w="536" w:type="pct"/>
          </w:tcPr>
          <w:p w14:paraId="5C660206" w14:textId="77777777" w:rsidR="00182760" w:rsidRPr="001D235E" w:rsidRDefault="00182760" w:rsidP="00182760">
            <w:pPr>
              <w:rPr>
                <w:sz w:val="18"/>
                <w:szCs w:val="18"/>
              </w:rPr>
            </w:pPr>
            <w:r w:rsidRPr="001D235E">
              <w:rPr>
                <w:sz w:val="18"/>
                <w:szCs w:val="18"/>
              </w:rPr>
              <w:t>Yes</w:t>
            </w:r>
          </w:p>
        </w:tc>
        <w:tc>
          <w:tcPr>
            <w:tcW w:w="612" w:type="pct"/>
          </w:tcPr>
          <w:p w14:paraId="5068834F" w14:textId="77777777" w:rsidR="00182760" w:rsidRPr="001D235E" w:rsidRDefault="00182760" w:rsidP="00182760">
            <w:pPr>
              <w:rPr>
                <w:sz w:val="18"/>
                <w:szCs w:val="18"/>
              </w:rPr>
            </w:pPr>
            <w:r w:rsidRPr="001D235E">
              <w:rPr>
                <w:sz w:val="18"/>
                <w:szCs w:val="18"/>
              </w:rPr>
              <w:t>Yes</w:t>
            </w:r>
          </w:p>
        </w:tc>
        <w:tc>
          <w:tcPr>
            <w:tcW w:w="634" w:type="pct"/>
          </w:tcPr>
          <w:p w14:paraId="54825373" w14:textId="77777777" w:rsidR="00182760" w:rsidRPr="001D235E" w:rsidRDefault="00182760" w:rsidP="00182760">
            <w:pPr>
              <w:rPr>
                <w:sz w:val="18"/>
                <w:szCs w:val="18"/>
              </w:rPr>
            </w:pPr>
            <w:r w:rsidRPr="001D235E">
              <w:rPr>
                <w:sz w:val="18"/>
                <w:szCs w:val="18"/>
              </w:rPr>
              <w:t>Yes - all women, screening (all modalities) + diagnostic breast imaging</w:t>
            </w:r>
          </w:p>
        </w:tc>
      </w:tr>
      <w:tr w:rsidR="00182760" w:rsidRPr="001D235E" w14:paraId="23E68871" w14:textId="77777777" w:rsidTr="00182760">
        <w:tc>
          <w:tcPr>
            <w:tcW w:w="706" w:type="pct"/>
          </w:tcPr>
          <w:p w14:paraId="6EA15ED7" w14:textId="77777777" w:rsidR="00182760" w:rsidRPr="001D235E" w:rsidRDefault="00182760" w:rsidP="00182760">
            <w:pPr>
              <w:rPr>
                <w:sz w:val="18"/>
                <w:szCs w:val="18"/>
              </w:rPr>
            </w:pPr>
            <w:r w:rsidRPr="001D235E">
              <w:rPr>
                <w:sz w:val="18"/>
                <w:szCs w:val="18"/>
              </w:rPr>
              <w:t>North Carolina</w:t>
            </w:r>
          </w:p>
        </w:tc>
        <w:tc>
          <w:tcPr>
            <w:tcW w:w="670" w:type="pct"/>
          </w:tcPr>
          <w:p w14:paraId="3FC04189" w14:textId="77777777" w:rsidR="00182760" w:rsidRPr="001D235E" w:rsidRDefault="00182760" w:rsidP="00182760">
            <w:pPr>
              <w:rPr>
                <w:sz w:val="18"/>
                <w:szCs w:val="18"/>
              </w:rPr>
            </w:pPr>
            <w:r w:rsidRPr="001D235E">
              <w:rPr>
                <w:sz w:val="18"/>
                <w:szCs w:val="18"/>
              </w:rPr>
              <w:t xml:space="preserve">Dense </w:t>
            </w:r>
          </w:p>
        </w:tc>
        <w:tc>
          <w:tcPr>
            <w:tcW w:w="587" w:type="pct"/>
          </w:tcPr>
          <w:p w14:paraId="4D9F001B" w14:textId="77777777" w:rsidR="00182760" w:rsidRPr="001D235E" w:rsidRDefault="00182760" w:rsidP="00182760">
            <w:pPr>
              <w:rPr>
                <w:sz w:val="18"/>
                <w:szCs w:val="18"/>
              </w:rPr>
            </w:pPr>
            <w:r w:rsidRPr="001D235E">
              <w:rPr>
                <w:sz w:val="18"/>
                <w:szCs w:val="18"/>
              </w:rPr>
              <w:t>Yes</w:t>
            </w:r>
          </w:p>
        </w:tc>
        <w:tc>
          <w:tcPr>
            <w:tcW w:w="605" w:type="pct"/>
          </w:tcPr>
          <w:p w14:paraId="67D3F5C1" w14:textId="77777777" w:rsidR="00182760" w:rsidRPr="001D235E" w:rsidRDefault="00182760" w:rsidP="00182760">
            <w:pPr>
              <w:rPr>
                <w:sz w:val="18"/>
                <w:szCs w:val="18"/>
              </w:rPr>
            </w:pPr>
            <w:r w:rsidRPr="001D235E">
              <w:rPr>
                <w:sz w:val="18"/>
                <w:szCs w:val="18"/>
              </w:rPr>
              <w:t>Yes</w:t>
            </w:r>
          </w:p>
        </w:tc>
        <w:tc>
          <w:tcPr>
            <w:tcW w:w="650" w:type="pct"/>
          </w:tcPr>
          <w:p w14:paraId="4987E72C" w14:textId="77777777" w:rsidR="00182760" w:rsidRPr="001D235E" w:rsidRDefault="00182760" w:rsidP="00182760">
            <w:pPr>
              <w:rPr>
                <w:sz w:val="18"/>
                <w:szCs w:val="18"/>
              </w:rPr>
            </w:pPr>
            <w:r w:rsidRPr="001D235E">
              <w:rPr>
                <w:sz w:val="18"/>
                <w:szCs w:val="18"/>
              </w:rPr>
              <w:t>Yes</w:t>
            </w:r>
          </w:p>
        </w:tc>
        <w:tc>
          <w:tcPr>
            <w:tcW w:w="536" w:type="pct"/>
          </w:tcPr>
          <w:p w14:paraId="7DBC58B3" w14:textId="77777777" w:rsidR="00182760" w:rsidRPr="001D235E" w:rsidRDefault="00182760" w:rsidP="00182760">
            <w:pPr>
              <w:rPr>
                <w:sz w:val="18"/>
                <w:szCs w:val="18"/>
              </w:rPr>
            </w:pPr>
            <w:r w:rsidRPr="001D235E">
              <w:rPr>
                <w:sz w:val="18"/>
                <w:szCs w:val="18"/>
              </w:rPr>
              <w:t>Yes</w:t>
            </w:r>
          </w:p>
        </w:tc>
        <w:tc>
          <w:tcPr>
            <w:tcW w:w="612" w:type="pct"/>
          </w:tcPr>
          <w:p w14:paraId="3DA3C370" w14:textId="77777777" w:rsidR="00182760" w:rsidRPr="001D235E" w:rsidRDefault="00182760" w:rsidP="00182760">
            <w:pPr>
              <w:rPr>
                <w:sz w:val="18"/>
                <w:szCs w:val="18"/>
              </w:rPr>
            </w:pPr>
            <w:r w:rsidRPr="001D235E">
              <w:rPr>
                <w:sz w:val="18"/>
                <w:szCs w:val="18"/>
              </w:rPr>
              <w:t>No</w:t>
            </w:r>
          </w:p>
        </w:tc>
        <w:tc>
          <w:tcPr>
            <w:tcW w:w="634" w:type="pct"/>
          </w:tcPr>
          <w:p w14:paraId="4E8D75A1" w14:textId="77777777" w:rsidR="00182760" w:rsidRPr="001D235E" w:rsidRDefault="00182760" w:rsidP="00182760">
            <w:pPr>
              <w:rPr>
                <w:sz w:val="18"/>
                <w:szCs w:val="18"/>
              </w:rPr>
            </w:pPr>
            <w:r w:rsidRPr="001D235E">
              <w:rPr>
                <w:sz w:val="18"/>
                <w:szCs w:val="18"/>
              </w:rPr>
              <w:t>No</w:t>
            </w:r>
          </w:p>
        </w:tc>
      </w:tr>
      <w:tr w:rsidR="00182760" w:rsidRPr="001D235E" w14:paraId="20BA1EBD" w14:textId="77777777" w:rsidTr="00182760">
        <w:tc>
          <w:tcPr>
            <w:tcW w:w="706" w:type="pct"/>
          </w:tcPr>
          <w:p w14:paraId="5E0D208E" w14:textId="77777777" w:rsidR="00182760" w:rsidRPr="001D235E" w:rsidRDefault="00182760" w:rsidP="00182760">
            <w:pPr>
              <w:rPr>
                <w:sz w:val="18"/>
                <w:szCs w:val="18"/>
              </w:rPr>
            </w:pPr>
            <w:r w:rsidRPr="001D235E">
              <w:rPr>
                <w:sz w:val="18"/>
                <w:szCs w:val="18"/>
              </w:rPr>
              <w:t>Ohio</w:t>
            </w:r>
          </w:p>
        </w:tc>
        <w:tc>
          <w:tcPr>
            <w:tcW w:w="670" w:type="pct"/>
          </w:tcPr>
          <w:p w14:paraId="38A6C8B2" w14:textId="77777777" w:rsidR="00182760" w:rsidRPr="001D235E" w:rsidRDefault="00182760" w:rsidP="00182760">
            <w:pPr>
              <w:rPr>
                <w:sz w:val="18"/>
                <w:szCs w:val="18"/>
              </w:rPr>
            </w:pPr>
            <w:r w:rsidRPr="001D235E">
              <w:rPr>
                <w:sz w:val="18"/>
                <w:szCs w:val="18"/>
              </w:rPr>
              <w:t xml:space="preserve">Dense </w:t>
            </w:r>
          </w:p>
        </w:tc>
        <w:tc>
          <w:tcPr>
            <w:tcW w:w="587" w:type="pct"/>
          </w:tcPr>
          <w:p w14:paraId="716E17B9" w14:textId="77777777" w:rsidR="00182760" w:rsidRPr="001D235E" w:rsidRDefault="00182760" w:rsidP="00182760">
            <w:pPr>
              <w:rPr>
                <w:sz w:val="18"/>
                <w:szCs w:val="18"/>
              </w:rPr>
            </w:pPr>
            <w:r w:rsidRPr="001D235E">
              <w:rPr>
                <w:sz w:val="18"/>
                <w:szCs w:val="18"/>
              </w:rPr>
              <w:t>Yes</w:t>
            </w:r>
          </w:p>
        </w:tc>
        <w:tc>
          <w:tcPr>
            <w:tcW w:w="605" w:type="pct"/>
          </w:tcPr>
          <w:p w14:paraId="279103DA" w14:textId="77777777" w:rsidR="00182760" w:rsidRPr="001D235E" w:rsidRDefault="00182760" w:rsidP="00182760">
            <w:pPr>
              <w:rPr>
                <w:sz w:val="18"/>
                <w:szCs w:val="18"/>
              </w:rPr>
            </w:pPr>
            <w:r w:rsidRPr="001D235E">
              <w:rPr>
                <w:sz w:val="18"/>
                <w:szCs w:val="18"/>
              </w:rPr>
              <w:t>No</w:t>
            </w:r>
          </w:p>
        </w:tc>
        <w:tc>
          <w:tcPr>
            <w:tcW w:w="650" w:type="pct"/>
          </w:tcPr>
          <w:p w14:paraId="014D8E8D" w14:textId="77777777" w:rsidR="00182760" w:rsidRPr="001D235E" w:rsidRDefault="00182760" w:rsidP="00182760">
            <w:pPr>
              <w:rPr>
                <w:sz w:val="18"/>
                <w:szCs w:val="18"/>
              </w:rPr>
            </w:pPr>
            <w:r w:rsidRPr="001D235E">
              <w:rPr>
                <w:sz w:val="18"/>
                <w:szCs w:val="18"/>
              </w:rPr>
              <w:t>Yes</w:t>
            </w:r>
          </w:p>
        </w:tc>
        <w:tc>
          <w:tcPr>
            <w:tcW w:w="536" w:type="pct"/>
          </w:tcPr>
          <w:p w14:paraId="17626E39" w14:textId="77777777" w:rsidR="00182760" w:rsidRPr="001D235E" w:rsidRDefault="00182760" w:rsidP="00182760">
            <w:pPr>
              <w:rPr>
                <w:sz w:val="18"/>
                <w:szCs w:val="18"/>
              </w:rPr>
            </w:pPr>
            <w:r w:rsidRPr="001D235E">
              <w:rPr>
                <w:sz w:val="18"/>
                <w:szCs w:val="18"/>
              </w:rPr>
              <w:t>Yes</w:t>
            </w:r>
          </w:p>
        </w:tc>
        <w:tc>
          <w:tcPr>
            <w:tcW w:w="612" w:type="pct"/>
          </w:tcPr>
          <w:p w14:paraId="362B409F" w14:textId="77777777" w:rsidR="00182760" w:rsidRPr="001D235E" w:rsidRDefault="00182760" w:rsidP="00182760">
            <w:pPr>
              <w:rPr>
                <w:sz w:val="18"/>
                <w:szCs w:val="18"/>
              </w:rPr>
            </w:pPr>
            <w:r w:rsidRPr="001D235E">
              <w:rPr>
                <w:sz w:val="18"/>
                <w:szCs w:val="18"/>
              </w:rPr>
              <w:t>No</w:t>
            </w:r>
          </w:p>
        </w:tc>
        <w:tc>
          <w:tcPr>
            <w:tcW w:w="634" w:type="pct"/>
          </w:tcPr>
          <w:p w14:paraId="345AF6C8" w14:textId="77777777" w:rsidR="00182760" w:rsidRPr="001D235E" w:rsidRDefault="00182760" w:rsidP="00182760">
            <w:pPr>
              <w:rPr>
                <w:sz w:val="18"/>
                <w:szCs w:val="18"/>
              </w:rPr>
            </w:pPr>
            <w:r w:rsidRPr="001D235E">
              <w:rPr>
                <w:sz w:val="18"/>
                <w:szCs w:val="18"/>
              </w:rPr>
              <w:t>No</w:t>
            </w:r>
          </w:p>
        </w:tc>
      </w:tr>
      <w:tr w:rsidR="00182760" w:rsidRPr="001D235E" w14:paraId="3F0C1E04" w14:textId="77777777" w:rsidTr="00182760">
        <w:tc>
          <w:tcPr>
            <w:tcW w:w="706" w:type="pct"/>
          </w:tcPr>
          <w:p w14:paraId="1F3A0876" w14:textId="77777777" w:rsidR="00182760" w:rsidRPr="001D235E" w:rsidRDefault="00182760" w:rsidP="00182760">
            <w:pPr>
              <w:rPr>
                <w:sz w:val="18"/>
                <w:szCs w:val="18"/>
              </w:rPr>
            </w:pPr>
            <w:r w:rsidRPr="001D235E">
              <w:rPr>
                <w:sz w:val="18"/>
                <w:szCs w:val="18"/>
              </w:rPr>
              <w:t>Oklahoma</w:t>
            </w:r>
          </w:p>
        </w:tc>
        <w:tc>
          <w:tcPr>
            <w:tcW w:w="670" w:type="pct"/>
          </w:tcPr>
          <w:p w14:paraId="10635B81" w14:textId="77777777" w:rsidR="00182760" w:rsidRPr="001D235E" w:rsidRDefault="00182760" w:rsidP="00182760">
            <w:pPr>
              <w:rPr>
                <w:sz w:val="18"/>
                <w:szCs w:val="18"/>
              </w:rPr>
            </w:pPr>
            <w:r w:rsidRPr="001D235E">
              <w:rPr>
                <w:sz w:val="18"/>
                <w:szCs w:val="18"/>
              </w:rPr>
              <w:t xml:space="preserve">Dense </w:t>
            </w:r>
          </w:p>
        </w:tc>
        <w:tc>
          <w:tcPr>
            <w:tcW w:w="587" w:type="pct"/>
          </w:tcPr>
          <w:p w14:paraId="4EBA2606" w14:textId="77777777" w:rsidR="00182760" w:rsidRPr="001D235E" w:rsidRDefault="00182760" w:rsidP="00182760">
            <w:pPr>
              <w:rPr>
                <w:sz w:val="18"/>
                <w:szCs w:val="18"/>
              </w:rPr>
            </w:pPr>
            <w:r w:rsidRPr="001D235E">
              <w:rPr>
                <w:sz w:val="18"/>
                <w:szCs w:val="18"/>
              </w:rPr>
              <w:t>Yes</w:t>
            </w:r>
          </w:p>
        </w:tc>
        <w:tc>
          <w:tcPr>
            <w:tcW w:w="605" w:type="pct"/>
          </w:tcPr>
          <w:p w14:paraId="56519CEE" w14:textId="77777777" w:rsidR="00182760" w:rsidRPr="001D235E" w:rsidRDefault="00182760" w:rsidP="00182760">
            <w:pPr>
              <w:rPr>
                <w:sz w:val="18"/>
                <w:szCs w:val="18"/>
              </w:rPr>
            </w:pPr>
            <w:r w:rsidRPr="001D235E">
              <w:rPr>
                <w:sz w:val="18"/>
                <w:szCs w:val="18"/>
              </w:rPr>
              <w:t>Yes</w:t>
            </w:r>
          </w:p>
        </w:tc>
        <w:tc>
          <w:tcPr>
            <w:tcW w:w="650" w:type="pct"/>
          </w:tcPr>
          <w:p w14:paraId="13FE2DC1" w14:textId="77777777" w:rsidR="00182760" w:rsidRPr="001D235E" w:rsidRDefault="00182760" w:rsidP="00182760">
            <w:pPr>
              <w:rPr>
                <w:sz w:val="18"/>
                <w:szCs w:val="18"/>
              </w:rPr>
            </w:pPr>
            <w:r w:rsidRPr="001D235E">
              <w:rPr>
                <w:sz w:val="18"/>
                <w:szCs w:val="18"/>
              </w:rPr>
              <w:t>Yes</w:t>
            </w:r>
          </w:p>
        </w:tc>
        <w:tc>
          <w:tcPr>
            <w:tcW w:w="536" w:type="pct"/>
          </w:tcPr>
          <w:p w14:paraId="192E100B" w14:textId="77777777" w:rsidR="00182760" w:rsidRPr="001D235E" w:rsidRDefault="00182760" w:rsidP="00182760">
            <w:pPr>
              <w:rPr>
                <w:sz w:val="18"/>
                <w:szCs w:val="18"/>
              </w:rPr>
            </w:pPr>
            <w:r w:rsidRPr="001D235E">
              <w:rPr>
                <w:sz w:val="18"/>
                <w:szCs w:val="18"/>
              </w:rPr>
              <w:t>Yes</w:t>
            </w:r>
          </w:p>
        </w:tc>
        <w:tc>
          <w:tcPr>
            <w:tcW w:w="612" w:type="pct"/>
          </w:tcPr>
          <w:p w14:paraId="172A420D" w14:textId="77777777" w:rsidR="00182760" w:rsidRPr="001D235E" w:rsidRDefault="00182760" w:rsidP="00182760">
            <w:pPr>
              <w:rPr>
                <w:sz w:val="18"/>
                <w:szCs w:val="18"/>
              </w:rPr>
            </w:pPr>
            <w:r w:rsidRPr="001D235E">
              <w:rPr>
                <w:sz w:val="18"/>
                <w:szCs w:val="18"/>
              </w:rPr>
              <w:t>No</w:t>
            </w:r>
          </w:p>
        </w:tc>
        <w:tc>
          <w:tcPr>
            <w:tcW w:w="634" w:type="pct"/>
          </w:tcPr>
          <w:p w14:paraId="4B34AE36" w14:textId="77777777" w:rsidR="00182760" w:rsidRPr="001D235E" w:rsidRDefault="00182760" w:rsidP="00182760">
            <w:pPr>
              <w:rPr>
                <w:sz w:val="18"/>
                <w:szCs w:val="18"/>
              </w:rPr>
            </w:pPr>
            <w:r w:rsidRPr="001D235E">
              <w:rPr>
                <w:sz w:val="18"/>
                <w:szCs w:val="18"/>
              </w:rPr>
              <w:t>No</w:t>
            </w:r>
          </w:p>
        </w:tc>
      </w:tr>
      <w:tr w:rsidR="00182760" w:rsidRPr="001D235E" w14:paraId="65B44445" w14:textId="77777777" w:rsidTr="00182760">
        <w:tc>
          <w:tcPr>
            <w:tcW w:w="706" w:type="pct"/>
          </w:tcPr>
          <w:p w14:paraId="4EE85578" w14:textId="77777777" w:rsidR="00182760" w:rsidRPr="001D235E" w:rsidRDefault="00182760" w:rsidP="00182760">
            <w:pPr>
              <w:rPr>
                <w:sz w:val="18"/>
                <w:szCs w:val="18"/>
              </w:rPr>
            </w:pPr>
            <w:r w:rsidRPr="001D235E">
              <w:rPr>
                <w:sz w:val="18"/>
                <w:szCs w:val="18"/>
              </w:rPr>
              <w:t>Oregon</w:t>
            </w:r>
          </w:p>
        </w:tc>
        <w:tc>
          <w:tcPr>
            <w:tcW w:w="670" w:type="pct"/>
          </w:tcPr>
          <w:p w14:paraId="4223CA84" w14:textId="77777777" w:rsidR="00182760" w:rsidRPr="001D235E" w:rsidRDefault="00182760" w:rsidP="00182760">
            <w:pPr>
              <w:rPr>
                <w:sz w:val="18"/>
                <w:szCs w:val="18"/>
              </w:rPr>
            </w:pPr>
            <w:r w:rsidRPr="001D235E">
              <w:rPr>
                <w:sz w:val="18"/>
                <w:szCs w:val="18"/>
              </w:rPr>
              <w:t xml:space="preserve">Extremely Dense </w:t>
            </w:r>
          </w:p>
        </w:tc>
        <w:tc>
          <w:tcPr>
            <w:tcW w:w="587" w:type="pct"/>
          </w:tcPr>
          <w:p w14:paraId="721CEF56" w14:textId="77777777" w:rsidR="00182760" w:rsidRPr="001D235E" w:rsidRDefault="00182760" w:rsidP="00182760">
            <w:pPr>
              <w:rPr>
                <w:sz w:val="18"/>
                <w:szCs w:val="18"/>
              </w:rPr>
            </w:pPr>
            <w:r w:rsidRPr="001D235E">
              <w:rPr>
                <w:sz w:val="18"/>
                <w:szCs w:val="18"/>
              </w:rPr>
              <w:t>Yes</w:t>
            </w:r>
          </w:p>
        </w:tc>
        <w:tc>
          <w:tcPr>
            <w:tcW w:w="605" w:type="pct"/>
          </w:tcPr>
          <w:p w14:paraId="5B1697B9" w14:textId="77777777" w:rsidR="00182760" w:rsidRPr="001D235E" w:rsidRDefault="00182760" w:rsidP="00182760">
            <w:pPr>
              <w:rPr>
                <w:sz w:val="18"/>
                <w:szCs w:val="18"/>
              </w:rPr>
            </w:pPr>
            <w:r w:rsidRPr="001D235E">
              <w:rPr>
                <w:sz w:val="18"/>
                <w:szCs w:val="18"/>
              </w:rPr>
              <w:t>No</w:t>
            </w:r>
          </w:p>
        </w:tc>
        <w:tc>
          <w:tcPr>
            <w:tcW w:w="650" w:type="pct"/>
          </w:tcPr>
          <w:p w14:paraId="0CC77A30" w14:textId="77777777" w:rsidR="00182760" w:rsidRPr="001D235E" w:rsidRDefault="00182760" w:rsidP="00182760">
            <w:pPr>
              <w:rPr>
                <w:sz w:val="18"/>
                <w:szCs w:val="18"/>
              </w:rPr>
            </w:pPr>
            <w:r w:rsidRPr="001D235E">
              <w:rPr>
                <w:sz w:val="18"/>
                <w:szCs w:val="18"/>
              </w:rPr>
              <w:t>Yes</w:t>
            </w:r>
          </w:p>
        </w:tc>
        <w:tc>
          <w:tcPr>
            <w:tcW w:w="536" w:type="pct"/>
          </w:tcPr>
          <w:p w14:paraId="5BA73F14" w14:textId="77777777" w:rsidR="00182760" w:rsidRPr="001D235E" w:rsidRDefault="00182760" w:rsidP="00182760">
            <w:pPr>
              <w:rPr>
                <w:sz w:val="18"/>
                <w:szCs w:val="18"/>
              </w:rPr>
            </w:pPr>
            <w:r w:rsidRPr="001D235E">
              <w:rPr>
                <w:sz w:val="18"/>
                <w:szCs w:val="18"/>
              </w:rPr>
              <w:t>Yes</w:t>
            </w:r>
          </w:p>
        </w:tc>
        <w:tc>
          <w:tcPr>
            <w:tcW w:w="612" w:type="pct"/>
          </w:tcPr>
          <w:p w14:paraId="3A2BD295" w14:textId="77777777" w:rsidR="00182760" w:rsidRPr="001D235E" w:rsidRDefault="00182760" w:rsidP="00182760">
            <w:pPr>
              <w:rPr>
                <w:sz w:val="18"/>
                <w:szCs w:val="18"/>
              </w:rPr>
            </w:pPr>
            <w:r w:rsidRPr="001D235E">
              <w:rPr>
                <w:sz w:val="18"/>
                <w:szCs w:val="18"/>
              </w:rPr>
              <w:t>Yes</w:t>
            </w:r>
          </w:p>
        </w:tc>
        <w:tc>
          <w:tcPr>
            <w:tcW w:w="634" w:type="pct"/>
          </w:tcPr>
          <w:p w14:paraId="3E3A82AF" w14:textId="77777777" w:rsidR="00182760" w:rsidRPr="001D235E" w:rsidRDefault="00182760" w:rsidP="00182760">
            <w:pPr>
              <w:rPr>
                <w:sz w:val="18"/>
                <w:szCs w:val="18"/>
              </w:rPr>
            </w:pPr>
            <w:r w:rsidRPr="001D235E">
              <w:rPr>
                <w:sz w:val="18"/>
                <w:szCs w:val="18"/>
              </w:rPr>
              <w:t>No</w:t>
            </w:r>
          </w:p>
        </w:tc>
      </w:tr>
      <w:tr w:rsidR="00182760" w:rsidRPr="001D235E" w14:paraId="39B40953" w14:textId="77777777" w:rsidTr="00182760">
        <w:tc>
          <w:tcPr>
            <w:tcW w:w="706" w:type="pct"/>
          </w:tcPr>
          <w:p w14:paraId="4FABFCF5" w14:textId="77777777" w:rsidR="00182760" w:rsidRPr="001D235E" w:rsidRDefault="00182760" w:rsidP="00182760">
            <w:pPr>
              <w:rPr>
                <w:sz w:val="18"/>
                <w:szCs w:val="18"/>
              </w:rPr>
            </w:pPr>
            <w:r w:rsidRPr="001D235E">
              <w:rPr>
                <w:sz w:val="18"/>
                <w:szCs w:val="18"/>
              </w:rPr>
              <w:t>Pennsylvania</w:t>
            </w:r>
          </w:p>
        </w:tc>
        <w:tc>
          <w:tcPr>
            <w:tcW w:w="670" w:type="pct"/>
          </w:tcPr>
          <w:p w14:paraId="14142071" w14:textId="77777777" w:rsidR="00182760" w:rsidRPr="001D235E" w:rsidRDefault="00182760" w:rsidP="00182760">
            <w:pPr>
              <w:rPr>
                <w:sz w:val="18"/>
                <w:szCs w:val="18"/>
              </w:rPr>
            </w:pPr>
            <w:r w:rsidRPr="001D235E">
              <w:rPr>
                <w:sz w:val="18"/>
                <w:szCs w:val="18"/>
              </w:rPr>
              <w:t xml:space="preserve">All </w:t>
            </w:r>
          </w:p>
        </w:tc>
        <w:tc>
          <w:tcPr>
            <w:tcW w:w="587" w:type="pct"/>
          </w:tcPr>
          <w:p w14:paraId="632D55EE" w14:textId="77777777" w:rsidR="00182760" w:rsidRPr="001D235E" w:rsidRDefault="00182760" w:rsidP="00182760">
            <w:pPr>
              <w:rPr>
                <w:sz w:val="18"/>
                <w:szCs w:val="18"/>
              </w:rPr>
            </w:pPr>
            <w:r w:rsidRPr="001D235E">
              <w:rPr>
                <w:sz w:val="18"/>
                <w:szCs w:val="18"/>
              </w:rPr>
              <w:t>Yes</w:t>
            </w:r>
          </w:p>
        </w:tc>
        <w:tc>
          <w:tcPr>
            <w:tcW w:w="605" w:type="pct"/>
          </w:tcPr>
          <w:p w14:paraId="5D468538" w14:textId="77777777" w:rsidR="00182760" w:rsidRPr="001D235E" w:rsidRDefault="00182760" w:rsidP="00182760">
            <w:pPr>
              <w:rPr>
                <w:sz w:val="18"/>
                <w:szCs w:val="18"/>
              </w:rPr>
            </w:pPr>
            <w:r w:rsidRPr="001D235E">
              <w:rPr>
                <w:sz w:val="18"/>
                <w:szCs w:val="18"/>
              </w:rPr>
              <w:t>Yes</w:t>
            </w:r>
          </w:p>
        </w:tc>
        <w:tc>
          <w:tcPr>
            <w:tcW w:w="650" w:type="pct"/>
          </w:tcPr>
          <w:p w14:paraId="7571958C" w14:textId="77777777" w:rsidR="00182760" w:rsidRPr="001D235E" w:rsidRDefault="00182760" w:rsidP="00182760">
            <w:pPr>
              <w:rPr>
                <w:sz w:val="18"/>
                <w:szCs w:val="18"/>
              </w:rPr>
            </w:pPr>
            <w:r w:rsidRPr="001D235E">
              <w:rPr>
                <w:sz w:val="18"/>
                <w:szCs w:val="18"/>
              </w:rPr>
              <w:t>Yes</w:t>
            </w:r>
          </w:p>
        </w:tc>
        <w:tc>
          <w:tcPr>
            <w:tcW w:w="536" w:type="pct"/>
          </w:tcPr>
          <w:p w14:paraId="218324C1" w14:textId="77777777" w:rsidR="00182760" w:rsidRPr="001D235E" w:rsidRDefault="00182760" w:rsidP="00182760">
            <w:pPr>
              <w:rPr>
                <w:sz w:val="18"/>
                <w:szCs w:val="18"/>
              </w:rPr>
            </w:pPr>
            <w:r w:rsidRPr="001D235E">
              <w:rPr>
                <w:sz w:val="18"/>
                <w:szCs w:val="18"/>
              </w:rPr>
              <w:t>Yes</w:t>
            </w:r>
          </w:p>
        </w:tc>
        <w:tc>
          <w:tcPr>
            <w:tcW w:w="612" w:type="pct"/>
          </w:tcPr>
          <w:p w14:paraId="3F25D48F" w14:textId="77777777" w:rsidR="00182760" w:rsidRPr="001D235E" w:rsidRDefault="00182760" w:rsidP="00182760">
            <w:pPr>
              <w:rPr>
                <w:sz w:val="18"/>
                <w:szCs w:val="18"/>
              </w:rPr>
            </w:pPr>
            <w:r w:rsidRPr="001D235E">
              <w:rPr>
                <w:sz w:val="18"/>
                <w:szCs w:val="18"/>
              </w:rPr>
              <w:t>No</w:t>
            </w:r>
          </w:p>
        </w:tc>
        <w:tc>
          <w:tcPr>
            <w:tcW w:w="634" w:type="pct"/>
          </w:tcPr>
          <w:p w14:paraId="295840A0" w14:textId="77777777" w:rsidR="00182760" w:rsidRPr="001D235E" w:rsidRDefault="00182760" w:rsidP="00182760">
            <w:pPr>
              <w:rPr>
                <w:sz w:val="18"/>
                <w:szCs w:val="18"/>
              </w:rPr>
            </w:pPr>
            <w:r w:rsidRPr="001D235E">
              <w:rPr>
                <w:sz w:val="18"/>
                <w:szCs w:val="18"/>
              </w:rPr>
              <w:t>Yes – all women, 3D</w:t>
            </w:r>
          </w:p>
        </w:tc>
      </w:tr>
      <w:tr w:rsidR="00182760" w:rsidRPr="001D235E" w14:paraId="36D850C6" w14:textId="77777777" w:rsidTr="00182760">
        <w:tc>
          <w:tcPr>
            <w:tcW w:w="706" w:type="pct"/>
          </w:tcPr>
          <w:p w14:paraId="4AD68EC4" w14:textId="77777777" w:rsidR="00182760" w:rsidRPr="001D235E" w:rsidRDefault="00182760" w:rsidP="00182760">
            <w:pPr>
              <w:rPr>
                <w:sz w:val="18"/>
                <w:szCs w:val="18"/>
              </w:rPr>
            </w:pPr>
            <w:r w:rsidRPr="001D235E">
              <w:rPr>
                <w:sz w:val="18"/>
                <w:szCs w:val="18"/>
              </w:rPr>
              <w:t>Rhode Island</w:t>
            </w:r>
          </w:p>
        </w:tc>
        <w:tc>
          <w:tcPr>
            <w:tcW w:w="670" w:type="pct"/>
          </w:tcPr>
          <w:p w14:paraId="242FD856" w14:textId="77777777" w:rsidR="00182760" w:rsidRPr="001D235E" w:rsidRDefault="00182760" w:rsidP="00182760">
            <w:pPr>
              <w:rPr>
                <w:sz w:val="18"/>
                <w:szCs w:val="18"/>
              </w:rPr>
            </w:pPr>
            <w:r w:rsidRPr="001D235E">
              <w:rPr>
                <w:sz w:val="18"/>
                <w:szCs w:val="18"/>
              </w:rPr>
              <w:t xml:space="preserve">Dense </w:t>
            </w:r>
          </w:p>
        </w:tc>
        <w:tc>
          <w:tcPr>
            <w:tcW w:w="587" w:type="pct"/>
          </w:tcPr>
          <w:p w14:paraId="5A8B1AA1" w14:textId="77777777" w:rsidR="00182760" w:rsidRPr="001D235E" w:rsidRDefault="00182760" w:rsidP="00182760">
            <w:pPr>
              <w:rPr>
                <w:sz w:val="18"/>
                <w:szCs w:val="18"/>
              </w:rPr>
            </w:pPr>
            <w:r w:rsidRPr="001D235E">
              <w:rPr>
                <w:sz w:val="18"/>
                <w:szCs w:val="18"/>
              </w:rPr>
              <w:t>Yes</w:t>
            </w:r>
          </w:p>
        </w:tc>
        <w:tc>
          <w:tcPr>
            <w:tcW w:w="605" w:type="pct"/>
          </w:tcPr>
          <w:p w14:paraId="258985F4" w14:textId="77777777" w:rsidR="00182760" w:rsidRPr="001D235E" w:rsidRDefault="00182760" w:rsidP="00182760">
            <w:pPr>
              <w:rPr>
                <w:sz w:val="18"/>
                <w:szCs w:val="18"/>
              </w:rPr>
            </w:pPr>
            <w:r w:rsidRPr="001D235E">
              <w:rPr>
                <w:sz w:val="18"/>
                <w:szCs w:val="18"/>
              </w:rPr>
              <w:t>Yes</w:t>
            </w:r>
          </w:p>
        </w:tc>
        <w:tc>
          <w:tcPr>
            <w:tcW w:w="650" w:type="pct"/>
          </w:tcPr>
          <w:p w14:paraId="27E4B7F6" w14:textId="77777777" w:rsidR="00182760" w:rsidRPr="001D235E" w:rsidRDefault="00182760" w:rsidP="00182760">
            <w:pPr>
              <w:rPr>
                <w:sz w:val="18"/>
                <w:szCs w:val="18"/>
              </w:rPr>
            </w:pPr>
            <w:r w:rsidRPr="001D235E">
              <w:rPr>
                <w:sz w:val="18"/>
                <w:szCs w:val="18"/>
              </w:rPr>
              <w:t>Yes</w:t>
            </w:r>
          </w:p>
        </w:tc>
        <w:tc>
          <w:tcPr>
            <w:tcW w:w="536" w:type="pct"/>
          </w:tcPr>
          <w:p w14:paraId="0C721570" w14:textId="77777777" w:rsidR="00182760" w:rsidRPr="001D235E" w:rsidRDefault="00182760" w:rsidP="00182760">
            <w:pPr>
              <w:rPr>
                <w:sz w:val="18"/>
                <w:szCs w:val="18"/>
              </w:rPr>
            </w:pPr>
            <w:r w:rsidRPr="001D235E">
              <w:rPr>
                <w:sz w:val="18"/>
                <w:szCs w:val="18"/>
              </w:rPr>
              <w:t>Yes</w:t>
            </w:r>
          </w:p>
        </w:tc>
        <w:tc>
          <w:tcPr>
            <w:tcW w:w="612" w:type="pct"/>
          </w:tcPr>
          <w:p w14:paraId="0FAD1E97" w14:textId="77777777" w:rsidR="00182760" w:rsidRPr="001D235E" w:rsidRDefault="00182760" w:rsidP="00182760">
            <w:pPr>
              <w:rPr>
                <w:sz w:val="18"/>
                <w:szCs w:val="18"/>
              </w:rPr>
            </w:pPr>
            <w:r w:rsidRPr="001D235E">
              <w:rPr>
                <w:sz w:val="18"/>
                <w:szCs w:val="18"/>
              </w:rPr>
              <w:t>Yes</w:t>
            </w:r>
          </w:p>
        </w:tc>
        <w:tc>
          <w:tcPr>
            <w:tcW w:w="634" w:type="pct"/>
          </w:tcPr>
          <w:p w14:paraId="7F7B4378" w14:textId="77777777" w:rsidR="00182760" w:rsidRPr="001D235E" w:rsidRDefault="00182760" w:rsidP="00182760">
            <w:pPr>
              <w:rPr>
                <w:sz w:val="18"/>
                <w:szCs w:val="18"/>
              </w:rPr>
            </w:pPr>
            <w:r w:rsidRPr="001D235E">
              <w:rPr>
                <w:sz w:val="18"/>
                <w:szCs w:val="18"/>
              </w:rPr>
              <w:t>No</w:t>
            </w:r>
          </w:p>
        </w:tc>
      </w:tr>
      <w:tr w:rsidR="00182760" w:rsidRPr="001D235E" w14:paraId="0F0A253C" w14:textId="77777777" w:rsidTr="00182760">
        <w:tc>
          <w:tcPr>
            <w:tcW w:w="706" w:type="pct"/>
          </w:tcPr>
          <w:p w14:paraId="239F9146" w14:textId="77777777" w:rsidR="00182760" w:rsidRPr="001D235E" w:rsidRDefault="00182760" w:rsidP="00182760">
            <w:pPr>
              <w:rPr>
                <w:sz w:val="18"/>
                <w:szCs w:val="18"/>
              </w:rPr>
            </w:pPr>
            <w:r w:rsidRPr="001D235E">
              <w:rPr>
                <w:sz w:val="18"/>
                <w:szCs w:val="18"/>
              </w:rPr>
              <w:t>South Carolina</w:t>
            </w:r>
          </w:p>
        </w:tc>
        <w:tc>
          <w:tcPr>
            <w:tcW w:w="670" w:type="pct"/>
          </w:tcPr>
          <w:p w14:paraId="3B950000" w14:textId="77777777" w:rsidR="00182760" w:rsidRPr="001D235E" w:rsidRDefault="00182760" w:rsidP="00182760">
            <w:pPr>
              <w:rPr>
                <w:sz w:val="18"/>
                <w:szCs w:val="18"/>
              </w:rPr>
            </w:pPr>
            <w:r w:rsidRPr="001D235E">
              <w:rPr>
                <w:sz w:val="18"/>
                <w:szCs w:val="18"/>
              </w:rPr>
              <w:t xml:space="preserve">“Where applicable” </w:t>
            </w:r>
          </w:p>
        </w:tc>
        <w:tc>
          <w:tcPr>
            <w:tcW w:w="587" w:type="pct"/>
          </w:tcPr>
          <w:p w14:paraId="5E2DC41C" w14:textId="77777777" w:rsidR="00182760" w:rsidRPr="001D235E" w:rsidRDefault="00182760" w:rsidP="00182760">
            <w:pPr>
              <w:rPr>
                <w:sz w:val="18"/>
                <w:szCs w:val="18"/>
              </w:rPr>
            </w:pPr>
            <w:r w:rsidRPr="001D235E">
              <w:rPr>
                <w:sz w:val="18"/>
                <w:szCs w:val="18"/>
              </w:rPr>
              <w:t>Yes</w:t>
            </w:r>
          </w:p>
        </w:tc>
        <w:tc>
          <w:tcPr>
            <w:tcW w:w="605" w:type="pct"/>
          </w:tcPr>
          <w:p w14:paraId="1CC94449" w14:textId="77777777" w:rsidR="00182760" w:rsidRPr="001D235E" w:rsidRDefault="00182760" w:rsidP="00182760">
            <w:pPr>
              <w:rPr>
                <w:sz w:val="18"/>
                <w:szCs w:val="18"/>
              </w:rPr>
            </w:pPr>
            <w:r w:rsidRPr="001D235E">
              <w:rPr>
                <w:sz w:val="18"/>
                <w:szCs w:val="18"/>
              </w:rPr>
              <w:t>No</w:t>
            </w:r>
          </w:p>
        </w:tc>
        <w:tc>
          <w:tcPr>
            <w:tcW w:w="650" w:type="pct"/>
          </w:tcPr>
          <w:p w14:paraId="704D5D63" w14:textId="77777777" w:rsidR="00182760" w:rsidRPr="001D235E" w:rsidRDefault="00182760" w:rsidP="00182760">
            <w:pPr>
              <w:rPr>
                <w:sz w:val="18"/>
                <w:szCs w:val="18"/>
              </w:rPr>
            </w:pPr>
            <w:r w:rsidRPr="001D235E">
              <w:rPr>
                <w:sz w:val="18"/>
                <w:szCs w:val="18"/>
              </w:rPr>
              <w:t>No</w:t>
            </w:r>
          </w:p>
        </w:tc>
        <w:tc>
          <w:tcPr>
            <w:tcW w:w="536" w:type="pct"/>
          </w:tcPr>
          <w:p w14:paraId="630499FF" w14:textId="77777777" w:rsidR="00182760" w:rsidRPr="001D235E" w:rsidRDefault="00182760" w:rsidP="00182760">
            <w:pPr>
              <w:rPr>
                <w:sz w:val="18"/>
                <w:szCs w:val="18"/>
              </w:rPr>
            </w:pPr>
            <w:r w:rsidRPr="001D235E">
              <w:rPr>
                <w:sz w:val="18"/>
                <w:szCs w:val="18"/>
              </w:rPr>
              <w:t>Yes</w:t>
            </w:r>
          </w:p>
        </w:tc>
        <w:tc>
          <w:tcPr>
            <w:tcW w:w="612" w:type="pct"/>
          </w:tcPr>
          <w:p w14:paraId="4294AF5E" w14:textId="77777777" w:rsidR="00182760" w:rsidRPr="001D235E" w:rsidRDefault="00182760" w:rsidP="00182760">
            <w:pPr>
              <w:rPr>
                <w:sz w:val="18"/>
                <w:szCs w:val="18"/>
              </w:rPr>
            </w:pPr>
            <w:r w:rsidRPr="001D235E">
              <w:rPr>
                <w:sz w:val="18"/>
                <w:szCs w:val="18"/>
              </w:rPr>
              <w:t>No</w:t>
            </w:r>
          </w:p>
        </w:tc>
        <w:tc>
          <w:tcPr>
            <w:tcW w:w="634" w:type="pct"/>
          </w:tcPr>
          <w:p w14:paraId="5D1879EB" w14:textId="77777777" w:rsidR="00182760" w:rsidRPr="001D235E" w:rsidRDefault="00182760" w:rsidP="00182760">
            <w:pPr>
              <w:rPr>
                <w:sz w:val="18"/>
                <w:szCs w:val="18"/>
              </w:rPr>
            </w:pPr>
            <w:r w:rsidRPr="001D235E">
              <w:rPr>
                <w:sz w:val="18"/>
                <w:szCs w:val="18"/>
              </w:rPr>
              <w:t>No</w:t>
            </w:r>
          </w:p>
        </w:tc>
      </w:tr>
      <w:tr w:rsidR="00182760" w:rsidRPr="001D235E" w14:paraId="709AF13B" w14:textId="77777777" w:rsidTr="00182760">
        <w:tc>
          <w:tcPr>
            <w:tcW w:w="706" w:type="pct"/>
          </w:tcPr>
          <w:p w14:paraId="134321C0" w14:textId="77777777" w:rsidR="00182760" w:rsidRPr="001D235E" w:rsidRDefault="00182760" w:rsidP="00182760">
            <w:pPr>
              <w:rPr>
                <w:sz w:val="18"/>
                <w:szCs w:val="18"/>
              </w:rPr>
            </w:pPr>
            <w:r w:rsidRPr="001D235E">
              <w:rPr>
                <w:sz w:val="18"/>
                <w:szCs w:val="18"/>
              </w:rPr>
              <w:t>Tennessee</w:t>
            </w:r>
          </w:p>
        </w:tc>
        <w:tc>
          <w:tcPr>
            <w:tcW w:w="670" w:type="pct"/>
          </w:tcPr>
          <w:p w14:paraId="11728A03" w14:textId="77777777" w:rsidR="00182760" w:rsidRPr="001D235E" w:rsidRDefault="00182760" w:rsidP="00182760">
            <w:pPr>
              <w:rPr>
                <w:sz w:val="18"/>
                <w:szCs w:val="18"/>
              </w:rPr>
            </w:pPr>
            <w:r w:rsidRPr="001D235E">
              <w:rPr>
                <w:sz w:val="18"/>
                <w:szCs w:val="18"/>
              </w:rPr>
              <w:t xml:space="preserve">Dense </w:t>
            </w:r>
          </w:p>
        </w:tc>
        <w:tc>
          <w:tcPr>
            <w:tcW w:w="587" w:type="pct"/>
          </w:tcPr>
          <w:p w14:paraId="72253E99" w14:textId="77777777" w:rsidR="00182760" w:rsidRPr="001D235E" w:rsidRDefault="00182760" w:rsidP="00182760">
            <w:pPr>
              <w:rPr>
                <w:sz w:val="18"/>
                <w:szCs w:val="18"/>
              </w:rPr>
            </w:pPr>
            <w:r w:rsidRPr="001D235E">
              <w:rPr>
                <w:sz w:val="18"/>
                <w:szCs w:val="18"/>
              </w:rPr>
              <w:t>Yes</w:t>
            </w:r>
          </w:p>
        </w:tc>
        <w:tc>
          <w:tcPr>
            <w:tcW w:w="605" w:type="pct"/>
          </w:tcPr>
          <w:p w14:paraId="19DF658D" w14:textId="77777777" w:rsidR="00182760" w:rsidRPr="001D235E" w:rsidRDefault="00182760" w:rsidP="00182760">
            <w:pPr>
              <w:rPr>
                <w:sz w:val="18"/>
                <w:szCs w:val="18"/>
              </w:rPr>
            </w:pPr>
            <w:r w:rsidRPr="001D235E">
              <w:rPr>
                <w:sz w:val="18"/>
                <w:szCs w:val="18"/>
              </w:rPr>
              <w:t>No</w:t>
            </w:r>
          </w:p>
        </w:tc>
        <w:tc>
          <w:tcPr>
            <w:tcW w:w="650" w:type="pct"/>
          </w:tcPr>
          <w:p w14:paraId="2A479057" w14:textId="77777777" w:rsidR="00182760" w:rsidRPr="001D235E" w:rsidRDefault="00182760" w:rsidP="00182760">
            <w:pPr>
              <w:rPr>
                <w:sz w:val="18"/>
                <w:szCs w:val="18"/>
              </w:rPr>
            </w:pPr>
            <w:r w:rsidRPr="001D235E">
              <w:rPr>
                <w:sz w:val="18"/>
                <w:szCs w:val="18"/>
              </w:rPr>
              <w:t>No</w:t>
            </w:r>
          </w:p>
        </w:tc>
        <w:tc>
          <w:tcPr>
            <w:tcW w:w="536" w:type="pct"/>
          </w:tcPr>
          <w:p w14:paraId="16792356" w14:textId="77777777" w:rsidR="00182760" w:rsidRPr="001D235E" w:rsidRDefault="00182760" w:rsidP="00182760">
            <w:pPr>
              <w:rPr>
                <w:sz w:val="18"/>
                <w:szCs w:val="18"/>
              </w:rPr>
            </w:pPr>
            <w:r w:rsidRPr="001D235E">
              <w:rPr>
                <w:sz w:val="18"/>
                <w:szCs w:val="18"/>
              </w:rPr>
              <w:t>Yes</w:t>
            </w:r>
          </w:p>
        </w:tc>
        <w:tc>
          <w:tcPr>
            <w:tcW w:w="612" w:type="pct"/>
          </w:tcPr>
          <w:p w14:paraId="404D69E4" w14:textId="77777777" w:rsidR="00182760" w:rsidRPr="001D235E" w:rsidRDefault="00182760" w:rsidP="00182760">
            <w:pPr>
              <w:rPr>
                <w:sz w:val="18"/>
                <w:szCs w:val="18"/>
              </w:rPr>
            </w:pPr>
            <w:r w:rsidRPr="001D235E">
              <w:rPr>
                <w:sz w:val="18"/>
                <w:szCs w:val="18"/>
              </w:rPr>
              <w:t>No</w:t>
            </w:r>
          </w:p>
        </w:tc>
        <w:tc>
          <w:tcPr>
            <w:tcW w:w="634" w:type="pct"/>
          </w:tcPr>
          <w:p w14:paraId="74E42CE3" w14:textId="77777777" w:rsidR="00182760" w:rsidRPr="001D235E" w:rsidRDefault="00182760" w:rsidP="00182760">
            <w:pPr>
              <w:rPr>
                <w:sz w:val="18"/>
                <w:szCs w:val="18"/>
              </w:rPr>
            </w:pPr>
            <w:r w:rsidRPr="001D235E">
              <w:rPr>
                <w:sz w:val="18"/>
                <w:szCs w:val="18"/>
              </w:rPr>
              <w:t>No</w:t>
            </w:r>
          </w:p>
        </w:tc>
      </w:tr>
      <w:tr w:rsidR="00182760" w:rsidRPr="001D235E" w14:paraId="388A742D" w14:textId="77777777" w:rsidTr="00182760">
        <w:tc>
          <w:tcPr>
            <w:tcW w:w="706" w:type="pct"/>
          </w:tcPr>
          <w:p w14:paraId="03254C83" w14:textId="77777777" w:rsidR="00182760" w:rsidRPr="001D235E" w:rsidRDefault="00182760" w:rsidP="00182760">
            <w:pPr>
              <w:rPr>
                <w:sz w:val="18"/>
                <w:szCs w:val="18"/>
              </w:rPr>
            </w:pPr>
            <w:r w:rsidRPr="001D235E">
              <w:rPr>
                <w:sz w:val="18"/>
                <w:szCs w:val="18"/>
              </w:rPr>
              <w:lastRenderedPageBreak/>
              <w:t>Texas</w:t>
            </w:r>
          </w:p>
        </w:tc>
        <w:tc>
          <w:tcPr>
            <w:tcW w:w="670" w:type="pct"/>
          </w:tcPr>
          <w:p w14:paraId="48F4FC9B" w14:textId="77777777" w:rsidR="00182760" w:rsidRPr="001D235E" w:rsidRDefault="00182760" w:rsidP="00182760">
            <w:pPr>
              <w:rPr>
                <w:sz w:val="18"/>
                <w:szCs w:val="18"/>
              </w:rPr>
            </w:pPr>
            <w:r w:rsidRPr="001D235E">
              <w:rPr>
                <w:sz w:val="18"/>
                <w:szCs w:val="18"/>
              </w:rPr>
              <w:t>All</w:t>
            </w:r>
          </w:p>
        </w:tc>
        <w:tc>
          <w:tcPr>
            <w:tcW w:w="587" w:type="pct"/>
          </w:tcPr>
          <w:p w14:paraId="798B96EE" w14:textId="77777777" w:rsidR="00182760" w:rsidRPr="001D235E" w:rsidRDefault="00182760" w:rsidP="00182760">
            <w:pPr>
              <w:rPr>
                <w:sz w:val="18"/>
                <w:szCs w:val="18"/>
              </w:rPr>
            </w:pPr>
            <w:r w:rsidRPr="001D235E">
              <w:rPr>
                <w:sz w:val="18"/>
                <w:szCs w:val="18"/>
              </w:rPr>
              <w:t>No</w:t>
            </w:r>
          </w:p>
        </w:tc>
        <w:tc>
          <w:tcPr>
            <w:tcW w:w="605" w:type="pct"/>
          </w:tcPr>
          <w:p w14:paraId="7B2A2A62" w14:textId="77777777" w:rsidR="00182760" w:rsidRPr="001D235E" w:rsidRDefault="00182760" w:rsidP="00182760">
            <w:pPr>
              <w:rPr>
                <w:sz w:val="18"/>
                <w:szCs w:val="18"/>
              </w:rPr>
            </w:pPr>
            <w:r w:rsidRPr="001D235E">
              <w:rPr>
                <w:sz w:val="18"/>
                <w:szCs w:val="18"/>
              </w:rPr>
              <w:t>No</w:t>
            </w:r>
          </w:p>
        </w:tc>
        <w:tc>
          <w:tcPr>
            <w:tcW w:w="650" w:type="pct"/>
          </w:tcPr>
          <w:p w14:paraId="1BA8F09C" w14:textId="77777777" w:rsidR="00182760" w:rsidRPr="001D235E" w:rsidRDefault="00182760" w:rsidP="00182760">
            <w:pPr>
              <w:rPr>
                <w:sz w:val="18"/>
                <w:szCs w:val="18"/>
              </w:rPr>
            </w:pPr>
            <w:r w:rsidRPr="001D235E">
              <w:rPr>
                <w:sz w:val="18"/>
                <w:szCs w:val="18"/>
              </w:rPr>
              <w:t>Yes</w:t>
            </w:r>
          </w:p>
        </w:tc>
        <w:tc>
          <w:tcPr>
            <w:tcW w:w="536" w:type="pct"/>
          </w:tcPr>
          <w:p w14:paraId="3B233FA7" w14:textId="77777777" w:rsidR="00182760" w:rsidRPr="001D235E" w:rsidRDefault="00182760" w:rsidP="00182760">
            <w:pPr>
              <w:rPr>
                <w:sz w:val="18"/>
                <w:szCs w:val="18"/>
              </w:rPr>
            </w:pPr>
            <w:r w:rsidRPr="001D235E">
              <w:rPr>
                <w:sz w:val="18"/>
                <w:szCs w:val="18"/>
              </w:rPr>
              <w:t>Yes</w:t>
            </w:r>
          </w:p>
        </w:tc>
        <w:tc>
          <w:tcPr>
            <w:tcW w:w="612" w:type="pct"/>
          </w:tcPr>
          <w:p w14:paraId="524DBF3C" w14:textId="77777777" w:rsidR="00182760" w:rsidRPr="001D235E" w:rsidRDefault="00182760" w:rsidP="00182760">
            <w:pPr>
              <w:rPr>
                <w:sz w:val="18"/>
                <w:szCs w:val="18"/>
              </w:rPr>
            </w:pPr>
            <w:r w:rsidRPr="001D235E">
              <w:rPr>
                <w:sz w:val="18"/>
                <w:szCs w:val="18"/>
              </w:rPr>
              <w:t>Yes</w:t>
            </w:r>
          </w:p>
        </w:tc>
        <w:tc>
          <w:tcPr>
            <w:tcW w:w="634" w:type="pct"/>
          </w:tcPr>
          <w:p w14:paraId="0BAE4B46" w14:textId="77777777" w:rsidR="00182760" w:rsidRPr="001D235E" w:rsidRDefault="00182760" w:rsidP="00182760">
            <w:pPr>
              <w:rPr>
                <w:sz w:val="18"/>
                <w:szCs w:val="18"/>
              </w:rPr>
            </w:pPr>
            <w:r w:rsidRPr="001D235E">
              <w:rPr>
                <w:sz w:val="18"/>
                <w:szCs w:val="18"/>
              </w:rPr>
              <w:t xml:space="preserve">Yes - all women, 3D </w:t>
            </w:r>
          </w:p>
        </w:tc>
      </w:tr>
      <w:tr w:rsidR="00182760" w:rsidRPr="001D235E" w14:paraId="3321317D" w14:textId="77777777" w:rsidTr="00182760">
        <w:tc>
          <w:tcPr>
            <w:tcW w:w="706" w:type="pct"/>
          </w:tcPr>
          <w:p w14:paraId="3297C195" w14:textId="77777777" w:rsidR="00182760" w:rsidRPr="001D235E" w:rsidRDefault="00182760" w:rsidP="00182760">
            <w:pPr>
              <w:rPr>
                <w:sz w:val="18"/>
                <w:szCs w:val="18"/>
              </w:rPr>
            </w:pPr>
            <w:r w:rsidRPr="001D235E">
              <w:rPr>
                <w:sz w:val="18"/>
                <w:szCs w:val="18"/>
              </w:rPr>
              <w:t>Vermont</w:t>
            </w:r>
          </w:p>
        </w:tc>
        <w:tc>
          <w:tcPr>
            <w:tcW w:w="670" w:type="pct"/>
          </w:tcPr>
          <w:p w14:paraId="02EA45CD" w14:textId="77777777" w:rsidR="00182760" w:rsidRPr="001D235E" w:rsidRDefault="00182760" w:rsidP="00182760">
            <w:pPr>
              <w:rPr>
                <w:sz w:val="18"/>
                <w:szCs w:val="18"/>
              </w:rPr>
            </w:pPr>
            <w:r w:rsidRPr="001D235E">
              <w:rPr>
                <w:sz w:val="18"/>
                <w:szCs w:val="18"/>
              </w:rPr>
              <w:t xml:space="preserve">Dense </w:t>
            </w:r>
          </w:p>
        </w:tc>
        <w:tc>
          <w:tcPr>
            <w:tcW w:w="587" w:type="pct"/>
          </w:tcPr>
          <w:p w14:paraId="708486B0" w14:textId="77777777" w:rsidR="00182760" w:rsidRPr="001D235E" w:rsidRDefault="00182760" w:rsidP="00182760">
            <w:pPr>
              <w:rPr>
                <w:sz w:val="18"/>
                <w:szCs w:val="18"/>
              </w:rPr>
            </w:pPr>
            <w:r w:rsidRPr="001D235E">
              <w:rPr>
                <w:sz w:val="18"/>
                <w:szCs w:val="18"/>
              </w:rPr>
              <w:t>Yes</w:t>
            </w:r>
          </w:p>
        </w:tc>
        <w:tc>
          <w:tcPr>
            <w:tcW w:w="605" w:type="pct"/>
          </w:tcPr>
          <w:p w14:paraId="272FF724" w14:textId="77777777" w:rsidR="00182760" w:rsidRPr="001D235E" w:rsidRDefault="00182760" w:rsidP="00182760">
            <w:pPr>
              <w:rPr>
                <w:sz w:val="18"/>
                <w:szCs w:val="18"/>
              </w:rPr>
            </w:pPr>
            <w:r w:rsidRPr="001D235E">
              <w:rPr>
                <w:sz w:val="18"/>
                <w:szCs w:val="18"/>
              </w:rPr>
              <w:t>Yes</w:t>
            </w:r>
          </w:p>
        </w:tc>
        <w:tc>
          <w:tcPr>
            <w:tcW w:w="650" w:type="pct"/>
          </w:tcPr>
          <w:p w14:paraId="7628EB87" w14:textId="77777777" w:rsidR="00182760" w:rsidRPr="001D235E" w:rsidRDefault="00182760" w:rsidP="00182760">
            <w:pPr>
              <w:rPr>
                <w:sz w:val="18"/>
                <w:szCs w:val="18"/>
              </w:rPr>
            </w:pPr>
            <w:r w:rsidRPr="001D235E">
              <w:rPr>
                <w:sz w:val="18"/>
                <w:szCs w:val="18"/>
              </w:rPr>
              <w:t>Yes</w:t>
            </w:r>
          </w:p>
        </w:tc>
        <w:tc>
          <w:tcPr>
            <w:tcW w:w="536" w:type="pct"/>
          </w:tcPr>
          <w:p w14:paraId="1AE096E0" w14:textId="77777777" w:rsidR="00182760" w:rsidRPr="001D235E" w:rsidRDefault="00182760" w:rsidP="00182760">
            <w:pPr>
              <w:rPr>
                <w:sz w:val="18"/>
                <w:szCs w:val="18"/>
              </w:rPr>
            </w:pPr>
            <w:r w:rsidRPr="001D235E">
              <w:rPr>
                <w:sz w:val="18"/>
                <w:szCs w:val="18"/>
              </w:rPr>
              <w:t>Yes</w:t>
            </w:r>
          </w:p>
        </w:tc>
        <w:tc>
          <w:tcPr>
            <w:tcW w:w="612" w:type="pct"/>
          </w:tcPr>
          <w:p w14:paraId="3508DA87" w14:textId="77777777" w:rsidR="00182760" w:rsidRPr="001D235E" w:rsidRDefault="00182760" w:rsidP="00182760">
            <w:pPr>
              <w:rPr>
                <w:sz w:val="18"/>
                <w:szCs w:val="18"/>
              </w:rPr>
            </w:pPr>
            <w:r w:rsidRPr="001D235E">
              <w:rPr>
                <w:sz w:val="18"/>
                <w:szCs w:val="18"/>
              </w:rPr>
              <w:t>No</w:t>
            </w:r>
          </w:p>
        </w:tc>
        <w:tc>
          <w:tcPr>
            <w:tcW w:w="634" w:type="pct"/>
          </w:tcPr>
          <w:p w14:paraId="2FB44E00" w14:textId="77777777" w:rsidR="00182760" w:rsidRPr="001D235E" w:rsidRDefault="00182760" w:rsidP="00182760">
            <w:pPr>
              <w:rPr>
                <w:sz w:val="18"/>
                <w:szCs w:val="18"/>
              </w:rPr>
            </w:pPr>
            <w:r w:rsidRPr="001D235E">
              <w:rPr>
                <w:sz w:val="18"/>
                <w:szCs w:val="18"/>
              </w:rPr>
              <w:t>No</w:t>
            </w:r>
          </w:p>
        </w:tc>
      </w:tr>
      <w:tr w:rsidR="00182760" w:rsidRPr="001D235E" w14:paraId="3D1AEB1E" w14:textId="77777777" w:rsidTr="00182760">
        <w:tc>
          <w:tcPr>
            <w:tcW w:w="706" w:type="pct"/>
          </w:tcPr>
          <w:p w14:paraId="1B7459EF" w14:textId="77777777" w:rsidR="00182760" w:rsidRPr="001D235E" w:rsidRDefault="00182760" w:rsidP="00182760">
            <w:pPr>
              <w:rPr>
                <w:sz w:val="18"/>
                <w:szCs w:val="18"/>
              </w:rPr>
            </w:pPr>
            <w:r w:rsidRPr="001D235E">
              <w:rPr>
                <w:sz w:val="18"/>
                <w:szCs w:val="18"/>
              </w:rPr>
              <w:t>Virginia</w:t>
            </w:r>
          </w:p>
        </w:tc>
        <w:tc>
          <w:tcPr>
            <w:tcW w:w="670" w:type="pct"/>
          </w:tcPr>
          <w:p w14:paraId="59AAF147" w14:textId="77777777" w:rsidR="00182760" w:rsidRPr="001D235E" w:rsidRDefault="00182760" w:rsidP="00182760">
            <w:pPr>
              <w:rPr>
                <w:sz w:val="18"/>
                <w:szCs w:val="18"/>
              </w:rPr>
            </w:pPr>
            <w:r w:rsidRPr="001D235E">
              <w:rPr>
                <w:sz w:val="18"/>
                <w:szCs w:val="18"/>
              </w:rPr>
              <w:t xml:space="preserve">Dense </w:t>
            </w:r>
          </w:p>
        </w:tc>
        <w:tc>
          <w:tcPr>
            <w:tcW w:w="587" w:type="pct"/>
          </w:tcPr>
          <w:p w14:paraId="0DF70743" w14:textId="77777777" w:rsidR="00182760" w:rsidRPr="001D235E" w:rsidRDefault="00182760" w:rsidP="00182760">
            <w:pPr>
              <w:rPr>
                <w:sz w:val="18"/>
                <w:szCs w:val="18"/>
              </w:rPr>
            </w:pPr>
            <w:r w:rsidRPr="001D235E">
              <w:rPr>
                <w:sz w:val="18"/>
                <w:szCs w:val="18"/>
              </w:rPr>
              <w:t>Yes</w:t>
            </w:r>
          </w:p>
        </w:tc>
        <w:tc>
          <w:tcPr>
            <w:tcW w:w="605" w:type="pct"/>
          </w:tcPr>
          <w:p w14:paraId="58DE6058" w14:textId="77777777" w:rsidR="00182760" w:rsidRPr="001D235E" w:rsidRDefault="00182760" w:rsidP="00182760">
            <w:pPr>
              <w:rPr>
                <w:sz w:val="18"/>
                <w:szCs w:val="18"/>
              </w:rPr>
            </w:pPr>
            <w:r w:rsidRPr="001D235E">
              <w:rPr>
                <w:sz w:val="18"/>
                <w:szCs w:val="18"/>
              </w:rPr>
              <w:t>No</w:t>
            </w:r>
          </w:p>
        </w:tc>
        <w:tc>
          <w:tcPr>
            <w:tcW w:w="650" w:type="pct"/>
          </w:tcPr>
          <w:p w14:paraId="6622E2FD" w14:textId="77777777" w:rsidR="00182760" w:rsidRPr="001D235E" w:rsidRDefault="00182760" w:rsidP="00182760">
            <w:pPr>
              <w:rPr>
                <w:sz w:val="18"/>
                <w:szCs w:val="18"/>
              </w:rPr>
            </w:pPr>
            <w:r w:rsidRPr="001D235E">
              <w:rPr>
                <w:sz w:val="18"/>
                <w:szCs w:val="18"/>
              </w:rPr>
              <w:t>Yes</w:t>
            </w:r>
          </w:p>
        </w:tc>
        <w:tc>
          <w:tcPr>
            <w:tcW w:w="536" w:type="pct"/>
          </w:tcPr>
          <w:p w14:paraId="636AE7A3" w14:textId="77777777" w:rsidR="00182760" w:rsidRPr="001D235E" w:rsidRDefault="00182760" w:rsidP="00182760">
            <w:pPr>
              <w:rPr>
                <w:sz w:val="18"/>
                <w:szCs w:val="18"/>
              </w:rPr>
            </w:pPr>
            <w:r w:rsidRPr="001D235E">
              <w:rPr>
                <w:sz w:val="18"/>
                <w:szCs w:val="18"/>
              </w:rPr>
              <w:t>Yes</w:t>
            </w:r>
          </w:p>
        </w:tc>
        <w:tc>
          <w:tcPr>
            <w:tcW w:w="612" w:type="pct"/>
          </w:tcPr>
          <w:p w14:paraId="17454F5B" w14:textId="77777777" w:rsidR="00182760" w:rsidRPr="001D235E" w:rsidRDefault="00182760" w:rsidP="00182760">
            <w:pPr>
              <w:rPr>
                <w:sz w:val="18"/>
                <w:szCs w:val="18"/>
              </w:rPr>
            </w:pPr>
            <w:r w:rsidRPr="001D235E">
              <w:rPr>
                <w:sz w:val="18"/>
                <w:szCs w:val="18"/>
              </w:rPr>
              <w:t>Yes</w:t>
            </w:r>
          </w:p>
        </w:tc>
        <w:tc>
          <w:tcPr>
            <w:tcW w:w="634" w:type="pct"/>
          </w:tcPr>
          <w:p w14:paraId="59020231" w14:textId="77777777" w:rsidR="00182760" w:rsidRPr="001D235E" w:rsidRDefault="00182760" w:rsidP="00182760">
            <w:pPr>
              <w:rPr>
                <w:sz w:val="18"/>
                <w:szCs w:val="18"/>
              </w:rPr>
            </w:pPr>
            <w:r w:rsidRPr="001D235E">
              <w:rPr>
                <w:sz w:val="18"/>
                <w:szCs w:val="18"/>
              </w:rPr>
              <w:t>No</w:t>
            </w:r>
          </w:p>
        </w:tc>
      </w:tr>
      <w:tr w:rsidR="00EE52D6" w:rsidRPr="001D235E" w14:paraId="22FF657F" w14:textId="77777777" w:rsidTr="00182760">
        <w:tc>
          <w:tcPr>
            <w:tcW w:w="706" w:type="pct"/>
          </w:tcPr>
          <w:p w14:paraId="7F1D447E" w14:textId="259AAC6E" w:rsidR="00EE52D6" w:rsidRPr="00EE52D6" w:rsidRDefault="00EE52D6" w:rsidP="00182760">
            <w:pPr>
              <w:rPr>
                <w:sz w:val="18"/>
                <w:szCs w:val="18"/>
                <w:vertAlign w:val="superscript"/>
              </w:rPr>
            </w:pPr>
            <w:r>
              <w:rPr>
                <w:sz w:val="18"/>
                <w:szCs w:val="18"/>
              </w:rPr>
              <w:t>Washington</w:t>
            </w:r>
            <w:r>
              <w:rPr>
                <w:sz w:val="18"/>
                <w:szCs w:val="18"/>
                <w:vertAlign w:val="superscript"/>
              </w:rPr>
              <w:t>3</w:t>
            </w:r>
          </w:p>
        </w:tc>
        <w:tc>
          <w:tcPr>
            <w:tcW w:w="670" w:type="pct"/>
          </w:tcPr>
          <w:p w14:paraId="20D9832C" w14:textId="7043BE78" w:rsidR="00EE52D6" w:rsidRPr="001D235E" w:rsidRDefault="00EE52D6" w:rsidP="00182760">
            <w:pPr>
              <w:rPr>
                <w:sz w:val="18"/>
                <w:szCs w:val="18"/>
              </w:rPr>
            </w:pPr>
            <w:r>
              <w:rPr>
                <w:sz w:val="18"/>
                <w:szCs w:val="18"/>
              </w:rPr>
              <w:t>Dense</w:t>
            </w:r>
          </w:p>
        </w:tc>
        <w:tc>
          <w:tcPr>
            <w:tcW w:w="587" w:type="pct"/>
          </w:tcPr>
          <w:p w14:paraId="5389E9F4" w14:textId="7E8614EC" w:rsidR="00EE52D6" w:rsidRPr="001D235E" w:rsidRDefault="00EE52D6" w:rsidP="00182760">
            <w:pPr>
              <w:rPr>
                <w:sz w:val="18"/>
                <w:szCs w:val="18"/>
              </w:rPr>
            </w:pPr>
            <w:r>
              <w:rPr>
                <w:sz w:val="18"/>
                <w:szCs w:val="18"/>
              </w:rPr>
              <w:t>Yes</w:t>
            </w:r>
          </w:p>
        </w:tc>
        <w:tc>
          <w:tcPr>
            <w:tcW w:w="605" w:type="pct"/>
          </w:tcPr>
          <w:p w14:paraId="6CE10D9B" w14:textId="11DEBDA2" w:rsidR="00EE52D6" w:rsidRPr="001D235E" w:rsidRDefault="00EE52D6" w:rsidP="00182760">
            <w:pPr>
              <w:rPr>
                <w:sz w:val="18"/>
                <w:szCs w:val="18"/>
              </w:rPr>
            </w:pPr>
            <w:r>
              <w:rPr>
                <w:sz w:val="18"/>
                <w:szCs w:val="18"/>
              </w:rPr>
              <w:t>Yes</w:t>
            </w:r>
          </w:p>
        </w:tc>
        <w:tc>
          <w:tcPr>
            <w:tcW w:w="650" w:type="pct"/>
          </w:tcPr>
          <w:p w14:paraId="10D3D697" w14:textId="6FA84F5A" w:rsidR="00EE52D6" w:rsidRPr="001D235E" w:rsidRDefault="00EE52D6" w:rsidP="00182760">
            <w:pPr>
              <w:rPr>
                <w:sz w:val="18"/>
                <w:szCs w:val="18"/>
              </w:rPr>
            </w:pPr>
            <w:r>
              <w:rPr>
                <w:sz w:val="18"/>
                <w:szCs w:val="18"/>
              </w:rPr>
              <w:t>No</w:t>
            </w:r>
          </w:p>
        </w:tc>
        <w:tc>
          <w:tcPr>
            <w:tcW w:w="536" w:type="pct"/>
          </w:tcPr>
          <w:p w14:paraId="29DC2C42" w14:textId="56344927" w:rsidR="00EE52D6" w:rsidRPr="001D235E" w:rsidRDefault="00EE52D6" w:rsidP="00182760">
            <w:pPr>
              <w:rPr>
                <w:sz w:val="18"/>
                <w:szCs w:val="18"/>
              </w:rPr>
            </w:pPr>
            <w:r>
              <w:rPr>
                <w:sz w:val="18"/>
                <w:szCs w:val="18"/>
              </w:rPr>
              <w:t>Yes</w:t>
            </w:r>
          </w:p>
        </w:tc>
        <w:tc>
          <w:tcPr>
            <w:tcW w:w="612" w:type="pct"/>
          </w:tcPr>
          <w:p w14:paraId="7E9AABCD" w14:textId="75EE6823" w:rsidR="00EE52D6" w:rsidRPr="001D235E" w:rsidRDefault="00EE52D6" w:rsidP="00182760">
            <w:pPr>
              <w:rPr>
                <w:sz w:val="18"/>
                <w:szCs w:val="18"/>
              </w:rPr>
            </w:pPr>
            <w:r>
              <w:rPr>
                <w:sz w:val="18"/>
                <w:szCs w:val="18"/>
              </w:rPr>
              <w:t>No</w:t>
            </w:r>
          </w:p>
        </w:tc>
        <w:tc>
          <w:tcPr>
            <w:tcW w:w="634" w:type="pct"/>
          </w:tcPr>
          <w:p w14:paraId="0EBDD0C9" w14:textId="7609AA55" w:rsidR="00EE52D6" w:rsidRPr="001D235E" w:rsidRDefault="00EE52D6" w:rsidP="00182760">
            <w:pPr>
              <w:rPr>
                <w:sz w:val="18"/>
                <w:szCs w:val="18"/>
              </w:rPr>
            </w:pPr>
            <w:r>
              <w:rPr>
                <w:sz w:val="18"/>
                <w:szCs w:val="18"/>
              </w:rPr>
              <w:t>Yes – all women, 3D</w:t>
            </w:r>
          </w:p>
        </w:tc>
      </w:tr>
      <w:tr w:rsidR="00226804" w:rsidRPr="001D235E" w14:paraId="20D1A795" w14:textId="77777777" w:rsidTr="00182760">
        <w:tc>
          <w:tcPr>
            <w:tcW w:w="706" w:type="pct"/>
          </w:tcPr>
          <w:p w14:paraId="26847B68" w14:textId="51173137" w:rsidR="00226804" w:rsidRDefault="00226804" w:rsidP="00182760">
            <w:pPr>
              <w:rPr>
                <w:sz w:val="18"/>
                <w:szCs w:val="18"/>
              </w:rPr>
            </w:pPr>
            <w:r>
              <w:rPr>
                <w:sz w:val="18"/>
                <w:szCs w:val="18"/>
              </w:rPr>
              <w:t>Wisconsin</w:t>
            </w:r>
          </w:p>
        </w:tc>
        <w:tc>
          <w:tcPr>
            <w:tcW w:w="670" w:type="pct"/>
          </w:tcPr>
          <w:p w14:paraId="437F0871" w14:textId="52CC71EA" w:rsidR="00226804" w:rsidRDefault="00226804" w:rsidP="00182760">
            <w:pPr>
              <w:rPr>
                <w:sz w:val="18"/>
                <w:szCs w:val="18"/>
              </w:rPr>
            </w:pPr>
            <w:r>
              <w:rPr>
                <w:sz w:val="18"/>
                <w:szCs w:val="18"/>
              </w:rPr>
              <w:t>Dense</w:t>
            </w:r>
          </w:p>
        </w:tc>
        <w:tc>
          <w:tcPr>
            <w:tcW w:w="587" w:type="pct"/>
          </w:tcPr>
          <w:p w14:paraId="7B73B1B6" w14:textId="5913BA9B" w:rsidR="00226804" w:rsidRDefault="00226804" w:rsidP="00182760">
            <w:pPr>
              <w:rPr>
                <w:sz w:val="18"/>
                <w:szCs w:val="18"/>
              </w:rPr>
            </w:pPr>
            <w:r>
              <w:rPr>
                <w:sz w:val="18"/>
                <w:szCs w:val="18"/>
              </w:rPr>
              <w:t>Yes</w:t>
            </w:r>
          </w:p>
        </w:tc>
        <w:tc>
          <w:tcPr>
            <w:tcW w:w="605" w:type="pct"/>
          </w:tcPr>
          <w:p w14:paraId="20758B14" w14:textId="1A6D608A" w:rsidR="00226804" w:rsidRDefault="00226804" w:rsidP="00182760">
            <w:pPr>
              <w:rPr>
                <w:sz w:val="18"/>
                <w:szCs w:val="18"/>
              </w:rPr>
            </w:pPr>
            <w:r>
              <w:rPr>
                <w:sz w:val="18"/>
                <w:szCs w:val="18"/>
              </w:rPr>
              <w:t>No</w:t>
            </w:r>
          </w:p>
        </w:tc>
        <w:tc>
          <w:tcPr>
            <w:tcW w:w="650" w:type="pct"/>
          </w:tcPr>
          <w:p w14:paraId="586550C3" w14:textId="315EE015" w:rsidR="00226804" w:rsidRDefault="00226804" w:rsidP="00182760">
            <w:pPr>
              <w:rPr>
                <w:sz w:val="18"/>
                <w:szCs w:val="18"/>
              </w:rPr>
            </w:pPr>
            <w:r>
              <w:rPr>
                <w:sz w:val="18"/>
                <w:szCs w:val="18"/>
              </w:rPr>
              <w:t>Yes</w:t>
            </w:r>
          </w:p>
        </w:tc>
        <w:tc>
          <w:tcPr>
            <w:tcW w:w="536" w:type="pct"/>
          </w:tcPr>
          <w:p w14:paraId="41D82228" w14:textId="1F59EA6B" w:rsidR="00226804" w:rsidRDefault="00226804" w:rsidP="00182760">
            <w:pPr>
              <w:rPr>
                <w:sz w:val="18"/>
                <w:szCs w:val="18"/>
              </w:rPr>
            </w:pPr>
            <w:r>
              <w:rPr>
                <w:sz w:val="18"/>
                <w:szCs w:val="18"/>
              </w:rPr>
              <w:t>Yes</w:t>
            </w:r>
          </w:p>
        </w:tc>
        <w:tc>
          <w:tcPr>
            <w:tcW w:w="612" w:type="pct"/>
          </w:tcPr>
          <w:p w14:paraId="1BA31FCA" w14:textId="50345254" w:rsidR="00226804" w:rsidRDefault="00226804" w:rsidP="00182760">
            <w:pPr>
              <w:rPr>
                <w:sz w:val="18"/>
                <w:szCs w:val="18"/>
              </w:rPr>
            </w:pPr>
            <w:r>
              <w:rPr>
                <w:sz w:val="18"/>
                <w:szCs w:val="18"/>
              </w:rPr>
              <w:t>No</w:t>
            </w:r>
          </w:p>
        </w:tc>
        <w:tc>
          <w:tcPr>
            <w:tcW w:w="634" w:type="pct"/>
          </w:tcPr>
          <w:p w14:paraId="5C075841" w14:textId="019686BC" w:rsidR="00226804" w:rsidRDefault="00226804" w:rsidP="00182760">
            <w:pPr>
              <w:rPr>
                <w:sz w:val="18"/>
                <w:szCs w:val="18"/>
              </w:rPr>
            </w:pPr>
            <w:r>
              <w:rPr>
                <w:sz w:val="18"/>
                <w:szCs w:val="18"/>
              </w:rPr>
              <w:t>No</w:t>
            </w:r>
          </w:p>
        </w:tc>
      </w:tr>
    </w:tbl>
    <w:p w14:paraId="4F1DF192" w14:textId="77777777" w:rsidR="005F5CAE" w:rsidRDefault="005F5CAE"/>
    <w:tbl>
      <w:tblPr>
        <w:tblStyle w:val="ACGreen-BasicTable"/>
        <w:tblW w:w="5000" w:type="pct"/>
        <w:tblLook w:val="04A0" w:firstRow="1" w:lastRow="0" w:firstColumn="1" w:lastColumn="0" w:noHBand="0" w:noVBand="1"/>
        <w:tblDescription w:val="State: Alabama &#10;Who receives information:Dense2&#10;Informs woman her breasts are dense (BI-RADS 3-4): Yes &#10;Includes personal breast density category: No &#10;Masking effect mentioned: Yes&#10;Density as a risk factor mentioned: Yes&#10;Supplemental imaging tests mentioned1: Yes &#10;Insurance mandate to cover additional testing : No&#10;&#10;State: Arizona  &#10;Who receives information: Dense &#10;Informs woman her breasts are dense (BI-RADS 3-4): Yes &#10;Includes personal breast density category: No &#10;Masking effect mentioned: Yes&#10;Density as a risk factor mentioned: Yes&#10;Supplemental imaging tests mentioned1: No &#10;Insurance mandate to cover additional testing: No&#10;&#10;State: California &#10;Who receives information: Dense &#10;Informs woman her breasts are dense (BI-RADS 3-4): Yes &#10;Includes personal breast density category: No &#10;Masking effect mentioned: No&#10;Density as a risk factor mentioned: Yes&#10;Supplemental imaging tests mentioned1: No &#10;Insurance mandate to cover additional testing :No&#10;&#10;State: Colorado&#10;Who receives information: Dense&#10;Informs woman her breasts are dense (BI-RADS 3-4): Yes &#10;Includes personal breast density category: No &#10;Masking effect mentioned: No&#10;Density as a risk factor mentioned: Yes&#10;Supplemental imaging tests mentioned1: No &#10;Insurance mandate to cover additional testing : No&#10;&#10;State: Connecticut&#10;Who receives information: All, general info. If dense, supplemental imaging info&#10;Informs woman her breasts are dense (BI-RADS 3-4): No &#10;Includes personal breast density category: No  &#10;Masking effect mentioned: Yes&#10;Density as a risk factor mentioned: No&#10;Supplemental imaging tests mentioned1: Yes, if dense &#10;Insurance mandate to cover additional testing : Yes - If dense, US; if high risk, US or MRI. All women, 3D&#10;&#10;State: Delaware&#10;Who receives information: All2&#10;Informs woman her breasts are dense (BI-RADS 3-4): Yes &#10;Includes personal breast density category: Yes &#10;Masking effect mentioned: Yes&#10;Density as a risk factor mentioned: Yes&#10;Supplemental imaging tests mentioned1: Yes &#10;Insurance mandate to cover additional testing : No&#10;&#10;State: Florida&#10;Who receives information: Dense&#10;Informs woman her breasts are dense (BI-RADS 3-4): Yes &#10;Includes personal breast density category: No &#10;Masking effect mentioned: Yes&#10;Density as a risk factor mentioned: Yes&#10;Supplemental imaging tests mentioned1:No &#10;Insurance mandate to cover additional testing : No&#10;&#10;State: Hawaii &#10;Who receives information: Dense &#10;Informs woman her breasts are dense (BI-RADS 3-4): Yes &#10;Includes personal breast density category: No &#10;Masking effect mentioned: Yes&#10;Density as a risk factor mentioned: Yes&#10;Supplemental imaging tests mentioned1: Yes &#10;Insurance mandate to cover additional testing : No&#10;&#10;State: Iowa&#10;Who receives information: All &#10;Informs woman her breasts are dense (BI-RADS 3-4): Yes &#10;Includes personal breast density category: Yes  &#10;Masking effect mentioned: TBD&#10;Density as a risk factor mentioned: Yes&#10;Supplemental imaging tests mentioned1: TBD &#10;Insurance mandate to cover additional testing : No&#10;&#10;State: Kentucky &#10;Who receives information: Dense &#10;Informs woman her breasts are dense (BI-RADS 3-4): Yes &#10;Includes personal breast density category:No &#10;Masking effect mentioned: Yes&#10;Density as a risk factor mentioned: Yes&#10;Supplemental imaging tests mentioned1: No &#10;Insurance mandate to cover additional testing : Yes – all women, 3D&#10;&#10;State: Louisiana&#10;Who receives information: All &#10;Informs woman her breasts are dense (BI-RADS 3-4): No &#10;Includes personal breast density category: No &#10;Masking effect mentioned: Yes&#10;Density as a risk factor mentioned: Yes&#10;Supplemental imaging tests mentioned1: Yes &#10;Insurance mandate to cover additional testing : No&#10;&#10;State: Maryland&#10;Who receives information: All &#10;Informs woman her breasts are dense (BI-RADS 3-4): No &#10;Includes personal breast density category: No &#10;Masking effect mentioned: Yes&#10;Density as a risk factor mentioned: Yes&#10;Supplemental imaging tests mentioned1: No &#10;Insurance mandate to cover additional testing : Yes – all women, 3D&#10;&#10;State: Massachusetts&#10;Who receives information: Dense &#10;Informs woman her breasts are dense (BI-RADS 3-4):Yes &#10;Includes personal breast density category: Yes &#10;Masking effect mentioned: Yes&#10;Density as a risk factor mentioned: Yes&#10;Supplemental imaging tests mentioned1: Yes &#10;Insurance mandate to cover additional testing : No&#10;&#10;State: Michigan&#10;Who receives information: Dense &#10;Informs woman her breasts are dense (BI-RADS 3-4): Yes &#10;Includes personal breast density category: No &#10;Masking effect mentioned: Yes&#10;Density as a risk factor mentioned: Yes&#10;Supplemental imaging tests mentioned1: Yes &#10;Insurance mandate to cover additional testing : No&#10;&#10;State: Minnesota&#10;Who receives information: Dense &#10;Informs woman her breasts are dense (BI-RADS 3-4): Yes &#10;Includes personal breast density category: No &#10;Masking effect mentioned: Yes&#10;Density as a risk factor mentioned: Yes&#10;Supplemental imaging tests mentioned1: No &#10;Insurance mandate to cover additional testing : No&#10;&#10;State: Missouri&#10;Who receives information: All &#10;Informs woman her breasts are dense (BI-RADS 3-4): No &#10;Includes personal breast density category: No  &#10;Masking effect mentioned: Yes&#10;Density as a risk factor mentioned: Yes&#10;Supplemental imaging tests mentioned1: Yes &#10;Insurance mandate to cover additional testing : No&#10;&#10;State: Nebraska&#10;Who receives information: All &#10;Informs woman her breasts are dense (BI-RADS 3-4): Yes &#10;Includes personal breast density category: Yes &#10;Masking effect mentioned: Yes&#10;Density as a risk factor mentioned: Yes&#10;Supplemental imaging tests mentioned1: No &#10;Insurance mandate to cover additional testing : No&#10;&#10;State: Nevada&#10;Who receives information: All&#10;Informs woman her breasts are dense (BI-RADS 3-4): Yes &#10;Includes personal breast density category: Yes &#10;Masking effect mentioned: No&#10;Density as a risk factor mentioned: Yes&#10;Supplemental imaging tests mentioned1: No &#10;Insurance mandate to cover additional testing : No&#10;&#10;State: New Jersey&#10;Who receives information: All &#10;Informs woman her breasts are dense (BI-RADS 3-4): No &#10;Includes personal breast density category: No  &#10;Masking effect mentioned: Yes&#10;Density as a risk factor mentioned: Yes&#10;Supplemental imaging tests mentioned1: No &#10;Insurance mandate to cover additional testing : If extremely dense or as determined by health care provider, not modality specific&#10;&#10;State: New York&#10;Who receives information: Dense &#10;Informs woman her breasts are dense (BI-RADS 3-4): Yes &#10;Includes personal breast density category: No  &#10;Masking effect mentioned: Yes&#10;Density as a risk factor mentioned: Yes &#10;Supplemental imaging tests mentioned1: Yes &#10;Insurance mandate to cover additional testing : Yes - all women, screening (all modalities) + diagnostic breast imaging&#10;&#10;State: North Carolina&#10;Who receives information: Dense &#10;Informs woman her breasts are dense (BI-RADS 3-4): Yes &#10;Includes personal breast density category: Yes &#10;Masking effect mentioned: Yes&#10;Density as a risk factor mentioned: Yes &#10;Supplemental imaging tests mentioned1: No &#10;Insurance mandate to cover additional testing : No&#10;&#10;State: Ohio&#10;Who receives information: Dense &#10;Informs woman her breasts are dense (BI-RADS 3-4): Yes &#10;Includes personal breast density category: No &#10;Masking effect mentioned: Yes&#10;Density as a risk factor mentioned: Yes &#10;Supplemental imaging tests mentioned1: No &#10;Insurance mandate to cover additional testing : No&#10;&#10;State: Oklahoma&#10;Who receives information: Dense &#10;Informs woman her breasts are dense (BI-RADS 3-4): Yes &#10;Includes personal breast density category: Yes &#10;Masking effect mentioned: Yes&#10;Density as a risk factor mentioned: Yes &#10;Supplemental imaging tests mentioned1: No &#10;Insurance mandate to cover additional testing : No&#10;&#10;State: Oregon&#10;Who receives information: Extremely Dense &#10;Informs woman her breasts are dense (BI-RADS 3-4): Yes &#10;Includes personal breast density category: No &#10;Masking effect mentioned: Yes&#10;Density as a risk factor mentioned: Yes &#10;Supplemental imaging tests mentioned1: Yes &#10;Insurance mandate to cover additional testing : No&#10;&#10;State: Pennsylvania&#10;Who receives information: All &#10;Informs woman her breasts are dense (BI-RADS 3-4): Yes &#10;Includes personal breast density category: Yes &#10;Masking effect mentioned: Yes&#10;Density as a risk factor mentioned: Yes &#10;Supplemental imaging tests mentioned1: No &#10;Insurance mandate to cover additional testing : Yes – all women, 3D&#10;&#10;State: Rhode Island&#10;Who receives information: Dense &#10;Informs woman her breasts are dense (BI-RADS 3-4): Yes &#10;Includes personal breast density category: Yes &#10;Masking effect mentioned: Yes&#10;Density as a risk factor mentioned: Yes &#10;Supplemental imaging tests mentioned1: Yes &#10;Insurance mandate to cover additional testing : No&#10;&#10;State: South Carolina&#10;Who receives information: “Where applicable”  &#10;Informs woman her breasts are dense (BI-RADS 3-4): Yes &#10;Includes personal breast density category: No &#10;Masking effect mentioned: No&#10;Density as a risk factor mentioned: Yes &#10;Supplemental imaging tests mentioned1: No &#10;Insurance mandate to cover additional testing : No&#10;&#10;State: Tennessee&#10;Who receives information: Dense &#10;Informs woman her breasts are dense (BI-RADS 3-4): Yes &#10;Includes personal breast density category: No &#10;Masking effect mentioned: No&#10;Density as a risk factor mentioned: Yes &#10;Supplemental imaging tests mentioned1: No &#10;Insurance mandate to cover additional testing : No&#10;&#10;State: Texas&#10;Who receives information: All&#10;Informs woman her breasts are dense (BI-RADS 3-4): No &#10;Includes personal breast density category: No &#10;Masking effect mentioned: Yes&#10;Density as a risk factor mentioned: Yes &#10;Supplemental imaging tests mentioned1: Yes &#10;Insurance mandate to cover additional testing : Yes - all women, 3D &#10;&#10;State: Vermont &#10;Who receives information: Dense&#10;Informs woman her breasts are dense (BI-RADS 3-4): Yes &#10;Includes personal breast density category: Yes &#10;Masking effect mentioned: Yes&#10;Density as a risk factor mentioned:Yes &#10;Supplemental imaging tests mentioned1: No &#10;Insurance mandate to cover additional testing : No&#10;&#10;State: Virginia&#10;Who receives information: Dense  &#10;Informs woman her breasts are dense (BI-RADS 3-4): Yes &#10;Includes personal breast density category: No &#10;Masking effect mentioned: Yes&#10;Density as a risk factor mentioned: Yes &#10;Supplemental imaging tests mentioned1: Yes &#10;Insurance mandate to cover additional testing : No&#10;&#10;State&#10;Washington3&#10;Who receives information: Dense &#10;Informs woman her breasts are dense (BI-RADS 3-4): Yes &#10;Includes personal breast density category: Yes &#10;Masking effect mentioned: No&#10;Density as a risk factor mentioned: Yes &#10;Supplemental imaging tests mentioned1: No &#10;Insurance mandate to cover additional testing : Yes – all women, 3D&#10;&#10;State: Wisconsin&#10;Who receives information: Dense &#10;Informs woman her breasts are dense (BI-RADS 3-4): Yes &#10;Includes personal breast density category: No &#10;Masking effect mentioned: Yes&#10;Density as a risk factor mentioned: Yes &#10;Supplemental imaging tests mentioned1: No &#10;Insurance mandate to cover additional testing : No&#10;&#10;Australia&#10;&#10;State: Western Australia &#10;Who receives information: Dense &#10;Informs woman her breasts are dense (BI-RADS 3-4): Yes &#10;Includes personal breast density category: Unknown &#10;Masking effect mentioned: Unknown&#10;Density as a risk factor mentioned: Unknown &#10;Supplemental imaging tests mentioned1: Unknown &#10;Insurance mandate to cover additional testing : Unknown&#10;"/>
      </w:tblPr>
      <w:tblGrid>
        <w:gridCol w:w="1975"/>
        <w:gridCol w:w="1875"/>
        <w:gridCol w:w="1643"/>
        <w:gridCol w:w="1693"/>
        <w:gridCol w:w="1819"/>
        <w:gridCol w:w="1500"/>
        <w:gridCol w:w="1713"/>
        <w:gridCol w:w="1774"/>
      </w:tblGrid>
      <w:tr w:rsidR="00A37B16" w:rsidRPr="001D235E" w14:paraId="3360D87B" w14:textId="77777777" w:rsidTr="00F66F74">
        <w:trPr>
          <w:cnfStyle w:val="100000000000" w:firstRow="1" w:lastRow="0" w:firstColumn="0" w:lastColumn="0" w:oddVBand="0" w:evenVBand="0" w:oddHBand="0" w:evenHBand="0" w:firstRowFirstColumn="0" w:firstRowLastColumn="0" w:lastRowFirstColumn="0" w:lastRowLastColumn="0"/>
        </w:trPr>
        <w:tc>
          <w:tcPr>
            <w:tcW w:w="706" w:type="pct"/>
          </w:tcPr>
          <w:p w14:paraId="705B6860" w14:textId="77777777" w:rsidR="00A37B16" w:rsidRPr="001D235E" w:rsidRDefault="00A37B16" w:rsidP="00F66F74">
            <w:pPr>
              <w:rPr>
                <w:sz w:val="18"/>
                <w:szCs w:val="18"/>
              </w:rPr>
            </w:pPr>
            <w:r w:rsidRPr="00345CCE">
              <w:rPr>
                <w:color w:val="auto"/>
                <w:sz w:val="18"/>
                <w:szCs w:val="18"/>
              </w:rPr>
              <w:t>State</w:t>
            </w:r>
          </w:p>
        </w:tc>
        <w:tc>
          <w:tcPr>
            <w:tcW w:w="670" w:type="pct"/>
          </w:tcPr>
          <w:p w14:paraId="7DC01B6A" w14:textId="77777777" w:rsidR="00A37B16" w:rsidRPr="001D235E" w:rsidRDefault="00A37B16" w:rsidP="00F66F74">
            <w:pPr>
              <w:rPr>
                <w:sz w:val="18"/>
                <w:szCs w:val="18"/>
              </w:rPr>
            </w:pPr>
            <w:r w:rsidRPr="00345CCE">
              <w:rPr>
                <w:color w:val="auto"/>
                <w:sz w:val="18"/>
                <w:szCs w:val="18"/>
              </w:rPr>
              <w:t>Who receives information</w:t>
            </w:r>
          </w:p>
        </w:tc>
        <w:tc>
          <w:tcPr>
            <w:tcW w:w="587" w:type="pct"/>
          </w:tcPr>
          <w:p w14:paraId="4DE8AB1E" w14:textId="77777777" w:rsidR="00A37B16" w:rsidRPr="001D235E" w:rsidRDefault="00A37B16" w:rsidP="00F66F74">
            <w:pPr>
              <w:rPr>
                <w:sz w:val="18"/>
                <w:szCs w:val="18"/>
              </w:rPr>
            </w:pPr>
            <w:r w:rsidRPr="00345CCE">
              <w:rPr>
                <w:color w:val="auto"/>
                <w:sz w:val="18"/>
                <w:szCs w:val="18"/>
              </w:rPr>
              <w:t>Informs woman her breasts are dense (</w:t>
            </w:r>
            <w:r>
              <w:rPr>
                <w:color w:val="auto"/>
                <w:sz w:val="18"/>
                <w:szCs w:val="18"/>
              </w:rPr>
              <w:t>BIRADS</w:t>
            </w:r>
            <w:r w:rsidRPr="00345CCE">
              <w:rPr>
                <w:color w:val="auto"/>
                <w:sz w:val="18"/>
                <w:szCs w:val="18"/>
              </w:rPr>
              <w:t xml:space="preserve"> 3-4)</w:t>
            </w:r>
          </w:p>
        </w:tc>
        <w:tc>
          <w:tcPr>
            <w:tcW w:w="605" w:type="pct"/>
          </w:tcPr>
          <w:p w14:paraId="71F9703E" w14:textId="77777777" w:rsidR="00A37B16" w:rsidRPr="001D235E" w:rsidRDefault="00A37B16" w:rsidP="00F66F74">
            <w:pPr>
              <w:rPr>
                <w:sz w:val="18"/>
                <w:szCs w:val="18"/>
              </w:rPr>
            </w:pPr>
            <w:r w:rsidRPr="00345CCE">
              <w:rPr>
                <w:color w:val="auto"/>
                <w:sz w:val="18"/>
                <w:szCs w:val="18"/>
              </w:rPr>
              <w:t>Includes personal breast density category</w:t>
            </w:r>
          </w:p>
        </w:tc>
        <w:tc>
          <w:tcPr>
            <w:tcW w:w="650" w:type="pct"/>
          </w:tcPr>
          <w:p w14:paraId="0953EC45" w14:textId="77777777" w:rsidR="00A37B16" w:rsidRPr="001D235E" w:rsidRDefault="00A37B16" w:rsidP="00F66F74">
            <w:pPr>
              <w:rPr>
                <w:sz w:val="18"/>
                <w:szCs w:val="18"/>
              </w:rPr>
            </w:pPr>
            <w:r w:rsidRPr="00345CCE">
              <w:rPr>
                <w:color w:val="auto"/>
                <w:sz w:val="18"/>
                <w:szCs w:val="18"/>
              </w:rPr>
              <w:t xml:space="preserve">Masking effect mentioned </w:t>
            </w:r>
          </w:p>
        </w:tc>
        <w:tc>
          <w:tcPr>
            <w:tcW w:w="536" w:type="pct"/>
          </w:tcPr>
          <w:p w14:paraId="739BBC59" w14:textId="77777777" w:rsidR="00A37B16" w:rsidRPr="001D235E" w:rsidRDefault="00A37B16" w:rsidP="00F66F74">
            <w:pPr>
              <w:rPr>
                <w:sz w:val="18"/>
                <w:szCs w:val="18"/>
              </w:rPr>
            </w:pPr>
            <w:r w:rsidRPr="00345CCE">
              <w:rPr>
                <w:color w:val="auto"/>
                <w:sz w:val="18"/>
                <w:szCs w:val="18"/>
              </w:rPr>
              <w:t>Density as a risk factor mentioned</w:t>
            </w:r>
          </w:p>
        </w:tc>
        <w:tc>
          <w:tcPr>
            <w:tcW w:w="612" w:type="pct"/>
          </w:tcPr>
          <w:p w14:paraId="3895A5C2" w14:textId="77777777" w:rsidR="00A37B16" w:rsidRPr="001D235E" w:rsidRDefault="00A37B16" w:rsidP="00F66F74">
            <w:pPr>
              <w:rPr>
                <w:sz w:val="18"/>
                <w:szCs w:val="18"/>
              </w:rPr>
            </w:pPr>
            <w:r w:rsidRPr="00345CCE">
              <w:rPr>
                <w:color w:val="auto"/>
                <w:sz w:val="18"/>
                <w:szCs w:val="18"/>
              </w:rPr>
              <w:t>Supplemental imaging tests mentioned</w:t>
            </w:r>
            <w:r w:rsidRPr="00345CCE">
              <w:rPr>
                <w:color w:val="auto"/>
                <w:sz w:val="18"/>
                <w:szCs w:val="18"/>
                <w:vertAlign w:val="superscript"/>
              </w:rPr>
              <w:t>1</w:t>
            </w:r>
          </w:p>
        </w:tc>
        <w:tc>
          <w:tcPr>
            <w:tcW w:w="634" w:type="pct"/>
          </w:tcPr>
          <w:p w14:paraId="6004CE07" w14:textId="77777777" w:rsidR="00A37B16" w:rsidRPr="001D235E" w:rsidRDefault="00A37B16" w:rsidP="00F66F74">
            <w:pPr>
              <w:rPr>
                <w:sz w:val="18"/>
                <w:szCs w:val="18"/>
              </w:rPr>
            </w:pPr>
            <w:r w:rsidRPr="00345CCE">
              <w:rPr>
                <w:color w:val="auto"/>
                <w:sz w:val="18"/>
                <w:szCs w:val="18"/>
              </w:rPr>
              <w:t xml:space="preserve">Insurance mandate to cover additional testing </w:t>
            </w:r>
          </w:p>
        </w:tc>
      </w:tr>
      <w:tr w:rsidR="00182760" w:rsidRPr="001D235E" w14:paraId="4B1AD4D5" w14:textId="77777777" w:rsidTr="00182760">
        <w:tc>
          <w:tcPr>
            <w:tcW w:w="706" w:type="pct"/>
          </w:tcPr>
          <w:p w14:paraId="60E1C462" w14:textId="77777777" w:rsidR="00182760" w:rsidRPr="001D235E" w:rsidRDefault="00182760" w:rsidP="00182760">
            <w:pPr>
              <w:rPr>
                <w:sz w:val="18"/>
                <w:szCs w:val="18"/>
              </w:rPr>
            </w:pPr>
            <w:r w:rsidRPr="001D235E">
              <w:rPr>
                <w:sz w:val="18"/>
                <w:szCs w:val="18"/>
              </w:rPr>
              <w:t xml:space="preserve">Western Australia </w:t>
            </w:r>
          </w:p>
        </w:tc>
        <w:tc>
          <w:tcPr>
            <w:tcW w:w="670" w:type="pct"/>
          </w:tcPr>
          <w:p w14:paraId="5037C801" w14:textId="77777777" w:rsidR="00182760" w:rsidRPr="001D235E" w:rsidRDefault="00182760" w:rsidP="00182760">
            <w:pPr>
              <w:rPr>
                <w:sz w:val="18"/>
                <w:szCs w:val="18"/>
              </w:rPr>
            </w:pPr>
            <w:r w:rsidRPr="001D235E">
              <w:rPr>
                <w:sz w:val="18"/>
                <w:szCs w:val="18"/>
              </w:rPr>
              <w:t>Dense</w:t>
            </w:r>
          </w:p>
        </w:tc>
        <w:tc>
          <w:tcPr>
            <w:tcW w:w="587" w:type="pct"/>
          </w:tcPr>
          <w:p w14:paraId="0700B77E" w14:textId="77777777" w:rsidR="00182760" w:rsidRPr="001D235E" w:rsidRDefault="00182760" w:rsidP="00182760">
            <w:pPr>
              <w:rPr>
                <w:sz w:val="18"/>
                <w:szCs w:val="18"/>
              </w:rPr>
            </w:pPr>
            <w:r w:rsidRPr="001D235E">
              <w:rPr>
                <w:sz w:val="18"/>
                <w:szCs w:val="18"/>
              </w:rPr>
              <w:t>Yes</w:t>
            </w:r>
          </w:p>
        </w:tc>
        <w:tc>
          <w:tcPr>
            <w:tcW w:w="605" w:type="pct"/>
          </w:tcPr>
          <w:p w14:paraId="418C0A2E" w14:textId="77777777" w:rsidR="00182760" w:rsidRPr="001D235E" w:rsidRDefault="00182760" w:rsidP="00182760">
            <w:pPr>
              <w:rPr>
                <w:sz w:val="18"/>
                <w:szCs w:val="18"/>
              </w:rPr>
            </w:pPr>
            <w:r w:rsidRPr="001D235E">
              <w:rPr>
                <w:sz w:val="18"/>
                <w:szCs w:val="18"/>
              </w:rPr>
              <w:t>Unknown</w:t>
            </w:r>
          </w:p>
        </w:tc>
        <w:tc>
          <w:tcPr>
            <w:tcW w:w="650" w:type="pct"/>
          </w:tcPr>
          <w:p w14:paraId="346F6366" w14:textId="77777777" w:rsidR="00182760" w:rsidRPr="001D235E" w:rsidRDefault="00182760" w:rsidP="00182760">
            <w:pPr>
              <w:rPr>
                <w:sz w:val="18"/>
                <w:szCs w:val="18"/>
              </w:rPr>
            </w:pPr>
            <w:r w:rsidRPr="001D235E">
              <w:rPr>
                <w:sz w:val="18"/>
                <w:szCs w:val="18"/>
              </w:rPr>
              <w:t>Unknown</w:t>
            </w:r>
          </w:p>
        </w:tc>
        <w:tc>
          <w:tcPr>
            <w:tcW w:w="536" w:type="pct"/>
          </w:tcPr>
          <w:p w14:paraId="30450DFB" w14:textId="77777777" w:rsidR="00182760" w:rsidRPr="001D235E" w:rsidRDefault="00182760" w:rsidP="00182760">
            <w:pPr>
              <w:rPr>
                <w:sz w:val="18"/>
                <w:szCs w:val="18"/>
              </w:rPr>
            </w:pPr>
            <w:r w:rsidRPr="001D235E">
              <w:rPr>
                <w:sz w:val="18"/>
                <w:szCs w:val="18"/>
              </w:rPr>
              <w:t>Unknown</w:t>
            </w:r>
          </w:p>
        </w:tc>
        <w:tc>
          <w:tcPr>
            <w:tcW w:w="612" w:type="pct"/>
          </w:tcPr>
          <w:p w14:paraId="64362C6D" w14:textId="77777777" w:rsidR="00182760" w:rsidRPr="001D235E" w:rsidRDefault="00182760" w:rsidP="00182760">
            <w:pPr>
              <w:rPr>
                <w:sz w:val="18"/>
                <w:szCs w:val="18"/>
              </w:rPr>
            </w:pPr>
            <w:r w:rsidRPr="001D235E">
              <w:rPr>
                <w:sz w:val="18"/>
                <w:szCs w:val="18"/>
              </w:rPr>
              <w:t>Unknown</w:t>
            </w:r>
          </w:p>
        </w:tc>
        <w:tc>
          <w:tcPr>
            <w:tcW w:w="634" w:type="pct"/>
          </w:tcPr>
          <w:p w14:paraId="0D532E10" w14:textId="77777777" w:rsidR="00182760" w:rsidRPr="001D235E" w:rsidRDefault="00182760" w:rsidP="00182760">
            <w:pPr>
              <w:rPr>
                <w:sz w:val="18"/>
                <w:szCs w:val="18"/>
              </w:rPr>
            </w:pPr>
            <w:r w:rsidRPr="001D235E">
              <w:rPr>
                <w:sz w:val="18"/>
                <w:szCs w:val="18"/>
              </w:rPr>
              <w:t>Unknown</w:t>
            </w:r>
          </w:p>
        </w:tc>
      </w:tr>
    </w:tbl>
    <w:p w14:paraId="5F63D1FC" w14:textId="4CBCB33F" w:rsidR="00182760" w:rsidRPr="001D235E" w:rsidRDefault="00182760" w:rsidP="001D235E">
      <w:pPr>
        <w:spacing w:after="0"/>
        <w:rPr>
          <w:sz w:val="18"/>
        </w:rPr>
      </w:pPr>
      <w:r w:rsidRPr="001D235E">
        <w:rPr>
          <w:sz w:val="18"/>
          <w:vertAlign w:val="superscript"/>
        </w:rPr>
        <w:t>1</w:t>
      </w:r>
      <w:r w:rsidRPr="001D235E">
        <w:rPr>
          <w:sz w:val="18"/>
        </w:rPr>
        <w:t xml:space="preserve"> “Supplemental </w:t>
      </w:r>
      <w:r w:rsidR="002D74B6">
        <w:rPr>
          <w:sz w:val="18"/>
        </w:rPr>
        <w:t>imaging</w:t>
      </w:r>
      <w:r w:rsidR="002D74B6" w:rsidRPr="001D235E">
        <w:rPr>
          <w:sz w:val="18"/>
        </w:rPr>
        <w:t xml:space="preserve"> </w:t>
      </w:r>
      <w:r w:rsidRPr="001D235E">
        <w:rPr>
          <w:sz w:val="18"/>
        </w:rPr>
        <w:t>tests mentioned” indicates state inform law requires the notification to mention imaging tests that might be added to mammography (generally or by modality).</w:t>
      </w:r>
    </w:p>
    <w:p w14:paraId="137B8BE3" w14:textId="4A756D4D" w:rsidR="00182760" w:rsidRDefault="00182760" w:rsidP="001D235E">
      <w:pPr>
        <w:spacing w:after="0"/>
        <w:rPr>
          <w:sz w:val="18"/>
        </w:rPr>
      </w:pPr>
      <w:r w:rsidRPr="001D235E">
        <w:rPr>
          <w:sz w:val="18"/>
          <w:vertAlign w:val="superscript"/>
        </w:rPr>
        <w:t>2</w:t>
      </w:r>
      <w:r w:rsidRPr="001D235E">
        <w:rPr>
          <w:sz w:val="18"/>
        </w:rPr>
        <w:t xml:space="preserve"> Dense refers to women with dense breast tissue (</w:t>
      </w:r>
      <w:r w:rsidR="00491761">
        <w:rPr>
          <w:sz w:val="18"/>
        </w:rPr>
        <w:t xml:space="preserve">i.e., </w:t>
      </w:r>
      <w:r w:rsidR="00275D65">
        <w:rPr>
          <w:sz w:val="18"/>
        </w:rPr>
        <w:t>BIRADS</w:t>
      </w:r>
      <w:r w:rsidRPr="001D235E">
        <w:rPr>
          <w:sz w:val="18"/>
        </w:rPr>
        <w:t xml:space="preserve"> 3-4). “All” means every wom</w:t>
      </w:r>
      <w:r w:rsidR="008D405F">
        <w:rPr>
          <w:sz w:val="18"/>
        </w:rPr>
        <w:t>a</w:t>
      </w:r>
      <w:r w:rsidRPr="001D235E">
        <w:rPr>
          <w:sz w:val="18"/>
        </w:rPr>
        <w:t xml:space="preserve">n receives some notification post-mammogram. </w:t>
      </w:r>
    </w:p>
    <w:p w14:paraId="5618CE1B" w14:textId="72511211" w:rsidR="00EE52D6" w:rsidRPr="00EE52D6" w:rsidRDefault="00EE52D6" w:rsidP="001D235E">
      <w:pPr>
        <w:spacing w:after="0"/>
        <w:rPr>
          <w:sz w:val="18"/>
        </w:rPr>
      </w:pPr>
      <w:r>
        <w:rPr>
          <w:sz w:val="18"/>
          <w:vertAlign w:val="superscript"/>
        </w:rPr>
        <w:t>3</w:t>
      </w:r>
      <w:r>
        <w:rPr>
          <w:sz w:val="18"/>
        </w:rPr>
        <w:t xml:space="preserve"> To be enacted 1/1/2019</w:t>
      </w:r>
    </w:p>
    <w:p w14:paraId="05B2470E" w14:textId="6CA40DF5" w:rsidR="00182760" w:rsidRPr="001D235E" w:rsidRDefault="00182760" w:rsidP="001D235E">
      <w:pPr>
        <w:spacing w:after="0"/>
        <w:rPr>
          <w:sz w:val="18"/>
        </w:rPr>
        <w:sectPr w:rsidR="00182760" w:rsidRPr="001D235E" w:rsidSect="009A4F68">
          <w:pgSz w:w="16838" w:h="11906" w:orient="landscape" w:code="9"/>
          <w:pgMar w:top="1418" w:right="1418" w:bottom="1418" w:left="1418" w:header="964" w:footer="964" w:gutter="0"/>
          <w:cols w:space="708"/>
          <w:docGrid w:linePitch="360"/>
        </w:sectPr>
      </w:pPr>
      <w:r w:rsidRPr="001D235E">
        <w:rPr>
          <w:sz w:val="18"/>
        </w:rPr>
        <w:t xml:space="preserve">Source: </w:t>
      </w:r>
      <w:r w:rsidRPr="001D235E">
        <w:rPr>
          <w:sz w:val="18"/>
        </w:rPr>
        <w:fldChar w:fldCharType="begin"/>
      </w:r>
      <w:r w:rsidRPr="001D235E">
        <w:rPr>
          <w:sz w:val="18"/>
        </w:rPr>
        <w:instrText xml:space="preserve"> ADDIN ZOTERO_ITEM CSL_CITATION {"citationID":"Sp9nCNYU","properties":{"formattedCitation":"(Dense Breast-info, 2017; Durning, 2017)","plainCitation":"(Dense Breast-info, 2017; Durning, 2017)"},"citationItems":[{"id":490,"uris":["http://zotero.org/users/local/2fBHA0Hy/items/9PVEVBRE"],"uri":["http://zotero.org/users/local/2fBHA0Hy/items/9PVEVBRE"],"itemData":{"id":490,"type":"article","title":"Comparative\tAnalysis\tof\tState\tDensity\tInform\tEfforts\tand\tInsurance\tCoverage","URL":"http://densebreast-info.org/img/table_laws_insurance_12.20.17.pdf","author":[{"family":"Dense Breast-info","given":""}],"issued":{"date-parts":[["2017",12,20]]}}},{"id":491,"uris":["http://zotero.org/users/local/2fBHA0Hy/items/9EC4KJ2Q"],"uri":["http://zotero.org/users/local/2fBHA0Hy/items/9EC4KJ2Q"],"itemData":{"id":491,"type":"article","title":"Breast Density Notification Laws by State","URL":"http://www.diagnosticimaging.com/breast-imaging/breast-density-notification-laws-state--interactive-map","author":[{"family":"Durning","given":"Marijke Vroomen"}],"issued":{"date-parts":[["2017",6,12]]}}}],"schema":"https://github.com/citation-style-language/schema/raw/master/csl-citation.json"} </w:instrText>
      </w:r>
      <w:r w:rsidRPr="001D235E">
        <w:rPr>
          <w:sz w:val="18"/>
        </w:rPr>
        <w:fldChar w:fldCharType="separate"/>
      </w:r>
      <w:r w:rsidRPr="001D235E">
        <w:rPr>
          <w:rFonts w:ascii="Cambria" w:hAnsi="Cambria"/>
          <w:sz w:val="18"/>
        </w:rPr>
        <w:t>(Dense Breast-info, 201</w:t>
      </w:r>
      <w:r w:rsidR="00EE52D6">
        <w:rPr>
          <w:rFonts w:ascii="Cambria" w:hAnsi="Cambria"/>
          <w:sz w:val="18"/>
        </w:rPr>
        <w:t>8</w:t>
      </w:r>
      <w:r w:rsidRPr="001D235E">
        <w:rPr>
          <w:rFonts w:ascii="Cambria" w:hAnsi="Cambria"/>
          <w:sz w:val="18"/>
        </w:rPr>
        <w:t>; Durning, 2017)</w:t>
      </w:r>
      <w:r w:rsidRPr="001D235E">
        <w:rPr>
          <w:sz w:val="18"/>
        </w:rPr>
        <w:fldChar w:fldCharType="end"/>
      </w:r>
    </w:p>
    <w:p w14:paraId="074EF1E8" w14:textId="77777777" w:rsidR="00182760" w:rsidRDefault="00182760" w:rsidP="00182760">
      <w:pPr>
        <w:pStyle w:val="NumberedHeading2"/>
      </w:pPr>
      <w:bookmarkStart w:id="138" w:name="_Toc518922232"/>
      <w:r>
        <w:lastRenderedPageBreak/>
        <w:t>Information that women want and acceptability of reporting</w:t>
      </w:r>
      <w:bookmarkEnd w:id="138"/>
      <w:r>
        <w:t xml:space="preserve"> </w:t>
      </w:r>
    </w:p>
    <w:p w14:paraId="7AA300C8" w14:textId="3366C5B8" w:rsidR="00182760" w:rsidRDefault="00182760" w:rsidP="00182760">
      <w:pPr>
        <w:pStyle w:val="BodyText"/>
      </w:pPr>
      <w:r>
        <w:t xml:space="preserve">We searched for literature that would provide information about women’s and </w:t>
      </w:r>
      <w:r w:rsidR="003A1AEC">
        <w:t>health practitioner</w:t>
      </w:r>
      <w:r>
        <w:t xml:space="preserve"> attitudes towards dense breast notifications and what requirements they have from them. </w:t>
      </w:r>
      <w:r w:rsidR="000C2C53">
        <w:t>At February 2018, n</w:t>
      </w:r>
      <w:r>
        <w:t>o studies ha</w:t>
      </w:r>
      <w:r w:rsidR="000C2C53">
        <w:t>d</w:t>
      </w:r>
      <w:r>
        <w:t xml:space="preserve"> specifically asked women what they need from breast density notification; however, five articles discussed challenges and associated improvements that could be made to the notification </w:t>
      </w:r>
      <w:r w:rsidRPr="002B375A">
        <w:t>letters</w:t>
      </w:r>
      <w:r>
        <w:t>, and w</w:t>
      </w:r>
      <w:r w:rsidRPr="002B375A">
        <w:t>e identified five</w:t>
      </w:r>
      <w:r>
        <w:t xml:space="preserve"> articles that discussed information requirements for women or </w:t>
      </w:r>
      <w:r w:rsidR="003A1AEC">
        <w:t>health practitioner</w:t>
      </w:r>
      <w:r>
        <w:t>s. It is important to note that all the studies described in this literature review are from the United States and Europe, and therefore they may not be suitable to be generalised to the Australian context.</w:t>
      </w:r>
    </w:p>
    <w:p w14:paraId="5A61FF00" w14:textId="0A26469A" w:rsidR="00182760" w:rsidRDefault="00182760" w:rsidP="00182760">
      <w:pPr>
        <w:pStyle w:val="BodyText"/>
      </w:pPr>
      <w:r w:rsidRPr="00A23153">
        <w:t>The US</w:t>
      </w:r>
      <w:r>
        <w:t xml:space="preserve"> </w:t>
      </w:r>
      <w:r w:rsidRPr="00A23153">
        <w:t>P</w:t>
      </w:r>
      <w:r>
        <w:t xml:space="preserve">reventive </w:t>
      </w:r>
      <w:r w:rsidRPr="00A23153">
        <w:t>S</w:t>
      </w:r>
      <w:r>
        <w:t xml:space="preserve">ervices </w:t>
      </w:r>
      <w:r w:rsidRPr="00A23153">
        <w:t>T</w:t>
      </w:r>
      <w:r>
        <w:t>ask Force</w:t>
      </w:r>
      <w:r w:rsidRPr="00A23153">
        <w:t xml:space="preserve"> state</w:t>
      </w:r>
      <w:r w:rsidR="003A1AEC">
        <w:t>d</w:t>
      </w:r>
      <w:r w:rsidRPr="00A23153">
        <w:t xml:space="preserve">, in </w:t>
      </w:r>
      <w:r>
        <w:t>its</w:t>
      </w:r>
      <w:r w:rsidRPr="00A23153">
        <w:t xml:space="preserve"> update of the 2009 recommendation for breast cancer, that critical questions remain about</w:t>
      </w:r>
      <w:r>
        <w:t xml:space="preserve"> </w:t>
      </w:r>
      <w:r w:rsidRPr="001F5798">
        <w:t xml:space="preserve">how best to </w:t>
      </w:r>
      <w:r w:rsidR="000C2C53">
        <w:t xml:space="preserve">report on and </w:t>
      </w:r>
      <w:r w:rsidRPr="001F5798">
        <w:t xml:space="preserve">manage the association between </w:t>
      </w:r>
      <w:r>
        <w:t>breast density</w:t>
      </w:r>
      <w:r w:rsidRPr="001F5798">
        <w:t xml:space="preserve">, breast cancer risk and breast cancer diagnosis, and to support women with increased </w:t>
      </w:r>
      <w:r>
        <w:t>breast density</w:t>
      </w:r>
      <w:r w:rsidRPr="001F5798">
        <w:t>.</w:t>
      </w:r>
      <w:r>
        <w:t xml:space="preserve"> </w:t>
      </w:r>
    </w:p>
    <w:p w14:paraId="7C809710" w14:textId="6061A929" w:rsidR="00182760" w:rsidRDefault="00182760" w:rsidP="00182760">
      <w:pPr>
        <w:pStyle w:val="BodyText"/>
      </w:pPr>
      <w:r>
        <w:t xml:space="preserve">Health practitioner education is critical </w:t>
      </w:r>
      <w:r w:rsidR="008D405F">
        <w:t>for</w:t>
      </w:r>
      <w:r>
        <w:t xml:space="preserve"> breast density notification laws to positively impact breast cancer outcomes. Health practitioners in the </w:t>
      </w:r>
      <w:r w:rsidR="003A1AEC">
        <w:t xml:space="preserve">United States </w:t>
      </w:r>
      <w:r>
        <w:t xml:space="preserve">reportedly have variable knowledge of the breast density laws and what this means for clinical practice. In some states, this has resulted in inconsistencies in referral for supplemental </w:t>
      </w:r>
      <w:r w:rsidR="002D74B6">
        <w:t>tests</w:t>
      </w:r>
      <w:r w:rsidR="00533884">
        <w:t>.</w:t>
      </w:r>
      <w:r>
        <w:t xml:space="preserve"> </w:t>
      </w:r>
      <w:r w:rsidR="00533884">
        <w:t>F</w:t>
      </w:r>
      <w:r>
        <w:t xml:space="preserve">or example, </w:t>
      </w:r>
      <w:r>
        <w:fldChar w:fldCharType="begin"/>
      </w:r>
      <w:r>
        <w:instrText xml:space="preserve"> ADDIN ZOTERO_ITEM CSL_CITATION {"citationID":"28vuvjlofl","properties":{"formattedCitation":"(Slanetz et al., 2015)","plainCitation":"(Slanetz et al., 2015)","dontUpdate":true},"citationItems":[{"id":43,"uris":["http://zotero.org/users/local/2fBHA0Hy/items/REAACPRD"],"uri":["http://zotero.org/users/local/2fBHA0Hy/items/REAACPRD"],"itemData":{"id":43,"type":"article-journal","title":"Breast-density legislation--practical considerations","container-title":"New England Journal of Medicine","page":"593-595","volume":"372","issue":"7","source":"EBSCOhost","archive":"cin20","archive_location":"107771955. Language: English. Entry Date: 20150306. Revision Date: 20170410. Publication Type: journal article. Journal Subset: Biomedical","DOI":"10.1056/NEJMp1413728","ISSN":"0028-4793","shortTitle":"Breast-density legislation--practical considerations","author":[{"family":"Slanetz","given":"Priscilla J."},{"family":"Freer","given":"Phoebe E."},{"family":"Birdwell","given":"Robyn L."}],"issued":{"date-parts":[["2015"]]}}}],"schema":"https://github.com/citation-style-language/schema/raw/master/csl-citation.json"} </w:instrText>
      </w:r>
      <w:r>
        <w:fldChar w:fldCharType="separate"/>
      </w:r>
      <w:r w:rsidRPr="008E0367">
        <w:rPr>
          <w:rFonts w:ascii="Cambria" w:hAnsi="Cambria"/>
        </w:rPr>
        <w:t xml:space="preserve">Slanetz et al. </w:t>
      </w:r>
      <w:r>
        <w:rPr>
          <w:rFonts w:ascii="Cambria" w:hAnsi="Cambria"/>
        </w:rPr>
        <w:t>(</w:t>
      </w:r>
      <w:r w:rsidRPr="008E0367">
        <w:rPr>
          <w:rFonts w:ascii="Cambria" w:hAnsi="Cambria"/>
        </w:rPr>
        <w:t>2015</w:t>
      </w:r>
      <w:r>
        <w:fldChar w:fldCharType="end"/>
      </w:r>
      <w:r>
        <w:t xml:space="preserve">) noted that some Connecticut </w:t>
      </w:r>
      <w:r w:rsidR="001D371B">
        <w:t>clinicians</w:t>
      </w:r>
      <w:r>
        <w:t xml:space="preserve"> refer 100% of women and others refer none. These inconsistencies may result in reduced access to supplemental </w:t>
      </w:r>
      <w:r w:rsidR="002D74B6">
        <w:t xml:space="preserve">testing </w:t>
      </w:r>
      <w:r>
        <w:t xml:space="preserve">for women defined as having a high risk of breast cancer or unnecessary screening for women with a low to average risk of breast cancer. </w:t>
      </w:r>
    </w:p>
    <w:p w14:paraId="6C302883" w14:textId="3C13632F" w:rsidR="00182760" w:rsidRDefault="00182760" w:rsidP="00182760">
      <w:pPr>
        <w:pStyle w:val="BodyText"/>
      </w:pPr>
      <w:r>
        <w:t>One study investigated physician awareness of breast density legislation and its impact on primary care practice</w:t>
      </w:r>
      <w:r w:rsidR="00533884">
        <w:t xml:space="preserve"> (Khong et al., 2015)</w:t>
      </w:r>
      <w:r>
        <w:t xml:space="preserve">. The study included 77 survey responses from </w:t>
      </w:r>
      <w:r w:rsidR="001D371B">
        <w:t xml:space="preserve">Internal Medicine (39%), Family Medicine (47%) and Obstetric-Gynaecology (9%) outpatient </w:t>
      </w:r>
      <w:r>
        <w:t xml:space="preserve">physicians in California. </w:t>
      </w:r>
      <w:r w:rsidRPr="005C7079">
        <w:t>Roughly half of those surveyed (49%) reported no knowledge of the breast density notification legislation.</w:t>
      </w:r>
      <w:r>
        <w:t xml:space="preserve"> </w:t>
      </w:r>
      <w:r w:rsidR="00533884">
        <w:t>Seventy-five percent</w:t>
      </w:r>
      <w:r w:rsidRPr="005C7079">
        <w:t xml:space="preserve"> of those surveyed would </w:t>
      </w:r>
      <w:r>
        <w:t xml:space="preserve">also </w:t>
      </w:r>
      <w:r w:rsidRPr="005C7079">
        <w:t>be interested in more specific education on the subject.</w:t>
      </w:r>
      <w:r>
        <w:t xml:space="preserve"> The authors concluded that due to a reasonably low level of awareness among physicians, there may need to be more physician education </w:t>
      </w:r>
      <w:r w:rsidR="008D405F">
        <w:t>for</w:t>
      </w:r>
      <w:r>
        <w:t xml:space="preserve"> density notification laws to have a significant impact on patient care. </w:t>
      </w:r>
    </w:p>
    <w:p w14:paraId="0E8F126B" w14:textId="7E1909D8" w:rsidR="00182760" w:rsidRDefault="00182760" w:rsidP="00182760">
      <w:pPr>
        <w:pStyle w:val="BodyText"/>
      </w:pPr>
      <w:r>
        <w:t xml:space="preserve">A similar study surveyed 96 radiologists to assess </w:t>
      </w:r>
      <w:r w:rsidR="000C2C53">
        <w:t>their</w:t>
      </w:r>
      <w:r w:rsidR="000C2C53" w:rsidRPr="001814D2">
        <w:t xml:space="preserve"> </w:t>
      </w:r>
      <w:r w:rsidRPr="001814D2">
        <w:t>knowledge about breast density legislation as well as perceived practice changes resulting from the enactment of breast density legislation</w:t>
      </w:r>
      <w:r w:rsidR="00533884">
        <w:t xml:space="preserve"> (Lourenco et al., 2017)</w:t>
      </w:r>
      <w:r w:rsidRPr="001814D2">
        <w:t>.</w:t>
      </w:r>
      <w:r>
        <w:t xml:space="preserve"> </w:t>
      </w:r>
      <w:r w:rsidRPr="001814D2">
        <w:t xml:space="preserve">Sixty-nine percent felt that breast density notification increased </w:t>
      </w:r>
      <w:r w:rsidR="00AB7545">
        <w:t>women’s</w:t>
      </w:r>
      <w:r w:rsidRPr="001814D2">
        <w:t xml:space="preserve"> anxiety about breast cancer, but also increased </w:t>
      </w:r>
      <w:r w:rsidR="00AB7545">
        <w:t>women’s</w:t>
      </w:r>
      <w:r w:rsidRPr="001814D2">
        <w:t xml:space="preserve"> (74%) and provider (66%) understanding of the effect of breast density on mammographic sensitivity.</w:t>
      </w:r>
      <w:r>
        <w:t xml:space="preserve"> The authors also concluded that </w:t>
      </w:r>
      <w:r w:rsidR="00226804">
        <w:t xml:space="preserve">clinicians </w:t>
      </w:r>
      <w:r>
        <w:t xml:space="preserve">would benefit from further education about breast density legislation and management of women with dense breasts. </w:t>
      </w:r>
    </w:p>
    <w:p w14:paraId="064AF645" w14:textId="1E8EA4D6" w:rsidR="0055619E" w:rsidRDefault="00533884" w:rsidP="00AF3A97">
      <w:pPr>
        <w:pStyle w:val="BodyText"/>
      </w:pPr>
      <w:r>
        <w:t xml:space="preserve">Slanetz et al. (2015) </w:t>
      </w:r>
      <w:r w:rsidR="00182760">
        <w:t xml:space="preserve">notes that the legislation is an opportunity to strengthen the patient-provider relationship, by encouraging a discussion about the risks and benefits of screening, regardless of breast density. The way in which breast density information is communicated to women is important to ensure that all women sufficiently understand the information. As discussed in section </w:t>
      </w:r>
      <w:r w:rsidR="008D2EF6">
        <w:t>4.2.1</w:t>
      </w:r>
      <w:r w:rsidR="00182760">
        <w:t xml:space="preserve">, Manning et al. (2017) reported on the emotional responses and ethnic differences for women who received breast density notifications. The authors stated that African American women are less likely to have prior awareness of their breast density due to a lack of physician </w:t>
      </w:r>
      <w:r w:rsidR="00182760">
        <w:lastRenderedPageBreak/>
        <w:t xml:space="preserve">communication, however the notifications provide an opportunity for such communication to take place. In the review by Sullivan et al. (2015), the authors concluded that for jurisdictions with legislated density notification, there is a need for evidence-based guidelines to assist the </w:t>
      </w:r>
      <w:r w:rsidR="00AB7545">
        <w:t>woman</w:t>
      </w:r>
      <w:r w:rsidR="00182760">
        <w:t xml:space="preserve"> and physician in making the decision to have </w:t>
      </w:r>
      <w:r w:rsidR="00C7222E">
        <w:t>supplemental testing</w:t>
      </w:r>
      <w:r w:rsidR="00AF3A97">
        <w:t>.</w:t>
      </w:r>
    </w:p>
    <w:p w14:paraId="04D672A9" w14:textId="77777777" w:rsidR="0055619E" w:rsidRDefault="0055619E" w:rsidP="0055619E"/>
    <w:p w14:paraId="31F97CB6" w14:textId="77777777" w:rsidR="00D01207" w:rsidRDefault="00D01207">
      <w:r>
        <w:br w:type="page"/>
      </w:r>
    </w:p>
    <w:p w14:paraId="4B321840" w14:textId="77777777" w:rsidR="00785347" w:rsidRDefault="00D01207" w:rsidP="00A961C6">
      <w:pPr>
        <w:pStyle w:val="Heading1"/>
      </w:pPr>
      <w:bookmarkStart w:id="139" w:name="_Toc518922233"/>
      <w:r>
        <w:lastRenderedPageBreak/>
        <w:t>References</w:t>
      </w:r>
      <w:bookmarkEnd w:id="139"/>
    </w:p>
    <w:p w14:paraId="5BD929B0" w14:textId="4582D966" w:rsidR="00DE0042" w:rsidRDefault="00DE0042" w:rsidP="00E82C62">
      <w:pPr>
        <w:pStyle w:val="BodyText"/>
      </w:pPr>
      <w:r>
        <w:t>American College of Radiology. (2014). "ACR statement on reporting breast density in mammography reports and patient summaries."   Retrieved Mar</w:t>
      </w:r>
      <w:r w:rsidR="00E82C62">
        <w:t>ch</w:t>
      </w:r>
      <w:r>
        <w:t xml:space="preserve"> 2018, from http://www.acr.org/About-Us/Media-Center/Position-Statements/Position-Statements-Folder/Statement-on-Reporting-Breast-Density-in-Mammography-Reports-and-Patient-Summaries.</w:t>
      </w:r>
    </w:p>
    <w:p w14:paraId="352127FE" w14:textId="5C50EF6C" w:rsidR="00DE0042" w:rsidRDefault="00DE0042" w:rsidP="00DE0042">
      <w:pPr>
        <w:pStyle w:val="BodyText"/>
      </w:pPr>
      <w:r>
        <w:t>Antoni, S., A. J. Sasco, I. Dos Santos Silva and V. McCormack (2013). "Is mammographic density differentially associated with breast cancer according to receptor status? A meta-analysis." Breast Cancer Research and Treatment 137(2): 337-347.</w:t>
      </w:r>
    </w:p>
    <w:p w14:paraId="27FDE032" w14:textId="643A2C21" w:rsidR="00850A9D" w:rsidRDefault="00850A9D" w:rsidP="00522F1A">
      <w:pPr>
        <w:spacing w:before="120" w:after="120" w:line="280" w:lineRule="exact"/>
      </w:pPr>
      <w:r>
        <w:t xml:space="preserve">Assi, V., </w:t>
      </w:r>
      <w:r w:rsidR="009E34E1">
        <w:t xml:space="preserve">N. J. </w:t>
      </w:r>
      <w:r>
        <w:t xml:space="preserve">Massat, </w:t>
      </w:r>
      <w:r w:rsidR="009E34E1">
        <w:t xml:space="preserve">S. </w:t>
      </w:r>
      <w:r>
        <w:t xml:space="preserve">Thomas, </w:t>
      </w:r>
      <w:r w:rsidR="009E34E1">
        <w:t>J.</w:t>
      </w:r>
      <w:r>
        <w:t xml:space="preserve"> MacKay, </w:t>
      </w:r>
      <w:r w:rsidR="009E34E1">
        <w:t xml:space="preserve">J. </w:t>
      </w:r>
      <w:r>
        <w:t xml:space="preserve">Warwick, </w:t>
      </w:r>
      <w:r w:rsidR="009E34E1">
        <w:t>M.</w:t>
      </w:r>
      <w:r>
        <w:t xml:space="preserve"> Kataoka</w:t>
      </w:r>
      <w:r w:rsidR="009E34E1">
        <w:t xml:space="preserve"> </w:t>
      </w:r>
      <w:r>
        <w:t xml:space="preserve">… </w:t>
      </w:r>
      <w:r w:rsidR="009E34E1">
        <w:t xml:space="preserve">S.W. </w:t>
      </w:r>
      <w:r>
        <w:t xml:space="preserve">Duffy (2015). </w:t>
      </w:r>
      <w:r w:rsidR="009E34E1">
        <w:t>“</w:t>
      </w:r>
      <w:r>
        <w:t>A case-control study to assess the impact of mammographic density on breast cancer risk in women aged 40-49 at intermediate familial risk: Impact of mammographic density on breast cancer risk.</w:t>
      </w:r>
      <w:r w:rsidR="009E34E1">
        <w:t>”</w:t>
      </w:r>
      <w:r>
        <w:t xml:space="preserve"> </w:t>
      </w:r>
      <w:r w:rsidRPr="009E34E1">
        <w:rPr>
          <w:iCs/>
        </w:rPr>
        <w:t>International Journal of Cancer</w:t>
      </w:r>
      <w:r w:rsidR="0086797E">
        <w:t xml:space="preserve"> </w:t>
      </w:r>
      <w:r w:rsidRPr="009E34E1">
        <w:rPr>
          <w:iCs/>
        </w:rPr>
        <w:t>136</w:t>
      </w:r>
      <w:r w:rsidRPr="009E34E1">
        <w:t>(10</w:t>
      </w:r>
      <w:r>
        <w:t>)</w:t>
      </w:r>
      <w:r w:rsidR="009E34E1">
        <w:t>:</w:t>
      </w:r>
      <w:r>
        <w:t xml:space="preserve"> 2378–2387. </w:t>
      </w:r>
    </w:p>
    <w:p w14:paraId="54081A0F" w14:textId="6FD8D00A" w:rsidR="00AB36B8" w:rsidRDefault="00AB36B8" w:rsidP="00DE0042">
      <w:pPr>
        <w:pStyle w:val="BodyText"/>
      </w:pPr>
      <w:r>
        <w:t xml:space="preserve">Astley, S., E. Harkness, J. Sergeant, P. Stavrinos, R. Warren, M. Wilson, A. Brentnall, J. Cuzick, A. Howell and G. Evans (2016). "Proffered Paper: A comparison of four methods of mammographic density measurement in the UK Predicting Risk </w:t>
      </w:r>
      <w:proofErr w:type="gramStart"/>
      <w:r>
        <w:t>Of Cancer At</w:t>
      </w:r>
      <w:proofErr w:type="gramEnd"/>
      <w:r>
        <w:t xml:space="preserve"> Screening (PROCAS) study &amp;#x2013; on behalf of the PROCAS Study team." European Journal of Cancer 61: S6.</w:t>
      </w:r>
    </w:p>
    <w:p w14:paraId="6BB20857" w14:textId="1640EC57" w:rsidR="00B81D9A" w:rsidRDefault="00B81D9A" w:rsidP="00522F1A">
      <w:pPr>
        <w:spacing w:before="120" w:after="120" w:line="280" w:lineRule="exact"/>
      </w:pPr>
      <w:r>
        <w:t xml:space="preserve">Astley, S. M., </w:t>
      </w:r>
      <w:r w:rsidR="009E34E1">
        <w:t xml:space="preserve">E. F. </w:t>
      </w:r>
      <w:r>
        <w:t xml:space="preserve">Harkness, </w:t>
      </w:r>
      <w:r w:rsidR="009E34E1">
        <w:t xml:space="preserve">J. C. </w:t>
      </w:r>
      <w:r>
        <w:t xml:space="preserve">Sergeant, </w:t>
      </w:r>
      <w:r w:rsidR="009E34E1">
        <w:t>J.</w:t>
      </w:r>
      <w:r>
        <w:t xml:space="preserve"> Warwick,</w:t>
      </w:r>
      <w:r w:rsidR="009E34E1">
        <w:t xml:space="preserve"> P.</w:t>
      </w:r>
      <w:r>
        <w:t xml:space="preserve"> Stavrinos, </w:t>
      </w:r>
      <w:r w:rsidR="009E34E1">
        <w:t>R.</w:t>
      </w:r>
      <w:r>
        <w:t xml:space="preserve"> Warren</w:t>
      </w:r>
      <w:r w:rsidR="009E34E1">
        <w:t xml:space="preserve"> </w:t>
      </w:r>
      <w:r>
        <w:t xml:space="preserve">… </w:t>
      </w:r>
      <w:r w:rsidR="009E34E1">
        <w:t xml:space="preserve">D. G. </w:t>
      </w:r>
      <w:r>
        <w:t>Evans</w:t>
      </w:r>
      <w:r w:rsidR="009E34E1">
        <w:t xml:space="preserve"> </w:t>
      </w:r>
      <w:r>
        <w:t xml:space="preserve">(2018). </w:t>
      </w:r>
      <w:r w:rsidR="009E34E1">
        <w:t>“</w:t>
      </w:r>
      <w:r>
        <w:t>A comparison of five methods of measuring mammographic density: a case-control study.</w:t>
      </w:r>
      <w:r w:rsidR="009E34E1">
        <w:t>”</w:t>
      </w:r>
      <w:r>
        <w:t xml:space="preserve"> </w:t>
      </w:r>
      <w:r w:rsidRPr="009E34E1">
        <w:rPr>
          <w:iCs/>
        </w:rPr>
        <w:t>Breast Cancer Research</w:t>
      </w:r>
      <w:r w:rsidRPr="009E34E1">
        <w:t xml:space="preserve"> </w:t>
      </w:r>
      <w:r w:rsidRPr="009E34E1">
        <w:rPr>
          <w:iCs/>
        </w:rPr>
        <w:t>20</w:t>
      </w:r>
      <w:r w:rsidRPr="009E34E1">
        <w:t>(1)</w:t>
      </w:r>
      <w:r w:rsidR="009E34E1">
        <w:t xml:space="preserve"> </w:t>
      </w:r>
    </w:p>
    <w:p w14:paraId="64EAF12A" w14:textId="74BE191F" w:rsidR="002703AF" w:rsidRDefault="002703AF" w:rsidP="00DE0042">
      <w:pPr>
        <w:pStyle w:val="BodyText"/>
      </w:pPr>
      <w:r>
        <w:t>Bae, J.</w:t>
      </w:r>
      <w:r w:rsidR="009E34E1">
        <w:t xml:space="preserve"> </w:t>
      </w:r>
      <w:r>
        <w:t>M.</w:t>
      </w:r>
      <w:r w:rsidR="009E34E1">
        <w:t xml:space="preserve"> and E. H. </w:t>
      </w:r>
      <w:r>
        <w:t xml:space="preserve">Kim (2016). </w:t>
      </w:r>
      <w:r w:rsidR="009E34E1">
        <w:t>“</w:t>
      </w:r>
      <w:r>
        <w:t>Breast Density and Risk of Breast Cancer in Asian Women: A</w:t>
      </w:r>
      <w:r w:rsidR="009E34E1">
        <w:t xml:space="preserve"> </w:t>
      </w:r>
      <w:r>
        <w:t>Meta-analysis of Observational Studies.</w:t>
      </w:r>
      <w:r w:rsidR="009E34E1">
        <w:t>”</w:t>
      </w:r>
      <w:r>
        <w:t xml:space="preserve"> </w:t>
      </w:r>
      <w:r w:rsidRPr="002703AF">
        <w:t>Journal of Preventive Medicine and Public Health</w:t>
      </w:r>
      <w:r w:rsidR="0086797E">
        <w:t xml:space="preserve"> </w:t>
      </w:r>
      <w:r w:rsidRPr="002703AF">
        <w:t>49</w:t>
      </w:r>
      <w:r>
        <w:t>(6)</w:t>
      </w:r>
      <w:r w:rsidR="009E34E1">
        <w:t>:</w:t>
      </w:r>
      <w:r>
        <w:t xml:space="preserve"> 367–375.</w:t>
      </w:r>
      <w:r w:rsidR="009E34E1">
        <w:t xml:space="preserve"> </w:t>
      </w:r>
    </w:p>
    <w:p w14:paraId="55DC82AC" w14:textId="60DD63A2" w:rsidR="00DE0042" w:rsidRDefault="00DE0042" w:rsidP="00DE0042">
      <w:pPr>
        <w:pStyle w:val="BodyText"/>
      </w:pPr>
      <w:r>
        <w:t xml:space="preserve">BCSC Data Explorer. NCI-funded Breast Cancer Surveillance Consortium. (2013). "Breast Cancer Surveillance </w:t>
      </w:r>
      <w:proofErr w:type="gramStart"/>
      <w:r>
        <w:t>Consortium "</w:t>
      </w:r>
      <w:proofErr w:type="gramEnd"/>
      <w:r>
        <w:t xml:space="preserve">   Retrieved Mar</w:t>
      </w:r>
      <w:r w:rsidR="00E82C62">
        <w:t>ch</w:t>
      </w:r>
      <w:r>
        <w:t xml:space="preserve"> 2018, from http://breastscreening.cancer.gov.</w:t>
      </w:r>
    </w:p>
    <w:p w14:paraId="078DD66E" w14:textId="77777777" w:rsidR="00DE0042" w:rsidRDefault="00DE0042" w:rsidP="00DE0042">
      <w:pPr>
        <w:pStyle w:val="BodyText"/>
      </w:pPr>
      <w:r>
        <w:t>Berg, W. and J. Pushkin (2017). "In defense of breast density notification laws." Contemporary OB/GYN 62(3): 10-13.</w:t>
      </w:r>
    </w:p>
    <w:p w14:paraId="00CF1246" w14:textId="631ACD40" w:rsidR="00FB1D11" w:rsidRDefault="00FB1D11" w:rsidP="00FB1D11">
      <w:pPr>
        <w:pStyle w:val="BodyText"/>
        <w:jc w:val="left"/>
      </w:pPr>
      <w:r w:rsidRPr="00FB1D11">
        <w:t xml:space="preserve">Berg, W. A., </w:t>
      </w:r>
      <w:r w:rsidR="003F08BD">
        <w:t xml:space="preserve">J. D. </w:t>
      </w:r>
      <w:r w:rsidRPr="00FB1D11">
        <w:t>Blume</w:t>
      </w:r>
      <w:r w:rsidR="003F08BD">
        <w:t xml:space="preserve">, A. M. </w:t>
      </w:r>
      <w:r w:rsidRPr="00FB1D11">
        <w:t xml:space="preserve">Adams, </w:t>
      </w:r>
      <w:r w:rsidR="003F08BD">
        <w:t>R. A.</w:t>
      </w:r>
      <w:r w:rsidRPr="00FB1D11">
        <w:t xml:space="preserve"> Jong, </w:t>
      </w:r>
      <w:r w:rsidR="003F08BD">
        <w:t>R. G.</w:t>
      </w:r>
      <w:r w:rsidRPr="00FB1D11">
        <w:t xml:space="preserve"> Barr, </w:t>
      </w:r>
      <w:r w:rsidR="003F08BD">
        <w:t>D. E.</w:t>
      </w:r>
      <w:r w:rsidRPr="00FB1D11">
        <w:t xml:space="preserve"> Lehrer</w:t>
      </w:r>
      <w:r w:rsidR="003F08BD">
        <w:t xml:space="preserve"> </w:t>
      </w:r>
      <w:r w:rsidRPr="00FB1D11">
        <w:t xml:space="preserve">. . . </w:t>
      </w:r>
      <w:r w:rsidR="003F08BD">
        <w:t xml:space="preserve">E. B. </w:t>
      </w:r>
      <w:r w:rsidRPr="00FB1D11">
        <w:t xml:space="preserve">Mendelson (2010). </w:t>
      </w:r>
      <w:r w:rsidR="00C92BCF">
        <w:t>“</w:t>
      </w:r>
      <w:r w:rsidRPr="00FB1D11">
        <w:t>Reasons women at elevated risk of breast cancer refuse breast MR imaging screening: ACRIN 6666.</w:t>
      </w:r>
      <w:r w:rsidR="00C92BCF">
        <w:t>”</w:t>
      </w:r>
      <w:r w:rsidRPr="00FB1D11">
        <w:rPr>
          <w:i/>
        </w:rPr>
        <w:t xml:space="preserve"> </w:t>
      </w:r>
      <w:r w:rsidRPr="00C92BCF">
        <w:t>Radiology 254(</w:t>
      </w:r>
      <w:r w:rsidRPr="00FB1D11">
        <w:t>1)</w:t>
      </w:r>
      <w:r w:rsidR="00C92BCF">
        <w:t>:</w:t>
      </w:r>
      <w:r w:rsidRPr="00FB1D11">
        <w:t xml:space="preserve"> 79-87.</w:t>
      </w:r>
    </w:p>
    <w:p w14:paraId="1B03BCBB" w14:textId="384352FA" w:rsidR="00DE0042" w:rsidRDefault="00DE0042" w:rsidP="00F566A7">
      <w:pPr>
        <w:pStyle w:val="BodyText"/>
        <w:jc w:val="left"/>
        <w:rPr>
          <w:color w:val="0070C0"/>
          <w:u w:val="single"/>
        </w:rPr>
      </w:pPr>
      <w:r w:rsidRPr="000D4A00">
        <w:t>Berg W</w:t>
      </w:r>
      <w:r w:rsidR="0086797E">
        <w:t>.</w:t>
      </w:r>
      <w:r w:rsidRPr="000D4A00">
        <w:t>A</w:t>
      </w:r>
      <w:r w:rsidR="0086797E">
        <w:t>.</w:t>
      </w:r>
      <w:r w:rsidRPr="000D4A00">
        <w:t xml:space="preserve">, </w:t>
      </w:r>
      <w:r w:rsidR="0086797E">
        <w:t xml:space="preserve">J. D. </w:t>
      </w:r>
      <w:r w:rsidRPr="000D4A00">
        <w:t>Blume</w:t>
      </w:r>
      <w:r w:rsidR="0086797E">
        <w:t xml:space="preserve">, J. B. </w:t>
      </w:r>
      <w:r w:rsidRPr="000D4A00">
        <w:t>Cormack</w:t>
      </w:r>
      <w:r w:rsidR="0086797E">
        <w:t>, E. B. Mendelson, D. Lehrer, M. Böhm-Vélez … K. Boparai (2008).</w:t>
      </w:r>
      <w:r w:rsidRPr="000D4A00">
        <w:t xml:space="preserve"> </w:t>
      </w:r>
      <w:r w:rsidR="0086797E">
        <w:t>“</w:t>
      </w:r>
      <w:r w:rsidRPr="000D4A00">
        <w:t>Combined Screening with Ultrasound and Mammography Compared to Mammography Alone in Women at Elevated Risk of Breast Cancer: Results of the First-Year Screen in ACRIN 6666.</w:t>
      </w:r>
      <w:r w:rsidR="0086797E">
        <w:t>”</w:t>
      </w:r>
      <w:r w:rsidR="00BB2B6B">
        <w:t xml:space="preserve"> </w:t>
      </w:r>
      <w:r w:rsidR="0086797E">
        <w:t xml:space="preserve">Journal of the American Medical Association </w:t>
      </w:r>
      <w:r w:rsidRPr="000D4A00">
        <w:t>299(18):</w:t>
      </w:r>
      <w:r w:rsidR="0086797E">
        <w:t xml:space="preserve"> </w:t>
      </w:r>
      <w:r w:rsidRPr="000D4A00">
        <w:t xml:space="preserve">2151-2163. </w:t>
      </w:r>
    </w:p>
    <w:p w14:paraId="7E8DA0A5" w14:textId="08A349E6" w:rsidR="00FB1D11" w:rsidRPr="00FB1D11" w:rsidRDefault="00FB1D11" w:rsidP="00FB1D11">
      <w:pPr>
        <w:pStyle w:val="BodyText"/>
      </w:pPr>
      <w:r>
        <w:t>Berg, W. A., Z. Zhang, D. Lehrer, R. A. Jong, E. D. Pisano, R. G. Barr, M. Böhm-Vélez, M. C. Mahoney, W. P. Evans and L. H. Larsen (2012). "Detection of breast cancer with addition of annual screening ultrasound or a single screening MRI to mammography in women with elevated breast cancer risk." J</w:t>
      </w:r>
      <w:r w:rsidR="0086797E">
        <w:t>ournal of the American Medical Association</w:t>
      </w:r>
      <w:r>
        <w:t xml:space="preserve"> 307(13): 1394-1404.</w:t>
      </w:r>
    </w:p>
    <w:p w14:paraId="796C0CAD" w14:textId="77777777" w:rsidR="00DE0042" w:rsidRDefault="00DE0042" w:rsidP="00DE0042">
      <w:pPr>
        <w:pStyle w:val="BodyText"/>
      </w:pPr>
      <w:r>
        <w:t>Bertrand, K. A., R. M. Tamimi, C. G. Scott, M. R. Jensen, V. S. Pankratz, D. Visscher, A. Norman, F. Couch, J. Shepherd and B. Fan (2013). "Mammographic density and risk of breast cancer by age and tumor characteristics." Breast Cancer Research 15(6): R104.</w:t>
      </w:r>
    </w:p>
    <w:p w14:paraId="412F3246" w14:textId="77777777" w:rsidR="00DE0042" w:rsidRDefault="00DE0042" w:rsidP="00DE0042">
      <w:pPr>
        <w:pStyle w:val="BodyText"/>
      </w:pPr>
      <w:r>
        <w:lastRenderedPageBreak/>
        <w:t>Boyd, N. F., G. S. Dite, J. Stone, A. Gunasekara, D. R. English, M. R. McCredie, G. G. Giles, D. Tritchler, A. Chiarelli and M. J. Yaffe (2002). "Heritability of mammographic density, a risk factor for breast cancer." New England Journal of Medicine 347(12): 886-894.</w:t>
      </w:r>
    </w:p>
    <w:p w14:paraId="4AA870C9" w14:textId="77777777" w:rsidR="00DE0042" w:rsidRDefault="00DE0042" w:rsidP="00DE0042">
      <w:pPr>
        <w:pStyle w:val="BodyText"/>
      </w:pPr>
      <w:r>
        <w:t>Boyd, N. F., H. Guo, L. J. Martin, L. Sun, J. Stone, E. Fishell, R. A. Jong, G. Hislop, A. Chiarelli and S. Minkin (2007). "Mammographic density and the risk and detection of breast cancer." New England Journal of Medicine 356(3): 227-236.</w:t>
      </w:r>
    </w:p>
    <w:p w14:paraId="3AFBA231" w14:textId="5DCD77B6" w:rsidR="00DE0042" w:rsidRDefault="00DE0042" w:rsidP="00DE0042">
      <w:pPr>
        <w:pStyle w:val="BodyText"/>
      </w:pPr>
      <w:r>
        <w:t xml:space="preserve">Boyd, N. F., J. M. Rommens, K. Vogt, V. Lee, J. L. Hopper, M. J. Yaffe and A. D. Paterson (2005). "Mammographic breast density as an intermediate phenotype for breast cancer." The </w:t>
      </w:r>
      <w:r w:rsidR="005945A9">
        <w:t>L</w:t>
      </w:r>
      <w:r>
        <w:t xml:space="preserve">ancet </w:t>
      </w:r>
      <w:r w:rsidR="005945A9">
        <w:t>O</w:t>
      </w:r>
      <w:r>
        <w:t>ncology 6(10): 798-808.</w:t>
      </w:r>
    </w:p>
    <w:p w14:paraId="6289FD1A" w14:textId="3C0F7792" w:rsidR="00DE0042" w:rsidRDefault="00DE0042" w:rsidP="00DE0042">
      <w:pPr>
        <w:pStyle w:val="BodyText"/>
      </w:pPr>
      <w:r>
        <w:t xml:space="preserve">Brem, R. F., M. J. Lenihan, J. Lieberman and J. Torrente (2015). "Screening breast ultrasound: past, present, and future." American </w:t>
      </w:r>
      <w:r w:rsidR="005945A9">
        <w:t>J</w:t>
      </w:r>
      <w:r>
        <w:t xml:space="preserve">ournal of </w:t>
      </w:r>
      <w:r w:rsidR="005945A9">
        <w:t>R</w:t>
      </w:r>
      <w:r>
        <w:t>oentgenology 204(2): 234-240.</w:t>
      </w:r>
    </w:p>
    <w:p w14:paraId="386AE971" w14:textId="48DAD186" w:rsidR="00675B1D" w:rsidRDefault="00675B1D" w:rsidP="00DE0042">
      <w:pPr>
        <w:pStyle w:val="BodyText"/>
      </w:pPr>
      <w:r>
        <w:t xml:space="preserve">Brem, R. F., R. C. Ruda, J. L. Yang, C. M. Coffey and J. A. Rapelyea </w:t>
      </w:r>
      <w:r w:rsidRPr="00675B1D">
        <w:t xml:space="preserve">(2016). “Breast-specific </w:t>
      </w:r>
      <w:r w:rsidRPr="00675B1D">
        <w:rPr>
          <w:rFonts w:cs="Arial"/>
          <w:shd w:val="clear" w:color="auto" w:fill="FFFFFF"/>
        </w:rPr>
        <w:t>γ-imaging for the detection of mammographically occult breast cancer in women at increased risk.”</w:t>
      </w:r>
      <w:r>
        <w:rPr>
          <w:rFonts w:cs="Arial"/>
          <w:shd w:val="clear" w:color="auto" w:fill="FFFFFF"/>
        </w:rPr>
        <w:t xml:space="preserve"> Journal of Nuclear Medicine 57(5): 678-684.</w:t>
      </w:r>
    </w:p>
    <w:p w14:paraId="62BFBD56" w14:textId="76B2CAAC" w:rsidR="00AB36B8" w:rsidRDefault="00AB36B8" w:rsidP="00DE0042">
      <w:pPr>
        <w:pStyle w:val="BodyText"/>
      </w:pPr>
      <w:r>
        <w:t>Brandt, K. R., C. G. Scott, L. Ma, A. P. Mahmoudzadeh, M. R. Jensen, D. H. Whaley, F. F. Wu, S. Malkov, C B. Hruska and A. D. Norman (201</w:t>
      </w:r>
      <w:r w:rsidR="00B25C9B">
        <w:t>6</w:t>
      </w:r>
      <w:r>
        <w:t>). "Comparison of clinical and automated breast density measurements: implications for risk prediction and supplemental screening." Radiology 279(3): 710-719.</w:t>
      </w:r>
    </w:p>
    <w:p w14:paraId="70CF85D9" w14:textId="77777777" w:rsidR="00DE0042" w:rsidRDefault="00DE0042" w:rsidP="00DE0042">
      <w:pPr>
        <w:pStyle w:val="BodyText"/>
      </w:pPr>
      <w:r>
        <w:t xml:space="preserve">BreastScreen Australia. 2016. </w:t>
      </w:r>
      <w:r>
        <w:rPr>
          <w:i/>
        </w:rPr>
        <w:t>Position Statement on Breast Density and Screening</w:t>
      </w:r>
      <w:r>
        <w:t>. DOH, Canberra.</w:t>
      </w:r>
    </w:p>
    <w:p w14:paraId="644ECE77" w14:textId="5BE288FD" w:rsidR="00DE0042" w:rsidRDefault="00DE0042" w:rsidP="00DE0042">
      <w:pPr>
        <w:pStyle w:val="BodyText"/>
      </w:pPr>
      <w:r>
        <w:t>Brisson, J., A. S. Morrison and N. Khalid (1988). "Mammographic parenchymal features and breast cancer in the breast cancer detection demonstration project." JNCI: Journal of the National Cancer Institute 80(19): 1534-1540.</w:t>
      </w:r>
    </w:p>
    <w:p w14:paraId="35EE993E" w14:textId="5DE04A3B" w:rsidR="005F5938" w:rsidRDefault="005F5938" w:rsidP="00DE0042">
      <w:pPr>
        <w:pStyle w:val="BodyText"/>
        <w:rPr>
          <w:rStyle w:val="Hyperlink"/>
        </w:rPr>
      </w:pPr>
      <w:r>
        <w:t xml:space="preserve">Buchberger, W., S. Geiger-Gritsch, R. Knapp, K. Gautsch and W. Oberaigner (2018). </w:t>
      </w:r>
      <w:r w:rsidR="005945A9">
        <w:t>“</w:t>
      </w:r>
      <w:r>
        <w:t>Combined screening with mammography and ultrasound in a population-based screening program.</w:t>
      </w:r>
      <w:r w:rsidR="005945A9">
        <w:t>”</w:t>
      </w:r>
      <w:r>
        <w:t xml:space="preserve"> </w:t>
      </w:r>
      <w:r w:rsidRPr="00205294">
        <w:rPr>
          <w:iCs/>
        </w:rPr>
        <w:t>European Journal of Radiology</w:t>
      </w:r>
      <w:r w:rsidRPr="00205294">
        <w:t xml:space="preserve"> </w:t>
      </w:r>
      <w:r w:rsidRPr="00205294">
        <w:rPr>
          <w:iCs/>
        </w:rPr>
        <w:t>101</w:t>
      </w:r>
      <w:r>
        <w:t xml:space="preserve">: 24–29. </w:t>
      </w:r>
    </w:p>
    <w:p w14:paraId="3E539627" w14:textId="19002741" w:rsidR="00AB36B8" w:rsidRDefault="00AB36B8" w:rsidP="00DE0042">
      <w:pPr>
        <w:pStyle w:val="BodyText"/>
      </w:pPr>
      <w:r>
        <w:t>Burkett, B. J. and C. W. Hanemann (2016). "A Review of Supplemental Screening Ultrasound for Breast Cancer: Certain Populations of Women with Dense Breast Tissue May Benefit." Academic radiology 23(12): 1604-1609.</w:t>
      </w:r>
    </w:p>
    <w:p w14:paraId="2C1A7ABC" w14:textId="756B82E2" w:rsidR="005945A9" w:rsidRDefault="00801710" w:rsidP="005945A9">
      <w:pPr>
        <w:spacing w:before="120" w:after="120" w:line="280" w:lineRule="exact"/>
      </w:pPr>
      <w:r>
        <w:t xml:space="preserve">Busana, M. C., </w:t>
      </w:r>
      <w:r w:rsidR="005945A9">
        <w:t xml:space="preserve">A. </w:t>
      </w:r>
      <w:r>
        <w:t xml:space="preserve">Eng, </w:t>
      </w:r>
      <w:r w:rsidR="005945A9">
        <w:t>R.</w:t>
      </w:r>
      <w:r>
        <w:t xml:space="preserve"> Denholm, </w:t>
      </w:r>
      <w:r w:rsidR="005945A9">
        <w:t>M.</w:t>
      </w:r>
      <w:r>
        <w:t xml:space="preserve"> Dowsett, </w:t>
      </w:r>
      <w:r w:rsidR="005945A9">
        <w:t>S.</w:t>
      </w:r>
      <w:r>
        <w:t xml:space="preserve"> Vinnicombe, S. Allen</w:t>
      </w:r>
      <w:r w:rsidR="005945A9">
        <w:t xml:space="preserve"> and I.</w:t>
      </w:r>
      <w:r>
        <w:t xml:space="preserve"> dos-Santos-Silva (2016). </w:t>
      </w:r>
      <w:r w:rsidR="005945A9">
        <w:t>“</w:t>
      </w:r>
      <w:r>
        <w:t>Impact of type of full-field digital image on mammographic density assessment and breast cancer risk estimation: a case-control study.</w:t>
      </w:r>
      <w:r w:rsidR="005945A9">
        <w:t>”</w:t>
      </w:r>
      <w:r>
        <w:t xml:space="preserve"> </w:t>
      </w:r>
      <w:r w:rsidRPr="005945A9">
        <w:rPr>
          <w:iCs/>
        </w:rPr>
        <w:t>Breast Cancer Research</w:t>
      </w:r>
      <w:r w:rsidRPr="005945A9">
        <w:t xml:space="preserve"> </w:t>
      </w:r>
      <w:r w:rsidRPr="005945A9">
        <w:rPr>
          <w:iCs/>
        </w:rPr>
        <w:t>18</w:t>
      </w:r>
      <w:r w:rsidRPr="005945A9">
        <w:t>(1)</w:t>
      </w:r>
      <w:r w:rsidR="005945A9">
        <w:t>: 96-108.</w:t>
      </w:r>
    </w:p>
    <w:p w14:paraId="27B437BA" w14:textId="2844307E" w:rsidR="00DE0042" w:rsidRDefault="00DE0042" w:rsidP="005945A9">
      <w:pPr>
        <w:spacing w:before="120" w:after="120" w:line="280" w:lineRule="exact"/>
      </w:pPr>
      <w:r>
        <w:t>Cappello, N. M. (2013). "Decade of ‘normal’</w:t>
      </w:r>
      <w:r w:rsidR="00E82C62">
        <w:t xml:space="preserve"> </w:t>
      </w:r>
      <w:r>
        <w:t>mammography reports–the happygram." Journal of the American College of Radiology 10(12): 903-908.</w:t>
      </w:r>
    </w:p>
    <w:p w14:paraId="47CAA114" w14:textId="6AA2073D" w:rsidR="00AB36B8" w:rsidRDefault="00AB36B8" w:rsidP="00DE0042">
      <w:pPr>
        <w:pStyle w:val="BodyText"/>
      </w:pPr>
      <w:r>
        <w:t xml:space="preserve">Chae, E. Y., H. H. Kim, J. H. Cha, H. J. Shin and H. Kim (2013). "Evaluation of Screening Whole‐Breast Sonography as a Supplemental Tool in Conjunction </w:t>
      </w:r>
      <w:proofErr w:type="gramStart"/>
      <w:r>
        <w:t>With</w:t>
      </w:r>
      <w:proofErr w:type="gramEnd"/>
      <w:r>
        <w:t xml:space="preserve"> Mammography in Women With Dense Breasts." Journal of Ultrasound in Medicine 32(9): 1573-1578.</w:t>
      </w:r>
    </w:p>
    <w:p w14:paraId="64FCA95E" w14:textId="2581343D" w:rsidR="0023689C" w:rsidRDefault="0023689C" w:rsidP="00522F1A">
      <w:pPr>
        <w:spacing w:before="120" w:after="120" w:line="280" w:lineRule="exact"/>
      </w:pPr>
      <w:r>
        <w:t xml:space="preserve">Chowdhury, M., </w:t>
      </w:r>
      <w:r w:rsidR="00603419">
        <w:t xml:space="preserve">D. </w:t>
      </w:r>
      <w:r>
        <w:t xml:space="preserve">Euhus, </w:t>
      </w:r>
      <w:r w:rsidR="00603419">
        <w:t>M.</w:t>
      </w:r>
      <w:r>
        <w:t xml:space="preserve"> O’Donnell, </w:t>
      </w:r>
      <w:r w:rsidR="00603419">
        <w:t>T.</w:t>
      </w:r>
      <w:r>
        <w:t xml:space="preserve"> Onega, </w:t>
      </w:r>
      <w:r w:rsidR="00603419">
        <w:t>P. K.</w:t>
      </w:r>
      <w:r>
        <w:t xml:space="preserve"> Choudhary</w:t>
      </w:r>
      <w:r w:rsidR="00F20EB1">
        <w:t xml:space="preserve"> and S.</w:t>
      </w:r>
      <w:r>
        <w:t xml:space="preserve"> Biswas (2018). </w:t>
      </w:r>
      <w:r w:rsidR="00F20EB1">
        <w:t>“</w:t>
      </w:r>
      <w:r>
        <w:t>Dose-dependent effect of mammographic breast density on the risk of contralateral breast cancer.</w:t>
      </w:r>
      <w:r w:rsidR="00F20EB1">
        <w:t>”</w:t>
      </w:r>
      <w:r>
        <w:t xml:space="preserve"> </w:t>
      </w:r>
      <w:r w:rsidRPr="00F20EB1">
        <w:rPr>
          <w:iCs/>
        </w:rPr>
        <w:t>Breast Cancer Research and Treatment</w:t>
      </w:r>
      <w:r w:rsidR="00F20EB1">
        <w:t>, in press.</w:t>
      </w:r>
    </w:p>
    <w:p w14:paraId="4392532F" w14:textId="0BAA8EB3" w:rsidR="00DE0042" w:rsidRDefault="00DE0042" w:rsidP="00DE0042">
      <w:pPr>
        <w:pStyle w:val="BodyText"/>
      </w:pPr>
      <w:r>
        <w:t xml:space="preserve">Ciatto, S. and M. Zappa (1993). "A prospective study of the value of mammographic patterns as indicators of breast cancer risk in a screening experience." European </w:t>
      </w:r>
      <w:r w:rsidR="00FB1D11">
        <w:t>J</w:t>
      </w:r>
      <w:r>
        <w:t xml:space="preserve">ournal of </w:t>
      </w:r>
      <w:r w:rsidR="00FB1D11">
        <w:t>R</w:t>
      </w:r>
      <w:r>
        <w:t>adiology 17(2): 122-125.</w:t>
      </w:r>
    </w:p>
    <w:p w14:paraId="40FBA1DC" w14:textId="55A772E5" w:rsidR="001627A8" w:rsidRDefault="001627A8" w:rsidP="00DE0042">
      <w:pPr>
        <w:pStyle w:val="BodyText"/>
      </w:pPr>
      <w:r>
        <w:lastRenderedPageBreak/>
        <w:t xml:space="preserve">Colin, C., V. Prince and P.J. Valette (2013). “Can mammographic assessments lead to </w:t>
      </w:r>
      <w:r w:rsidR="003264D8">
        <w:t>consider density as a risk factor for breast cancer?” European Journal of Radiology 82: 404-411.</w:t>
      </w:r>
    </w:p>
    <w:p w14:paraId="3572BA5C" w14:textId="1D790BDB" w:rsidR="00D57B9B" w:rsidRPr="003A73F5" w:rsidRDefault="00D57B9B" w:rsidP="00F20EB1">
      <w:pPr>
        <w:pStyle w:val="BodyText"/>
        <w:jc w:val="left"/>
      </w:pPr>
      <w:r w:rsidRPr="003A73F5">
        <w:t>Coop, P</w:t>
      </w:r>
      <w:r w:rsidR="00F20EB1">
        <w:t>.</w:t>
      </w:r>
      <w:r w:rsidRPr="003A73F5">
        <w:t xml:space="preserve">, </w:t>
      </w:r>
      <w:r w:rsidR="00F20EB1">
        <w:t xml:space="preserve">A. </w:t>
      </w:r>
      <w:r w:rsidRPr="003A73F5">
        <w:t>Cowling</w:t>
      </w:r>
      <w:r w:rsidR="00F20EB1">
        <w:t>, and</w:t>
      </w:r>
      <w:r>
        <w:t xml:space="preserve"> </w:t>
      </w:r>
      <w:r w:rsidR="00F20EB1">
        <w:t>B.</w:t>
      </w:r>
      <w:r>
        <w:t xml:space="preserve"> </w:t>
      </w:r>
      <w:r w:rsidRPr="003A73F5">
        <w:t xml:space="preserve">Lawson </w:t>
      </w:r>
      <w:r w:rsidR="00F20EB1">
        <w:t>(2016). “</w:t>
      </w:r>
      <w:r w:rsidRPr="003A73F5">
        <w:t>Tomosynthesis as a Screening Tool for Breast Cancer: A Systematic Review.</w:t>
      </w:r>
      <w:r w:rsidR="00F20EB1">
        <w:t>”</w:t>
      </w:r>
      <w:r w:rsidRPr="003A73F5">
        <w:t xml:space="preserve"> </w:t>
      </w:r>
      <w:r w:rsidRPr="00F20EB1">
        <w:rPr>
          <w:iCs/>
        </w:rPr>
        <w:t>Radiography</w:t>
      </w:r>
      <w:r w:rsidRPr="00F20EB1">
        <w:t xml:space="preserve"> </w:t>
      </w:r>
      <w:r w:rsidRPr="003A73F5">
        <w:t>22</w:t>
      </w:r>
      <w:r w:rsidR="00F20EB1">
        <w:t xml:space="preserve">(3): </w:t>
      </w:r>
      <w:r w:rsidRPr="003A73F5">
        <w:t xml:space="preserve">e190–95. </w:t>
      </w:r>
    </w:p>
    <w:p w14:paraId="5F8E0086" w14:textId="7EF38547" w:rsidR="00DE0042" w:rsidRDefault="00DE0042" w:rsidP="00DE0042">
      <w:pPr>
        <w:pStyle w:val="BodyText"/>
      </w:pPr>
      <w:r>
        <w:t>De Stavola, B., I. Gravelle, D. Wang, D. Allen, R. Bulbrook, I. Fentiman, J. Hayward and M. Chaudary (1990). "Relationship of mammographic parenchymal patterns with breast cancer risk factors and risk of breast cancer in a prospective study." International journal of epidemiology 19(2): 247-254.</w:t>
      </w:r>
    </w:p>
    <w:p w14:paraId="5F4CEAA7" w14:textId="5B87CB4D" w:rsidR="00907241" w:rsidRPr="00907241" w:rsidRDefault="00907241" w:rsidP="00DE0042">
      <w:pPr>
        <w:pStyle w:val="BodyText"/>
      </w:pPr>
      <w:bookmarkStart w:id="140" w:name="_Hlk516825380"/>
      <w:r>
        <w:t xml:space="preserve">Destounis, S., Arieno, A., Morgan, R., Roberts, C., &amp; Chan, A. (2017a). Qualitative versus quantitative mammographic breast density assessment: Applications for the US and abroad. </w:t>
      </w:r>
      <w:r>
        <w:rPr>
          <w:i/>
        </w:rPr>
        <w:t>Diagnostics, 7</w:t>
      </w:r>
      <w:r>
        <w:t>(2), 30-63</w:t>
      </w:r>
    </w:p>
    <w:p w14:paraId="65B6F556" w14:textId="266249C9" w:rsidR="00DE0042" w:rsidRDefault="00DE0042" w:rsidP="00DE0042">
      <w:pPr>
        <w:pStyle w:val="BodyText"/>
      </w:pPr>
      <w:bookmarkStart w:id="141" w:name="_Hlk518392135"/>
      <w:bookmarkEnd w:id="140"/>
      <w:r>
        <w:t>Destounis, S., L. Johnston, R. Highnam, A. Arieno, R. Morgan and A. Chan (2017</w:t>
      </w:r>
      <w:r w:rsidR="00907241">
        <w:t>b</w:t>
      </w:r>
      <w:r>
        <w:t>). "Using volumetric breast density to quantify the potential masking risk of mammographic density." American Journal of Roentgenology 208(1): 222-227.</w:t>
      </w:r>
    </w:p>
    <w:bookmarkEnd w:id="141"/>
    <w:p w14:paraId="36EECA38" w14:textId="3318D1C7" w:rsidR="00DE0042" w:rsidRDefault="00DE0042" w:rsidP="00DE0042">
      <w:pPr>
        <w:pStyle w:val="BodyText"/>
      </w:pPr>
      <w:r>
        <w:t xml:space="preserve">Devolli-Disha, E., S. Manxhuka-Kërliu, H. Ymeri and A. Kutllovci (2009). "Comparative accuracy of mammography and ultrasound in women with breast symptoms according to age and breast density." Bosnian </w:t>
      </w:r>
      <w:r w:rsidR="00132A55">
        <w:t>J</w:t>
      </w:r>
      <w:r>
        <w:t xml:space="preserve">ournal of </w:t>
      </w:r>
      <w:r w:rsidR="00132A55">
        <w:t>B</w:t>
      </w:r>
      <w:r>
        <w:t xml:space="preserve">asic </w:t>
      </w:r>
      <w:r w:rsidR="00132A55">
        <w:t>M</w:t>
      </w:r>
      <w:r>
        <w:t xml:space="preserve">edical </w:t>
      </w:r>
      <w:r w:rsidR="00132A55">
        <w:t>S</w:t>
      </w:r>
      <w:r>
        <w:t>ciences 9(2): 131.</w:t>
      </w:r>
    </w:p>
    <w:p w14:paraId="01D0A85B" w14:textId="77777777" w:rsidR="00DE0042" w:rsidRDefault="00DE0042" w:rsidP="00DE0042">
      <w:pPr>
        <w:pStyle w:val="BodyText"/>
      </w:pPr>
      <w:r>
        <w:t>Duffy, S. W., O. W. Morrish, P. C. Allgood, R. Black, M. G. Gillan, P. Willsher, J. Cooke, K. A. Duncan, M. J. Michell and H. M. Dobson (2018). "Mammographic density and breast cancer risk in breast screening assessment cases and women with a family history of breast cancer." European Journal of Cancer 88: 48-56.</w:t>
      </w:r>
    </w:p>
    <w:p w14:paraId="3CD74EA6" w14:textId="2B5727E4" w:rsidR="00DE0042" w:rsidRDefault="00DE0042" w:rsidP="00DE0042">
      <w:pPr>
        <w:pStyle w:val="BodyText"/>
      </w:pPr>
      <w:r>
        <w:t xml:space="preserve">Ellsworth, R., D. Decewicz, C. Shriver and D. Ellsworth (2010). "Breast cancer in the personal genomics era." Current </w:t>
      </w:r>
      <w:r w:rsidR="00132A55">
        <w:t>G</w:t>
      </w:r>
      <w:r>
        <w:t>enomics 11(3): 146-161.</w:t>
      </w:r>
    </w:p>
    <w:p w14:paraId="3E69089E" w14:textId="50F875B9" w:rsidR="002958F3" w:rsidRDefault="002958F3" w:rsidP="00522F1A">
      <w:pPr>
        <w:spacing w:before="120" w:after="120" w:line="280" w:lineRule="exact"/>
      </w:pPr>
      <w:r>
        <w:t xml:space="preserve">Eng, A., </w:t>
      </w:r>
      <w:r w:rsidR="00132A55">
        <w:t xml:space="preserve">A. </w:t>
      </w:r>
      <w:r>
        <w:t xml:space="preserve">Gallant, </w:t>
      </w:r>
      <w:r w:rsidR="00132A55">
        <w:t>J.</w:t>
      </w:r>
      <w:r>
        <w:t xml:space="preserve"> Shepherd, </w:t>
      </w:r>
      <w:r w:rsidR="00132A55">
        <w:t>V.</w:t>
      </w:r>
      <w:r>
        <w:t xml:space="preserve"> McCormack, </w:t>
      </w:r>
      <w:r w:rsidR="00132A55">
        <w:t>J.</w:t>
      </w:r>
      <w:r>
        <w:t xml:space="preserve"> Li, </w:t>
      </w:r>
      <w:r w:rsidR="00132A55">
        <w:t>M.</w:t>
      </w:r>
      <w:r>
        <w:t xml:space="preserve"> Dowsett</w:t>
      </w:r>
      <w:r w:rsidR="00132A55">
        <w:t xml:space="preserve"> </w:t>
      </w:r>
      <w:r>
        <w:t xml:space="preserve">… </w:t>
      </w:r>
      <w:r w:rsidR="00132A55">
        <w:t xml:space="preserve">I. </w:t>
      </w:r>
      <w:r>
        <w:t xml:space="preserve">dos-Santos-Silva (2014). </w:t>
      </w:r>
      <w:r w:rsidR="00132A55">
        <w:t>“</w:t>
      </w:r>
      <w:r>
        <w:t>Digital mammographic density and breast cancer risk: a case–control study of six alternative density assessment methods.</w:t>
      </w:r>
      <w:r w:rsidR="00132A55">
        <w:t>”</w:t>
      </w:r>
      <w:r>
        <w:t xml:space="preserve"> </w:t>
      </w:r>
      <w:r w:rsidRPr="00132A55">
        <w:rPr>
          <w:iCs/>
        </w:rPr>
        <w:t>Breast Cancer Research</w:t>
      </w:r>
      <w:r w:rsidRPr="00132A55">
        <w:t xml:space="preserve"> </w:t>
      </w:r>
      <w:r w:rsidRPr="00132A55">
        <w:rPr>
          <w:iCs/>
        </w:rPr>
        <w:t>16</w:t>
      </w:r>
      <w:r>
        <w:t>(5)</w:t>
      </w:r>
      <w:r w:rsidR="00132A55">
        <w:t>: 439-451.</w:t>
      </w:r>
    </w:p>
    <w:p w14:paraId="2AF11ADD" w14:textId="77777777" w:rsidR="00DE0042" w:rsidRDefault="00DE0042" w:rsidP="00DE0042">
      <w:pPr>
        <w:pStyle w:val="BodyText"/>
      </w:pPr>
      <w:r>
        <w:t>Freer, P. E. (2015). "Mammographic breast density: impact on breast cancer risk and implications for screening." Radiographics 35(2): 302-315.</w:t>
      </w:r>
    </w:p>
    <w:p w14:paraId="7EA0519E" w14:textId="6F52796C" w:rsidR="00DE0042" w:rsidRDefault="00DE0042" w:rsidP="00DE0042">
      <w:pPr>
        <w:pStyle w:val="BodyText"/>
      </w:pPr>
      <w:r>
        <w:t xml:space="preserve">Gartlehner, G., K. J. Thaler, A. Chapman, A. Kaminski, D. Berzaczy, M. G. Van Noord and T. H. Helbich (2013). "Adjunct ultrasonography for breast cancer screening in women at average risk: a systematic review." International </w:t>
      </w:r>
      <w:r w:rsidR="00132A55">
        <w:t>J</w:t>
      </w:r>
      <w:r>
        <w:t xml:space="preserve">ournal of </w:t>
      </w:r>
      <w:r w:rsidR="00132A55">
        <w:t>E</w:t>
      </w:r>
      <w:r>
        <w:t>vidence-</w:t>
      </w:r>
      <w:r w:rsidR="00132A55">
        <w:t>B</w:t>
      </w:r>
      <w:r>
        <w:t xml:space="preserve">ased </w:t>
      </w:r>
      <w:r w:rsidR="00132A55">
        <w:t>H</w:t>
      </w:r>
      <w:r>
        <w:t>ealthcare 11(2): 87-93.</w:t>
      </w:r>
    </w:p>
    <w:p w14:paraId="77E21D68" w14:textId="5409497A" w:rsidR="00A253C6" w:rsidRPr="00A253C6" w:rsidRDefault="00A253C6" w:rsidP="00A253C6">
      <w:pPr>
        <w:pStyle w:val="BodyText"/>
      </w:pPr>
      <w:r w:rsidRPr="00A253C6">
        <w:t>Gartlehner, G., Thaler, K., Chapman, A., Kaminski-Hartenthaler, A., &amp; Berzaczy, D. (2012). Mammography in combination with breast ultrasonography versus mammography for breast cancer screening in women at average risk. Cochrane Database</w:t>
      </w:r>
      <w:r w:rsidR="00B536B6">
        <w:t xml:space="preserve"> of</w:t>
      </w:r>
      <w:r w:rsidRPr="00A253C6">
        <w:t xml:space="preserve"> Syst</w:t>
      </w:r>
      <w:r w:rsidR="00B536B6">
        <w:t>ematic</w:t>
      </w:r>
      <w:r w:rsidRPr="00A253C6">
        <w:t xml:space="preserve"> Rev</w:t>
      </w:r>
      <w:r w:rsidR="00B536B6">
        <w:t>iews</w:t>
      </w:r>
      <w:r w:rsidRPr="00A253C6">
        <w:t> 30</w:t>
      </w:r>
      <w:r w:rsidR="00B536B6">
        <w:t>(4).</w:t>
      </w:r>
    </w:p>
    <w:p w14:paraId="67682996" w14:textId="5F771EB6" w:rsidR="00DE0042" w:rsidRDefault="00DE0042" w:rsidP="00DE0042">
      <w:pPr>
        <w:pStyle w:val="BodyText"/>
      </w:pPr>
      <w:r>
        <w:t>Gierach, G. L., L. Ichikawa, K. Kerlikowske, L. A. Brinton, G. N. Farhat, P. M. Vacek, D. L. Weaver, C. Schairer, S. H. Taplin and M. E. Sherman (2012). "Relationship between mammographic density and breast cancer death in the Breast Cancer Surveillance Consortium." Journal of the National Cancer Institute 104(16): 1218-1227.</w:t>
      </w:r>
    </w:p>
    <w:p w14:paraId="22103DD4" w14:textId="3AE974F0" w:rsidR="00DE0042" w:rsidRDefault="00DE0042" w:rsidP="00DE0042">
      <w:pPr>
        <w:pStyle w:val="BodyText"/>
      </w:pPr>
      <w:r>
        <w:t xml:space="preserve">Gram, I. T., Y. Bremnes, G. Ursin, G. Maskarinec, N. Bjurstam and E. Lund (2005). "Percentage density, Wolfe's and </w:t>
      </w:r>
      <w:r w:rsidR="00B02676">
        <w:t>Tabár</w:t>
      </w:r>
      <w:r>
        <w:t>'s mammographic patterns: agreement and association with risk factors for breast cancer." Breast Cancer Research 7(5): R854.</w:t>
      </w:r>
    </w:p>
    <w:p w14:paraId="421547F6" w14:textId="3E3FEA83" w:rsidR="00845B0A" w:rsidRDefault="00845B0A" w:rsidP="00522F1A">
      <w:pPr>
        <w:spacing w:before="120" w:after="120" w:line="280" w:lineRule="exact"/>
      </w:pPr>
      <w:r>
        <w:lastRenderedPageBreak/>
        <w:t xml:space="preserve">Habel, L. A., </w:t>
      </w:r>
      <w:r w:rsidR="00B536B6">
        <w:t xml:space="preserve">J. A. </w:t>
      </w:r>
      <w:r>
        <w:t xml:space="preserve">Lipson, </w:t>
      </w:r>
      <w:r w:rsidR="00B536B6">
        <w:t>N.</w:t>
      </w:r>
      <w:r>
        <w:t xml:space="preserve"> Achacoso, </w:t>
      </w:r>
      <w:r w:rsidR="00B536B6">
        <w:t>J. H.</w:t>
      </w:r>
      <w:r>
        <w:t xml:space="preserve"> Rothstein</w:t>
      </w:r>
      <w:r w:rsidR="00B536B6">
        <w:t>, M. J.</w:t>
      </w:r>
      <w:r>
        <w:t xml:space="preserve"> Yaffe, </w:t>
      </w:r>
      <w:r w:rsidR="00B536B6">
        <w:t xml:space="preserve">R. Y. </w:t>
      </w:r>
      <w:r>
        <w:t>Liang</w:t>
      </w:r>
      <w:r w:rsidR="00B536B6">
        <w:t xml:space="preserve"> </w:t>
      </w:r>
      <w:r>
        <w:t xml:space="preserve">… </w:t>
      </w:r>
      <w:r w:rsidR="00B536B6">
        <w:t xml:space="preserve">W. </w:t>
      </w:r>
      <w:r>
        <w:t xml:space="preserve">Sieh (2016). </w:t>
      </w:r>
      <w:r w:rsidR="00CF6C78">
        <w:t>“</w:t>
      </w:r>
      <w:r>
        <w:t>Case-control study of mammographic density and breast cancer risk using processed digital mammograms.</w:t>
      </w:r>
      <w:r w:rsidR="00CF6C78">
        <w:t>”</w:t>
      </w:r>
      <w:r>
        <w:t xml:space="preserve"> </w:t>
      </w:r>
      <w:r w:rsidRPr="00CF6C78">
        <w:rPr>
          <w:iCs/>
        </w:rPr>
        <w:t>Breast Cancer Research</w:t>
      </w:r>
      <w:r w:rsidRPr="00CF6C78">
        <w:t xml:space="preserve"> </w:t>
      </w:r>
      <w:r w:rsidRPr="00CF6C78">
        <w:rPr>
          <w:iCs/>
        </w:rPr>
        <w:t>18</w:t>
      </w:r>
      <w:r>
        <w:t>(1)</w:t>
      </w:r>
      <w:r w:rsidR="00CF6C78">
        <w:t xml:space="preserve">: 53-60 </w:t>
      </w:r>
    </w:p>
    <w:p w14:paraId="6420BBCA" w14:textId="6A27E4F6" w:rsidR="00DE0042" w:rsidRDefault="00DE0042" w:rsidP="00DE0042">
      <w:pPr>
        <w:pStyle w:val="BodyText"/>
      </w:pPr>
      <w:r>
        <w:t xml:space="preserve">He, W., A. Juette, E. R. Denton, A. Oliver, R. Martí and R. Zwiggelaar (2015). "A review on automatic mammographic density and parenchymal segmentation." International </w:t>
      </w:r>
      <w:r w:rsidR="002970D2">
        <w:t>J</w:t>
      </w:r>
      <w:r>
        <w:t xml:space="preserve">ournal of </w:t>
      </w:r>
      <w:r w:rsidR="002970D2">
        <w:t>B</w:t>
      </w:r>
      <w:r>
        <w:t xml:space="preserve">reast </w:t>
      </w:r>
      <w:r w:rsidR="002970D2">
        <w:t>C</w:t>
      </w:r>
      <w:r>
        <w:t>ancer 2015.</w:t>
      </w:r>
    </w:p>
    <w:p w14:paraId="033D7002" w14:textId="77777777" w:rsidR="00F566A7" w:rsidRPr="00257966" w:rsidRDefault="00F566A7" w:rsidP="00F566A7">
      <w:pPr>
        <w:pStyle w:val="BodyText"/>
      </w:pPr>
      <w:r w:rsidRPr="00257966">
        <w:t xml:space="preserve">Hendrick, R. E. (2010). "Radiation doses and cancer risks from breast imaging studies." </w:t>
      </w:r>
      <w:r w:rsidRPr="00F566A7">
        <w:t>Radiology</w:t>
      </w:r>
      <w:r w:rsidRPr="00257966">
        <w:t xml:space="preserve"> </w:t>
      </w:r>
      <w:r w:rsidRPr="00F566A7">
        <w:t>257</w:t>
      </w:r>
      <w:r w:rsidRPr="00257966">
        <w:t>(1): 246-253.</w:t>
      </w:r>
    </w:p>
    <w:p w14:paraId="56D1230D" w14:textId="77777777" w:rsidR="00DE0042" w:rsidRDefault="00DE0042" w:rsidP="00DE0042">
      <w:pPr>
        <w:pStyle w:val="BodyText"/>
      </w:pPr>
      <w:r>
        <w:t>Ho, W. and P. Lam (2003). "Clinical performance of computer-assisted detection (CAD) system in detecting carcinoma in breasts of different densities." Clinical Radiology 58(2): 133-136.</w:t>
      </w:r>
    </w:p>
    <w:p w14:paraId="303A8E6D" w14:textId="24C0CE46" w:rsidR="00DE0042" w:rsidRDefault="00DE0042" w:rsidP="00DE0042">
      <w:pPr>
        <w:pStyle w:val="BodyText"/>
      </w:pPr>
      <w:r>
        <w:t xml:space="preserve">Holbrook, A. and M. S. Newel (2015). "Alternative screening for women with dense breasts: breast-specific gamma imaging (molecular breast imaging)." American </w:t>
      </w:r>
      <w:r w:rsidR="002D636C">
        <w:t>J</w:t>
      </w:r>
      <w:r>
        <w:t xml:space="preserve">ournal of </w:t>
      </w:r>
      <w:r w:rsidR="002D636C">
        <w:t>R</w:t>
      </w:r>
      <w:r>
        <w:t>oentgenology 204(2): 252-256.</w:t>
      </w:r>
    </w:p>
    <w:p w14:paraId="5176CA3B" w14:textId="15DBED4A" w:rsidR="00DE0042" w:rsidRDefault="00DE0042" w:rsidP="00DE0042">
      <w:pPr>
        <w:pStyle w:val="BodyText"/>
      </w:pPr>
      <w:r>
        <w:t xml:space="preserve">Holland, K., C. H. van Gils, R. M. Mann and N. Karssemeijer (2017). "Quantification of masking risk in screening mammography with volumetric breast density maps." Breast </w:t>
      </w:r>
      <w:r w:rsidR="002D636C">
        <w:t>C</w:t>
      </w:r>
      <w:r>
        <w:t xml:space="preserve">ancer </w:t>
      </w:r>
      <w:r w:rsidR="002D636C">
        <w:t>R</w:t>
      </w:r>
      <w:r>
        <w:t xml:space="preserve">esearch and </w:t>
      </w:r>
      <w:r w:rsidR="002D636C">
        <w:t>T</w:t>
      </w:r>
      <w:r>
        <w:t>reatment 162(3): 541-548.</w:t>
      </w:r>
    </w:p>
    <w:p w14:paraId="55392315" w14:textId="55F68B5E" w:rsidR="00DE0042" w:rsidRDefault="00DE0042" w:rsidP="00DE0042">
      <w:pPr>
        <w:pStyle w:val="BodyText"/>
      </w:pPr>
      <w:bookmarkStart w:id="142" w:name="_Hlk518390736"/>
      <w:r>
        <w:t xml:space="preserve">Hooley, R. J. (2017). "Breast Density Legislation and Clinical Evidence." Radiologic </w:t>
      </w:r>
      <w:r w:rsidR="002D636C">
        <w:t>C</w:t>
      </w:r>
      <w:r>
        <w:t>linics of North America 55(3): 513-526.</w:t>
      </w:r>
    </w:p>
    <w:bookmarkEnd w:id="142"/>
    <w:p w14:paraId="0C03BAD1" w14:textId="77777777" w:rsidR="00DE0042" w:rsidRDefault="00DE0042" w:rsidP="00DE0042">
      <w:pPr>
        <w:pStyle w:val="BodyText"/>
      </w:pPr>
      <w:r>
        <w:t>Houssami, N. and R. M. Turner (2016). "Rapid review: estimates of incremental breast cancer detection from tomosynthesis (3D-mammography) screening in women with dense breasts." The Breast 30: 141-145.</w:t>
      </w:r>
    </w:p>
    <w:p w14:paraId="0622A3C5" w14:textId="40C10443" w:rsidR="00DE0042" w:rsidRDefault="00DE0042" w:rsidP="00DE0042">
      <w:pPr>
        <w:pStyle w:val="BodyText"/>
      </w:pPr>
      <w:r>
        <w:t xml:space="preserve">Hruska, C. B. (2017). "Molecular Breast Imaging for Screening in Dense Breasts: State of the Art and Future Directions." American </w:t>
      </w:r>
      <w:r w:rsidR="002D636C">
        <w:t>J</w:t>
      </w:r>
      <w:r>
        <w:t xml:space="preserve">ournal of </w:t>
      </w:r>
      <w:r w:rsidR="002D636C">
        <w:t>R</w:t>
      </w:r>
      <w:r>
        <w:t>oentgenology 208(2): 275-283.</w:t>
      </w:r>
    </w:p>
    <w:p w14:paraId="79F166BF" w14:textId="79654417" w:rsidR="00DE0042" w:rsidRDefault="00DE0042" w:rsidP="00DE0042">
      <w:pPr>
        <w:pStyle w:val="BodyText"/>
      </w:pPr>
      <w:r>
        <w:t xml:space="preserve">Hubbard, R. A., K. Kerlikowske, C. I. Flowers, B. C. Yankaskas, W. Zhu and D. L. Miglioretti (2011). "Cumulative probability of false-positive recall or biopsy recommendation after 10 years of screening mammography: a cohort study." Annals of </w:t>
      </w:r>
      <w:r w:rsidR="002D636C">
        <w:t>I</w:t>
      </w:r>
      <w:r>
        <w:t xml:space="preserve">nternal </w:t>
      </w:r>
      <w:r w:rsidR="002D636C">
        <w:t>M</w:t>
      </w:r>
      <w:r>
        <w:t>edicine 155(8): 481-492.</w:t>
      </w:r>
    </w:p>
    <w:p w14:paraId="3CFFB7B4" w14:textId="1320F18F" w:rsidR="00DE0042" w:rsidRDefault="00DE0042" w:rsidP="00DE0042">
      <w:pPr>
        <w:pStyle w:val="BodyText"/>
      </w:pPr>
      <w:r>
        <w:t xml:space="preserve">Huo, C., G. Chew, K. Britt, W. Ingman, M. Henderson, J. Hopper and E. Thompson (2014). "Mammographic density—a review on the current understanding of its association with breast cancer." Breast </w:t>
      </w:r>
      <w:r w:rsidR="002D636C">
        <w:t>C</w:t>
      </w:r>
      <w:r>
        <w:t xml:space="preserve">ancer </w:t>
      </w:r>
      <w:r w:rsidR="002D636C">
        <w:t>R</w:t>
      </w:r>
      <w:r>
        <w:t xml:space="preserve">esearch and </w:t>
      </w:r>
      <w:r w:rsidR="002D636C">
        <w:t>T</w:t>
      </w:r>
      <w:r>
        <w:t>reatment 144(3): 479-502.</w:t>
      </w:r>
    </w:p>
    <w:p w14:paraId="39375A38" w14:textId="11A27CAB" w:rsidR="00AB36B8" w:rsidRDefault="00AB36B8" w:rsidP="00DE0042">
      <w:pPr>
        <w:pStyle w:val="BodyText"/>
      </w:pPr>
      <w:proofErr w:type="gramStart"/>
      <w:r>
        <w:t>iCAD</w:t>
      </w:r>
      <w:proofErr w:type="gramEnd"/>
      <w:r>
        <w:t xml:space="preserve"> (2018). "iReveal." from http://www.icadmed.com/icad-announces-launch-of-ireveal-breast-density-analysis-solution.html.</w:t>
      </w:r>
    </w:p>
    <w:p w14:paraId="1B8CEA6A" w14:textId="7D4A222D" w:rsidR="00DE0042" w:rsidRDefault="00DE0042" w:rsidP="00DE0042">
      <w:pPr>
        <w:pStyle w:val="BodyText"/>
      </w:pPr>
      <w:r>
        <w:t xml:space="preserve">Jalalian, A., S. B. Mashohor, H. R. Mahmud, M. I. B. Saripan, A. R. B. Ramli and B. Karasfi (2013). "Computer-aided detection/diagnosis of breast cancer in mammography and ultrasound: a review." Clinical </w:t>
      </w:r>
      <w:r w:rsidR="00D87260">
        <w:t>I</w:t>
      </w:r>
      <w:r>
        <w:t>maging 37(3): 420-426.</w:t>
      </w:r>
    </w:p>
    <w:p w14:paraId="478B6241" w14:textId="0B90D2CF" w:rsidR="000D1AF3" w:rsidRDefault="000D1AF3" w:rsidP="00522F1A">
      <w:pPr>
        <w:spacing w:before="120" w:after="120" w:line="280" w:lineRule="exact"/>
        <w:jc w:val="both"/>
      </w:pPr>
      <w:r>
        <w:t xml:space="preserve">Jeffers, A. M., </w:t>
      </w:r>
      <w:r w:rsidR="00D87260">
        <w:t xml:space="preserve">W. </w:t>
      </w:r>
      <w:r>
        <w:t xml:space="preserve">Sieh, </w:t>
      </w:r>
      <w:r w:rsidR="00D87260">
        <w:t>J. A.</w:t>
      </w:r>
      <w:r>
        <w:t xml:space="preserve"> Lipson, </w:t>
      </w:r>
      <w:r w:rsidR="00D87260">
        <w:t>J. H.</w:t>
      </w:r>
      <w:r>
        <w:t xml:space="preserve"> Rothstein, </w:t>
      </w:r>
      <w:r w:rsidR="00D87260">
        <w:t>V.</w:t>
      </w:r>
      <w:r>
        <w:t xml:space="preserve"> McGuire, </w:t>
      </w:r>
      <w:r w:rsidR="00D87260">
        <w:t xml:space="preserve">A. S. </w:t>
      </w:r>
      <w:r>
        <w:t>Whittemore</w:t>
      </w:r>
      <w:r w:rsidR="00D87260">
        <w:t xml:space="preserve"> and D. L.</w:t>
      </w:r>
      <w:r w:rsidR="00072B47">
        <w:t xml:space="preserve"> </w:t>
      </w:r>
      <w:r>
        <w:t xml:space="preserve">Rubin (2017). </w:t>
      </w:r>
      <w:r w:rsidR="00072B47">
        <w:t>“</w:t>
      </w:r>
      <w:r>
        <w:t xml:space="preserve">Breast Cancer Risk and Mammographic Density Assessed with Semiautomated and Fully Automated Methods and </w:t>
      </w:r>
      <w:r w:rsidR="00275D65">
        <w:t>BIRADS</w:t>
      </w:r>
      <w:r>
        <w:t>.</w:t>
      </w:r>
      <w:r w:rsidR="00072B47">
        <w:t>”</w:t>
      </w:r>
      <w:r>
        <w:t xml:space="preserve"> </w:t>
      </w:r>
      <w:r w:rsidRPr="00072B47">
        <w:rPr>
          <w:iCs/>
        </w:rPr>
        <w:t>Radiology</w:t>
      </w:r>
      <w:r w:rsidRPr="00072B47">
        <w:t xml:space="preserve"> </w:t>
      </w:r>
      <w:r w:rsidRPr="00072B47">
        <w:rPr>
          <w:iCs/>
        </w:rPr>
        <w:t>282</w:t>
      </w:r>
      <w:r w:rsidRPr="00072B47">
        <w:t>(</w:t>
      </w:r>
      <w:r>
        <w:t>2)</w:t>
      </w:r>
      <w:r w:rsidR="00072B47">
        <w:t>:</w:t>
      </w:r>
      <w:r>
        <w:t xml:space="preserve"> 348–355. </w:t>
      </w:r>
    </w:p>
    <w:p w14:paraId="0809B6B5" w14:textId="77777777" w:rsidR="00DE0042" w:rsidRDefault="00DE0042" w:rsidP="00DE0042">
      <w:pPr>
        <w:pStyle w:val="BodyText"/>
      </w:pPr>
      <w:r>
        <w:t>Kataoka, M., A. Antoniou, R. Warren, J. Leyland, J. Brown, T. Audley and D. Easton (2009). "Genetic models for the familial aggregation of mammographic breast density." Cancer Epidemiology and Prevention Biomarkers 18(4): 1277-1284.</w:t>
      </w:r>
    </w:p>
    <w:p w14:paraId="77B2FB31" w14:textId="77777777" w:rsidR="00DE0042" w:rsidRDefault="00DE0042" w:rsidP="00DE0042">
      <w:pPr>
        <w:pStyle w:val="BodyText"/>
      </w:pPr>
      <w:r>
        <w:lastRenderedPageBreak/>
        <w:t>Kavanagh, A. M., G. B. Byrnes, C. Nickson, J. N. Cawson, G. G. Giles, J. L. Hopper, D. M. Gertig and D. R. English (2008). "Using mammographic density to improve breast cancer screening outcomes." Cancer Epidemiology and Prevention Biomarkers 17(10): 2818-2824.</w:t>
      </w:r>
    </w:p>
    <w:p w14:paraId="285B84E8" w14:textId="337C06AF" w:rsidR="00DE0042" w:rsidRDefault="00DE0042" w:rsidP="00DE0042">
      <w:pPr>
        <w:pStyle w:val="BodyText"/>
      </w:pPr>
      <w:bookmarkStart w:id="143" w:name="_Hlk518392072"/>
      <w:r>
        <w:t xml:space="preserve">Kerlikowske, K., R. A. Hubbard, D. L. Miglioretti, B. M. Geller, B. C. Yankaskas, C. D. Lehman, S. H. Taplin and E. A. Sickles (2011). "Comparative effectiveness of digital versus film-screen mammography in community practice in the United States: a cohort study." Annals of </w:t>
      </w:r>
      <w:r w:rsidR="00C65035">
        <w:t>I</w:t>
      </w:r>
      <w:r>
        <w:t xml:space="preserve">nternal </w:t>
      </w:r>
      <w:r w:rsidR="00C65035">
        <w:t>M</w:t>
      </w:r>
      <w:r>
        <w:t>edicine 155(8): 493-502.</w:t>
      </w:r>
    </w:p>
    <w:bookmarkEnd w:id="143"/>
    <w:p w14:paraId="4B84E2C3" w14:textId="36125542" w:rsidR="008C462F" w:rsidRDefault="008C462F" w:rsidP="00522F1A">
      <w:pPr>
        <w:spacing w:before="120" w:after="120" w:line="280" w:lineRule="exact"/>
        <w:jc w:val="both"/>
      </w:pPr>
      <w:r>
        <w:t xml:space="preserve">Kerlikowske, K., </w:t>
      </w:r>
      <w:r w:rsidR="00C65035">
        <w:t xml:space="preserve">L. </w:t>
      </w:r>
      <w:r>
        <w:t xml:space="preserve">Ma, </w:t>
      </w:r>
      <w:r w:rsidR="00C65035">
        <w:t>C. G.</w:t>
      </w:r>
      <w:r>
        <w:t xml:space="preserve"> Scott, </w:t>
      </w:r>
      <w:r w:rsidR="00C65035">
        <w:t xml:space="preserve">A. P. </w:t>
      </w:r>
      <w:r>
        <w:t xml:space="preserve">Mahmoudzadeh, </w:t>
      </w:r>
      <w:r w:rsidR="00C65035">
        <w:t>M.</w:t>
      </w:r>
      <w:r>
        <w:t xml:space="preserve"> Jensen, </w:t>
      </w:r>
      <w:r w:rsidR="00C65035">
        <w:t>B. L.</w:t>
      </w:r>
      <w:r>
        <w:t xml:space="preserve"> Sprague</w:t>
      </w:r>
      <w:r w:rsidR="00C65035">
        <w:t xml:space="preserve"> </w:t>
      </w:r>
      <w:r>
        <w:t xml:space="preserve">… </w:t>
      </w:r>
      <w:r w:rsidR="00C65035">
        <w:t xml:space="preserve">J. A. </w:t>
      </w:r>
      <w:r>
        <w:t xml:space="preserve">Shepherd (2017). </w:t>
      </w:r>
      <w:r w:rsidR="00C65035">
        <w:t>“</w:t>
      </w:r>
      <w:r>
        <w:t>Combining quantitative and qualitative breast density measures to assess breast cancer risk.</w:t>
      </w:r>
      <w:r w:rsidR="00C65035">
        <w:t>”</w:t>
      </w:r>
      <w:r>
        <w:t xml:space="preserve"> </w:t>
      </w:r>
      <w:r w:rsidRPr="00C65035">
        <w:rPr>
          <w:iCs/>
        </w:rPr>
        <w:t>Breast Cancer Research</w:t>
      </w:r>
      <w:r w:rsidRPr="00C65035">
        <w:t xml:space="preserve"> </w:t>
      </w:r>
      <w:r w:rsidRPr="00C65035">
        <w:rPr>
          <w:iCs/>
        </w:rPr>
        <w:t>19</w:t>
      </w:r>
      <w:r>
        <w:t>(1)</w:t>
      </w:r>
      <w:r w:rsidR="00C65035">
        <w:t xml:space="preserve">: 97-106. </w:t>
      </w:r>
    </w:p>
    <w:p w14:paraId="4ECC2E14" w14:textId="00B88663" w:rsidR="00CD47D4" w:rsidRDefault="00CD47D4" w:rsidP="00CD47D4">
      <w:pPr>
        <w:pStyle w:val="EndNoteBibliography"/>
        <w:spacing w:after="0"/>
      </w:pPr>
      <w:r w:rsidRPr="00C87EF8">
        <w:t xml:space="preserve">Kerlikowske, K., W. Zhu, A. N. Tosteson, B. L. Sprague, J. A. Tice, C. D. Lehman and D. L. Miglioretti (2015). "Identifying women with dense breasts at high risk for interval cancer: a cohort study." </w:t>
      </w:r>
      <w:r w:rsidRPr="00CD47D4">
        <w:t xml:space="preserve">Annals of </w:t>
      </w:r>
      <w:r w:rsidR="00C65035">
        <w:t>I</w:t>
      </w:r>
      <w:r w:rsidRPr="00CD47D4">
        <w:t xml:space="preserve">nternal </w:t>
      </w:r>
      <w:r w:rsidR="00C65035">
        <w:t>M</w:t>
      </w:r>
      <w:r w:rsidRPr="00CD47D4">
        <w:t>edicine</w:t>
      </w:r>
      <w:r w:rsidRPr="00C87EF8">
        <w:t xml:space="preserve"> </w:t>
      </w:r>
      <w:r w:rsidRPr="00C65035">
        <w:t>162</w:t>
      </w:r>
      <w:r w:rsidRPr="00C87EF8">
        <w:t>(10): 673-681.</w:t>
      </w:r>
    </w:p>
    <w:p w14:paraId="5A0686BB" w14:textId="13680249" w:rsidR="00DE0042" w:rsidRDefault="00DE0042" w:rsidP="00DE0042">
      <w:pPr>
        <w:pStyle w:val="BodyText"/>
      </w:pPr>
      <w:r>
        <w:t>Kim, B.-K., Y.</w:t>
      </w:r>
      <w:r w:rsidR="00C65035">
        <w:t xml:space="preserve"> </w:t>
      </w:r>
      <w:r>
        <w:t xml:space="preserve">H. Choi, T. L. Nguyen, S. J. Nam, J. E. Lee, J. L. Hopper, J. Sung and Y.-M. Song (2015). "Mammographic density and risk of breast cancer in Korean women." European </w:t>
      </w:r>
      <w:r w:rsidR="00C65035">
        <w:t>J</w:t>
      </w:r>
      <w:r>
        <w:t xml:space="preserve">ournal of </w:t>
      </w:r>
      <w:r w:rsidR="00C65035">
        <w:t>C</w:t>
      </w:r>
      <w:r>
        <w:t xml:space="preserve">ancer </w:t>
      </w:r>
      <w:r w:rsidR="00C65035">
        <w:t>P</w:t>
      </w:r>
      <w:r>
        <w:t>revention 24(5): 422-429.</w:t>
      </w:r>
    </w:p>
    <w:p w14:paraId="476B9497" w14:textId="77777777" w:rsidR="00DE0042" w:rsidRDefault="00DE0042" w:rsidP="00DE0042">
      <w:pPr>
        <w:pStyle w:val="BodyText"/>
      </w:pPr>
      <w:r>
        <w:t>Kolb, T. M., J. Lichy and J. H. Newhouse (2002). "Comparison of the performance of screening mammography, physical examination, and breast US and evaluation of factors that influence them: an analysis of 27,825 patient evaluations." Radiology 225(1): 165-175.</w:t>
      </w:r>
    </w:p>
    <w:p w14:paraId="05304AD6" w14:textId="77777777" w:rsidR="00DE0042" w:rsidRDefault="00DE0042" w:rsidP="00DE0042">
      <w:pPr>
        <w:pStyle w:val="BodyText"/>
      </w:pPr>
      <w:r>
        <w:t>Kotsuma, Y., Y. Tamaki, T. Nishimura, M. Tsubai, S. Ueda, K. Shimazu, S. J. Kim, Y. Miyoshi, Y. Tanji and T. Taguchi (2008). "Quantitative assessment of mammographic density and breast cancer risk for Japanese women." The Breast 17(1): 27-35.</w:t>
      </w:r>
    </w:p>
    <w:p w14:paraId="28B3AF63" w14:textId="05C18617" w:rsidR="00DE0042" w:rsidRDefault="00DE0042" w:rsidP="00DE0042">
      <w:pPr>
        <w:pStyle w:val="BodyText"/>
      </w:pPr>
      <w:r>
        <w:t>Kressin, N. R., C. M. Gunn and T. A. Battaglia (2016). "Content, readability, and understandability of dense breast notifications by state." J</w:t>
      </w:r>
      <w:r w:rsidR="00C65035">
        <w:t>ournal of the American Medical Association</w:t>
      </w:r>
      <w:r>
        <w:t xml:space="preserve"> 315(16): 1786-1788.</w:t>
      </w:r>
    </w:p>
    <w:p w14:paraId="105C32EC" w14:textId="35414446" w:rsidR="00DE0042" w:rsidRDefault="00DE0042" w:rsidP="00DE0042">
      <w:pPr>
        <w:pStyle w:val="BodyText"/>
      </w:pPr>
      <w:r>
        <w:t xml:space="preserve">Kriege, M., C. T. Brekelmans, I. M. Obdeijn, C. Boetes, H. M. Zonderland, S. H. Muller, T. Kok, R. A. Manoliu, A. P. E. Besnard and M. M. Tilanus-Linthorst (2006). "Factors affecting sensitivity and specificity of screening mammography and MRI in women with an inherited risk for breast cancer." Breast </w:t>
      </w:r>
      <w:r w:rsidR="00C65035">
        <w:t>C</w:t>
      </w:r>
      <w:r>
        <w:t xml:space="preserve">ancer </w:t>
      </w:r>
      <w:r w:rsidR="00C65035">
        <w:t>R</w:t>
      </w:r>
      <w:r>
        <w:t xml:space="preserve">esearch and </w:t>
      </w:r>
      <w:r w:rsidR="00C65035">
        <w:t>T</w:t>
      </w:r>
      <w:r>
        <w:t>reatment 100(1): 109-119.</w:t>
      </w:r>
    </w:p>
    <w:p w14:paraId="63237273" w14:textId="4D840932" w:rsidR="00712513" w:rsidRDefault="00712513" w:rsidP="00522F1A">
      <w:pPr>
        <w:spacing w:before="120" w:after="120" w:line="280" w:lineRule="exact"/>
      </w:pPr>
      <w:r>
        <w:t xml:space="preserve">Krishnan, K., </w:t>
      </w:r>
      <w:r w:rsidR="00C65035">
        <w:t xml:space="preserve">L. </w:t>
      </w:r>
      <w:r>
        <w:t xml:space="preserve">Baglietto, </w:t>
      </w:r>
      <w:r w:rsidR="00C65035">
        <w:t>C.</w:t>
      </w:r>
      <w:r>
        <w:t xml:space="preserve"> Apicella, </w:t>
      </w:r>
      <w:r w:rsidR="00C65035">
        <w:t>J.</w:t>
      </w:r>
      <w:r>
        <w:t xml:space="preserve"> Stone, </w:t>
      </w:r>
      <w:r w:rsidR="00C65035">
        <w:t>M. C.</w:t>
      </w:r>
      <w:r>
        <w:t xml:space="preserve"> Southey, </w:t>
      </w:r>
      <w:r w:rsidR="00C65035">
        <w:t>D. R.</w:t>
      </w:r>
      <w:r>
        <w:t xml:space="preserve"> English</w:t>
      </w:r>
      <w:r w:rsidR="00C65035">
        <w:t xml:space="preserve"> </w:t>
      </w:r>
      <w:r>
        <w:t xml:space="preserve">… </w:t>
      </w:r>
      <w:r w:rsidR="00C65035">
        <w:t xml:space="preserve">J. L. </w:t>
      </w:r>
      <w:r>
        <w:t xml:space="preserve">Hopper (2016). </w:t>
      </w:r>
      <w:r w:rsidR="00C65035">
        <w:t>“</w:t>
      </w:r>
      <w:r>
        <w:t>Mammographic density and risk of breast cancer by mode of detection and tumor size: a case-control study.</w:t>
      </w:r>
      <w:r w:rsidR="00C65035">
        <w:t>”</w:t>
      </w:r>
      <w:r>
        <w:t xml:space="preserve"> </w:t>
      </w:r>
      <w:r w:rsidRPr="00C65035">
        <w:rPr>
          <w:iCs/>
        </w:rPr>
        <w:t>Breast Cancer Research</w:t>
      </w:r>
      <w:r w:rsidRPr="00C65035">
        <w:t xml:space="preserve"> </w:t>
      </w:r>
      <w:r w:rsidRPr="00C65035">
        <w:rPr>
          <w:iCs/>
        </w:rPr>
        <w:t>18</w:t>
      </w:r>
      <w:r w:rsidRPr="00C65035">
        <w:t>(</w:t>
      </w:r>
      <w:r>
        <w:t>1)</w:t>
      </w:r>
      <w:r w:rsidR="00C65035">
        <w:t>: 63-76</w:t>
      </w:r>
    </w:p>
    <w:p w14:paraId="3C1A45ED" w14:textId="77777777" w:rsidR="00DE0042" w:rsidRDefault="00DE0042" w:rsidP="00DE0042">
      <w:pPr>
        <w:pStyle w:val="BodyText"/>
      </w:pPr>
      <w:r>
        <w:t>Kuhl, C. K., S. Schrading, K. Strobel, H. H. Schild, R.-D. Hilgers and H. B. Bieling (2014). "Abbreviated breast magnetic resonance imaging (MRI): first postcontrast subtracted images and maximum-intensity projection—a novel approach to breast cancer screening with MRI." Journal of Clinical Oncology 32(22): 2304-2310.</w:t>
      </w:r>
    </w:p>
    <w:p w14:paraId="4244BAD3" w14:textId="3F148A48" w:rsidR="00D57B9B" w:rsidRPr="003A73F5" w:rsidRDefault="00D57B9B" w:rsidP="00D57B9B">
      <w:pPr>
        <w:pStyle w:val="BodyText"/>
      </w:pPr>
      <w:r w:rsidRPr="003A73F5">
        <w:t>L</w:t>
      </w:r>
      <w:r>
        <w:t>å</w:t>
      </w:r>
      <w:r w:rsidRPr="003A73F5">
        <w:t xml:space="preserve">ng K., </w:t>
      </w:r>
      <w:r w:rsidR="006C44A6">
        <w:t xml:space="preserve">I. </w:t>
      </w:r>
      <w:r w:rsidRPr="006C44A6">
        <w:t>Andersson</w:t>
      </w:r>
      <w:r w:rsidR="006C44A6">
        <w:t>, A.</w:t>
      </w:r>
      <w:r w:rsidRPr="003A73F5">
        <w:t xml:space="preserve"> Rosso</w:t>
      </w:r>
      <w:r w:rsidR="006C44A6">
        <w:t xml:space="preserve">, A. </w:t>
      </w:r>
      <w:r w:rsidRPr="003A73F5">
        <w:t>Tingberg,</w:t>
      </w:r>
      <w:r w:rsidR="006C44A6">
        <w:t xml:space="preserve"> P.</w:t>
      </w:r>
      <w:r w:rsidRPr="003A73F5">
        <w:t xml:space="preserve"> Timberg and </w:t>
      </w:r>
      <w:r w:rsidR="006C44A6">
        <w:t xml:space="preserve">S. </w:t>
      </w:r>
      <w:r w:rsidRPr="003A73F5">
        <w:t xml:space="preserve">Zackrisson </w:t>
      </w:r>
      <w:r w:rsidR="006C44A6">
        <w:t>“</w:t>
      </w:r>
      <w:r w:rsidRPr="003A73F5">
        <w:t>Performance of One-View Breast Tomosynthesis as a Stand-Alone Breast Cancer Screening Modality: Results from the Malmo Breast Tomosynthesis Screening Trial, a Population-Based Study.</w:t>
      </w:r>
      <w:r w:rsidR="006C44A6">
        <w:t>”</w:t>
      </w:r>
      <w:r w:rsidRPr="003A73F5">
        <w:t xml:space="preserve"> </w:t>
      </w:r>
      <w:r w:rsidRPr="006C44A6">
        <w:rPr>
          <w:iCs/>
        </w:rPr>
        <w:t>European Radiology</w:t>
      </w:r>
      <w:r w:rsidRPr="006C44A6">
        <w:t xml:space="preserve"> 26</w:t>
      </w:r>
      <w:r w:rsidR="006C44A6">
        <w:t>(1):</w:t>
      </w:r>
      <w:r w:rsidRPr="003A73F5">
        <w:t xml:space="preserve"> 184–90.</w:t>
      </w:r>
    </w:p>
    <w:p w14:paraId="56F965CB" w14:textId="1558A4FC" w:rsidR="00DE0042" w:rsidRDefault="00DE0042" w:rsidP="00DE0042">
      <w:pPr>
        <w:pStyle w:val="BodyText"/>
      </w:pPr>
      <w:r>
        <w:lastRenderedPageBreak/>
        <w:t xml:space="preserve">Lee, C. P. L., H. Choi, K. C. Soo, M.-H. Tan, W. Y. Chay, K. S. Chia, J. Liu, J. Li and M. Hartman (2015). "Mammographic breast density and common genetic variants in breast cancer risk prediction." PloS </w:t>
      </w:r>
      <w:r w:rsidR="00AE3248">
        <w:t>O</w:t>
      </w:r>
      <w:r>
        <w:t>ne 10(9): e0136650.</w:t>
      </w:r>
    </w:p>
    <w:p w14:paraId="38C30EA3" w14:textId="77777777" w:rsidR="00AB36B8" w:rsidRDefault="00AB36B8" w:rsidP="00DE0042">
      <w:pPr>
        <w:pStyle w:val="BodyText"/>
      </w:pPr>
      <w:r>
        <w:t>Leong, L. C., A. Gogna, R. Pant, F. C. Ng and L. S. Sim (2012). "Supplementary breast ultrasound screening in Asian women with negative but dense mammograms—a pilot study." Annals of the Academy of Medicine-Singapore 41(10): 432.</w:t>
      </w:r>
    </w:p>
    <w:p w14:paraId="2E1560A7" w14:textId="0E43E5AF" w:rsidR="00DE0042" w:rsidRDefault="00DE0042" w:rsidP="00DE0042">
      <w:pPr>
        <w:pStyle w:val="BodyText"/>
      </w:pPr>
      <w:r>
        <w:t xml:space="preserve">Lindström, S., C. M. Vachon, J. Li, J. Varghese, D. Thompson, R. Warren, J. Brown, J. Leyland, T. Audley and N. J. Wareham (2011). "Common variants in ZNF365 are associated with both mammographic density and breast cancer risk." Nature </w:t>
      </w:r>
      <w:r w:rsidR="00EC0CBF">
        <w:t>G</w:t>
      </w:r>
      <w:r>
        <w:t>enetics 43(3): 185.</w:t>
      </w:r>
    </w:p>
    <w:p w14:paraId="0529AD8E" w14:textId="0F8EC558" w:rsidR="00DE0042" w:rsidRDefault="00DE0042" w:rsidP="00DE0042">
      <w:pPr>
        <w:pStyle w:val="BodyText"/>
      </w:pPr>
      <w:r>
        <w:t xml:space="preserve">Lokate, M., P. H. Peeters, L. M. Peelen, G. Haars, W. B. Veldhuis and C. H. van Gils (2011). "Mammographic density and breast cancer risk: the role of the fat surrounding the fibroglandular tissue." Breast </w:t>
      </w:r>
      <w:r w:rsidR="00EC0CBF">
        <w:t>C</w:t>
      </w:r>
      <w:r>
        <w:t xml:space="preserve">ancer </w:t>
      </w:r>
      <w:r w:rsidR="00EC0CBF">
        <w:t>R</w:t>
      </w:r>
      <w:r>
        <w:t>esearch 13(5): R103.</w:t>
      </w:r>
    </w:p>
    <w:p w14:paraId="2AF3CD9F" w14:textId="608FACD9" w:rsidR="00DE0042" w:rsidRDefault="00DE0042" w:rsidP="00DE0042">
      <w:pPr>
        <w:pStyle w:val="BodyText"/>
      </w:pPr>
      <w:bookmarkStart w:id="144" w:name="_Hlk518392168"/>
      <w:r>
        <w:t xml:space="preserve">Lourenco, A. P. and M. B. Mainiero (2016). "Incorporating Imaging </w:t>
      </w:r>
      <w:proofErr w:type="gramStart"/>
      <w:r>
        <w:t>Into</w:t>
      </w:r>
      <w:proofErr w:type="gramEnd"/>
      <w:r>
        <w:t xml:space="preserve"> the Locoregional Management of Breast Cancer." Seminars in </w:t>
      </w:r>
      <w:r w:rsidR="00EC0CBF">
        <w:t>R</w:t>
      </w:r>
      <w:r>
        <w:t xml:space="preserve">adiation </w:t>
      </w:r>
      <w:r w:rsidR="00EC0CBF">
        <w:t>O</w:t>
      </w:r>
      <w:r>
        <w:t>ncology 26(1): 17-24.</w:t>
      </w:r>
    </w:p>
    <w:bookmarkEnd w:id="144"/>
    <w:p w14:paraId="6624069B" w14:textId="30066970" w:rsidR="00DE0042" w:rsidRDefault="00DE0042" w:rsidP="00DE0042">
      <w:pPr>
        <w:pStyle w:val="BodyText"/>
      </w:pPr>
      <w:r>
        <w:t xml:space="preserve">Lucas, N. P., P. Macaskill, L. Irwig and N. Bogduk (2010). "The development of a quality appraisal tool for studies of diagnostic reliability (QAREL)." Journal of </w:t>
      </w:r>
      <w:r w:rsidR="00EC0CBF">
        <w:t>C</w:t>
      </w:r>
      <w:r>
        <w:t xml:space="preserve">linical </w:t>
      </w:r>
      <w:r w:rsidR="00EC0CBF">
        <w:t>E</w:t>
      </w:r>
      <w:r>
        <w:t>pidemiology 63(8): 854-861.</w:t>
      </w:r>
    </w:p>
    <w:p w14:paraId="0F1E4AD8" w14:textId="7F7C4BAF" w:rsidR="00DE0042" w:rsidRDefault="00DE0042" w:rsidP="00DE0042">
      <w:pPr>
        <w:pStyle w:val="BodyText"/>
      </w:pPr>
      <w:bookmarkStart w:id="145" w:name="_Hlk518392380"/>
      <w:r>
        <w:t>Manning, M., T. L. Albrecht, Z. Yilmaz-Saab, J. Shultz and K. Purrington (2016). "Influences of race and breast density on related cognitive and emotion outcomes before mandated breast density notification." Social Science &amp; Medicine 169: 171-179.</w:t>
      </w:r>
    </w:p>
    <w:p w14:paraId="5E706DE9" w14:textId="0107C775" w:rsidR="005F5938" w:rsidRDefault="005F5938" w:rsidP="00DE0042">
      <w:pPr>
        <w:pStyle w:val="BodyText"/>
      </w:pPr>
      <w:r>
        <w:t xml:space="preserve">Manning, M., T. L. Albrecht, Z. Yilmaz-Saab, L. Penner, A. Norman and K. Purrington (2017). “Explaining between-race differences in African-American and European-American women’s responses to breast density notification.” Social Science &amp; Medicine 195: 149-158. </w:t>
      </w:r>
    </w:p>
    <w:bookmarkEnd w:id="145"/>
    <w:p w14:paraId="665D240C" w14:textId="706DE9CD" w:rsidR="00E82D90" w:rsidRDefault="00E82D90" w:rsidP="00E82D90">
      <w:pPr>
        <w:spacing w:before="120" w:after="120" w:line="280" w:lineRule="exact"/>
      </w:pPr>
      <w:r>
        <w:t xml:space="preserve">Masala, G., </w:t>
      </w:r>
      <w:r w:rsidR="005F5938">
        <w:t xml:space="preserve">D. </w:t>
      </w:r>
      <w:r>
        <w:t xml:space="preserve">Ambrogetti, </w:t>
      </w:r>
      <w:r w:rsidR="005F5938">
        <w:t xml:space="preserve">M. </w:t>
      </w:r>
      <w:r>
        <w:t xml:space="preserve">Assedi, </w:t>
      </w:r>
      <w:r w:rsidR="005F5938">
        <w:t xml:space="preserve">B. </w:t>
      </w:r>
      <w:r>
        <w:t xml:space="preserve">Bendinelli, </w:t>
      </w:r>
      <w:r w:rsidR="005F5938">
        <w:t xml:space="preserve">S. </w:t>
      </w:r>
      <w:r>
        <w:t xml:space="preserve">Caini </w:t>
      </w:r>
      <w:r w:rsidR="005F5938">
        <w:t xml:space="preserve">and D. </w:t>
      </w:r>
      <w:r>
        <w:t>Palli</w:t>
      </w:r>
      <w:r w:rsidR="005F5938">
        <w:t xml:space="preserve"> </w:t>
      </w:r>
      <w:r>
        <w:t xml:space="preserve">(2017). </w:t>
      </w:r>
      <w:r w:rsidR="005F5938">
        <w:t>“</w:t>
      </w:r>
      <w:r>
        <w:t>Mammographic breast density and breast cancer risk in a Mediterranean population: a nested case–control study in the EPIC Florence cohort.</w:t>
      </w:r>
      <w:r w:rsidR="003517B5">
        <w:t>”</w:t>
      </w:r>
      <w:r>
        <w:t xml:space="preserve"> </w:t>
      </w:r>
      <w:r w:rsidRPr="003517B5">
        <w:rPr>
          <w:iCs/>
        </w:rPr>
        <w:t>Breast Cancer Research and Treatment</w:t>
      </w:r>
      <w:r w:rsidR="00EC0CBF">
        <w:t xml:space="preserve"> </w:t>
      </w:r>
      <w:r w:rsidRPr="003517B5">
        <w:rPr>
          <w:iCs/>
        </w:rPr>
        <w:t>164</w:t>
      </w:r>
      <w:r>
        <w:t>(2)</w:t>
      </w:r>
      <w:r w:rsidR="003517B5">
        <w:t>:</w:t>
      </w:r>
      <w:r>
        <w:t xml:space="preserve"> 467–473. </w:t>
      </w:r>
    </w:p>
    <w:p w14:paraId="774185A5" w14:textId="43AF5C1A" w:rsidR="006C26F3" w:rsidRDefault="006C26F3" w:rsidP="00522F1A">
      <w:pPr>
        <w:spacing w:before="120" w:after="120" w:line="280" w:lineRule="exact"/>
      </w:pPr>
      <w:r>
        <w:t xml:space="preserve">Maskarinec, G., </w:t>
      </w:r>
      <w:r w:rsidR="003517B5">
        <w:t xml:space="preserve">L. </w:t>
      </w:r>
      <w:r>
        <w:t>Dartois,</w:t>
      </w:r>
      <w:r w:rsidR="003517B5">
        <w:t xml:space="preserve"> S.</w:t>
      </w:r>
      <w:r>
        <w:t xml:space="preserve"> Delaloge,</w:t>
      </w:r>
      <w:r w:rsidR="003517B5">
        <w:t xml:space="preserve"> J.</w:t>
      </w:r>
      <w:r>
        <w:t xml:space="preserve"> Hopper,</w:t>
      </w:r>
      <w:r w:rsidR="003517B5">
        <w:t xml:space="preserve"> F.</w:t>
      </w:r>
      <w:r>
        <w:t xml:space="preserve"> Clavel-Chapelon</w:t>
      </w:r>
      <w:r w:rsidR="003517B5">
        <w:t xml:space="preserve"> and</w:t>
      </w:r>
      <w:r>
        <w:t xml:space="preserve"> </w:t>
      </w:r>
      <w:r w:rsidR="003517B5">
        <w:t>L.</w:t>
      </w:r>
      <w:r>
        <w:t xml:space="preserve"> Baglietto</w:t>
      </w:r>
      <w:r w:rsidR="003517B5">
        <w:t xml:space="preserve"> </w:t>
      </w:r>
      <w:r>
        <w:t xml:space="preserve">(2017). </w:t>
      </w:r>
      <w:r w:rsidR="003517B5">
        <w:t>“</w:t>
      </w:r>
      <w:r>
        <w:t>Tumor characteristics and family history in relation to mammographic density and breast cancer: The French E3N cohort.</w:t>
      </w:r>
      <w:r w:rsidR="003517B5">
        <w:t>”</w:t>
      </w:r>
      <w:r>
        <w:t xml:space="preserve"> </w:t>
      </w:r>
      <w:r w:rsidRPr="003517B5">
        <w:rPr>
          <w:iCs/>
        </w:rPr>
        <w:t>Cancer Epidemiology</w:t>
      </w:r>
      <w:r w:rsidRPr="003517B5">
        <w:t xml:space="preserve"> </w:t>
      </w:r>
      <w:r w:rsidRPr="003517B5">
        <w:rPr>
          <w:iCs/>
        </w:rPr>
        <w:t>49</w:t>
      </w:r>
      <w:r w:rsidR="003517B5">
        <w:t>:</w:t>
      </w:r>
      <w:r>
        <w:t xml:space="preserve"> 156–160. </w:t>
      </w:r>
    </w:p>
    <w:p w14:paraId="1829EE7A" w14:textId="77777777" w:rsidR="00DE0042" w:rsidRDefault="00DE0042" w:rsidP="00DE0042">
      <w:pPr>
        <w:pStyle w:val="BodyText"/>
      </w:pPr>
      <w:r>
        <w:t>McCormack, V. A. and I. dos Santos Silva (2006). "Breast density and parenchymal patterns as markers of breast cancer risk: a meta-analysis." Cancer Epidemiology and Prevention Biomarkers 15(6): 1159-1169.</w:t>
      </w:r>
    </w:p>
    <w:p w14:paraId="1BAE8607" w14:textId="30B75998" w:rsidR="00DE0042" w:rsidRDefault="00DE0042" w:rsidP="00DE0042">
      <w:pPr>
        <w:pStyle w:val="BodyText"/>
      </w:pPr>
      <w:r>
        <w:t xml:space="preserve">Melnikow, J., J. J. Fenton, E. P. Whitlock, D. L. Miglioretti, M. S. Weyrich, J. H. Thompson and K. Shah (2016). "Supplemental Screening for Breast Cancer in Women </w:t>
      </w:r>
      <w:proofErr w:type="gramStart"/>
      <w:r>
        <w:t>With</w:t>
      </w:r>
      <w:proofErr w:type="gramEnd"/>
      <w:r>
        <w:t xml:space="preserve"> Dense Breasts: A Systematic Review for the U.S. Preventive Services Task Force." Annals of </w:t>
      </w:r>
      <w:r w:rsidR="00EC0CBF">
        <w:t>I</w:t>
      </w:r>
      <w:r>
        <w:t xml:space="preserve">nternal </w:t>
      </w:r>
      <w:r w:rsidR="00EC0CBF">
        <w:t>M</w:t>
      </w:r>
      <w:r>
        <w:t>edicine 164(4): 268-278.</w:t>
      </w:r>
    </w:p>
    <w:p w14:paraId="11588DDE" w14:textId="11042652" w:rsidR="00DE0042" w:rsidRDefault="00DE0042" w:rsidP="00DE0042">
      <w:pPr>
        <w:pStyle w:val="BodyText"/>
      </w:pPr>
      <w:r>
        <w:t xml:space="preserve">Moothathu, N. S., L. E. Philpotts, S. H. Busch, C. P. Gross, L. H. Staib and R. J. Hooley (2017). "Knowledge of Density and Screening Ultrasound." The </w:t>
      </w:r>
      <w:r w:rsidR="00EC0CBF">
        <w:t>B</w:t>
      </w:r>
      <w:r>
        <w:t xml:space="preserve">reast </w:t>
      </w:r>
      <w:r w:rsidR="00EC0CBF">
        <w:t>J</w:t>
      </w:r>
      <w:r>
        <w:t>ournal 23(3): 323-332.</w:t>
      </w:r>
    </w:p>
    <w:p w14:paraId="0D473087" w14:textId="6FB5399D" w:rsidR="00DE0042" w:rsidRDefault="00DE0042" w:rsidP="00DE0042">
      <w:pPr>
        <w:pStyle w:val="BodyText"/>
      </w:pPr>
      <w:r>
        <w:t xml:space="preserve">Mousa, D. A., E. Ryan, C. Mello-Thoms and P. Brennan (2014). "What effect does mammographic breast density have on lesion detection in digital mammography?" Clinical </w:t>
      </w:r>
      <w:r w:rsidR="00EC0CBF">
        <w:t>R</w:t>
      </w:r>
      <w:r>
        <w:t>adiology 69(4): 333-341.</w:t>
      </w:r>
    </w:p>
    <w:p w14:paraId="7F1D6B54" w14:textId="77777777" w:rsidR="00DE0042" w:rsidRDefault="00DE0042" w:rsidP="00DE0042">
      <w:pPr>
        <w:pStyle w:val="BodyText"/>
      </w:pPr>
      <w:r>
        <w:lastRenderedPageBreak/>
        <w:t>Nagao, Y., Y. Kawaguchi, Y. Sugiyama, S. Saji and Y. Kashiki (2003). "Relationship between mammographic density and the risk of breast cancer in Japanese women: a case-control study." Breast Cancer 10(3): 228-233.</w:t>
      </w:r>
    </w:p>
    <w:p w14:paraId="26AB6FE0" w14:textId="623A2B3C" w:rsidR="00DE0042" w:rsidRDefault="00DE0042" w:rsidP="00DE0042">
      <w:pPr>
        <w:pStyle w:val="BodyText"/>
      </w:pPr>
      <w:r>
        <w:t xml:space="preserve">Nagata, C., T. Matsubara, H. Fujita, Y. Nagao, C. Shibuya, Y. Kashiki and H. Shimizu (2005). "Mammographic density and the risk of breast cancer in Japanese women." British </w:t>
      </w:r>
      <w:r w:rsidR="00EC0CBF">
        <w:t>J</w:t>
      </w:r>
      <w:r>
        <w:t xml:space="preserve">ournal of </w:t>
      </w:r>
      <w:r w:rsidR="00EC0CBF">
        <w:t>C</w:t>
      </w:r>
      <w:r>
        <w:t>ancer 92(12): 2102.</w:t>
      </w:r>
    </w:p>
    <w:p w14:paraId="19EFAFAE" w14:textId="77777777" w:rsidR="00703B7E" w:rsidRPr="007444F9" w:rsidRDefault="00703B7E" w:rsidP="00703B7E">
      <w:pPr>
        <w:pStyle w:val="BodyText"/>
      </w:pPr>
      <w:r>
        <w:t xml:space="preserve">National Screening Unit. 2016. </w:t>
      </w:r>
      <w:r>
        <w:rPr>
          <w:i/>
        </w:rPr>
        <w:t>Breast Density Information Sheet</w:t>
      </w:r>
      <w:r>
        <w:t>. Ministry of Health, Wellington.</w:t>
      </w:r>
    </w:p>
    <w:p w14:paraId="1B336EBE" w14:textId="74CF4536" w:rsidR="00DE0042" w:rsidRDefault="00DE0042" w:rsidP="00DE0042">
      <w:pPr>
        <w:pStyle w:val="BodyText"/>
      </w:pPr>
      <w:r>
        <w:t xml:space="preserve">Nelson, H. D., M. Pappas, A. Cantor, J. Griffin, M. Daeges and L. Humphrey (2016). "Harms of Breast Cancer Screening: Systematic Review to Update the 2009 U.S. Preventive Services Task Force Recommendation." Annals of </w:t>
      </w:r>
      <w:r w:rsidR="00EC0CBF">
        <w:t>I</w:t>
      </w:r>
      <w:r>
        <w:t xml:space="preserve">nternal </w:t>
      </w:r>
      <w:r w:rsidR="00EC0CBF">
        <w:t>M</w:t>
      </w:r>
      <w:r>
        <w:t>edicine 164(4): 256-267.</w:t>
      </w:r>
    </w:p>
    <w:p w14:paraId="75DE0CA3" w14:textId="5E515E3E" w:rsidR="00A90558" w:rsidRDefault="00A90558" w:rsidP="00A90558">
      <w:pPr>
        <w:spacing w:before="120" w:after="120" w:line="280" w:lineRule="exact"/>
      </w:pPr>
      <w:r>
        <w:t xml:space="preserve">Nguyen, T. L., </w:t>
      </w:r>
      <w:r w:rsidR="00E77581">
        <w:t xml:space="preserve">Y. K. </w:t>
      </w:r>
      <w:r>
        <w:t xml:space="preserve">Aung, </w:t>
      </w:r>
      <w:r w:rsidR="00E77581">
        <w:t>C. F.</w:t>
      </w:r>
      <w:r>
        <w:t xml:space="preserve"> Evans, </w:t>
      </w:r>
      <w:r w:rsidR="00E77581">
        <w:t>G. S.</w:t>
      </w:r>
      <w:r>
        <w:t xml:space="preserve"> Dite, </w:t>
      </w:r>
      <w:r w:rsidR="00E77581">
        <w:t>J.</w:t>
      </w:r>
      <w:r>
        <w:t xml:space="preserve"> Stone,</w:t>
      </w:r>
      <w:r w:rsidR="00E77581">
        <w:t xml:space="preserve"> R. J.</w:t>
      </w:r>
      <w:r>
        <w:t xml:space="preserve"> MacInnis … </w:t>
      </w:r>
      <w:r w:rsidR="003229C7">
        <w:t xml:space="preserve">J. L. </w:t>
      </w:r>
      <w:r>
        <w:t xml:space="preserve">Hopper (2017). </w:t>
      </w:r>
      <w:r w:rsidR="003229C7">
        <w:t>“</w:t>
      </w:r>
      <w:r>
        <w:t>Mammographic density defined by higher than conventional brightness thresholds better predicts breast cancer risk.</w:t>
      </w:r>
      <w:r w:rsidR="003229C7">
        <w:t>”</w:t>
      </w:r>
      <w:r>
        <w:t xml:space="preserve"> </w:t>
      </w:r>
      <w:r w:rsidRPr="003229C7">
        <w:rPr>
          <w:iCs/>
        </w:rPr>
        <w:t>International Journal of Epidemiology</w:t>
      </w:r>
      <w:r w:rsidRPr="003229C7">
        <w:t xml:space="preserve"> </w:t>
      </w:r>
      <w:r w:rsidRPr="003229C7">
        <w:rPr>
          <w:iCs/>
        </w:rPr>
        <w:t>46</w:t>
      </w:r>
      <w:r w:rsidRPr="003229C7">
        <w:t>(2</w:t>
      </w:r>
      <w:r>
        <w:t xml:space="preserve">), 652–661. </w:t>
      </w:r>
    </w:p>
    <w:p w14:paraId="004068C3" w14:textId="795EC5C9" w:rsidR="00A90558" w:rsidRDefault="00A90558" w:rsidP="00522F1A">
      <w:pPr>
        <w:spacing w:before="120" w:after="120" w:line="280" w:lineRule="exact"/>
      </w:pPr>
      <w:bookmarkStart w:id="146" w:name="_Hlk518395814"/>
      <w:r>
        <w:t xml:space="preserve">Nguyen, T. L., </w:t>
      </w:r>
      <w:r w:rsidR="00BF09A5">
        <w:t xml:space="preserve">Y. K. </w:t>
      </w:r>
      <w:r>
        <w:t xml:space="preserve">Aung, </w:t>
      </w:r>
      <w:r w:rsidR="00BF09A5">
        <w:t xml:space="preserve">C. F. </w:t>
      </w:r>
      <w:r>
        <w:t xml:space="preserve">Evans, </w:t>
      </w:r>
      <w:r w:rsidR="00BF09A5">
        <w:t xml:space="preserve">C. </w:t>
      </w:r>
      <w:r>
        <w:t>Yoon-Ho,</w:t>
      </w:r>
      <w:r w:rsidR="00BF09A5">
        <w:t xml:space="preserve"> M. A.</w:t>
      </w:r>
      <w:r>
        <w:t xml:space="preserve"> Jenkins, </w:t>
      </w:r>
      <w:r w:rsidR="00BF09A5">
        <w:t>J.</w:t>
      </w:r>
      <w:r>
        <w:t xml:space="preserve"> </w:t>
      </w:r>
      <w:proofErr w:type="gramStart"/>
      <w:r>
        <w:t>Sung, …</w:t>
      </w:r>
      <w:proofErr w:type="gramEnd"/>
      <w:r>
        <w:t xml:space="preserve"> </w:t>
      </w:r>
      <w:r w:rsidR="00BF09A5">
        <w:t xml:space="preserve">Y. M. </w:t>
      </w:r>
      <w:r>
        <w:t>Song</w:t>
      </w:r>
      <w:r w:rsidR="00BF09A5">
        <w:t xml:space="preserve"> </w:t>
      </w:r>
      <w:r>
        <w:t xml:space="preserve">(2015). </w:t>
      </w:r>
      <w:r w:rsidR="00BF09A5">
        <w:t>“</w:t>
      </w:r>
      <w:r>
        <w:t>Mammographic density defined by higher than conventional brightness threshold better predicts breast cancer risk for full-field digital mammograms.</w:t>
      </w:r>
      <w:r w:rsidR="00BF09A5">
        <w:t>”</w:t>
      </w:r>
      <w:r>
        <w:t xml:space="preserve"> </w:t>
      </w:r>
      <w:r w:rsidRPr="00BF09A5">
        <w:rPr>
          <w:iCs/>
        </w:rPr>
        <w:t>Breast Cancer Research</w:t>
      </w:r>
      <w:r w:rsidR="00BF09A5">
        <w:t xml:space="preserve"> </w:t>
      </w:r>
      <w:r w:rsidRPr="00BF09A5">
        <w:rPr>
          <w:iCs/>
        </w:rPr>
        <w:t>17</w:t>
      </w:r>
      <w:r w:rsidRPr="00BF09A5">
        <w:t>(1)</w:t>
      </w:r>
      <w:r w:rsidR="00BF09A5">
        <w:t>:</w:t>
      </w:r>
      <w:r>
        <w:t xml:space="preserve"> 142–150. </w:t>
      </w:r>
      <w:bookmarkEnd w:id="146"/>
    </w:p>
    <w:p w14:paraId="1F2C4245" w14:textId="2F5615EE" w:rsidR="00DE0042" w:rsidRDefault="00DE0042" w:rsidP="00DE0042">
      <w:pPr>
        <w:pStyle w:val="BodyText"/>
      </w:pPr>
      <w:r>
        <w:t>Nguyen, T. L., D. F. Schmidt, E. Makalic, G. S. Dite, J. Stone, C. Apicella, M. Bui, R. J. MacInnis, F. Odefrey and J. N. Cawson (2013). "Explaining variance in the cumulus mammographic measures that predict breast cancer risk: a twins and sisters study." Cancer Epidemiology and Prevention Biomarkers</w:t>
      </w:r>
      <w:r w:rsidR="0001171D">
        <w:t xml:space="preserve"> 22(12): 2395-2403.</w:t>
      </w:r>
    </w:p>
    <w:p w14:paraId="7FF72356" w14:textId="3168FD63" w:rsidR="00DE0042" w:rsidRDefault="00DE0042" w:rsidP="00DE0042">
      <w:pPr>
        <w:pStyle w:val="BodyText"/>
      </w:pPr>
      <w:r>
        <w:t xml:space="preserve">O'Flynn, E. A. M., A. E. W. Ledger and N. M. deSouza (2015). "Alternative screening for dense breasts: MRI." American </w:t>
      </w:r>
      <w:r w:rsidR="0001171D">
        <w:t>J</w:t>
      </w:r>
      <w:r>
        <w:t xml:space="preserve">ournal of </w:t>
      </w:r>
      <w:r w:rsidR="0001171D">
        <w:t>R</w:t>
      </w:r>
      <w:r>
        <w:t>oentgenology 204(2): W141-149.</w:t>
      </w:r>
    </w:p>
    <w:p w14:paraId="47138504" w14:textId="3B234F50" w:rsidR="00DE0042" w:rsidRDefault="00DE0042" w:rsidP="00DE0042">
      <w:pPr>
        <w:pStyle w:val="BodyText"/>
      </w:pPr>
      <w:r>
        <w:t xml:space="preserve">Obenauer, S., C. Sohns, C. Werner and E. Grabbe (2006). "Impact of breast density on computer-aided detection in full-field digital mammography." Journal of </w:t>
      </w:r>
      <w:r w:rsidR="0001171D">
        <w:t>D</w:t>
      </w:r>
      <w:r>
        <w:t xml:space="preserve">igital </w:t>
      </w:r>
      <w:r w:rsidR="0001171D">
        <w:t>I</w:t>
      </w:r>
      <w:r>
        <w:t>maging 19(3): 258.</w:t>
      </w:r>
    </w:p>
    <w:p w14:paraId="52E2BE26" w14:textId="54E33F3F" w:rsidR="00AB36B8" w:rsidRDefault="00AB36B8" w:rsidP="00AB36B8">
      <w:pPr>
        <w:pStyle w:val="BodyText"/>
      </w:pPr>
      <w:r>
        <w:t xml:space="preserve">Ohuchi, N., A. Suzuki, T. Sobue, M. Kawai, S. Yamamoto, Y.-F. Zheng, Y. N. Shiono, H. Saito, S. Kuriyama, E. Tohno, T. Endo, A. Fukao, I. Tsuji, T. Yamaguchi, Y. Ohashi, M. Fukuda and T. Ishida </w:t>
      </w:r>
      <w:r w:rsidR="00F7103D">
        <w:t>“</w:t>
      </w:r>
      <w:r>
        <w:t>Sensitivity and specificity of mammography and adjunctive ultrasonography to screen for breast cancer in the Japan Strategic Anti-cancer Randomized Trial (J-START): a randomised controlled trial.</w:t>
      </w:r>
      <w:r w:rsidR="00F7103D">
        <w:t>”</w:t>
      </w:r>
      <w:r>
        <w:t xml:space="preserve"> The Lancet 387(10016): 341-348.</w:t>
      </w:r>
    </w:p>
    <w:p w14:paraId="5FA58D85" w14:textId="1B729676" w:rsidR="00DE0042" w:rsidRDefault="00DE0042" w:rsidP="00DE0042">
      <w:pPr>
        <w:pStyle w:val="BodyText"/>
      </w:pPr>
      <w:r>
        <w:t xml:space="preserve">Olsen, A., K. Bihrmann, M. Jensen, I. Vejborg and E. Lynge (2009). "Breast density and outcome of mammography screening: a cohort study." British </w:t>
      </w:r>
      <w:r w:rsidR="0001171D">
        <w:t>J</w:t>
      </w:r>
      <w:r>
        <w:t xml:space="preserve">ournal of </w:t>
      </w:r>
      <w:r w:rsidR="0001171D">
        <w:t>C</w:t>
      </w:r>
      <w:r>
        <w:t>ancer 100(7): 1205.</w:t>
      </w:r>
    </w:p>
    <w:p w14:paraId="6D331FB9" w14:textId="2FA7D5EE" w:rsidR="00DE0042" w:rsidRDefault="00DE0042" w:rsidP="00DE0042">
      <w:pPr>
        <w:pStyle w:val="BodyText"/>
      </w:pPr>
      <w:r>
        <w:t>Parisky, Y., A. Sardi, R. Hamm, K. Hughes, L. Esserman, S. Rust and K. Callahan (2003). "Efficacy of computerized infrared imaging analysis to evaluate mammographically suspicious lesions." American Journal of Roentgenology 180(1): 263-269.</w:t>
      </w:r>
    </w:p>
    <w:p w14:paraId="54C6DDE2" w14:textId="1072A7B6" w:rsidR="005566DF" w:rsidRDefault="005566DF" w:rsidP="00522F1A">
      <w:pPr>
        <w:spacing w:before="120" w:after="120" w:line="280" w:lineRule="exact"/>
      </w:pPr>
      <w:r>
        <w:t xml:space="preserve">Park, B., </w:t>
      </w:r>
      <w:r w:rsidR="00E22F48">
        <w:t xml:space="preserve">H. M. </w:t>
      </w:r>
      <w:r>
        <w:t xml:space="preserve">Cho, </w:t>
      </w:r>
      <w:r w:rsidR="00E22F48">
        <w:t xml:space="preserve">E. H. </w:t>
      </w:r>
      <w:r>
        <w:t xml:space="preserve">Lee, </w:t>
      </w:r>
      <w:r w:rsidR="00E22F48">
        <w:t xml:space="preserve">S. </w:t>
      </w:r>
      <w:r>
        <w:t xml:space="preserve">Song, </w:t>
      </w:r>
      <w:r w:rsidR="00E22F48">
        <w:t>M.</w:t>
      </w:r>
      <w:r>
        <w:t xml:space="preserve"> Suh, </w:t>
      </w:r>
      <w:r w:rsidR="00C3181D">
        <w:t>K. S.</w:t>
      </w:r>
      <w:r>
        <w:t xml:space="preserve"> Choi</w:t>
      </w:r>
      <w:r w:rsidR="00C3181D">
        <w:t xml:space="preserve"> </w:t>
      </w:r>
      <w:r>
        <w:t xml:space="preserve">… </w:t>
      </w:r>
      <w:r w:rsidR="00C3181D">
        <w:t xml:space="preserve">J. K. </w:t>
      </w:r>
      <w:r>
        <w:t xml:space="preserve">Jun (2018). </w:t>
      </w:r>
      <w:r w:rsidR="00C3181D">
        <w:t>“</w:t>
      </w:r>
      <w:r>
        <w:t>Does breast density measured through population-based screening independently increase breast cancer risk in Asian females?</w:t>
      </w:r>
      <w:r w:rsidR="00C3181D">
        <w:t>”</w:t>
      </w:r>
      <w:r>
        <w:t xml:space="preserve"> </w:t>
      </w:r>
      <w:r w:rsidRPr="00C3181D">
        <w:rPr>
          <w:iCs/>
        </w:rPr>
        <w:t>Clinical Epidemiology 10</w:t>
      </w:r>
      <w:r w:rsidR="00C3181D" w:rsidRPr="00C3181D">
        <w:t>:</w:t>
      </w:r>
      <w:r>
        <w:t xml:space="preserve"> 61–70. </w:t>
      </w:r>
    </w:p>
    <w:p w14:paraId="5D54F870" w14:textId="42CD5FFD" w:rsidR="00DE0042" w:rsidRDefault="00DE0042" w:rsidP="00DE0042">
      <w:pPr>
        <w:pStyle w:val="BodyText"/>
      </w:pPr>
      <w:r>
        <w:t xml:space="preserve">Park, I. H., K. </w:t>
      </w:r>
      <w:proofErr w:type="gramStart"/>
      <w:r>
        <w:t>Ko</w:t>
      </w:r>
      <w:proofErr w:type="gramEnd"/>
      <w:r>
        <w:t xml:space="preserve">, J. Joo, B. Park, S.-Y. Jung, S. Lee, Y. Kwon, H.-S. Kang, E. S. Lee and K. S. Lee (2014). "High volumetric breast density predicts risk for breast cancer in postmenopausal, but not premenopausal, Korean women." Annals of </w:t>
      </w:r>
      <w:r w:rsidR="00C3181D">
        <w:t>S</w:t>
      </w:r>
      <w:r>
        <w:t xml:space="preserve">urgical </w:t>
      </w:r>
      <w:r w:rsidR="00C3181D">
        <w:t>O</w:t>
      </w:r>
      <w:r>
        <w:t>ncology 21(13): 4124-4132.</w:t>
      </w:r>
    </w:p>
    <w:p w14:paraId="1FCBC0D3" w14:textId="795680C3" w:rsidR="00DE0042" w:rsidRDefault="00DE0042" w:rsidP="00DE0042">
      <w:pPr>
        <w:pStyle w:val="BodyText"/>
      </w:pPr>
      <w:r>
        <w:lastRenderedPageBreak/>
        <w:t xml:space="preserve">Passaperuma, K., E. Warner, K. A. Hill, A. Gunasekara and M. J. Yaffe (2010). "Is mammographic breast density a breast cancer risk factor in women with BRCA mutations?" Journal of </w:t>
      </w:r>
      <w:r w:rsidR="00C3181D">
        <w:t>C</w:t>
      </w:r>
      <w:r>
        <w:t>linical Oncology 28(23): 3779-3783.</w:t>
      </w:r>
    </w:p>
    <w:p w14:paraId="66B113D9" w14:textId="46A863E8" w:rsidR="00DE0042" w:rsidRDefault="00DE0042" w:rsidP="00DE0042">
      <w:pPr>
        <w:pStyle w:val="BodyText"/>
      </w:pPr>
      <w:r>
        <w:t xml:space="preserve">Patterson, S. K. and M. A. Roubidoux (2014). "Update on new technologies in digital mammography." International </w:t>
      </w:r>
      <w:r w:rsidR="00C3181D">
        <w:t>J</w:t>
      </w:r>
      <w:r>
        <w:t xml:space="preserve">ournal of </w:t>
      </w:r>
      <w:r w:rsidR="00C3181D">
        <w:t>W</w:t>
      </w:r>
      <w:r>
        <w:t xml:space="preserve">omen's </w:t>
      </w:r>
      <w:r w:rsidR="00C3181D">
        <w:t>H</w:t>
      </w:r>
      <w:r>
        <w:t>ealth 6: 781-788.</w:t>
      </w:r>
    </w:p>
    <w:p w14:paraId="32536AB0" w14:textId="6A74A142" w:rsidR="00DE0042" w:rsidRDefault="00DE0042" w:rsidP="00DE0042">
      <w:pPr>
        <w:pStyle w:val="BodyText"/>
      </w:pPr>
      <w:r>
        <w:t xml:space="preserve">Pereira, S. M. P., V. A. McCormack, S. M. Moss and I. dos Santos Silva (2009). "The spatial distribution of radiodense breast tissue: a longitudinal study." Breast </w:t>
      </w:r>
      <w:r w:rsidR="00C3181D">
        <w:t>C</w:t>
      </w:r>
      <w:r>
        <w:t xml:space="preserve">ancer </w:t>
      </w:r>
      <w:r w:rsidR="00C3181D">
        <w:t>R</w:t>
      </w:r>
      <w:r>
        <w:t>esearch 11(3): R33.</w:t>
      </w:r>
    </w:p>
    <w:p w14:paraId="4530A945" w14:textId="77777777" w:rsidR="00DE0042" w:rsidRDefault="00DE0042" w:rsidP="00DE0042">
      <w:pPr>
        <w:pStyle w:val="BodyText"/>
      </w:pPr>
      <w:r>
        <w:t>Pettersson, A., R. E. Graff, G. Ursin, I. dos Santos Silva, V. McCormack, L. Baglietto, C. Vachon, M. F. Bakker, G. G. Giles and K. S. Chia (2014). "Mammographic density phenotypes and risk of breast cancer: a meta-analysis." JNCI: Journal of the National Cancer Institute 106(5).</w:t>
      </w:r>
    </w:p>
    <w:p w14:paraId="76DA92E8" w14:textId="5E122EAA" w:rsidR="00DE0042" w:rsidRDefault="00DE0042" w:rsidP="00DE0042">
      <w:pPr>
        <w:pStyle w:val="BodyText"/>
      </w:pPr>
      <w:r>
        <w:t>Pike, M. C., M. Krailo, B. Henderson, J. Casagrande and D. Hoel (1983). "Hormonal</w:t>
      </w:r>
      <w:r w:rsidR="00C3181D">
        <w:t xml:space="preserve"> </w:t>
      </w:r>
      <w:r>
        <w:t>risk factors,</w:t>
      </w:r>
      <w:r w:rsidR="00C3181D">
        <w:t xml:space="preserve"> </w:t>
      </w:r>
      <w:r>
        <w:t>breast tissue age</w:t>
      </w:r>
      <w:r w:rsidR="00C3181D">
        <w:t xml:space="preserve"> </w:t>
      </w:r>
      <w:r>
        <w:t>and the age-incidence of breast cancer." Nature 303(5920): 767.</w:t>
      </w:r>
    </w:p>
    <w:p w14:paraId="3A42BC20" w14:textId="77777777" w:rsidR="00DE0042" w:rsidRDefault="00DE0042" w:rsidP="00DE0042">
      <w:pPr>
        <w:pStyle w:val="BodyText"/>
      </w:pPr>
      <w:r>
        <w:t>Pollán, M., N. Ascunce, M. Ederra, A. Murillo, N. Erdozáin, J. E. Alés-Martínez and R. Pastor-Barriuso (2013). "Mammographic density and risk of breast cancer according to tumor characteristics and mode of detection: a Spanish population-based case-control study." Breast Cancer Research 15(1): R9.</w:t>
      </w:r>
    </w:p>
    <w:p w14:paraId="2D37FC8E" w14:textId="77777777" w:rsidR="00DE0042" w:rsidRDefault="00DE0042" w:rsidP="00DE0042">
      <w:pPr>
        <w:pStyle w:val="BodyText"/>
      </w:pPr>
      <w:r>
        <w:t>Rauh, C., C. Hack, L. Häberle, A. Hein, A. Engel, M. Schrauder, P. Fasching, S. Jud, A. Ekici and C. Loehberg (2012). "Percent mammographic density and dense area as risk factors for breast cancer." Geburtshilfe und Frauenheilkunde 72(8): 727.</w:t>
      </w:r>
    </w:p>
    <w:p w14:paraId="57E0A0C3" w14:textId="77777777" w:rsidR="00DE0042" w:rsidRDefault="00DE0042" w:rsidP="00DE0042">
      <w:pPr>
        <w:pStyle w:val="BodyText"/>
      </w:pPr>
      <w:r>
        <w:t>Ravert, P. K. and C. Huffaker (2010). "Breast cancer screening in women: An integrative literature review." Journal of the American Academy of Nurse Practitioners 22(12): 668-673.</w:t>
      </w:r>
    </w:p>
    <w:p w14:paraId="5F843620" w14:textId="77777777" w:rsidR="00DE0042" w:rsidRDefault="00DE0042" w:rsidP="00DE0042">
      <w:pPr>
        <w:pStyle w:val="BodyText"/>
      </w:pPr>
      <w:r>
        <w:t>Ray, K. M., E. R. Price and B. N. Joe (2015). "Breast density legislation: mandatory disclosure to patients, alternative screening, billing, reimbursement." American Journal of Roentgenology 204(2): 257-260.</w:t>
      </w:r>
    </w:p>
    <w:p w14:paraId="6E1D48EE" w14:textId="77777777" w:rsidR="00DE0042" w:rsidRDefault="00DE0042" w:rsidP="00DE0042">
      <w:pPr>
        <w:pStyle w:val="BodyText"/>
      </w:pPr>
      <w:r>
        <w:t>Rhodes, D. J., C. B. Hruska, S. W. Phillips, D. H. Whaley and M. K. O’connor (2011). "Dedicated dual-head gamma imaging for breast cancer screening in women with mammographically dense breasts." Radiology 258(1): 106-118.</w:t>
      </w:r>
    </w:p>
    <w:p w14:paraId="5F3CE0EF" w14:textId="68CAFEF5" w:rsidR="00F566A7" w:rsidRPr="00414675" w:rsidRDefault="00F566A7" w:rsidP="00F566A7">
      <w:pPr>
        <w:pStyle w:val="EndNoteBibliography"/>
        <w:spacing w:after="0"/>
      </w:pPr>
      <w:r w:rsidRPr="00414675">
        <w:t>Rhodes, D. J., C. B. Hruska, A. L. Conners, C. L. Tortorelli, R. W. Maxwell, K. N. Jones, A. Y. Toledano and M. K. O'Connor (2015</w:t>
      </w:r>
      <w:r>
        <w:t>A</w:t>
      </w:r>
      <w:r w:rsidRPr="00414675">
        <w:t xml:space="preserve">). "Journal club: molecular breast imaging at reduced radiation dose for supplemental screening in mammographically dense breasts." </w:t>
      </w:r>
      <w:r w:rsidRPr="00F566A7">
        <w:t>American Journal of Roentgenology</w:t>
      </w:r>
      <w:r w:rsidRPr="00414675">
        <w:t xml:space="preserve"> </w:t>
      </w:r>
      <w:r w:rsidRPr="00C3181D">
        <w:t>204</w:t>
      </w:r>
      <w:r w:rsidRPr="00414675">
        <w:t>(2): 241-251.</w:t>
      </w:r>
    </w:p>
    <w:p w14:paraId="465DDA51" w14:textId="273C4BA0" w:rsidR="00F566A7" w:rsidRDefault="00F566A7" w:rsidP="00F566A7">
      <w:pPr>
        <w:pStyle w:val="BodyText"/>
      </w:pPr>
      <w:r>
        <w:t>Rhodes, D. J., C. Radecki Breitkopf, J. Y. Ziegenfuss, S. M. Jenkins and C. M. Vachon (2015B). "Awareness of breast density and its impact on breast cancer detection and risk." Journal of Clinical Oncology 33(10): 1143-1150.</w:t>
      </w:r>
    </w:p>
    <w:p w14:paraId="4F2DFA61" w14:textId="7759C4C9" w:rsidR="00221561" w:rsidRDefault="00221561" w:rsidP="00522F1A">
      <w:pPr>
        <w:spacing w:before="120" w:after="120" w:line="280" w:lineRule="exact"/>
      </w:pPr>
      <w:r>
        <w:t xml:space="preserve">Rice, M. S., </w:t>
      </w:r>
      <w:r w:rsidR="00C3181D">
        <w:t xml:space="preserve">K. A. </w:t>
      </w:r>
      <w:r>
        <w:t xml:space="preserve">Bertrand, </w:t>
      </w:r>
      <w:r w:rsidR="00C3181D">
        <w:t>T. J.</w:t>
      </w:r>
      <w:r>
        <w:t xml:space="preserve"> VanderWeele, </w:t>
      </w:r>
      <w:r w:rsidR="00C3181D">
        <w:t>B. A.</w:t>
      </w:r>
      <w:r>
        <w:t xml:space="preserve"> Rosner, </w:t>
      </w:r>
      <w:r w:rsidR="00C3181D">
        <w:t>X.</w:t>
      </w:r>
      <w:r>
        <w:t xml:space="preserve"> Liao, </w:t>
      </w:r>
      <w:r w:rsidR="00C3181D">
        <w:t xml:space="preserve">H. O. </w:t>
      </w:r>
      <w:r>
        <w:t>Adami</w:t>
      </w:r>
      <w:r w:rsidR="00C3181D">
        <w:t xml:space="preserve"> and R. M.</w:t>
      </w:r>
      <w:r>
        <w:t xml:space="preserve"> Tamimi, (2016). </w:t>
      </w:r>
      <w:r w:rsidR="00C3181D">
        <w:t>“</w:t>
      </w:r>
      <w:r>
        <w:t>Mammographic density and breast cancer risk: a mediation analysis.</w:t>
      </w:r>
      <w:r w:rsidR="00C3181D">
        <w:t>”</w:t>
      </w:r>
      <w:r>
        <w:t xml:space="preserve"> </w:t>
      </w:r>
      <w:r w:rsidRPr="00C3181D">
        <w:rPr>
          <w:iCs/>
        </w:rPr>
        <w:t>Breast Cancer Research</w:t>
      </w:r>
      <w:r w:rsidRPr="00C3181D">
        <w:t xml:space="preserve"> </w:t>
      </w:r>
      <w:r w:rsidRPr="00C3181D">
        <w:rPr>
          <w:iCs/>
        </w:rPr>
        <w:t>18</w:t>
      </w:r>
      <w:r w:rsidRPr="00C3181D">
        <w:t>(</w:t>
      </w:r>
      <w:r>
        <w:t>1)</w:t>
      </w:r>
      <w:r w:rsidR="00C3181D">
        <w:t xml:space="preserve">: 94-107. </w:t>
      </w:r>
    </w:p>
    <w:p w14:paraId="007A9268" w14:textId="4490095D" w:rsidR="00DE0042" w:rsidRDefault="00DE0042" w:rsidP="00DE0042">
      <w:pPr>
        <w:pStyle w:val="BodyText"/>
      </w:pPr>
      <w:r>
        <w:t xml:space="preserve">Richman, I., S. M. Asch, E. Bendavid, J. Bhattacharya and D. K. Owens (2017). "Breast density notification legislation and breast cancer stage at diagnosis: early evidence from the SEER registry." Journal of </w:t>
      </w:r>
      <w:r w:rsidR="00C3181D">
        <w:t>G</w:t>
      </w:r>
      <w:r>
        <w:t xml:space="preserve">eneral </w:t>
      </w:r>
      <w:r w:rsidR="00C3181D">
        <w:t>I</w:t>
      </w:r>
      <w:r>
        <w:t xml:space="preserve">nternal </w:t>
      </w:r>
      <w:r w:rsidR="00C3181D">
        <w:t>M</w:t>
      </w:r>
      <w:r>
        <w:t>edicine 32(6): 603-609.</w:t>
      </w:r>
    </w:p>
    <w:p w14:paraId="794F43AB" w14:textId="3F8B10D6" w:rsidR="00DE0042" w:rsidRDefault="00DE0042" w:rsidP="00DE0042">
      <w:pPr>
        <w:pStyle w:val="BodyText"/>
      </w:pPr>
      <w:r>
        <w:lastRenderedPageBreak/>
        <w:t xml:space="preserve">Rose, S. L., A. L. Tidwell, L. J. Bujnoch, A. C. Kushwaha, A. S. Nordmann and R. Sexton Jr (2013). "Implementation of breast tomosynthesis in a routine screening practice: an observational study." American </w:t>
      </w:r>
      <w:r w:rsidR="00C3181D">
        <w:t>J</w:t>
      </w:r>
      <w:r>
        <w:t xml:space="preserve">ournal of </w:t>
      </w:r>
      <w:r w:rsidR="00C3181D">
        <w:t>R</w:t>
      </w:r>
      <w:r>
        <w:t>oentgenology 200(6): 1401-1408.</w:t>
      </w:r>
    </w:p>
    <w:p w14:paraId="70E3F78C" w14:textId="77777777" w:rsidR="00DE0042" w:rsidRDefault="00DE0042" w:rsidP="00DE0042">
      <w:pPr>
        <w:pStyle w:val="BodyText"/>
      </w:pPr>
      <w:r>
        <w:t>Rosenberg, R. D., B. C. Yankaskas, L. A. Abraham, E. A. Sickles, C. D. Lehman, B. M. Geller, P. A. Carney, K. Kerlikowske, D. S. Buist and D. L. Weaver (2006). "Performance benchmarks for screening mammography." Radiology 241(1): 55-66.</w:t>
      </w:r>
    </w:p>
    <w:p w14:paraId="749CA7F9" w14:textId="77777777" w:rsidR="00DE0042" w:rsidRDefault="00DE0042" w:rsidP="00DE0042">
      <w:pPr>
        <w:pStyle w:val="BodyText"/>
      </w:pPr>
      <w:r>
        <w:t>Saadatmand, S., M. M. Tilanus-Linthorst, E. J. Rutgers, N. Hoogerbrugge, J. C. Oosterwijk, R. A. Tollenaar, M. Hooning, C. E. Loo, I.-M. Obdeijn and E. A. Heijnsdijk (2013). "Cost-effectiveness of screening women with familial risk for breast cancer with magnetic resonance imaging." Journal of the National Cancer Institute 105(17): 1314-1321.</w:t>
      </w:r>
    </w:p>
    <w:p w14:paraId="38E4EDE0" w14:textId="77777777" w:rsidR="00DE0042" w:rsidRDefault="00DE0042" w:rsidP="00DE0042">
      <w:pPr>
        <w:pStyle w:val="BodyText"/>
      </w:pPr>
      <w:r>
        <w:t>Sanders, L. M., A. B. King and K. S. Goodman (2016). "Impact of the New Jersey breast density law on imaging and intervention volumes and breast cancer diagnosis." Journal of the American College of Radiology 13(10): 1189-1194.</w:t>
      </w:r>
    </w:p>
    <w:p w14:paraId="41866BF0" w14:textId="4598B625" w:rsidR="00DE0042" w:rsidRDefault="00DE0042" w:rsidP="00DE0042">
      <w:pPr>
        <w:pStyle w:val="BodyText"/>
      </w:pPr>
      <w:r>
        <w:t xml:space="preserve">Santiago-Rivas, M., S. Benjamin and L. Jandorf (2016). "Breast density knowledge and awareness: a review of literature." Journal of </w:t>
      </w:r>
      <w:r w:rsidR="003E191E">
        <w:t>P</w:t>
      </w:r>
      <w:r>
        <w:t xml:space="preserve">rimary </w:t>
      </w:r>
      <w:r w:rsidR="003E191E">
        <w:t>C</w:t>
      </w:r>
      <w:r>
        <w:t xml:space="preserve">are &amp; </w:t>
      </w:r>
      <w:r w:rsidR="003E191E">
        <w:t>C</w:t>
      </w:r>
      <w:r>
        <w:t xml:space="preserve">ommunity </w:t>
      </w:r>
      <w:r w:rsidR="003E191E">
        <w:t>H</w:t>
      </w:r>
      <w:r>
        <w:t>ealth 7(3): 207-214.</w:t>
      </w:r>
    </w:p>
    <w:p w14:paraId="5CE7AD8D" w14:textId="2BC807D2" w:rsidR="00DE0042" w:rsidRDefault="00DE0042" w:rsidP="00DE0042">
      <w:pPr>
        <w:pStyle w:val="BodyText"/>
      </w:pPr>
      <w:r>
        <w:t xml:space="preserve">Sari, A. A., M. Mobinizadeh and M. Azadbakht (2013). "A systematic review of the effects of diffuse optical imaging in breast diseases." Iranian </w:t>
      </w:r>
      <w:r w:rsidR="003E191E">
        <w:t>J</w:t>
      </w:r>
      <w:r>
        <w:t xml:space="preserve">ournal of </w:t>
      </w:r>
      <w:r w:rsidR="003E191E">
        <w:t>C</w:t>
      </w:r>
      <w:r>
        <w:t xml:space="preserve">ancer </w:t>
      </w:r>
      <w:r w:rsidR="003E191E">
        <w:t>P</w:t>
      </w:r>
      <w:r>
        <w:t>revention 6(1): 44.</w:t>
      </w:r>
    </w:p>
    <w:p w14:paraId="4F6E2CC6" w14:textId="0BE1D392" w:rsidR="00875353" w:rsidRDefault="00875353" w:rsidP="00522F1A">
      <w:pPr>
        <w:spacing w:before="120" w:after="120" w:line="280" w:lineRule="exact"/>
      </w:pPr>
      <w:r>
        <w:t xml:space="preserve">Sartor, H., </w:t>
      </w:r>
      <w:r w:rsidR="003E191E">
        <w:t xml:space="preserve">K. </w:t>
      </w:r>
      <w:r>
        <w:t xml:space="preserve">Lång, </w:t>
      </w:r>
      <w:r w:rsidR="003E191E">
        <w:t>A.</w:t>
      </w:r>
      <w:r>
        <w:t xml:space="preserve"> Rosso, </w:t>
      </w:r>
      <w:r w:rsidR="003E191E">
        <w:t>S.</w:t>
      </w:r>
      <w:r>
        <w:t xml:space="preserve"> Borgquist, S. Zackrisson, </w:t>
      </w:r>
      <w:r w:rsidR="003E191E">
        <w:t>and P.</w:t>
      </w:r>
      <w:r>
        <w:t xml:space="preserve"> Timberg (2016). </w:t>
      </w:r>
      <w:r w:rsidR="003E191E">
        <w:t>“</w:t>
      </w:r>
      <w:r>
        <w:t>Measuring mammographic density: comparing a fully automated volumetric assessment versus European radiologists’ qualitative classification.</w:t>
      </w:r>
      <w:r w:rsidR="003E191E">
        <w:t>”</w:t>
      </w:r>
      <w:r>
        <w:t xml:space="preserve"> </w:t>
      </w:r>
      <w:r w:rsidRPr="003E191E">
        <w:rPr>
          <w:iCs/>
        </w:rPr>
        <w:t>European Radiology</w:t>
      </w:r>
      <w:r w:rsidR="003E191E">
        <w:t xml:space="preserve"> </w:t>
      </w:r>
      <w:r w:rsidRPr="003E191E">
        <w:rPr>
          <w:iCs/>
        </w:rPr>
        <w:t>26</w:t>
      </w:r>
      <w:r>
        <w:t>(12)</w:t>
      </w:r>
      <w:r w:rsidR="003E191E">
        <w:t>:</w:t>
      </w:r>
      <w:r>
        <w:t xml:space="preserve"> 4354–4360. </w:t>
      </w:r>
    </w:p>
    <w:p w14:paraId="3EF9F27C" w14:textId="77777777" w:rsidR="00DE0042" w:rsidRDefault="00DE0042" w:rsidP="00DE0042">
      <w:pPr>
        <w:pStyle w:val="BodyText"/>
      </w:pPr>
      <w:r>
        <w:t>Scheel, J. R., J. M. Lee, B. L. Sprague, C. I. Lee and C. D. Lehman (2015). "Screening ultrasound as an adjunct to mammography in women with mammographically dense breasts." American Journal of Obstetrics &amp; Gynecology 212(1): 9-17.</w:t>
      </w:r>
    </w:p>
    <w:p w14:paraId="15D846FB" w14:textId="77777777" w:rsidR="00DE0042" w:rsidRDefault="00DE0042" w:rsidP="00DE0042">
      <w:pPr>
        <w:pStyle w:val="BodyText"/>
      </w:pPr>
      <w:r>
        <w:t>Shepherd, J. A., K. Kerlikowske, L. Ma, F. Duewer, B. Fan, J. Wang, S. Malkov, E. Vittinghoff and S. R. Cummings (2011). "Volume of mammographic density and risk of breast cancer." Cancer Epidemiology and Prevention Biomarkers 20(7): 1473-1482.</w:t>
      </w:r>
    </w:p>
    <w:p w14:paraId="2527CD0C" w14:textId="77777777" w:rsidR="00DE0042" w:rsidRDefault="00DE0042" w:rsidP="00DE0042">
      <w:pPr>
        <w:pStyle w:val="BodyText"/>
      </w:pPr>
      <w:r>
        <w:t>Shermis, R. B., K. D. Wilson, M. T. Doyle, T. S. Martin, D. Merryman, H. Kudrolli and R. J. Brenner (2016). "Supplemental breast cancer screening with molecular breast imaging for women with dense breast tissue." American Journal of Roentgenology 207(2): 450-457.</w:t>
      </w:r>
    </w:p>
    <w:p w14:paraId="02F2123D" w14:textId="6E61A68A" w:rsidR="00AB36B8" w:rsidRDefault="00AB36B8" w:rsidP="00AB36B8">
      <w:pPr>
        <w:pStyle w:val="BodyText"/>
      </w:pPr>
      <w:r>
        <w:t xml:space="preserve">Shen, S., Y. Zhou, Y. Xu, B. Zhang, X. Duan, R. Huang, B. Li, Y. Shi, Z. Shao and H. Liao (2015). "A multi-centre randomised trial comparing ultrasound vs mammography for screening breast cancer in high-risk Chinese women." British </w:t>
      </w:r>
      <w:r w:rsidR="00850C50">
        <w:t>J</w:t>
      </w:r>
      <w:r>
        <w:t xml:space="preserve">ournal of </w:t>
      </w:r>
      <w:r w:rsidR="00850C50">
        <w:t>C</w:t>
      </w:r>
      <w:r>
        <w:t>ancer 112(6): 998.</w:t>
      </w:r>
    </w:p>
    <w:p w14:paraId="1BB26F93" w14:textId="104EA3F3" w:rsidR="00AB36B8" w:rsidRDefault="00AB36B8" w:rsidP="00AB36B8">
      <w:pPr>
        <w:pStyle w:val="BodyText"/>
      </w:pPr>
      <w:r>
        <w:t xml:space="preserve">Skaane P., </w:t>
      </w:r>
      <w:r w:rsidR="00850C50">
        <w:t xml:space="preserve">A. I. </w:t>
      </w:r>
      <w:r>
        <w:t>Bandos</w:t>
      </w:r>
      <w:r w:rsidR="00850C50">
        <w:t xml:space="preserve">, R. </w:t>
      </w:r>
      <w:r>
        <w:t>Gullien,</w:t>
      </w:r>
      <w:r w:rsidR="00850C50">
        <w:t xml:space="preserve"> E. B.</w:t>
      </w:r>
      <w:r>
        <w:t xml:space="preserve"> Eben</w:t>
      </w:r>
      <w:r w:rsidR="00850C50">
        <w:t>, U.</w:t>
      </w:r>
      <w:r>
        <w:t xml:space="preserve"> Ekseth, </w:t>
      </w:r>
      <w:r w:rsidR="00850C50">
        <w:t xml:space="preserve">U. </w:t>
      </w:r>
      <w:r>
        <w:t xml:space="preserve">Haakenaasen, </w:t>
      </w:r>
      <w:r w:rsidR="00850C50">
        <w:t xml:space="preserve">M. </w:t>
      </w:r>
      <w:r>
        <w:t>Izadi</w:t>
      </w:r>
      <w:r w:rsidR="00850C50">
        <w:t xml:space="preserve"> … </w:t>
      </w:r>
      <w:r w:rsidR="00B847E1">
        <w:t>S. Hofvind (2013).</w:t>
      </w:r>
      <w:r>
        <w:t xml:space="preserve"> </w:t>
      </w:r>
      <w:r w:rsidR="00850C50">
        <w:t>“</w:t>
      </w:r>
      <w:r>
        <w:t>Prospective Trial Comparing Full-Field Digital Mammography (FFDM) versus Combined FFDM and Tomosynthesis in a Population-Based Screening Programme Using Independent Double Reading with Arbitration</w:t>
      </w:r>
      <w:r w:rsidR="00850C50">
        <w:t>.”</w:t>
      </w:r>
      <w:r>
        <w:t xml:space="preserve"> European Radiology 23</w:t>
      </w:r>
      <w:r w:rsidR="00B847E1">
        <w:t xml:space="preserve">(8): </w:t>
      </w:r>
      <w:r>
        <w:t xml:space="preserve">2061–71. </w:t>
      </w:r>
    </w:p>
    <w:p w14:paraId="276F23D6" w14:textId="77777777" w:rsidR="00DE0042" w:rsidRDefault="00DE0042" w:rsidP="00DE0042">
      <w:pPr>
        <w:pStyle w:val="BodyText"/>
      </w:pPr>
      <w:r>
        <w:t>Stone, J., J. Ding, R. M. Warren, S. W. Duffy and J. L. Hopper (2010). "Using mammographic density to predict breast cancer risk: dense area or percentage dense area." Breast Cancer Research 12(6): R97.</w:t>
      </w:r>
    </w:p>
    <w:p w14:paraId="6DBE9385" w14:textId="6073454E" w:rsidR="00DE0042" w:rsidRDefault="00DE0042" w:rsidP="00DE0042">
      <w:pPr>
        <w:pStyle w:val="BodyText"/>
      </w:pPr>
      <w:r>
        <w:lastRenderedPageBreak/>
        <w:t>Sung, J., Y.</w:t>
      </w:r>
      <w:r w:rsidR="00CF084C">
        <w:t xml:space="preserve"> </w:t>
      </w:r>
      <w:r>
        <w:t>M. Song, J. Stone, K. Lee, J.</w:t>
      </w:r>
      <w:r w:rsidR="00CF084C">
        <w:t xml:space="preserve"> I.</w:t>
      </w:r>
      <w:r>
        <w:t xml:space="preserve"> Jeong and S.</w:t>
      </w:r>
      <w:r w:rsidR="00CF084C">
        <w:t xml:space="preserve"> </w:t>
      </w:r>
      <w:r>
        <w:t xml:space="preserve">S. Kim (2010). "Genetic influences on mammographic density in Korean twin and family: the Healthy Twin study." Breast </w:t>
      </w:r>
      <w:r w:rsidR="00CF084C">
        <w:t>C</w:t>
      </w:r>
      <w:r>
        <w:t xml:space="preserve">ancer </w:t>
      </w:r>
      <w:r w:rsidR="00CF084C">
        <w:t>R</w:t>
      </w:r>
      <w:r>
        <w:t xml:space="preserve">esearch and </w:t>
      </w:r>
      <w:r w:rsidR="00CF084C">
        <w:t>T</w:t>
      </w:r>
      <w:r>
        <w:t>reatment 124(2): 467-474.</w:t>
      </w:r>
    </w:p>
    <w:p w14:paraId="432E39CC" w14:textId="77777777" w:rsidR="00DE0042" w:rsidRDefault="00DE0042" w:rsidP="00DE0042">
      <w:pPr>
        <w:pStyle w:val="BodyText"/>
      </w:pPr>
      <w:r>
        <w:t>Tamimi, R. M., S. E. Hankinson, G. A. Colditz and C. Byrne (2005). "Endogenous sex hormone levels and mammographic density among postmenopausal women." Cancer Epidemiology and Prevention Biomarkers 14(11): 2641-2647.</w:t>
      </w:r>
    </w:p>
    <w:p w14:paraId="5F6C10EA" w14:textId="3E37431F" w:rsidR="00DE0042" w:rsidRDefault="00DE0042" w:rsidP="00DE0042">
      <w:pPr>
        <w:pStyle w:val="BodyText"/>
      </w:pPr>
      <w:r>
        <w:t>Torres-Mejía, G., B. De Stavola, D. S. Allen, J. J. Pérez-Gavilán, J. M. Ferreira, I. S. Fentiman and I. dos Santos Silva (2005). "Mammographic features and subsequent risk of breast cancer: a comparison of qualitative and quantitative evaluations in the Guernsey prospective studies." Cancer Epidemiology and Prevention Biomarkers 14(5): 1052-1059.</w:t>
      </w:r>
    </w:p>
    <w:p w14:paraId="6916E336" w14:textId="2C8C7EEB" w:rsidR="0078029C" w:rsidRDefault="0078029C" w:rsidP="00522F1A">
      <w:pPr>
        <w:spacing w:before="120" w:after="120" w:line="280" w:lineRule="exact"/>
      </w:pPr>
      <w:r>
        <w:t xml:space="preserve">Trieu, P. D. Y., </w:t>
      </w:r>
      <w:r w:rsidR="00CF084C">
        <w:t xml:space="preserve">C. </w:t>
      </w:r>
      <w:r>
        <w:t xml:space="preserve">Mello-Thoms, </w:t>
      </w:r>
      <w:r w:rsidR="00CF084C">
        <w:t>J. K.</w:t>
      </w:r>
      <w:r>
        <w:t xml:space="preserve"> Peat, </w:t>
      </w:r>
      <w:r w:rsidR="00CF084C">
        <w:t>T. D.</w:t>
      </w:r>
      <w:r>
        <w:t xml:space="preserve"> Do</w:t>
      </w:r>
      <w:r w:rsidR="00CF084C">
        <w:t xml:space="preserve"> and P. C.</w:t>
      </w:r>
      <w:r>
        <w:t xml:space="preserve"> Brennan (2017). </w:t>
      </w:r>
      <w:r w:rsidR="00CF084C">
        <w:t>“</w:t>
      </w:r>
      <w:r>
        <w:t>Risk Factors of Female Breast Cancer in Vietnam: A Case-Control Study.</w:t>
      </w:r>
      <w:r w:rsidR="00CF084C">
        <w:t>”</w:t>
      </w:r>
      <w:r>
        <w:t xml:space="preserve"> </w:t>
      </w:r>
      <w:r w:rsidRPr="00CF084C">
        <w:rPr>
          <w:iCs/>
        </w:rPr>
        <w:t>Cancer Research and Treatment</w:t>
      </w:r>
      <w:r w:rsidRPr="00CF084C">
        <w:t xml:space="preserve"> </w:t>
      </w:r>
      <w:r w:rsidRPr="00CF084C">
        <w:rPr>
          <w:iCs/>
        </w:rPr>
        <w:t>49</w:t>
      </w:r>
      <w:r w:rsidRPr="00CF084C">
        <w:t>(</w:t>
      </w:r>
      <w:r>
        <w:t>4)</w:t>
      </w:r>
      <w:r w:rsidR="00CF084C">
        <w:t>:</w:t>
      </w:r>
      <w:r>
        <w:t xml:space="preserve"> 990–1000. </w:t>
      </w:r>
    </w:p>
    <w:p w14:paraId="4FD1B7A0" w14:textId="77777777" w:rsidR="00DE0042" w:rsidRDefault="00DE0042" w:rsidP="00DE0042">
      <w:pPr>
        <w:pStyle w:val="BodyText"/>
      </w:pPr>
      <w:r>
        <w:t>Trinh, L., D. M. Ikeda, K. K. Miyake, J. Trinh, K. K. Lee, H. Dave, K. Hanafusa and J. Lipson (2015). "Patient awareness of breast density and interest in supplemental screening tests: comparison of an academic facility and a county hospital." Journal of the American College of Radiology 12(3): 249-255.</w:t>
      </w:r>
    </w:p>
    <w:p w14:paraId="3B7E4E11" w14:textId="77777777" w:rsidR="00DE0042" w:rsidRDefault="00DE0042" w:rsidP="00DE0042">
      <w:pPr>
        <w:pStyle w:val="BodyText"/>
      </w:pPr>
      <w:r>
        <w:t>Vacek, P. M. and B. M. Geller (2004). "A prospective study of breast cancer risk using routine mammographic breast density measurements." Cancer Epidemiology and Prevention Biomarkers 13(5): 715-722.</w:t>
      </w:r>
    </w:p>
    <w:p w14:paraId="7785ACF3" w14:textId="77777777" w:rsidR="00DE0042" w:rsidRDefault="00DE0042" w:rsidP="00DE0042">
      <w:pPr>
        <w:pStyle w:val="BodyText"/>
      </w:pPr>
      <w:r>
        <w:t>Vachon, C. M., K. R. Brandt, K. Ghosh, C. G. Scott, S. D. Maloney, M. J. Carston, V. S. Pankratz and T. A. Sellers (2007). "Mammographic breast density as a general marker of breast cancer risk." Cancer Epidemiology and Prevention Biomarkers 16(1): 43-49.</w:t>
      </w:r>
    </w:p>
    <w:p w14:paraId="5E48F11E" w14:textId="75B27061" w:rsidR="00DE0042" w:rsidRDefault="00DE0042" w:rsidP="00DE0042">
      <w:pPr>
        <w:pStyle w:val="BodyText"/>
      </w:pPr>
      <w:r>
        <w:t>Vachon, C. M., C. C. Kuni, K. Anderson, V. E. Anderson and T. A. Sellers (2000). "Association of mammographically defined percent breast density with epidemiologic risk factors for breast cancer (United States)." Cancer Causes &amp; Control 11(7): 653-662.</w:t>
      </w:r>
    </w:p>
    <w:p w14:paraId="598E2848" w14:textId="5B930038" w:rsidR="001170A9" w:rsidRDefault="001170A9" w:rsidP="00522F1A">
      <w:pPr>
        <w:spacing w:before="120" w:after="120" w:line="280" w:lineRule="exact"/>
      </w:pPr>
      <w:proofErr w:type="gramStart"/>
      <w:r>
        <w:t>van</w:t>
      </w:r>
      <w:proofErr w:type="gramEnd"/>
      <w:r>
        <w:t xml:space="preserve"> der Waal, D., </w:t>
      </w:r>
      <w:r w:rsidR="00FE1DF1">
        <w:t xml:space="preserve">T. M. </w:t>
      </w:r>
      <w:r>
        <w:t xml:space="preserve">Ripping, </w:t>
      </w:r>
      <w:r w:rsidR="00FE1DF1">
        <w:t>A. L. M.</w:t>
      </w:r>
      <w:r>
        <w:t xml:space="preserve"> Verbeek</w:t>
      </w:r>
      <w:r w:rsidR="00FE1DF1">
        <w:t xml:space="preserve"> and M. J. M. </w:t>
      </w:r>
      <w:r>
        <w:t xml:space="preserve">Broeders (2017). </w:t>
      </w:r>
      <w:r w:rsidR="00FE1DF1">
        <w:t>“</w:t>
      </w:r>
      <w:r>
        <w:t>Breast cancer screening effect across breast density strata: A case-control study: Screening effect across breast density strata.</w:t>
      </w:r>
      <w:r w:rsidR="00FE1DF1">
        <w:t>”</w:t>
      </w:r>
      <w:r>
        <w:t xml:space="preserve"> </w:t>
      </w:r>
      <w:r w:rsidRPr="00FE1DF1">
        <w:rPr>
          <w:iCs/>
        </w:rPr>
        <w:t>International Journal of Cancer</w:t>
      </w:r>
      <w:r w:rsidR="00FE1DF1">
        <w:t xml:space="preserve"> </w:t>
      </w:r>
      <w:r w:rsidRPr="00FE1DF1">
        <w:rPr>
          <w:iCs/>
        </w:rPr>
        <w:t>140</w:t>
      </w:r>
      <w:r w:rsidRPr="00FE1DF1">
        <w:t>(1)</w:t>
      </w:r>
      <w:r w:rsidR="00FE1DF1">
        <w:t>:</w:t>
      </w:r>
      <w:r>
        <w:t xml:space="preserve"> 41–49. </w:t>
      </w:r>
    </w:p>
    <w:p w14:paraId="2F56FC11" w14:textId="77777777" w:rsidR="00DE0042" w:rsidRDefault="00DE0042" w:rsidP="00DE0042">
      <w:pPr>
        <w:pStyle w:val="BodyText"/>
      </w:pPr>
      <w:proofErr w:type="gramStart"/>
      <w:r>
        <w:t>van</w:t>
      </w:r>
      <w:proofErr w:type="gramEnd"/>
      <w:r>
        <w:t xml:space="preserve"> Gils, C. H., J. Otten, A. Verbeek, J. Hendriks and R. Holland (1998). "Effect of mammographic breast density on breast cancer screening performance: a study in Nijmegen, The Netherlands." Journal of Epidemiology &amp; Community Health 52(4): 267-271.</w:t>
      </w:r>
    </w:p>
    <w:p w14:paraId="3710EECB" w14:textId="691E5CCF" w:rsidR="00DE0042" w:rsidRDefault="00DE0042" w:rsidP="00DE0042">
      <w:pPr>
        <w:pStyle w:val="BodyText"/>
      </w:pPr>
      <w:r>
        <w:t xml:space="preserve">Wanders, J. O., K. Holland, W. B. Veldhuis, R. M. Mann, R. M. Pijnappel, P. H. Peeters, C. H. van Gils and N. Karssemeijer (2017). "Volumetric breast density affects performance of digital screening mammography." Breast </w:t>
      </w:r>
      <w:r w:rsidR="00AA6A70">
        <w:t>C</w:t>
      </w:r>
      <w:r>
        <w:t xml:space="preserve">ancer </w:t>
      </w:r>
      <w:r w:rsidR="00AA6A70">
        <w:t>R</w:t>
      </w:r>
      <w:r>
        <w:t xml:space="preserve">esearch and </w:t>
      </w:r>
      <w:r w:rsidR="00AA6A70">
        <w:t>T</w:t>
      </w:r>
      <w:r>
        <w:t>reatment 162(1): 95-103.</w:t>
      </w:r>
    </w:p>
    <w:p w14:paraId="1FA5BAB0" w14:textId="1721EA8B" w:rsidR="00DE0042" w:rsidRDefault="00DE0042" w:rsidP="00DE0042">
      <w:pPr>
        <w:pStyle w:val="BodyText"/>
      </w:pPr>
      <w:r>
        <w:t xml:space="preserve">Wang, A. T., C. M. Vachon, K. R. Brandt and K. Ghosh (2014). "Breast density and breast cancer risk: a practical review." Mayo Clinic </w:t>
      </w:r>
      <w:r w:rsidR="00AA6A70">
        <w:t>P</w:t>
      </w:r>
      <w:r>
        <w:t>roceedings 89(4): 548-557.</w:t>
      </w:r>
    </w:p>
    <w:p w14:paraId="1CBE20E7" w14:textId="047C39CE" w:rsidR="002C3AAB" w:rsidRDefault="002C3AAB" w:rsidP="00522F1A">
      <w:pPr>
        <w:spacing w:before="120" w:after="120" w:line="280" w:lineRule="exact"/>
      </w:pPr>
      <w:r>
        <w:t xml:space="preserve">Weigel, S., </w:t>
      </w:r>
      <w:r w:rsidR="00AA6A70">
        <w:t xml:space="preserve">W. </w:t>
      </w:r>
      <w:r>
        <w:t xml:space="preserve">Heindel, </w:t>
      </w:r>
      <w:r w:rsidR="00AA6A70">
        <w:t>J.</w:t>
      </w:r>
      <w:r>
        <w:t xml:space="preserve"> Heidrich, </w:t>
      </w:r>
      <w:r w:rsidR="00AA6A70">
        <w:t xml:space="preserve">H. W. </w:t>
      </w:r>
      <w:r>
        <w:t>Hense</w:t>
      </w:r>
      <w:r w:rsidR="00AA6A70">
        <w:t xml:space="preserve"> and O.</w:t>
      </w:r>
      <w:r>
        <w:t xml:space="preserve"> Heidinger (2017). </w:t>
      </w:r>
      <w:r w:rsidR="00AA6A70">
        <w:t>“</w:t>
      </w:r>
      <w:r>
        <w:t>Digital mammography screening: sensitivity of the programme dependent on breast density.</w:t>
      </w:r>
      <w:r w:rsidR="00AA6A70">
        <w:t>”</w:t>
      </w:r>
      <w:r>
        <w:t xml:space="preserve"> </w:t>
      </w:r>
      <w:r w:rsidRPr="00AA6A70">
        <w:rPr>
          <w:iCs/>
        </w:rPr>
        <w:t>European Radiology</w:t>
      </w:r>
      <w:r w:rsidR="00AA6A70">
        <w:t xml:space="preserve"> </w:t>
      </w:r>
      <w:r w:rsidRPr="00AA6A70">
        <w:rPr>
          <w:iCs/>
        </w:rPr>
        <w:t>27</w:t>
      </w:r>
      <w:r w:rsidRPr="00AA6A70">
        <w:t>(7)</w:t>
      </w:r>
      <w:r w:rsidR="00AA6A70">
        <w:t>:</w:t>
      </w:r>
      <w:r w:rsidRPr="00AA6A70">
        <w:t xml:space="preserve"> </w:t>
      </w:r>
      <w:r>
        <w:t xml:space="preserve">2744–2751. </w:t>
      </w:r>
    </w:p>
    <w:p w14:paraId="33F7BCB8" w14:textId="059639FD" w:rsidR="00AB36B8" w:rsidRDefault="00AB36B8" w:rsidP="00DE0042">
      <w:pPr>
        <w:pStyle w:val="BodyText"/>
      </w:pPr>
      <w:r>
        <w:t xml:space="preserve">Weigert, J. and S. Steenbergen (2012). "The Connecticut experiment: the role of ultrasound in the screening of women with dense breasts." The </w:t>
      </w:r>
      <w:r w:rsidR="00C90142">
        <w:t>B</w:t>
      </w:r>
      <w:r>
        <w:t xml:space="preserve">reast </w:t>
      </w:r>
      <w:r w:rsidR="00C90142">
        <w:t>J</w:t>
      </w:r>
      <w:r>
        <w:t>ournal 18(6): 517-522.</w:t>
      </w:r>
    </w:p>
    <w:p w14:paraId="420F9CF6" w14:textId="72A16813" w:rsidR="00DE0042" w:rsidRDefault="00DE0042" w:rsidP="00DE0042">
      <w:pPr>
        <w:pStyle w:val="BodyText"/>
      </w:pPr>
      <w:r>
        <w:lastRenderedPageBreak/>
        <w:t>Wellings, E., L. Vassiliades and R. Abdalla (2016). "Breast Cancer Screening for High-Risk Patients of Different Ages and Risk-Which Modality Is Most Effective?" Cureus 8(12)</w:t>
      </w:r>
      <w:r w:rsidR="00C90142">
        <w:t>: e945.</w:t>
      </w:r>
    </w:p>
    <w:p w14:paraId="7C070CEA" w14:textId="396D6433" w:rsidR="00C71E14" w:rsidRDefault="00C71E14" w:rsidP="00522F1A">
      <w:pPr>
        <w:spacing w:before="120" w:after="120" w:line="280" w:lineRule="exact"/>
      </w:pPr>
      <w:r>
        <w:t xml:space="preserve">Winkel, R. R., </w:t>
      </w:r>
      <w:r w:rsidR="00C90142">
        <w:t xml:space="preserve">M. </w:t>
      </w:r>
      <w:r>
        <w:t xml:space="preserve">von Euler-Chelpin, </w:t>
      </w:r>
      <w:r w:rsidR="00C90142">
        <w:t>M.</w:t>
      </w:r>
      <w:r>
        <w:t xml:space="preserve"> Nielsen, </w:t>
      </w:r>
      <w:r w:rsidR="00C90142">
        <w:t>P.</w:t>
      </w:r>
      <w:r>
        <w:t xml:space="preserve"> Diao, </w:t>
      </w:r>
      <w:r w:rsidR="00C90142">
        <w:t>M. B.</w:t>
      </w:r>
      <w:r>
        <w:t xml:space="preserve"> Nielsen, </w:t>
      </w:r>
      <w:r w:rsidR="00C90142">
        <w:t>W. Y.</w:t>
      </w:r>
      <w:r>
        <w:t xml:space="preserve"> Uldall</w:t>
      </w:r>
      <w:r w:rsidR="00C90142">
        <w:t xml:space="preserve"> and I. </w:t>
      </w:r>
      <w:r>
        <w:t xml:space="preserve">Vejborg (2015). </w:t>
      </w:r>
      <w:r w:rsidR="00C90142">
        <w:t>“</w:t>
      </w:r>
      <w:r>
        <w:t>Inter-observer agreement according to three methods of evaluating mammographic density and parenchymal pattern in a case control study: impact on relative risk of breast cancer.</w:t>
      </w:r>
      <w:r w:rsidR="00C90142">
        <w:t>”</w:t>
      </w:r>
      <w:r>
        <w:t xml:space="preserve"> </w:t>
      </w:r>
      <w:r w:rsidRPr="00C90142">
        <w:rPr>
          <w:iCs/>
        </w:rPr>
        <w:t>BMC Cancer</w:t>
      </w:r>
      <w:r w:rsidRPr="00C90142">
        <w:t xml:space="preserve"> </w:t>
      </w:r>
      <w:r w:rsidRPr="00C90142">
        <w:rPr>
          <w:iCs/>
        </w:rPr>
        <w:t>15</w:t>
      </w:r>
      <w:r w:rsidRPr="00C90142">
        <w:t>(</w:t>
      </w:r>
      <w:r>
        <w:t>1)</w:t>
      </w:r>
      <w:r w:rsidR="00C90142">
        <w:t>:  274-288.</w:t>
      </w:r>
    </w:p>
    <w:p w14:paraId="0F758F9F" w14:textId="3D3EF32C" w:rsidR="00B90067" w:rsidRDefault="00B90067" w:rsidP="00522F1A">
      <w:pPr>
        <w:spacing w:before="120" w:after="120" w:line="280" w:lineRule="exact"/>
      </w:pPr>
      <w:r>
        <w:t xml:space="preserve">Winkel, R. R., </w:t>
      </w:r>
      <w:r w:rsidR="00C90142">
        <w:t xml:space="preserve">M. </w:t>
      </w:r>
      <w:r>
        <w:t>von Euler-Chelpin, M</w:t>
      </w:r>
      <w:r w:rsidR="00C90142">
        <w:t>.</w:t>
      </w:r>
      <w:r>
        <w:t xml:space="preserve"> Nielsen, </w:t>
      </w:r>
      <w:r w:rsidR="00C90142">
        <w:t>K.</w:t>
      </w:r>
      <w:r>
        <w:t xml:space="preserve"> Petersen, </w:t>
      </w:r>
      <w:r w:rsidR="00C90142">
        <w:t>M.</w:t>
      </w:r>
      <w:r>
        <w:t xml:space="preserve"> Lillholm, </w:t>
      </w:r>
      <w:r w:rsidR="00C90142">
        <w:t>M. B.</w:t>
      </w:r>
      <w:r>
        <w:t xml:space="preserve"> Nielsen</w:t>
      </w:r>
      <w:r w:rsidR="00C90142">
        <w:t xml:space="preserve"> </w:t>
      </w:r>
      <w:r>
        <w:t xml:space="preserve">… </w:t>
      </w:r>
      <w:r w:rsidR="00C90142">
        <w:t xml:space="preserve">I. </w:t>
      </w:r>
      <w:r>
        <w:t xml:space="preserve">Vejborg (2016). </w:t>
      </w:r>
      <w:r w:rsidR="00C90142">
        <w:t>“</w:t>
      </w:r>
      <w:r>
        <w:t>Mammographic density and structural features can individually and jointly contribute to breast cancer risk assessment in mammography screening: a case–control study.</w:t>
      </w:r>
      <w:r w:rsidR="00C90142">
        <w:t>”</w:t>
      </w:r>
      <w:r>
        <w:t xml:space="preserve"> </w:t>
      </w:r>
      <w:r w:rsidRPr="00C90142">
        <w:rPr>
          <w:iCs/>
        </w:rPr>
        <w:t>BMC Cancer</w:t>
      </w:r>
      <w:r w:rsidRPr="00C90142">
        <w:t xml:space="preserve"> </w:t>
      </w:r>
      <w:r w:rsidRPr="00C90142">
        <w:rPr>
          <w:iCs/>
        </w:rPr>
        <w:t>16</w:t>
      </w:r>
      <w:r w:rsidRPr="00C90142">
        <w:t>(</w:t>
      </w:r>
      <w:r>
        <w:t>1)</w:t>
      </w:r>
      <w:r w:rsidR="00C90142">
        <w:t>: 414-426.</w:t>
      </w:r>
    </w:p>
    <w:p w14:paraId="6C055318" w14:textId="77777777" w:rsidR="00DE0042" w:rsidRDefault="00DE0042" w:rsidP="00DE0042">
      <w:pPr>
        <w:pStyle w:val="BodyText"/>
      </w:pPr>
      <w:r>
        <w:t>Winkler, N. S., S. Raza, M. Mackesy and R. L. Birdwell (2015). "Breast density: clinical implications and assessment methods." Radiographics 35(2): 316-324.</w:t>
      </w:r>
    </w:p>
    <w:p w14:paraId="2351B5BC" w14:textId="65A97766" w:rsidR="00DE0042" w:rsidRDefault="00DE0042" w:rsidP="00DE0042">
      <w:pPr>
        <w:pStyle w:val="BodyText"/>
      </w:pPr>
      <w:r>
        <w:t>Wolfe, J. N. (1976). "Risk for breast cancer development determined by mammographic parenchymal pattern." Cancer 37(5): 2486-2492.</w:t>
      </w:r>
    </w:p>
    <w:p w14:paraId="0550586D" w14:textId="765D0724" w:rsidR="00C90142" w:rsidRDefault="00AB35D3" w:rsidP="00522F1A">
      <w:pPr>
        <w:spacing w:before="120" w:after="120" w:line="280" w:lineRule="exact"/>
        <w:rPr>
          <w:rStyle w:val="Hyperlink"/>
        </w:rPr>
      </w:pPr>
      <w:r>
        <w:t xml:space="preserve">Yaghjyan, L., </w:t>
      </w:r>
      <w:r w:rsidR="00C90142">
        <w:t xml:space="preserve">G. A. </w:t>
      </w:r>
      <w:r>
        <w:t xml:space="preserve">Colditz, </w:t>
      </w:r>
      <w:r w:rsidR="00C90142">
        <w:t>B.</w:t>
      </w:r>
      <w:r>
        <w:t xml:space="preserve"> Rosner</w:t>
      </w:r>
      <w:r w:rsidR="00C90142">
        <w:t xml:space="preserve"> and R. M. </w:t>
      </w:r>
      <w:r>
        <w:t>Tamimi (2015</w:t>
      </w:r>
      <w:r w:rsidR="003C3B25">
        <w:t>a</w:t>
      </w:r>
      <w:r>
        <w:t xml:space="preserve">). </w:t>
      </w:r>
      <w:r w:rsidR="00C90142">
        <w:t>“</w:t>
      </w:r>
      <w:r>
        <w:t>Mammographic breast density and breast cancer risk: interactions of percent density, absolute dense, and non-dense areas with breast cancer risk factors.</w:t>
      </w:r>
      <w:r w:rsidR="00C90142">
        <w:t>”</w:t>
      </w:r>
      <w:r>
        <w:t xml:space="preserve"> </w:t>
      </w:r>
      <w:r w:rsidRPr="00C90142">
        <w:rPr>
          <w:iCs/>
        </w:rPr>
        <w:t>Breast Cancer Research and Treatment</w:t>
      </w:r>
      <w:r w:rsidRPr="00C90142">
        <w:t xml:space="preserve"> </w:t>
      </w:r>
      <w:r w:rsidRPr="00C90142">
        <w:rPr>
          <w:iCs/>
        </w:rPr>
        <w:t>150</w:t>
      </w:r>
      <w:r w:rsidRPr="00C90142">
        <w:t>(</w:t>
      </w:r>
      <w:r>
        <w:t>1)</w:t>
      </w:r>
      <w:r w:rsidR="00C90142">
        <w:t>:</w:t>
      </w:r>
      <w:r>
        <w:t xml:space="preserve"> 181–189. </w:t>
      </w:r>
    </w:p>
    <w:p w14:paraId="4D1F7F61" w14:textId="68ECCBB5" w:rsidR="003C3B25" w:rsidRDefault="003C3B25" w:rsidP="00522F1A">
      <w:pPr>
        <w:spacing w:before="120" w:after="120" w:line="280" w:lineRule="exact"/>
      </w:pPr>
      <w:r>
        <w:t xml:space="preserve">Yaghjyan, L., </w:t>
      </w:r>
      <w:r w:rsidR="00C90142">
        <w:t xml:space="preserve">A. </w:t>
      </w:r>
      <w:r>
        <w:t xml:space="preserve">Pettersson, </w:t>
      </w:r>
      <w:r w:rsidR="00C90142">
        <w:t xml:space="preserve">G. </w:t>
      </w:r>
      <w:r>
        <w:t xml:space="preserve">A. Colditz, </w:t>
      </w:r>
      <w:r w:rsidR="00C90142">
        <w:t>L. C.</w:t>
      </w:r>
      <w:r>
        <w:t xml:space="preserve"> Collins, </w:t>
      </w:r>
      <w:r w:rsidR="00C90142">
        <w:t>S. J.</w:t>
      </w:r>
      <w:r>
        <w:t xml:space="preserve"> Schnitt, </w:t>
      </w:r>
      <w:r w:rsidR="00C90142">
        <w:t>A. H.</w:t>
      </w:r>
      <w:r>
        <w:t xml:space="preserve"> Beck</w:t>
      </w:r>
      <w:r w:rsidR="00C90142">
        <w:t xml:space="preserve"> </w:t>
      </w:r>
      <w:r>
        <w:t xml:space="preserve">… </w:t>
      </w:r>
      <w:r w:rsidR="00C90142">
        <w:t xml:space="preserve">R. M. </w:t>
      </w:r>
      <w:r>
        <w:t xml:space="preserve">Tamimi (2015b). </w:t>
      </w:r>
      <w:r w:rsidR="00C90142">
        <w:t>“</w:t>
      </w:r>
      <w:r>
        <w:t>Postmenopausal mammographic breast density and subsequent breast cancer risk according to selected tissue markers.</w:t>
      </w:r>
      <w:r w:rsidR="00C90142">
        <w:t>”</w:t>
      </w:r>
      <w:r>
        <w:t xml:space="preserve"> </w:t>
      </w:r>
      <w:r w:rsidRPr="00C90142">
        <w:rPr>
          <w:iCs/>
        </w:rPr>
        <w:t>British Journal of Cancer</w:t>
      </w:r>
      <w:r w:rsidRPr="00C90142">
        <w:t xml:space="preserve"> </w:t>
      </w:r>
      <w:r w:rsidRPr="00C90142">
        <w:rPr>
          <w:iCs/>
        </w:rPr>
        <w:t>113</w:t>
      </w:r>
      <w:r w:rsidRPr="00C90142">
        <w:t>(</w:t>
      </w:r>
      <w:r>
        <w:t>7)</w:t>
      </w:r>
      <w:r w:rsidR="005E6E26">
        <w:t>:</w:t>
      </w:r>
      <w:r>
        <w:t xml:space="preserve"> 1104–1113. </w:t>
      </w:r>
    </w:p>
    <w:p w14:paraId="10B5A413" w14:textId="2931281E" w:rsidR="00DE0042" w:rsidRDefault="00DE0042" w:rsidP="00DE0042">
      <w:pPr>
        <w:pStyle w:val="BodyText"/>
      </w:pPr>
      <w:r>
        <w:t>Yankaskas, B. C., S. Haneuse, J. M. Kapp, K. Kerlikowske, B. Geller, D. S. Buist and B. C. S. Consortium (2010). "Performance of first mammography examination in women younger than 40 years." JNCI: Journal of the National Cancer Institute 102(10): 692-701.</w:t>
      </w:r>
    </w:p>
    <w:p w14:paraId="5DDCDE7D" w14:textId="5F157916" w:rsidR="00FB1D11" w:rsidRDefault="00FB1D11" w:rsidP="00FB1D11">
      <w:pPr>
        <w:pStyle w:val="BodyText"/>
      </w:pPr>
      <w:r w:rsidRPr="00FB1D11">
        <w:t xml:space="preserve">Yeh, V. M., </w:t>
      </w:r>
      <w:r w:rsidR="00147399">
        <w:t xml:space="preserve">J. B. </w:t>
      </w:r>
      <w:r w:rsidRPr="00FB1D11">
        <w:t xml:space="preserve">Schnur, </w:t>
      </w:r>
      <w:r w:rsidR="00147399">
        <w:t>L.</w:t>
      </w:r>
      <w:r w:rsidRPr="00FB1D11">
        <w:t xml:space="preserve"> Margolies</w:t>
      </w:r>
      <w:r w:rsidR="00147399">
        <w:t xml:space="preserve"> and G. H. </w:t>
      </w:r>
      <w:r w:rsidRPr="00FB1D11">
        <w:t xml:space="preserve">Montgomery (2015). </w:t>
      </w:r>
      <w:r w:rsidR="00147399">
        <w:t>“</w:t>
      </w:r>
      <w:r w:rsidRPr="00FB1D11">
        <w:t>Dense breast tissue notification: Impact on women’s perceived risk, anxiety, and intentions for future breast cancer screening.</w:t>
      </w:r>
      <w:r w:rsidR="00147399">
        <w:t>”</w:t>
      </w:r>
      <w:r w:rsidRPr="00FB1D11">
        <w:t xml:space="preserve"> Journal of the American College of Radiology 12(3)</w:t>
      </w:r>
      <w:r w:rsidR="00147399">
        <w:t>:</w:t>
      </w:r>
      <w:r w:rsidRPr="00FB1D11">
        <w:t xml:space="preserve"> 261–266. </w:t>
      </w:r>
    </w:p>
    <w:p w14:paraId="236417EA" w14:textId="77777777" w:rsidR="00174065" w:rsidRDefault="00DE0042" w:rsidP="009A4F68">
      <w:pPr>
        <w:pStyle w:val="BodyText"/>
      </w:pPr>
      <w:r>
        <w:t>Ziv, E., J. Tice, R. Smith-Bindman, J. Shepherd, S. Cummings and K. Kerlikowske (2004). "Mammographic density and estrogen receptor status of breast cancer." Cancer Epidemiology and Prevention Biomarkers 13(12): 2090-2095.</w:t>
      </w:r>
    </w:p>
    <w:p w14:paraId="51F62986" w14:textId="77777777" w:rsidR="00174065" w:rsidRDefault="00174065" w:rsidP="00174065">
      <w:pPr>
        <w:pStyle w:val="Heading1"/>
        <w:sectPr w:rsidR="00174065" w:rsidSect="0055619E">
          <w:pgSz w:w="11907" w:h="16839" w:code="9"/>
          <w:pgMar w:top="1418" w:right="1418" w:bottom="1418" w:left="1418" w:header="964" w:footer="964" w:gutter="0"/>
          <w:cols w:space="708"/>
          <w:docGrid w:linePitch="360"/>
        </w:sectPr>
      </w:pPr>
      <w:bookmarkStart w:id="147" w:name="_Toc507871691"/>
    </w:p>
    <w:p w14:paraId="6BA3D863" w14:textId="77777777" w:rsidR="00174065" w:rsidRDefault="00174065" w:rsidP="00174065">
      <w:pPr>
        <w:pStyle w:val="Heading1"/>
      </w:pPr>
      <w:bookmarkStart w:id="148" w:name="_Toc518922234"/>
      <w:r>
        <w:lastRenderedPageBreak/>
        <w:t>Appendix A: quality assessment for each included study</w:t>
      </w:r>
      <w:bookmarkEnd w:id="147"/>
      <w:bookmarkEnd w:id="148"/>
    </w:p>
    <w:p w14:paraId="034918B0" w14:textId="77777777" w:rsidR="00A253C6" w:rsidRDefault="00A253C6" w:rsidP="00A253C6">
      <w:pPr>
        <w:pStyle w:val="Heading2"/>
      </w:pPr>
      <w:bookmarkStart w:id="149" w:name="_Toc507871692"/>
      <w:bookmarkStart w:id="150" w:name="_Toc507914456"/>
      <w:bookmarkStart w:id="151" w:name="_Toc507976181"/>
      <w:bookmarkStart w:id="152" w:name="_Toc518922235"/>
      <w:r>
        <w:t>AMSTAR2 Tool for systematic reviews and meta-analysis</w:t>
      </w:r>
      <w:bookmarkEnd w:id="149"/>
      <w:bookmarkEnd w:id="150"/>
      <w:bookmarkEnd w:id="151"/>
      <w:bookmarkEnd w:id="152"/>
    </w:p>
    <w:p w14:paraId="2644BD1B" w14:textId="77777777" w:rsidR="00A253C6" w:rsidRPr="009A4B06" w:rsidRDefault="00A253C6" w:rsidP="00A253C6">
      <w:pPr>
        <w:pStyle w:val="Heading3"/>
      </w:pPr>
      <w:bookmarkStart w:id="153" w:name="_Toc518922236"/>
      <w:r>
        <w:rPr>
          <w:rStyle w:val="Heading2Char"/>
          <w:b/>
          <w:sz w:val="24"/>
        </w:rPr>
        <w:t xml:space="preserve">Bae and Kim (2016) - </w:t>
      </w:r>
      <w:r w:rsidRPr="009A4B06">
        <w:t>A Review of Supplemental Screening Ultrasound for Breast Cancer: Certain Populations of Women with Dense Breast Tissue May Benefit</w:t>
      </w:r>
      <w:bookmarkEnd w:id="153"/>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Yes  &#10;&#10;Q3&#10;Did the review authors explain their selection of the study designs for inclusion in the review?&#10;Yes  &#10;&#10;Q4&#10;Did the review authors use a comprehensive literature search strategy? &#10;Yes &#10;Yes followed PRISMA protocol&#10;&#10;Q5&#10;Was there duplicate study selection and data extraction?&#10;Yes  &#10;&#10;Q6&#10;Did the review authors provide a list of excluded studies and justify the exclusion?&#10;Yes &#10;&#10;Q7&#10;Did the review authors describe the included studies in adequate detail?&#10;Yes  &#10;&#10;Q8&#10;Did the review authors use a satisfactory technique for assessing the risk of bias (RoB) in individual studies that were included in the review?&#10;No&#10;No – risk was not well discussed&#10;&#10;Q9&#10;Did the review authors report on the sources of funding for the studies included in the review?&#10;No &#10;&#10;Q10&#10;If meta-analysis was performed did the review authors use appropriate methods for statistical combination of results?&#10;Yes&#10;3/6 studies included, provided summary size effect (sES)&#10;&#10;Q11&#10;If meta-analysis was performed, did the review authors assess the potential impact of RoB in individual studies on the results of the meta-analysis or other evidence synthesis?&#10;No&#10;Risk of bias was not well discussed&#10;&#10;12&#10;Did the review authors account for RoB in individual studies when interpreting/discussing the results of the review?&#10;No&#10;Limitation and risk of individual studies were not discussed&#10;&#10;Q13&#10;Did the review authors provide a satisfactory explanation for, and discussion of, any heterogeneity observed in the results of the review?&#10;Yes&#10;I2 was calculated and discussed&#10;&#10;Q14&#10;If they performed quantitative synthesis did the review authors carry out an adequate investigation of publication bias (small study bias) and discuss its likely impact on the results of the review?&#10;N/A &#10;&#10;Q15&#10;Did the review authors report any potential sources of conflict of interest, including any funding they received for conducting the review? &#10;Yes&#10;No conflicts declared&#10;"/>
      </w:tblPr>
      <w:tblGrid>
        <w:gridCol w:w="442"/>
        <w:gridCol w:w="9211"/>
        <w:gridCol w:w="992"/>
        <w:gridCol w:w="3260"/>
      </w:tblGrid>
      <w:tr w:rsidR="00345CCE" w:rsidRPr="00345CCE" w14:paraId="6CB26142" w14:textId="77777777" w:rsidTr="009107BC">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tcPr>
          <w:p w14:paraId="36176BE2"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bookmarkStart w:id="154" w:name="_Toc507871693"/>
          </w:p>
        </w:tc>
        <w:tc>
          <w:tcPr>
            <w:tcW w:w="9211" w:type="dxa"/>
            <w:tcBorders>
              <w:top w:val="single" w:sz="4" w:space="0" w:color="77B800"/>
              <w:left w:val="single" w:sz="4" w:space="0" w:color="77B800"/>
              <w:bottom w:val="single" w:sz="4" w:space="0" w:color="77B800"/>
              <w:right w:val="single" w:sz="4" w:space="0" w:color="77B800"/>
            </w:tcBorders>
            <w:hideMark/>
          </w:tcPr>
          <w:p w14:paraId="3B929AFD"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0250A63E"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0" w:type="dxa"/>
            <w:tcBorders>
              <w:top w:val="single" w:sz="4" w:space="0" w:color="77B800"/>
              <w:left w:val="single" w:sz="4" w:space="0" w:color="77B800"/>
              <w:bottom w:val="single" w:sz="4" w:space="0" w:color="77B800"/>
              <w:right w:val="single" w:sz="4" w:space="0" w:color="77B800"/>
            </w:tcBorders>
            <w:hideMark/>
          </w:tcPr>
          <w:p w14:paraId="6B065331"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5DC7F0ED"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124A057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1" w:type="dxa"/>
            <w:tcBorders>
              <w:top w:val="single" w:sz="4" w:space="0" w:color="77B800"/>
              <w:left w:val="single" w:sz="4" w:space="0" w:color="77B800"/>
              <w:bottom w:val="single" w:sz="4" w:space="0" w:color="77B800"/>
              <w:right w:val="single" w:sz="4" w:space="0" w:color="77B800"/>
            </w:tcBorders>
            <w:hideMark/>
          </w:tcPr>
          <w:p w14:paraId="3CC0234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3217645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4670505E"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23015E7"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5A72989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1" w:type="dxa"/>
            <w:tcBorders>
              <w:top w:val="single" w:sz="4" w:space="0" w:color="77B800"/>
              <w:left w:val="single" w:sz="4" w:space="0" w:color="77B800"/>
              <w:bottom w:val="single" w:sz="4" w:space="0" w:color="77B800"/>
              <w:right w:val="single" w:sz="4" w:space="0" w:color="77B800"/>
            </w:tcBorders>
            <w:hideMark/>
          </w:tcPr>
          <w:p w14:paraId="79542F7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2DAEEAC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2A71FE2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BF09EBB"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9C522C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1" w:type="dxa"/>
            <w:tcBorders>
              <w:top w:val="single" w:sz="4" w:space="0" w:color="77B800"/>
              <w:left w:val="single" w:sz="4" w:space="0" w:color="77B800"/>
              <w:bottom w:val="single" w:sz="4" w:space="0" w:color="77B800"/>
              <w:right w:val="single" w:sz="4" w:space="0" w:color="77B800"/>
            </w:tcBorders>
            <w:hideMark/>
          </w:tcPr>
          <w:p w14:paraId="5AD4CAE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3078846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1A7CAC7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B4E88E8"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1906357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1" w:type="dxa"/>
            <w:tcBorders>
              <w:top w:val="single" w:sz="4" w:space="0" w:color="77B800"/>
              <w:left w:val="single" w:sz="4" w:space="0" w:color="77B800"/>
              <w:bottom w:val="single" w:sz="4" w:space="0" w:color="77B800"/>
              <w:right w:val="single" w:sz="4" w:space="0" w:color="77B800"/>
            </w:tcBorders>
            <w:hideMark/>
          </w:tcPr>
          <w:p w14:paraId="1E3CEACC"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2208572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3504FC4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 followed PRISMA protocol</w:t>
            </w:r>
          </w:p>
        </w:tc>
      </w:tr>
      <w:tr w:rsidR="00A253C6" w:rsidRPr="0012277B" w14:paraId="00779676"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2EE6FBB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1" w:type="dxa"/>
            <w:tcBorders>
              <w:top w:val="single" w:sz="4" w:space="0" w:color="77B800"/>
              <w:left w:val="single" w:sz="4" w:space="0" w:color="77B800"/>
              <w:bottom w:val="single" w:sz="4" w:space="0" w:color="77B800"/>
              <w:right w:val="single" w:sz="4" w:space="0" w:color="77B800"/>
            </w:tcBorders>
            <w:hideMark/>
          </w:tcPr>
          <w:p w14:paraId="6E5316E8"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04A2BF6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7296062B"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C6F60FF"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06D3E3A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1" w:type="dxa"/>
            <w:tcBorders>
              <w:top w:val="single" w:sz="4" w:space="0" w:color="77B800"/>
              <w:left w:val="single" w:sz="4" w:space="0" w:color="77B800"/>
              <w:bottom w:val="single" w:sz="4" w:space="0" w:color="77B800"/>
              <w:right w:val="single" w:sz="4" w:space="0" w:color="77B800"/>
            </w:tcBorders>
            <w:hideMark/>
          </w:tcPr>
          <w:p w14:paraId="09D0DBF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2C92E8A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1AF4626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15FA934"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47E8DD7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1" w:type="dxa"/>
            <w:tcBorders>
              <w:top w:val="single" w:sz="4" w:space="0" w:color="77B800"/>
              <w:left w:val="single" w:sz="4" w:space="0" w:color="77B800"/>
              <w:bottom w:val="single" w:sz="4" w:space="0" w:color="77B800"/>
              <w:right w:val="single" w:sz="4" w:space="0" w:color="77B800"/>
            </w:tcBorders>
            <w:hideMark/>
          </w:tcPr>
          <w:p w14:paraId="4B859AC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5F8F936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2217428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955C64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7DEB154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1" w:type="dxa"/>
            <w:tcBorders>
              <w:top w:val="single" w:sz="4" w:space="0" w:color="77B800"/>
              <w:left w:val="single" w:sz="4" w:space="0" w:color="77B800"/>
              <w:bottom w:val="single" w:sz="4" w:space="0" w:color="77B800"/>
              <w:right w:val="single" w:sz="4" w:space="0" w:color="77B800"/>
            </w:tcBorders>
            <w:hideMark/>
          </w:tcPr>
          <w:p w14:paraId="3E9BC8C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7971D2C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1EB10D3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 risk was not well discussed</w:t>
            </w:r>
          </w:p>
        </w:tc>
      </w:tr>
      <w:tr w:rsidR="00A253C6" w:rsidRPr="0012277B" w14:paraId="0797B0FF"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AA4B24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1" w:type="dxa"/>
            <w:tcBorders>
              <w:top w:val="single" w:sz="4" w:space="0" w:color="77B800"/>
              <w:left w:val="single" w:sz="4" w:space="0" w:color="77B800"/>
              <w:bottom w:val="single" w:sz="4" w:space="0" w:color="77B800"/>
              <w:right w:val="single" w:sz="4" w:space="0" w:color="77B800"/>
            </w:tcBorders>
            <w:hideMark/>
          </w:tcPr>
          <w:p w14:paraId="5B589D9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71A1B7F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641B54F9"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AD189FF"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16DE6A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1" w:type="dxa"/>
            <w:tcBorders>
              <w:top w:val="single" w:sz="4" w:space="0" w:color="77B800"/>
              <w:left w:val="single" w:sz="4" w:space="0" w:color="77B800"/>
              <w:bottom w:val="single" w:sz="4" w:space="0" w:color="77B800"/>
              <w:right w:val="single" w:sz="4" w:space="0" w:color="77B800"/>
            </w:tcBorders>
            <w:hideMark/>
          </w:tcPr>
          <w:p w14:paraId="5035669C"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2BAE4A6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5868780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3/6 studies included, provided summary size effect (sES)</w:t>
            </w:r>
          </w:p>
        </w:tc>
      </w:tr>
      <w:tr w:rsidR="00A253C6" w:rsidRPr="0012277B" w14:paraId="48A4703B"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13A7D33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11</w:t>
            </w:r>
          </w:p>
        </w:tc>
        <w:tc>
          <w:tcPr>
            <w:tcW w:w="9211" w:type="dxa"/>
            <w:tcBorders>
              <w:top w:val="single" w:sz="4" w:space="0" w:color="77B800"/>
              <w:left w:val="single" w:sz="4" w:space="0" w:color="77B800"/>
              <w:bottom w:val="single" w:sz="4" w:space="0" w:color="77B800"/>
              <w:right w:val="single" w:sz="4" w:space="0" w:color="77B800"/>
            </w:tcBorders>
            <w:hideMark/>
          </w:tcPr>
          <w:p w14:paraId="285F3EE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68FBD2F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1FD850E7" w14:textId="5D7B2D1D"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Risk of bias was not well discussed</w:t>
            </w:r>
          </w:p>
        </w:tc>
      </w:tr>
      <w:tr w:rsidR="00A253C6" w:rsidRPr="0012277B" w14:paraId="2BCE0AFC"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77257C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1" w:type="dxa"/>
            <w:tcBorders>
              <w:top w:val="single" w:sz="4" w:space="0" w:color="77B800"/>
              <w:left w:val="single" w:sz="4" w:space="0" w:color="77B800"/>
              <w:bottom w:val="single" w:sz="4" w:space="0" w:color="77B800"/>
              <w:right w:val="single" w:sz="4" w:space="0" w:color="77B800"/>
            </w:tcBorders>
            <w:hideMark/>
          </w:tcPr>
          <w:p w14:paraId="289D7C8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CBF12B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093E0838" w14:textId="13658B25"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Limitation and risk of individual studies were not discussed</w:t>
            </w:r>
          </w:p>
        </w:tc>
      </w:tr>
      <w:tr w:rsidR="00A253C6" w:rsidRPr="0012277B" w14:paraId="0933D35A"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1A8839B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1" w:type="dxa"/>
            <w:tcBorders>
              <w:top w:val="single" w:sz="4" w:space="0" w:color="77B800"/>
              <w:left w:val="single" w:sz="4" w:space="0" w:color="77B800"/>
              <w:bottom w:val="single" w:sz="4" w:space="0" w:color="77B800"/>
              <w:right w:val="single" w:sz="4" w:space="0" w:color="77B800"/>
            </w:tcBorders>
            <w:hideMark/>
          </w:tcPr>
          <w:p w14:paraId="771A147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E8FF8E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344D013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I2 was calculated and discussed</w:t>
            </w:r>
          </w:p>
        </w:tc>
      </w:tr>
      <w:tr w:rsidR="00A253C6" w:rsidRPr="0012277B" w14:paraId="2C9D1C0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243FE4A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1" w:type="dxa"/>
            <w:tcBorders>
              <w:top w:val="single" w:sz="4" w:space="0" w:color="77B800"/>
              <w:left w:val="single" w:sz="4" w:space="0" w:color="77B800"/>
              <w:bottom w:val="single" w:sz="4" w:space="0" w:color="77B800"/>
              <w:right w:val="single" w:sz="4" w:space="0" w:color="77B800"/>
            </w:tcBorders>
            <w:hideMark/>
          </w:tcPr>
          <w:p w14:paraId="4233ED6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5D266EB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tcPr>
          <w:p w14:paraId="267333F6"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B7C4ACF"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224983E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1" w:type="dxa"/>
            <w:tcBorders>
              <w:top w:val="single" w:sz="4" w:space="0" w:color="77B800"/>
              <w:left w:val="single" w:sz="4" w:space="0" w:color="77B800"/>
              <w:bottom w:val="single" w:sz="4" w:space="0" w:color="77B800"/>
              <w:right w:val="single" w:sz="4" w:space="0" w:color="77B800"/>
            </w:tcBorders>
            <w:hideMark/>
          </w:tcPr>
          <w:p w14:paraId="7955E75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6F98FE2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5B5BCAB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conflicts declared</w:t>
            </w:r>
          </w:p>
        </w:tc>
      </w:tr>
    </w:tbl>
    <w:p w14:paraId="1A4EC4DD" w14:textId="77777777" w:rsidR="00A253C6" w:rsidRDefault="00A253C6" w:rsidP="00A253C6">
      <w:pPr>
        <w:rPr>
          <w:rFonts w:asciiTheme="majorHAnsi" w:hAnsiTheme="majorHAnsi"/>
          <w:b/>
          <w:color w:val="36424A" w:themeColor="text2"/>
          <w:sz w:val="24"/>
        </w:rPr>
      </w:pPr>
      <w:r>
        <w:br w:type="page"/>
      </w:r>
    </w:p>
    <w:p w14:paraId="5AE307DC" w14:textId="77777777" w:rsidR="00A253C6" w:rsidRPr="000F1320" w:rsidRDefault="00A253C6" w:rsidP="00A253C6">
      <w:pPr>
        <w:pStyle w:val="Heading3"/>
      </w:pPr>
      <w:bookmarkStart w:id="155" w:name="_Toc518922237"/>
      <w:r w:rsidRPr="008768DE">
        <w:lastRenderedPageBreak/>
        <w:t xml:space="preserve">Bertrand et al. </w:t>
      </w:r>
      <w:r>
        <w:t>(</w:t>
      </w:r>
      <w:r w:rsidRPr="008768DE">
        <w:t>2013</w:t>
      </w:r>
      <w:r>
        <w:t xml:space="preserve">) - </w:t>
      </w:r>
      <w:r w:rsidRPr="000F1320">
        <w:t>Mammographic density and risk of breast cancer by age and tumor characteristics</w:t>
      </w:r>
      <w:bookmarkEnd w:id="155"/>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No&#10;Appeared to be a convenience sample of studies, this was not justified&#10;&#10;Q2&#10;Did the report of the review contain an explicit statement that the review methods were established prior to the conduct of the review and did the report justify any significant deviations from the protocol?&#10;No &#10;&#10;Q3&#10;Did the review authors explain their selection of the study designs for inclusion in the review?&#10;No &#10;&#10;Q4&#10;Did the review authors use a comprehensive literature search strategy? &#10;No &#10;&#10;Q5&#10;Was there duplicate study selection and data extraction?&#10;No &#10;&#10;Q6&#10;Did the review authors provide a list of excluded studies and justify the exclusion?&#10;No &#10;&#10;Q7&#10;Did the review authors describe the included studies in adequate detail?&#10;Yes&#10;Additional files described the study well&#10;&#10;Q8&#10;Did the review authors use a satisfactory technique for assessing the risk of bias (RoB) in individual studies that were included in the review?&#10;No &#10;&#10;Q9&#10;Did the review authors report on the sources of funding for the studies included in the review?&#10;Yes&#10;This work was supported in part by the National Institutes of Health, National Cancer Institute, the Breast Cancer Research Foundation and the Department of Defense, KAB was supported by the Nutritional Epidemiology of Cancer Training Grant.&#10;&#10;Q10&#10;If meta-analysis was performed did the review authors use appropriate methods for statistical combination of results?&#10;Yes &#10;&#10;Q11&#10;If meta-analysis was performed, did the review authors assess the potential impact of RoB in individual studies on the results of the meta-analysis or other evidence synthesis?&#10;Yes&#10;Individual studies were report o for bias and confounders&#10;&#10;Q12&#10;Did the review authors account for RoB in individual studies when interpreting/discussing the results of the review?&#10;Yes  &#10;&#10;Q13&#10;Did the review authors provide a satisfactory explanation for, and discussion of, any heterogeneity observed in the results of the review?&#10;Yes&#10;Tests of heterogeneity were complete d by cancer subtype&#10;&#10;Q14&#10;If they performed quantitative synthesis did the review authors carry out an adequate investigation of publication bias (small study bias) and discuss its likely impact on the results of the review?&#10;Yes &#10;Discussed ethnicity, varied study designs and populations&#10;&#10;Q15&#10;Did the review authors report any potential sources of conflict of interest, including any funding they received for conducting the review?&#10;Yes &#10;Authors have no competing interests, all funding declared&#10;"/>
      </w:tblPr>
      <w:tblGrid>
        <w:gridCol w:w="442"/>
        <w:gridCol w:w="9211"/>
        <w:gridCol w:w="992"/>
        <w:gridCol w:w="3260"/>
      </w:tblGrid>
      <w:tr w:rsidR="00345CCE" w:rsidRPr="00345CCE" w14:paraId="127CCFEA" w14:textId="77777777" w:rsidTr="009107BC">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tcPr>
          <w:p w14:paraId="52B157E4"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1" w:type="dxa"/>
            <w:tcBorders>
              <w:top w:val="single" w:sz="4" w:space="0" w:color="77B800"/>
              <w:left w:val="single" w:sz="4" w:space="0" w:color="77B800"/>
              <w:bottom w:val="single" w:sz="4" w:space="0" w:color="77B800"/>
              <w:right w:val="single" w:sz="4" w:space="0" w:color="77B800"/>
            </w:tcBorders>
            <w:hideMark/>
          </w:tcPr>
          <w:p w14:paraId="78859EEA"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392E7616"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0" w:type="dxa"/>
            <w:tcBorders>
              <w:top w:val="single" w:sz="4" w:space="0" w:color="77B800"/>
              <w:left w:val="single" w:sz="4" w:space="0" w:color="77B800"/>
              <w:bottom w:val="single" w:sz="4" w:space="0" w:color="77B800"/>
              <w:right w:val="single" w:sz="4" w:space="0" w:color="77B800"/>
            </w:tcBorders>
            <w:hideMark/>
          </w:tcPr>
          <w:p w14:paraId="4675063B"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3C9E7D24"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59410C9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1" w:type="dxa"/>
            <w:tcBorders>
              <w:top w:val="single" w:sz="4" w:space="0" w:color="77B800"/>
              <w:left w:val="single" w:sz="4" w:space="0" w:color="77B800"/>
              <w:bottom w:val="single" w:sz="4" w:space="0" w:color="77B800"/>
              <w:right w:val="single" w:sz="4" w:space="0" w:color="77B800"/>
            </w:tcBorders>
            <w:hideMark/>
          </w:tcPr>
          <w:p w14:paraId="2F8DBD4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6BA20E6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430F4A3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Appeared to be a convenience sample of studies, this was not justified</w:t>
            </w:r>
          </w:p>
        </w:tc>
      </w:tr>
      <w:tr w:rsidR="00A253C6" w:rsidRPr="0012277B" w14:paraId="42089B9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2733962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1" w:type="dxa"/>
            <w:tcBorders>
              <w:top w:val="single" w:sz="4" w:space="0" w:color="77B800"/>
              <w:left w:val="single" w:sz="4" w:space="0" w:color="77B800"/>
              <w:bottom w:val="single" w:sz="4" w:space="0" w:color="77B800"/>
              <w:right w:val="single" w:sz="4" w:space="0" w:color="77B800"/>
            </w:tcBorders>
            <w:hideMark/>
          </w:tcPr>
          <w:p w14:paraId="011472B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0880DB4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5269DB2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BE84035"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5F4648D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1" w:type="dxa"/>
            <w:tcBorders>
              <w:top w:val="single" w:sz="4" w:space="0" w:color="77B800"/>
              <w:left w:val="single" w:sz="4" w:space="0" w:color="77B800"/>
              <w:bottom w:val="single" w:sz="4" w:space="0" w:color="77B800"/>
              <w:right w:val="single" w:sz="4" w:space="0" w:color="77B800"/>
            </w:tcBorders>
            <w:hideMark/>
          </w:tcPr>
          <w:p w14:paraId="266587D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201A441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2AB2E42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91FF35C"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07F3EB0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1" w:type="dxa"/>
            <w:tcBorders>
              <w:top w:val="single" w:sz="4" w:space="0" w:color="77B800"/>
              <w:left w:val="single" w:sz="4" w:space="0" w:color="77B800"/>
              <w:bottom w:val="single" w:sz="4" w:space="0" w:color="77B800"/>
              <w:right w:val="single" w:sz="4" w:space="0" w:color="77B800"/>
            </w:tcBorders>
            <w:hideMark/>
          </w:tcPr>
          <w:p w14:paraId="338C20B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21D0F18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67CE1C4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76C23EC"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09C7FE4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1" w:type="dxa"/>
            <w:tcBorders>
              <w:top w:val="single" w:sz="4" w:space="0" w:color="77B800"/>
              <w:left w:val="single" w:sz="4" w:space="0" w:color="77B800"/>
              <w:bottom w:val="single" w:sz="4" w:space="0" w:color="77B800"/>
              <w:right w:val="single" w:sz="4" w:space="0" w:color="77B800"/>
            </w:tcBorders>
            <w:hideMark/>
          </w:tcPr>
          <w:p w14:paraId="58725B7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362C634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5FE9CD0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C32C27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7AAAD10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1" w:type="dxa"/>
            <w:tcBorders>
              <w:top w:val="single" w:sz="4" w:space="0" w:color="77B800"/>
              <w:left w:val="single" w:sz="4" w:space="0" w:color="77B800"/>
              <w:bottom w:val="single" w:sz="4" w:space="0" w:color="77B800"/>
              <w:right w:val="single" w:sz="4" w:space="0" w:color="77B800"/>
            </w:tcBorders>
            <w:hideMark/>
          </w:tcPr>
          <w:p w14:paraId="0622C208"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7E7A6C5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hideMark/>
          </w:tcPr>
          <w:p w14:paraId="399C4C9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EC30963"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025B8DB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1" w:type="dxa"/>
            <w:tcBorders>
              <w:top w:val="single" w:sz="4" w:space="0" w:color="77B800"/>
              <w:left w:val="single" w:sz="4" w:space="0" w:color="77B800"/>
              <w:bottom w:val="single" w:sz="4" w:space="0" w:color="77B800"/>
              <w:right w:val="single" w:sz="4" w:space="0" w:color="77B800"/>
            </w:tcBorders>
            <w:hideMark/>
          </w:tcPr>
          <w:p w14:paraId="0D57DB8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7E8D992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1939F04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Additional files described the study well</w:t>
            </w:r>
          </w:p>
        </w:tc>
      </w:tr>
      <w:tr w:rsidR="00A253C6" w:rsidRPr="0012277B" w14:paraId="74CC32F3"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7B4C0D0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1" w:type="dxa"/>
            <w:tcBorders>
              <w:top w:val="single" w:sz="4" w:space="0" w:color="77B800"/>
              <w:left w:val="single" w:sz="4" w:space="0" w:color="77B800"/>
              <w:bottom w:val="single" w:sz="4" w:space="0" w:color="77B800"/>
              <w:right w:val="single" w:sz="4" w:space="0" w:color="77B800"/>
            </w:tcBorders>
            <w:hideMark/>
          </w:tcPr>
          <w:p w14:paraId="2F9BCABD"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06BD736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2D0004F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8E47827"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58CB9AB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1" w:type="dxa"/>
            <w:tcBorders>
              <w:top w:val="single" w:sz="4" w:space="0" w:color="77B800"/>
              <w:left w:val="single" w:sz="4" w:space="0" w:color="77B800"/>
              <w:bottom w:val="single" w:sz="4" w:space="0" w:color="77B800"/>
              <w:right w:val="single" w:sz="4" w:space="0" w:color="77B800"/>
            </w:tcBorders>
            <w:hideMark/>
          </w:tcPr>
          <w:p w14:paraId="15FA99C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49EA051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31D30E9D" w14:textId="77777777" w:rsidR="00A253C6" w:rsidRPr="000F1320" w:rsidRDefault="00A253C6" w:rsidP="009107BC">
            <w:pPr>
              <w:spacing w:line="280" w:lineRule="exact"/>
              <w:jc w:val="both"/>
              <w:rPr>
                <w:rFonts w:ascii="Calibri" w:eastAsia="Cambria" w:hAnsi="Calibri" w:cs="Times New Roman"/>
                <w:sz w:val="20"/>
                <w:szCs w:val="20"/>
                <w:lang w:val="en-US"/>
              </w:rPr>
            </w:pPr>
            <w:r w:rsidRPr="000F1320">
              <w:rPr>
                <w:rFonts w:ascii="Calibri" w:eastAsia="Cambria" w:hAnsi="Calibri" w:cs="Times New Roman"/>
                <w:sz w:val="20"/>
                <w:szCs w:val="20"/>
                <w:lang w:val="en-US"/>
              </w:rPr>
              <w:t>This work was supported in part by the National Institutes of Hea</w:t>
            </w:r>
            <w:r>
              <w:rPr>
                <w:rFonts w:ascii="Calibri" w:eastAsia="Cambria" w:hAnsi="Calibri" w:cs="Times New Roman"/>
                <w:sz w:val="20"/>
                <w:szCs w:val="20"/>
                <w:lang w:val="en-US"/>
              </w:rPr>
              <w:t xml:space="preserve">lth, National Cancer Institute, </w:t>
            </w:r>
            <w:r w:rsidRPr="000F1320">
              <w:rPr>
                <w:rFonts w:ascii="Calibri" w:eastAsia="Cambria" w:hAnsi="Calibri" w:cs="Times New Roman"/>
                <w:sz w:val="20"/>
                <w:szCs w:val="20"/>
                <w:lang w:val="en-US"/>
              </w:rPr>
              <w:t>the Breast Cancer Research Foundation</w:t>
            </w:r>
            <w:r>
              <w:rPr>
                <w:rFonts w:ascii="Calibri" w:eastAsia="Cambria" w:hAnsi="Calibri" w:cs="Times New Roman"/>
                <w:sz w:val="20"/>
                <w:szCs w:val="20"/>
                <w:lang w:val="en-US"/>
              </w:rPr>
              <w:t xml:space="preserve"> and the Department of Defense, </w:t>
            </w:r>
            <w:r w:rsidRPr="000F1320">
              <w:rPr>
                <w:rFonts w:ascii="Calibri" w:eastAsia="Cambria" w:hAnsi="Calibri" w:cs="Times New Roman"/>
                <w:sz w:val="20"/>
                <w:szCs w:val="20"/>
                <w:lang w:val="en-US"/>
              </w:rPr>
              <w:t>KAB was supported by the Nutritional Epidemiology of Cance</w:t>
            </w:r>
            <w:r>
              <w:rPr>
                <w:rFonts w:ascii="Calibri" w:eastAsia="Cambria" w:hAnsi="Calibri" w:cs="Times New Roman"/>
                <w:sz w:val="20"/>
                <w:szCs w:val="20"/>
                <w:lang w:val="en-US"/>
              </w:rPr>
              <w:t>r Training Grant.</w:t>
            </w:r>
          </w:p>
        </w:tc>
      </w:tr>
      <w:tr w:rsidR="00A253C6" w:rsidRPr="0012277B" w14:paraId="5B34F3C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3FE21ED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10</w:t>
            </w:r>
          </w:p>
        </w:tc>
        <w:tc>
          <w:tcPr>
            <w:tcW w:w="9211" w:type="dxa"/>
            <w:tcBorders>
              <w:top w:val="single" w:sz="4" w:space="0" w:color="77B800"/>
              <w:left w:val="single" w:sz="4" w:space="0" w:color="77B800"/>
              <w:bottom w:val="single" w:sz="4" w:space="0" w:color="77B800"/>
              <w:right w:val="single" w:sz="4" w:space="0" w:color="77B800"/>
            </w:tcBorders>
            <w:hideMark/>
          </w:tcPr>
          <w:p w14:paraId="60C64AE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3233E16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0B5BC8D9"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E9795D1"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197966C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1" w:type="dxa"/>
            <w:tcBorders>
              <w:top w:val="single" w:sz="4" w:space="0" w:color="77B800"/>
              <w:left w:val="single" w:sz="4" w:space="0" w:color="77B800"/>
              <w:bottom w:val="single" w:sz="4" w:space="0" w:color="77B800"/>
              <w:right w:val="single" w:sz="4" w:space="0" w:color="77B800"/>
            </w:tcBorders>
            <w:hideMark/>
          </w:tcPr>
          <w:p w14:paraId="6167897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5C11C9D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3179F422" w14:textId="77777777" w:rsidR="00A253C6" w:rsidRPr="00A253C6" w:rsidRDefault="00A253C6" w:rsidP="009107BC">
            <w:pPr>
              <w:spacing w:line="280" w:lineRule="exact"/>
              <w:jc w:val="both"/>
              <w:rPr>
                <w:rFonts w:eastAsia="Cambria" w:cstheme="majorHAnsi"/>
                <w:sz w:val="20"/>
                <w:szCs w:val="20"/>
                <w:lang w:val="en-US"/>
              </w:rPr>
            </w:pPr>
            <w:r w:rsidRPr="00A253C6">
              <w:rPr>
                <w:rFonts w:eastAsia="Cambria" w:cstheme="majorHAnsi"/>
                <w:sz w:val="20"/>
                <w:szCs w:val="20"/>
                <w:lang w:val="en-US"/>
              </w:rPr>
              <w:t>Individual studies were report o for bias and confounders</w:t>
            </w:r>
          </w:p>
        </w:tc>
      </w:tr>
      <w:tr w:rsidR="00A253C6" w:rsidRPr="0012277B" w14:paraId="6E4CADD5"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085B481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1" w:type="dxa"/>
            <w:tcBorders>
              <w:top w:val="single" w:sz="4" w:space="0" w:color="77B800"/>
              <w:left w:val="single" w:sz="4" w:space="0" w:color="77B800"/>
              <w:bottom w:val="single" w:sz="4" w:space="0" w:color="77B800"/>
              <w:right w:val="single" w:sz="4" w:space="0" w:color="77B800"/>
            </w:tcBorders>
            <w:hideMark/>
          </w:tcPr>
          <w:p w14:paraId="30EA94E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25EE18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7CFF6EDA" w14:textId="77777777" w:rsidR="00A253C6" w:rsidRPr="00A253C6" w:rsidRDefault="00A253C6" w:rsidP="009107BC">
            <w:pPr>
              <w:spacing w:line="280" w:lineRule="exact"/>
              <w:jc w:val="both"/>
              <w:rPr>
                <w:rFonts w:eastAsia="Cambria" w:cstheme="majorHAnsi"/>
                <w:sz w:val="20"/>
                <w:szCs w:val="20"/>
                <w:lang w:val="en-US"/>
              </w:rPr>
            </w:pPr>
          </w:p>
        </w:tc>
      </w:tr>
      <w:tr w:rsidR="00A253C6" w:rsidRPr="0012277B" w14:paraId="5664D279"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0EB5C25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1" w:type="dxa"/>
            <w:tcBorders>
              <w:top w:val="single" w:sz="4" w:space="0" w:color="77B800"/>
              <w:left w:val="single" w:sz="4" w:space="0" w:color="77B800"/>
              <w:bottom w:val="single" w:sz="4" w:space="0" w:color="77B800"/>
              <w:right w:val="single" w:sz="4" w:space="0" w:color="77B800"/>
            </w:tcBorders>
            <w:hideMark/>
          </w:tcPr>
          <w:p w14:paraId="6DED1DC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C9B5E0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2F727E52" w14:textId="77777777" w:rsidR="00A253C6" w:rsidRPr="00A253C6" w:rsidRDefault="00A253C6" w:rsidP="009107BC">
            <w:pPr>
              <w:spacing w:line="280" w:lineRule="exact"/>
              <w:jc w:val="both"/>
              <w:rPr>
                <w:rFonts w:cstheme="majorHAnsi"/>
                <w:szCs w:val="21"/>
                <w:shd w:val="clear" w:color="auto" w:fill="FFFFFF"/>
              </w:rPr>
            </w:pPr>
            <w:r w:rsidRPr="00A253C6">
              <w:rPr>
                <w:rFonts w:cstheme="majorHAnsi"/>
                <w:szCs w:val="21"/>
                <w:shd w:val="clear" w:color="auto" w:fill="FFFFFF"/>
              </w:rPr>
              <w:t>Tests of heterogeneity were complete d by cancer subtype</w:t>
            </w:r>
          </w:p>
        </w:tc>
      </w:tr>
      <w:tr w:rsidR="00A253C6" w:rsidRPr="0012277B" w14:paraId="3D59B91E"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74EB5F1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1" w:type="dxa"/>
            <w:tcBorders>
              <w:top w:val="single" w:sz="4" w:space="0" w:color="77B800"/>
              <w:left w:val="single" w:sz="4" w:space="0" w:color="77B800"/>
              <w:bottom w:val="single" w:sz="4" w:space="0" w:color="77B800"/>
              <w:right w:val="single" w:sz="4" w:space="0" w:color="77B800"/>
            </w:tcBorders>
            <w:hideMark/>
          </w:tcPr>
          <w:p w14:paraId="04AD091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7D41C51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5F32DD1E" w14:textId="3D022C9E" w:rsidR="00A253C6" w:rsidRPr="00A253C6" w:rsidRDefault="00A253C6" w:rsidP="009107BC">
            <w:pPr>
              <w:spacing w:line="280" w:lineRule="exact"/>
              <w:jc w:val="both"/>
              <w:rPr>
                <w:rFonts w:eastAsia="Cambria" w:cstheme="majorHAnsi"/>
                <w:sz w:val="20"/>
                <w:szCs w:val="20"/>
                <w:lang w:val="en-US"/>
              </w:rPr>
            </w:pPr>
            <w:r w:rsidRPr="00A253C6">
              <w:rPr>
                <w:rFonts w:eastAsia="Cambria" w:cstheme="majorHAnsi"/>
                <w:sz w:val="20"/>
                <w:szCs w:val="20"/>
                <w:lang w:val="en-US"/>
              </w:rPr>
              <w:t>Discussed ethnicity, varied study designs and populations</w:t>
            </w:r>
          </w:p>
        </w:tc>
      </w:tr>
      <w:tr w:rsidR="00A253C6" w:rsidRPr="0012277B" w14:paraId="243507CA"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61F78F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1" w:type="dxa"/>
            <w:tcBorders>
              <w:top w:val="single" w:sz="4" w:space="0" w:color="77B800"/>
              <w:left w:val="single" w:sz="4" w:space="0" w:color="77B800"/>
              <w:bottom w:val="single" w:sz="4" w:space="0" w:color="77B800"/>
              <w:right w:val="single" w:sz="4" w:space="0" w:color="77B800"/>
            </w:tcBorders>
            <w:hideMark/>
          </w:tcPr>
          <w:p w14:paraId="7071212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3F11CB8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hideMark/>
          </w:tcPr>
          <w:p w14:paraId="28BAE021" w14:textId="77777777" w:rsidR="00A253C6" w:rsidRPr="00A253C6" w:rsidRDefault="00A253C6" w:rsidP="009107BC">
            <w:pPr>
              <w:spacing w:line="280" w:lineRule="exact"/>
              <w:jc w:val="both"/>
              <w:rPr>
                <w:rFonts w:eastAsia="Cambria" w:cstheme="majorHAnsi"/>
                <w:sz w:val="20"/>
                <w:szCs w:val="20"/>
                <w:lang w:val="en-US"/>
              </w:rPr>
            </w:pPr>
            <w:r w:rsidRPr="00A253C6">
              <w:rPr>
                <w:rFonts w:eastAsia="Cambria" w:cstheme="majorHAnsi"/>
                <w:sz w:val="20"/>
                <w:szCs w:val="20"/>
                <w:lang w:val="en-US"/>
              </w:rPr>
              <w:t xml:space="preserve"> Authors </w:t>
            </w:r>
            <w:r w:rsidRPr="00A253C6">
              <w:rPr>
                <w:rFonts w:cstheme="majorHAnsi"/>
                <w:szCs w:val="21"/>
                <w:shd w:val="clear" w:color="auto" w:fill="FFFFFF"/>
              </w:rPr>
              <w:t>have no competing interests, all funding declared</w:t>
            </w:r>
          </w:p>
        </w:tc>
      </w:tr>
    </w:tbl>
    <w:p w14:paraId="217893E5" w14:textId="77777777" w:rsidR="00A253C6" w:rsidRDefault="00A253C6" w:rsidP="00A253C6">
      <w:pPr>
        <w:rPr>
          <w:rStyle w:val="Heading3Char"/>
          <w:b w:val="0"/>
        </w:rPr>
      </w:pPr>
      <w:r>
        <w:rPr>
          <w:rStyle w:val="Heading3Char"/>
        </w:rPr>
        <w:br w:type="page"/>
      </w:r>
    </w:p>
    <w:p w14:paraId="29CE84EB" w14:textId="77777777" w:rsidR="00A253C6" w:rsidRDefault="00A253C6" w:rsidP="00A253C6">
      <w:pPr>
        <w:pStyle w:val="Heading3"/>
      </w:pPr>
      <w:bookmarkStart w:id="156" w:name="_Toc518922238"/>
      <w:r>
        <w:rPr>
          <w:rStyle w:val="Heading3Char"/>
          <w:b/>
        </w:rPr>
        <w:lastRenderedPageBreak/>
        <w:t>Coop et al. (2016) - T</w:t>
      </w:r>
      <w:r w:rsidRPr="0002087D">
        <w:rPr>
          <w:noProof/>
        </w:rPr>
        <w:t>omosynthesis as a screening tool for breast cancer: A systematic review</w:t>
      </w:r>
      <w:bookmarkEnd w:id="156"/>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Yes &#10;&#10;Q3&#10;Did the review authors explain their selection of the study designs for inclusion in the review?&#10;Yes &#10;&#10;Q4&#10;Did the review authors use a comprehensive literature search strategy? &#10;Yes &#10;&#10;Q5&#10;Was there duplicate study selection and data extraction?&#10;Yes &#10;&#10;Q6&#10;Did the review authors provide a list of excluded studies and justify the exclusion?&#10;No&#10;Exclusion criteria: not in English, as well as any published before 2005 due to tomosynthesis only becoming clinically available after this point. Studies were also excluded if they compared DBT to ﬁlm-screen mammography, since current screening standards use digital breast mammography.&#10;&#10;Q7&#10;Did the review authors describe the included studies in adequate detail?&#10;Yes &#10;&#10;Q8&#10;Did the review authors use a satisfactory technique for assessing the risk of bias (RoB) in individual studies that were included in the review?&#10;Yes &#10;&#10;Q9&#10;Did the review authors report on the sources of funding for the studies included in the review?&#10;No &#10;&#10;Q10&#10;If meta-analysis was performed did the review authors use appropriate methods for statistical combination of results?&#10;Yes&#10;Some meta-analysis performed where possible&#10;&#10;Q11&#10;If meta-analysis was performed, did the review authors assess the potential impact of RoB in individual studies on the results of the meta-analysis or other evidence synthesis?&#10;Yes &#10;&#10;Q12&#10;Did the review authors account for RoB in individual studies when interpreting/discussing the results of the review?&#10;Yes &#10;&#10;Q13&#10;Did the review authors provide a satisfactory explanation for, and discussion of, any heterogeneity observed in the results of the review?&#10;Yes &#10;&#10;Q14&#10;If they performed quantitative synthesis did the review authors carry out an adequate investigation of publication bias (small study bias) and discuss its likely impact on the results of the review?  &#10;15&#10;Did the review authors report any potential sources of conflict of interest, including any funding they received for conducting the review?&#10;N/A&#10;None to report&#10;"/>
      </w:tblPr>
      <w:tblGrid>
        <w:gridCol w:w="442"/>
        <w:gridCol w:w="9211"/>
        <w:gridCol w:w="992"/>
        <w:gridCol w:w="3260"/>
      </w:tblGrid>
      <w:tr w:rsidR="00345CCE" w:rsidRPr="00345CCE" w14:paraId="6CEC1D90" w14:textId="77777777" w:rsidTr="009107BC">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tcPr>
          <w:p w14:paraId="72CE0535"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1" w:type="dxa"/>
            <w:tcBorders>
              <w:top w:val="single" w:sz="4" w:space="0" w:color="77B800"/>
              <w:left w:val="single" w:sz="4" w:space="0" w:color="77B800"/>
              <w:bottom w:val="single" w:sz="4" w:space="0" w:color="77B800"/>
              <w:right w:val="single" w:sz="4" w:space="0" w:color="77B800"/>
            </w:tcBorders>
            <w:hideMark/>
          </w:tcPr>
          <w:p w14:paraId="64AABA4A"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04B9826D"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0" w:type="dxa"/>
            <w:tcBorders>
              <w:top w:val="single" w:sz="4" w:space="0" w:color="77B800"/>
              <w:left w:val="single" w:sz="4" w:space="0" w:color="77B800"/>
              <w:bottom w:val="single" w:sz="4" w:space="0" w:color="77B800"/>
              <w:right w:val="single" w:sz="4" w:space="0" w:color="77B800"/>
            </w:tcBorders>
            <w:hideMark/>
          </w:tcPr>
          <w:p w14:paraId="5BCD4565"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4DC049E4"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937106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1" w:type="dxa"/>
            <w:tcBorders>
              <w:top w:val="single" w:sz="4" w:space="0" w:color="77B800"/>
              <w:left w:val="single" w:sz="4" w:space="0" w:color="77B800"/>
              <w:bottom w:val="single" w:sz="4" w:space="0" w:color="77B800"/>
              <w:right w:val="single" w:sz="4" w:space="0" w:color="77B800"/>
            </w:tcBorders>
            <w:hideMark/>
          </w:tcPr>
          <w:p w14:paraId="107D194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2A3ECAA6"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45F11BB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FFC36CE"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4DF7B9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1" w:type="dxa"/>
            <w:tcBorders>
              <w:top w:val="single" w:sz="4" w:space="0" w:color="77B800"/>
              <w:left w:val="single" w:sz="4" w:space="0" w:color="77B800"/>
              <w:bottom w:val="single" w:sz="4" w:space="0" w:color="77B800"/>
              <w:right w:val="single" w:sz="4" w:space="0" w:color="77B800"/>
            </w:tcBorders>
            <w:hideMark/>
          </w:tcPr>
          <w:p w14:paraId="6C94CF1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23DA1FB1"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01FE9DE6"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0C9DA34"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29CF43C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1" w:type="dxa"/>
            <w:tcBorders>
              <w:top w:val="single" w:sz="4" w:space="0" w:color="77B800"/>
              <w:left w:val="single" w:sz="4" w:space="0" w:color="77B800"/>
              <w:bottom w:val="single" w:sz="4" w:space="0" w:color="77B800"/>
              <w:right w:val="single" w:sz="4" w:space="0" w:color="77B800"/>
            </w:tcBorders>
            <w:hideMark/>
          </w:tcPr>
          <w:p w14:paraId="0F68B41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3ED28F8E"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2EDA1E51"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720F48D"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5AC4A90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1" w:type="dxa"/>
            <w:tcBorders>
              <w:top w:val="single" w:sz="4" w:space="0" w:color="77B800"/>
              <w:left w:val="single" w:sz="4" w:space="0" w:color="77B800"/>
              <w:bottom w:val="single" w:sz="4" w:space="0" w:color="77B800"/>
              <w:right w:val="single" w:sz="4" w:space="0" w:color="77B800"/>
            </w:tcBorders>
            <w:hideMark/>
          </w:tcPr>
          <w:p w14:paraId="4595247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05A5EEDD"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49C935C7"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3A45538"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5652963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1" w:type="dxa"/>
            <w:tcBorders>
              <w:top w:val="single" w:sz="4" w:space="0" w:color="77B800"/>
              <w:left w:val="single" w:sz="4" w:space="0" w:color="77B800"/>
              <w:bottom w:val="single" w:sz="4" w:space="0" w:color="77B800"/>
              <w:right w:val="single" w:sz="4" w:space="0" w:color="77B800"/>
            </w:tcBorders>
            <w:hideMark/>
          </w:tcPr>
          <w:p w14:paraId="3959C9B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449D7157"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6711DEF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D473F78"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42661FD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1" w:type="dxa"/>
            <w:tcBorders>
              <w:top w:val="single" w:sz="4" w:space="0" w:color="77B800"/>
              <w:left w:val="single" w:sz="4" w:space="0" w:color="77B800"/>
              <w:bottom w:val="single" w:sz="4" w:space="0" w:color="77B800"/>
              <w:right w:val="single" w:sz="4" w:space="0" w:color="77B800"/>
            </w:tcBorders>
            <w:hideMark/>
          </w:tcPr>
          <w:p w14:paraId="62E0FE9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6C9374CA"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hideMark/>
          </w:tcPr>
          <w:p w14:paraId="6FF46157"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Exclusion criteria: not in English, as well as any published before 2005 due to tomosynthesis only becoming clinically available after this point. Studies were also excluded if they compared DBT to ﬁlm-screen mammography, since current screening standards use digital breast mammography.</w:t>
            </w:r>
          </w:p>
        </w:tc>
      </w:tr>
      <w:tr w:rsidR="00A253C6" w:rsidRPr="0012277B" w14:paraId="013EFD55"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015A91A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1" w:type="dxa"/>
            <w:tcBorders>
              <w:top w:val="single" w:sz="4" w:space="0" w:color="77B800"/>
              <w:left w:val="single" w:sz="4" w:space="0" w:color="77B800"/>
              <w:bottom w:val="single" w:sz="4" w:space="0" w:color="77B800"/>
              <w:right w:val="single" w:sz="4" w:space="0" w:color="77B800"/>
            </w:tcBorders>
            <w:hideMark/>
          </w:tcPr>
          <w:p w14:paraId="0A914EF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03900BAB"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481C503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58B5926"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889547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1" w:type="dxa"/>
            <w:tcBorders>
              <w:top w:val="single" w:sz="4" w:space="0" w:color="77B800"/>
              <w:left w:val="single" w:sz="4" w:space="0" w:color="77B800"/>
              <w:bottom w:val="single" w:sz="4" w:space="0" w:color="77B800"/>
              <w:right w:val="single" w:sz="4" w:space="0" w:color="77B800"/>
            </w:tcBorders>
            <w:hideMark/>
          </w:tcPr>
          <w:p w14:paraId="777AF22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42A80CE5"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4403817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10A2C99"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5DE7DE3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1" w:type="dxa"/>
            <w:tcBorders>
              <w:top w:val="single" w:sz="4" w:space="0" w:color="77B800"/>
              <w:left w:val="single" w:sz="4" w:space="0" w:color="77B800"/>
              <w:bottom w:val="single" w:sz="4" w:space="0" w:color="77B800"/>
              <w:right w:val="single" w:sz="4" w:space="0" w:color="77B800"/>
            </w:tcBorders>
            <w:hideMark/>
          </w:tcPr>
          <w:p w14:paraId="2345EFC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4D0B82EC"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4DAA805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A166E1B"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1E5DBCC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10</w:t>
            </w:r>
          </w:p>
        </w:tc>
        <w:tc>
          <w:tcPr>
            <w:tcW w:w="9211" w:type="dxa"/>
            <w:tcBorders>
              <w:top w:val="single" w:sz="4" w:space="0" w:color="77B800"/>
              <w:left w:val="single" w:sz="4" w:space="0" w:color="77B800"/>
              <w:bottom w:val="single" w:sz="4" w:space="0" w:color="77B800"/>
              <w:right w:val="single" w:sz="4" w:space="0" w:color="77B800"/>
            </w:tcBorders>
            <w:hideMark/>
          </w:tcPr>
          <w:p w14:paraId="0D1F036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79D2E866"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2B2A8AAA"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Some meta-analysis performed where possible</w:t>
            </w:r>
          </w:p>
        </w:tc>
      </w:tr>
      <w:tr w:rsidR="00A253C6" w:rsidRPr="0012277B" w14:paraId="018F0D02"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698ACD2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1" w:type="dxa"/>
            <w:tcBorders>
              <w:top w:val="single" w:sz="4" w:space="0" w:color="77B800"/>
              <w:left w:val="single" w:sz="4" w:space="0" w:color="77B800"/>
              <w:bottom w:val="single" w:sz="4" w:space="0" w:color="77B800"/>
              <w:right w:val="single" w:sz="4" w:space="0" w:color="77B800"/>
            </w:tcBorders>
            <w:hideMark/>
          </w:tcPr>
          <w:p w14:paraId="0CEE79F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33C8BB50"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36C6BEB6"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B584640"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7F2C4B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1" w:type="dxa"/>
            <w:tcBorders>
              <w:top w:val="single" w:sz="4" w:space="0" w:color="77B800"/>
              <w:left w:val="single" w:sz="4" w:space="0" w:color="77B800"/>
              <w:bottom w:val="single" w:sz="4" w:space="0" w:color="77B800"/>
              <w:right w:val="single" w:sz="4" w:space="0" w:color="77B800"/>
            </w:tcBorders>
            <w:hideMark/>
          </w:tcPr>
          <w:p w14:paraId="67727DA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2E4B1954"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1217850F"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C6CFD83"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748BC8C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1" w:type="dxa"/>
            <w:tcBorders>
              <w:top w:val="single" w:sz="4" w:space="0" w:color="77B800"/>
              <w:left w:val="single" w:sz="4" w:space="0" w:color="77B800"/>
              <w:bottom w:val="single" w:sz="4" w:space="0" w:color="77B800"/>
              <w:right w:val="single" w:sz="4" w:space="0" w:color="77B800"/>
            </w:tcBorders>
            <w:hideMark/>
          </w:tcPr>
          <w:p w14:paraId="31A1AD9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228C6D84"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005232A1"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47D0C3D"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2C467F2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1" w:type="dxa"/>
            <w:tcBorders>
              <w:top w:val="single" w:sz="4" w:space="0" w:color="77B800"/>
              <w:left w:val="single" w:sz="4" w:space="0" w:color="77B800"/>
              <w:bottom w:val="single" w:sz="4" w:space="0" w:color="77B800"/>
              <w:right w:val="single" w:sz="4" w:space="0" w:color="77B800"/>
            </w:tcBorders>
            <w:hideMark/>
          </w:tcPr>
          <w:p w14:paraId="2789E1D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6FAA2F60" w14:textId="77777777" w:rsidR="00A253C6" w:rsidRPr="0012277B" w:rsidRDefault="00A253C6" w:rsidP="009107BC">
            <w:pPr>
              <w:spacing w:line="280" w:lineRule="exact"/>
              <w:jc w:val="both"/>
              <w:rPr>
                <w:rFonts w:ascii="Calibri" w:eastAsia="Cambria" w:hAnsi="Calibri" w:cs="Times New Roman"/>
                <w:sz w:val="20"/>
                <w:szCs w:val="20"/>
                <w:lang w:val="en-US"/>
              </w:rPr>
            </w:pPr>
          </w:p>
        </w:tc>
        <w:tc>
          <w:tcPr>
            <w:tcW w:w="3260" w:type="dxa"/>
            <w:tcBorders>
              <w:top w:val="single" w:sz="4" w:space="0" w:color="77B800"/>
              <w:left w:val="single" w:sz="4" w:space="0" w:color="77B800"/>
              <w:bottom w:val="single" w:sz="4" w:space="0" w:color="77B800"/>
              <w:right w:val="single" w:sz="4" w:space="0" w:color="77B800"/>
            </w:tcBorders>
          </w:tcPr>
          <w:p w14:paraId="6EE8652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F9047B7"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2C4B6B3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1" w:type="dxa"/>
            <w:tcBorders>
              <w:top w:val="single" w:sz="4" w:space="0" w:color="77B800"/>
              <w:left w:val="single" w:sz="4" w:space="0" w:color="77B800"/>
              <w:bottom w:val="single" w:sz="4" w:space="0" w:color="77B800"/>
              <w:right w:val="single" w:sz="4" w:space="0" w:color="77B800"/>
            </w:tcBorders>
            <w:hideMark/>
          </w:tcPr>
          <w:p w14:paraId="645DA5ED"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77B359B9"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hideMark/>
          </w:tcPr>
          <w:p w14:paraId="36860C3D" w14:textId="77777777" w:rsidR="00A253C6" w:rsidRPr="0012277B" w:rsidRDefault="00A253C6" w:rsidP="009107BC">
            <w:pPr>
              <w:spacing w:line="280" w:lineRule="exact"/>
              <w:jc w:val="both"/>
              <w:rPr>
                <w:rFonts w:ascii="Calibri" w:eastAsia="Cambria" w:hAnsi="Calibri" w:cs="Times New Roman"/>
                <w:sz w:val="20"/>
                <w:szCs w:val="20"/>
                <w:lang w:val="en-US"/>
              </w:rPr>
            </w:pPr>
            <w:r>
              <w:rPr>
                <w:sz w:val="20"/>
                <w:szCs w:val="20"/>
                <w:lang w:val="en-US"/>
              </w:rPr>
              <w:t>None to report</w:t>
            </w:r>
          </w:p>
        </w:tc>
      </w:tr>
    </w:tbl>
    <w:p w14:paraId="6D1C233A" w14:textId="77777777" w:rsidR="00A253C6" w:rsidRDefault="00A253C6" w:rsidP="00A253C6">
      <w:pPr>
        <w:pStyle w:val="Heading2"/>
      </w:pPr>
      <w:r>
        <w:br w:type="page"/>
      </w:r>
    </w:p>
    <w:p w14:paraId="6B80498D" w14:textId="77777777" w:rsidR="00A253C6" w:rsidRDefault="00A253C6" w:rsidP="00A253C6">
      <w:pPr>
        <w:pStyle w:val="Heading3"/>
      </w:pPr>
      <w:bookmarkStart w:id="157" w:name="_Toc518922239"/>
      <w:r w:rsidRPr="00C00DD8">
        <w:lastRenderedPageBreak/>
        <w:t xml:space="preserve">Gartlehner et al. </w:t>
      </w:r>
      <w:r>
        <w:t>(</w:t>
      </w:r>
      <w:r w:rsidRPr="00C00DD8">
        <w:t>2013</w:t>
      </w:r>
      <w:r>
        <w:t>) - Adjunct ultrasonography for breast cancer screening in women at average risk: a systematic review</w:t>
      </w:r>
      <w:bookmarkEnd w:id="157"/>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Yes  &#10;&#10;Q3&#10;Did the review authors explain their selection of the study designs for inclusion in the review?&#10;Yes&#10;RCTs, with either individual or cluster randomisation, and prospective,&#10;controlled non-randomised studies with a low risk of bias and a sample size of at least 500 participants.&#10;In addition to studies eligible for efficacy, we considered any controlled, non-randomised study with a low risk of bias and a study size of at least 500 participants for the assessment of harms.&#10;Our population of interest were women between the ages of 40 and 75 years who were at average risk for breast cancer.&#10;&#10;Q4&#10;Did the review authors use a comprehensive literature search strategy? &#10;Yes &#10;&#10;Q5&#10;Was there duplicate study selection and data extraction?&#10;Yes &#10;&#10;Q6&#10;Did the review authors provide a list of excluded studies and justify the exclusion?&#10;Yes &#10;&#10;Q7&#10;Did the review authors describe the included studies in adequate detail?&#10;N/A&#10;No studies were found&#10;&#10;Q8&#10;Did the review authors use a satisfactory technique for assessing the risk of bias (RoB) in individual studies that were included in the review?&#10;Yes &#10;&#10;Q9&#10;Did the review authors report on the sources of funding for the studies included in the review?&#10;No &#10;&#10;Q10&#10;If meta-analysis was performed did the review authors use appropriate methods for statistical combination of results?&#10;N/A&#10;No studies were found&#10;&#10;Q11&#10;If meta-analysis was performed, did the review authors assess the potential impact of RoB in individual studies on the results of the meta-analysis or other evidence synthesis?&#10;N/A&#10;No studies were found&#10;&#10;Q12&#10;Did the review authors account for RoB in individual studies when interpreting/discussing the results of the review?&#10;N/A&#10;No studies were found&#10;&#10;Q13&#10;Did the review authors provide a satisfactory explanation for, and discussion of, any heterogeneity observed in the results of the review?&#10;N/A&#10;No studies were found&#10;&#10;Q14&#10;If they performed quantitative synthesis did the review authors carry out an adequate investigation of publication bias (small study bias) and discuss its likely impact on the results of the review?&#10;N/A&#10;No studies were found&#10;&#10;Q15&#10;Did the review authors report any potential sources of conflict of interest, including any funding they received for conducting the review?&#10;No &#10;"/>
      </w:tblPr>
      <w:tblGrid>
        <w:gridCol w:w="442"/>
        <w:gridCol w:w="9211"/>
        <w:gridCol w:w="992"/>
        <w:gridCol w:w="3260"/>
      </w:tblGrid>
      <w:tr w:rsidR="00345CCE" w:rsidRPr="00345CCE" w14:paraId="6B89E5BD" w14:textId="77777777" w:rsidTr="009107BC">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tcPr>
          <w:p w14:paraId="33928C33"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1" w:type="dxa"/>
            <w:tcBorders>
              <w:top w:val="single" w:sz="4" w:space="0" w:color="77B800"/>
              <w:left w:val="single" w:sz="4" w:space="0" w:color="77B800"/>
              <w:bottom w:val="single" w:sz="4" w:space="0" w:color="77B800"/>
              <w:right w:val="single" w:sz="4" w:space="0" w:color="77B800"/>
            </w:tcBorders>
            <w:hideMark/>
          </w:tcPr>
          <w:p w14:paraId="1819629C"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20E8CB99"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0" w:type="dxa"/>
            <w:tcBorders>
              <w:top w:val="single" w:sz="4" w:space="0" w:color="77B800"/>
              <w:left w:val="single" w:sz="4" w:space="0" w:color="77B800"/>
              <w:bottom w:val="single" w:sz="4" w:space="0" w:color="77B800"/>
              <w:right w:val="single" w:sz="4" w:space="0" w:color="77B800"/>
            </w:tcBorders>
            <w:hideMark/>
          </w:tcPr>
          <w:p w14:paraId="1DD766A7"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4220F781"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243F720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1" w:type="dxa"/>
            <w:tcBorders>
              <w:top w:val="single" w:sz="4" w:space="0" w:color="77B800"/>
              <w:left w:val="single" w:sz="4" w:space="0" w:color="77B800"/>
              <w:bottom w:val="single" w:sz="4" w:space="0" w:color="77B800"/>
              <w:right w:val="single" w:sz="4" w:space="0" w:color="77B800"/>
            </w:tcBorders>
            <w:hideMark/>
          </w:tcPr>
          <w:p w14:paraId="310665D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5D7CAC4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12EA508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EB0BC63"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05C3F83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1" w:type="dxa"/>
            <w:tcBorders>
              <w:top w:val="single" w:sz="4" w:space="0" w:color="77B800"/>
              <w:left w:val="single" w:sz="4" w:space="0" w:color="77B800"/>
              <w:bottom w:val="single" w:sz="4" w:space="0" w:color="77B800"/>
              <w:right w:val="single" w:sz="4" w:space="0" w:color="77B800"/>
            </w:tcBorders>
            <w:hideMark/>
          </w:tcPr>
          <w:p w14:paraId="4A1716F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72D92DF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10C63375" w14:textId="77777777" w:rsidR="00A253C6" w:rsidRPr="00A253C6" w:rsidRDefault="00A253C6" w:rsidP="009107BC">
            <w:pPr>
              <w:spacing w:line="280" w:lineRule="exact"/>
              <w:jc w:val="both"/>
              <w:rPr>
                <w:rFonts w:eastAsia="Cambria" w:cstheme="majorHAnsi"/>
                <w:sz w:val="20"/>
                <w:szCs w:val="20"/>
                <w:lang w:val="en-US"/>
              </w:rPr>
            </w:pPr>
          </w:p>
        </w:tc>
      </w:tr>
      <w:tr w:rsidR="00A253C6" w:rsidRPr="0012277B" w14:paraId="45C2078D"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7D37F43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1" w:type="dxa"/>
            <w:tcBorders>
              <w:top w:val="single" w:sz="4" w:space="0" w:color="77B800"/>
              <w:left w:val="single" w:sz="4" w:space="0" w:color="77B800"/>
              <w:bottom w:val="single" w:sz="4" w:space="0" w:color="77B800"/>
              <w:right w:val="single" w:sz="4" w:space="0" w:color="77B800"/>
            </w:tcBorders>
            <w:hideMark/>
          </w:tcPr>
          <w:p w14:paraId="66A18C9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E9A90B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 Yes</w:t>
            </w:r>
          </w:p>
        </w:tc>
        <w:tc>
          <w:tcPr>
            <w:tcW w:w="3260" w:type="dxa"/>
            <w:tcBorders>
              <w:top w:val="single" w:sz="4" w:space="0" w:color="77B800"/>
              <w:left w:val="single" w:sz="4" w:space="0" w:color="77B800"/>
              <w:bottom w:val="single" w:sz="4" w:space="0" w:color="77B800"/>
              <w:right w:val="single" w:sz="4" w:space="0" w:color="77B800"/>
            </w:tcBorders>
          </w:tcPr>
          <w:p w14:paraId="6AAF5203" w14:textId="77777777" w:rsidR="00A253C6" w:rsidRPr="00A253C6" w:rsidRDefault="00A253C6" w:rsidP="009107BC">
            <w:pPr>
              <w:autoSpaceDE w:val="0"/>
              <w:autoSpaceDN w:val="0"/>
              <w:adjustRightInd w:val="0"/>
              <w:rPr>
                <w:rFonts w:cstheme="majorHAnsi"/>
                <w:sz w:val="18"/>
                <w:szCs w:val="18"/>
              </w:rPr>
            </w:pPr>
            <w:r w:rsidRPr="00A253C6">
              <w:rPr>
                <w:rFonts w:cstheme="majorHAnsi"/>
                <w:sz w:val="18"/>
                <w:szCs w:val="18"/>
              </w:rPr>
              <w:t>RCTs, with either individual or cluster randomisation, and prospective,</w:t>
            </w:r>
          </w:p>
          <w:p w14:paraId="62EA357F" w14:textId="77777777" w:rsidR="00A253C6" w:rsidRPr="00A253C6" w:rsidRDefault="00A253C6" w:rsidP="009107BC">
            <w:pPr>
              <w:autoSpaceDE w:val="0"/>
              <w:autoSpaceDN w:val="0"/>
              <w:adjustRightInd w:val="0"/>
              <w:rPr>
                <w:rFonts w:cstheme="majorHAnsi"/>
                <w:sz w:val="18"/>
                <w:szCs w:val="18"/>
              </w:rPr>
            </w:pPr>
            <w:proofErr w:type="gramStart"/>
            <w:r w:rsidRPr="00A253C6">
              <w:rPr>
                <w:rFonts w:cstheme="majorHAnsi"/>
                <w:sz w:val="18"/>
                <w:szCs w:val="18"/>
              </w:rPr>
              <w:t>controlled</w:t>
            </w:r>
            <w:proofErr w:type="gramEnd"/>
            <w:r w:rsidRPr="00A253C6">
              <w:rPr>
                <w:rFonts w:cstheme="majorHAnsi"/>
                <w:sz w:val="18"/>
                <w:szCs w:val="18"/>
              </w:rPr>
              <w:t xml:space="preserve"> non-randomised studies with a low risk of bias and a sample size of at least 500 participants.</w:t>
            </w:r>
          </w:p>
          <w:p w14:paraId="4E13455E" w14:textId="77777777" w:rsidR="00A253C6" w:rsidRPr="00A253C6" w:rsidRDefault="00A253C6" w:rsidP="009107BC">
            <w:pPr>
              <w:autoSpaceDE w:val="0"/>
              <w:autoSpaceDN w:val="0"/>
              <w:adjustRightInd w:val="0"/>
              <w:rPr>
                <w:rFonts w:cstheme="majorHAnsi"/>
                <w:sz w:val="18"/>
                <w:szCs w:val="18"/>
              </w:rPr>
            </w:pPr>
            <w:r w:rsidRPr="00A253C6">
              <w:rPr>
                <w:rFonts w:cstheme="majorHAnsi"/>
                <w:sz w:val="18"/>
                <w:szCs w:val="18"/>
              </w:rPr>
              <w:t>In addition to studies eligible for efficacy, we considered any controlled, non-randomised study with a low risk of bias and a study size</w:t>
            </w:r>
          </w:p>
          <w:p w14:paraId="54590721" w14:textId="77777777" w:rsidR="00A253C6" w:rsidRPr="00A253C6" w:rsidRDefault="00A253C6" w:rsidP="009107BC">
            <w:pPr>
              <w:autoSpaceDE w:val="0"/>
              <w:autoSpaceDN w:val="0"/>
              <w:adjustRightInd w:val="0"/>
              <w:rPr>
                <w:rFonts w:cstheme="majorHAnsi"/>
                <w:sz w:val="18"/>
                <w:szCs w:val="18"/>
              </w:rPr>
            </w:pPr>
            <w:proofErr w:type="gramStart"/>
            <w:r w:rsidRPr="00A253C6">
              <w:rPr>
                <w:rFonts w:cstheme="majorHAnsi"/>
                <w:sz w:val="18"/>
                <w:szCs w:val="18"/>
              </w:rPr>
              <w:t>of</w:t>
            </w:r>
            <w:proofErr w:type="gramEnd"/>
            <w:r w:rsidRPr="00A253C6">
              <w:rPr>
                <w:rFonts w:cstheme="majorHAnsi"/>
                <w:sz w:val="18"/>
                <w:szCs w:val="18"/>
              </w:rPr>
              <w:t xml:space="preserve"> at least 500 participants for the assessment of harms.</w:t>
            </w:r>
          </w:p>
          <w:p w14:paraId="767370F9" w14:textId="77777777" w:rsidR="00A253C6" w:rsidRPr="00A253C6" w:rsidRDefault="00A253C6" w:rsidP="009107BC">
            <w:pPr>
              <w:spacing w:line="280" w:lineRule="exact"/>
              <w:jc w:val="both"/>
              <w:rPr>
                <w:rFonts w:eastAsia="Cambria" w:cstheme="majorHAnsi"/>
                <w:sz w:val="20"/>
                <w:szCs w:val="20"/>
                <w:lang w:val="en-US"/>
              </w:rPr>
            </w:pPr>
            <w:r w:rsidRPr="00A253C6">
              <w:rPr>
                <w:rFonts w:cstheme="majorHAnsi"/>
                <w:sz w:val="18"/>
                <w:szCs w:val="18"/>
              </w:rPr>
              <w:t>Our population of interest were women between the ages of 40 and 75 years who were at average risk for breast cancer.</w:t>
            </w:r>
          </w:p>
        </w:tc>
      </w:tr>
      <w:tr w:rsidR="00A253C6" w:rsidRPr="0012277B" w14:paraId="51B19039"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3FA8993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1" w:type="dxa"/>
            <w:tcBorders>
              <w:top w:val="single" w:sz="4" w:space="0" w:color="77B800"/>
              <w:left w:val="single" w:sz="4" w:space="0" w:color="77B800"/>
              <w:bottom w:val="single" w:sz="4" w:space="0" w:color="77B800"/>
              <w:right w:val="single" w:sz="4" w:space="0" w:color="77B800"/>
            </w:tcBorders>
            <w:hideMark/>
          </w:tcPr>
          <w:p w14:paraId="420BC46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5879837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48B48DD2" w14:textId="77777777" w:rsidR="00A253C6" w:rsidRPr="00A253C6" w:rsidRDefault="00A253C6" w:rsidP="009107BC">
            <w:pPr>
              <w:spacing w:line="280" w:lineRule="exact"/>
              <w:jc w:val="both"/>
              <w:rPr>
                <w:rFonts w:eastAsia="Cambria" w:cstheme="majorHAnsi"/>
                <w:sz w:val="20"/>
                <w:szCs w:val="20"/>
                <w:lang w:val="en-US"/>
              </w:rPr>
            </w:pPr>
          </w:p>
        </w:tc>
      </w:tr>
      <w:tr w:rsidR="00A253C6" w:rsidRPr="0012277B" w14:paraId="0D7DC432"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23F6B9D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1" w:type="dxa"/>
            <w:tcBorders>
              <w:top w:val="single" w:sz="4" w:space="0" w:color="77B800"/>
              <w:left w:val="single" w:sz="4" w:space="0" w:color="77B800"/>
              <w:bottom w:val="single" w:sz="4" w:space="0" w:color="77B800"/>
              <w:right w:val="single" w:sz="4" w:space="0" w:color="77B800"/>
            </w:tcBorders>
            <w:hideMark/>
          </w:tcPr>
          <w:p w14:paraId="4B45475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3BCF090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109A60BC" w14:textId="77777777" w:rsidR="00A253C6" w:rsidRPr="00A253C6" w:rsidRDefault="00A253C6" w:rsidP="009107BC">
            <w:pPr>
              <w:spacing w:line="280" w:lineRule="exact"/>
              <w:jc w:val="both"/>
              <w:rPr>
                <w:rFonts w:eastAsia="Cambria" w:cstheme="majorHAnsi"/>
                <w:sz w:val="20"/>
                <w:szCs w:val="20"/>
                <w:lang w:val="en-US"/>
              </w:rPr>
            </w:pPr>
          </w:p>
        </w:tc>
      </w:tr>
      <w:tr w:rsidR="00A253C6" w:rsidRPr="0012277B" w14:paraId="01C152F1"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2CDC78F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1" w:type="dxa"/>
            <w:tcBorders>
              <w:top w:val="single" w:sz="4" w:space="0" w:color="77B800"/>
              <w:left w:val="single" w:sz="4" w:space="0" w:color="77B800"/>
              <w:bottom w:val="single" w:sz="4" w:space="0" w:color="77B800"/>
              <w:right w:val="single" w:sz="4" w:space="0" w:color="77B800"/>
            </w:tcBorders>
            <w:hideMark/>
          </w:tcPr>
          <w:p w14:paraId="2119B4E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723D266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2EF82C1E" w14:textId="77777777" w:rsidR="00A253C6" w:rsidRPr="00A253C6" w:rsidRDefault="00A253C6" w:rsidP="009107BC">
            <w:pPr>
              <w:spacing w:line="280" w:lineRule="exact"/>
              <w:jc w:val="both"/>
              <w:rPr>
                <w:rFonts w:eastAsia="Cambria" w:cstheme="majorHAnsi"/>
                <w:sz w:val="20"/>
                <w:szCs w:val="20"/>
                <w:lang w:val="en-US"/>
              </w:rPr>
            </w:pPr>
          </w:p>
        </w:tc>
      </w:tr>
      <w:tr w:rsidR="00A253C6" w:rsidRPr="0012277B" w14:paraId="01E2EAA9"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7097AB6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1" w:type="dxa"/>
            <w:tcBorders>
              <w:top w:val="single" w:sz="4" w:space="0" w:color="77B800"/>
              <w:left w:val="single" w:sz="4" w:space="0" w:color="77B800"/>
              <w:bottom w:val="single" w:sz="4" w:space="0" w:color="77B800"/>
              <w:right w:val="single" w:sz="4" w:space="0" w:color="77B800"/>
            </w:tcBorders>
            <w:hideMark/>
          </w:tcPr>
          <w:p w14:paraId="0598B0E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4DC71D6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tcPr>
          <w:p w14:paraId="6AC0CF70" w14:textId="77777777" w:rsidR="00A253C6" w:rsidRPr="00A253C6" w:rsidRDefault="00A253C6" w:rsidP="009107BC">
            <w:pPr>
              <w:spacing w:line="280" w:lineRule="exact"/>
              <w:jc w:val="both"/>
              <w:rPr>
                <w:rFonts w:eastAsia="Cambria" w:cstheme="majorHAnsi"/>
                <w:sz w:val="20"/>
                <w:szCs w:val="20"/>
                <w:lang w:val="en-US"/>
              </w:rPr>
            </w:pPr>
            <w:r w:rsidRPr="00A253C6">
              <w:rPr>
                <w:rFonts w:eastAsia="Cambria" w:cstheme="majorHAnsi"/>
                <w:sz w:val="20"/>
                <w:szCs w:val="20"/>
                <w:lang w:val="en-US"/>
              </w:rPr>
              <w:t>No studies were found</w:t>
            </w:r>
          </w:p>
        </w:tc>
      </w:tr>
      <w:tr w:rsidR="00A253C6" w:rsidRPr="0012277B" w14:paraId="1903770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7951093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1" w:type="dxa"/>
            <w:tcBorders>
              <w:top w:val="single" w:sz="4" w:space="0" w:color="77B800"/>
              <w:left w:val="single" w:sz="4" w:space="0" w:color="77B800"/>
              <w:bottom w:val="single" w:sz="4" w:space="0" w:color="77B800"/>
              <w:right w:val="single" w:sz="4" w:space="0" w:color="77B800"/>
            </w:tcBorders>
            <w:hideMark/>
          </w:tcPr>
          <w:p w14:paraId="34DC840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0AC24F6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5B6DA94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EE06F54"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4FA6C3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9</w:t>
            </w:r>
          </w:p>
        </w:tc>
        <w:tc>
          <w:tcPr>
            <w:tcW w:w="9211" w:type="dxa"/>
            <w:tcBorders>
              <w:top w:val="single" w:sz="4" w:space="0" w:color="77B800"/>
              <w:left w:val="single" w:sz="4" w:space="0" w:color="77B800"/>
              <w:bottom w:val="single" w:sz="4" w:space="0" w:color="77B800"/>
              <w:right w:val="single" w:sz="4" w:space="0" w:color="77B800"/>
            </w:tcBorders>
            <w:hideMark/>
          </w:tcPr>
          <w:p w14:paraId="06171D1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3FC3559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tcPr>
          <w:p w14:paraId="43B76D1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CD010A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331BEC4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1" w:type="dxa"/>
            <w:tcBorders>
              <w:top w:val="single" w:sz="4" w:space="0" w:color="77B800"/>
              <w:left w:val="single" w:sz="4" w:space="0" w:color="77B800"/>
              <w:bottom w:val="single" w:sz="4" w:space="0" w:color="77B800"/>
              <w:right w:val="single" w:sz="4" w:space="0" w:color="77B800"/>
            </w:tcBorders>
            <w:hideMark/>
          </w:tcPr>
          <w:p w14:paraId="5143C53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2FF0D67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hideMark/>
          </w:tcPr>
          <w:p w14:paraId="45619CF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studies were found</w:t>
            </w:r>
          </w:p>
        </w:tc>
      </w:tr>
      <w:tr w:rsidR="00A253C6" w:rsidRPr="0012277B" w14:paraId="5DFAC1A1"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651C2E8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1" w:type="dxa"/>
            <w:tcBorders>
              <w:top w:val="single" w:sz="4" w:space="0" w:color="77B800"/>
              <w:left w:val="single" w:sz="4" w:space="0" w:color="77B800"/>
              <w:bottom w:val="single" w:sz="4" w:space="0" w:color="77B800"/>
              <w:right w:val="single" w:sz="4" w:space="0" w:color="77B800"/>
            </w:tcBorders>
            <w:hideMark/>
          </w:tcPr>
          <w:p w14:paraId="0532236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6F83D90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tcPr>
          <w:p w14:paraId="302A333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studies were found</w:t>
            </w:r>
          </w:p>
        </w:tc>
      </w:tr>
      <w:tr w:rsidR="00A253C6" w:rsidRPr="0012277B" w14:paraId="7FBF1B7E"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77E32DB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1" w:type="dxa"/>
            <w:tcBorders>
              <w:top w:val="single" w:sz="4" w:space="0" w:color="77B800"/>
              <w:left w:val="single" w:sz="4" w:space="0" w:color="77B800"/>
              <w:bottom w:val="single" w:sz="4" w:space="0" w:color="77B800"/>
              <w:right w:val="single" w:sz="4" w:space="0" w:color="77B800"/>
            </w:tcBorders>
            <w:hideMark/>
          </w:tcPr>
          <w:p w14:paraId="615E3C8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77448F35"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tcPr>
          <w:p w14:paraId="1C36DCB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studies were found</w:t>
            </w:r>
          </w:p>
        </w:tc>
      </w:tr>
      <w:tr w:rsidR="00A253C6" w:rsidRPr="0012277B" w14:paraId="74D6B82A"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618EB2F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1" w:type="dxa"/>
            <w:tcBorders>
              <w:top w:val="single" w:sz="4" w:space="0" w:color="77B800"/>
              <w:left w:val="single" w:sz="4" w:space="0" w:color="77B800"/>
              <w:bottom w:val="single" w:sz="4" w:space="0" w:color="77B800"/>
              <w:right w:val="single" w:sz="4" w:space="0" w:color="77B800"/>
            </w:tcBorders>
            <w:hideMark/>
          </w:tcPr>
          <w:p w14:paraId="3A75D52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557EFDF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tcPr>
          <w:p w14:paraId="03E149B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studies were found</w:t>
            </w:r>
          </w:p>
        </w:tc>
      </w:tr>
      <w:tr w:rsidR="00A253C6" w:rsidRPr="0012277B" w14:paraId="74984545"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C6421A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1" w:type="dxa"/>
            <w:tcBorders>
              <w:top w:val="single" w:sz="4" w:space="0" w:color="77B800"/>
              <w:left w:val="single" w:sz="4" w:space="0" w:color="77B800"/>
              <w:bottom w:val="single" w:sz="4" w:space="0" w:color="77B800"/>
              <w:right w:val="single" w:sz="4" w:space="0" w:color="77B800"/>
            </w:tcBorders>
            <w:hideMark/>
          </w:tcPr>
          <w:p w14:paraId="586C3AB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4B15751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0" w:type="dxa"/>
            <w:tcBorders>
              <w:top w:val="single" w:sz="4" w:space="0" w:color="77B800"/>
              <w:left w:val="single" w:sz="4" w:space="0" w:color="77B800"/>
              <w:bottom w:val="single" w:sz="4" w:space="0" w:color="77B800"/>
              <w:right w:val="single" w:sz="4" w:space="0" w:color="77B800"/>
            </w:tcBorders>
          </w:tcPr>
          <w:p w14:paraId="1139E1C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studies were found</w:t>
            </w:r>
          </w:p>
        </w:tc>
      </w:tr>
      <w:tr w:rsidR="00A253C6" w:rsidRPr="0012277B" w14:paraId="7B751C9A"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10A6531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1" w:type="dxa"/>
            <w:tcBorders>
              <w:top w:val="single" w:sz="4" w:space="0" w:color="77B800"/>
              <w:left w:val="single" w:sz="4" w:space="0" w:color="77B800"/>
              <w:bottom w:val="single" w:sz="4" w:space="0" w:color="77B800"/>
              <w:right w:val="single" w:sz="4" w:space="0" w:color="77B800"/>
            </w:tcBorders>
            <w:hideMark/>
          </w:tcPr>
          <w:p w14:paraId="57CD755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001B4CF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0" w:type="dxa"/>
            <w:tcBorders>
              <w:top w:val="single" w:sz="4" w:space="0" w:color="77B800"/>
              <w:left w:val="single" w:sz="4" w:space="0" w:color="77B800"/>
              <w:bottom w:val="single" w:sz="4" w:space="0" w:color="77B800"/>
              <w:right w:val="single" w:sz="4" w:space="0" w:color="77B800"/>
            </w:tcBorders>
            <w:hideMark/>
          </w:tcPr>
          <w:p w14:paraId="32658391" w14:textId="77777777" w:rsidR="00A253C6" w:rsidRPr="0012277B" w:rsidRDefault="00A253C6" w:rsidP="009107BC">
            <w:pPr>
              <w:spacing w:line="280" w:lineRule="exact"/>
              <w:jc w:val="both"/>
              <w:rPr>
                <w:rFonts w:ascii="Calibri" w:eastAsia="Cambria" w:hAnsi="Calibri" w:cs="Times New Roman"/>
                <w:sz w:val="20"/>
                <w:szCs w:val="20"/>
                <w:lang w:val="en-US"/>
              </w:rPr>
            </w:pPr>
          </w:p>
        </w:tc>
      </w:tr>
    </w:tbl>
    <w:p w14:paraId="56D740BF" w14:textId="77777777" w:rsidR="00A253C6" w:rsidRDefault="00A253C6" w:rsidP="00A253C6">
      <w:pPr>
        <w:pStyle w:val="BodyText"/>
      </w:pPr>
    </w:p>
    <w:p w14:paraId="1ADBC285" w14:textId="77777777" w:rsidR="00A253C6" w:rsidRDefault="00A253C6" w:rsidP="00A253C6">
      <w:pPr>
        <w:rPr>
          <w:rFonts w:asciiTheme="majorHAnsi" w:hAnsiTheme="majorHAnsi"/>
          <w:b/>
          <w:color w:val="36424A" w:themeColor="text2"/>
          <w:sz w:val="28"/>
        </w:rPr>
      </w:pPr>
      <w:r>
        <w:br w:type="page"/>
      </w:r>
    </w:p>
    <w:p w14:paraId="7BC227B4" w14:textId="77777777" w:rsidR="00A253C6" w:rsidRDefault="00A253C6" w:rsidP="00A253C6">
      <w:pPr>
        <w:pStyle w:val="Heading3"/>
      </w:pPr>
      <w:bookmarkStart w:id="158" w:name="_Toc518922240"/>
      <w:r w:rsidRPr="008C7301">
        <w:lastRenderedPageBreak/>
        <w:t>Houssami &amp; Turner (2016)</w:t>
      </w:r>
      <w:r>
        <w:t xml:space="preserve"> - </w:t>
      </w:r>
      <w:r w:rsidRPr="008C7301">
        <w:rPr>
          <w:rStyle w:val="title-text"/>
        </w:rPr>
        <w:t>Rapid review: Estimates of incremental breast cancer detection from tomosynthesis (3D-mammography) screening in women with dense breasts</w:t>
      </w:r>
      <w:bookmarkEnd w:id="158"/>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No &#10;&#10;Q3&#10;Did the review authors explain their selection of the study designs for inclusion in the review? &#10;(a) evaluated tomosynthesis (also referred to as 3D-mammography) for population screening in comparison with standard digital mammography, and &#10;(b) provided data on BC detection (detection data or rates and/or incremental BC detection from tomosynthesis) or allowed its calculation, in women with dense breasts. &#10;&#10;Q4&#10;Did the review authors use a comprehensive literature search strategy?&#10;No&#10;This was based on a previous systematic review, but not provided in this rapid review&#10;&#10;Q5&#10;Was there duplicate study selection and data extraction?&#10;No&#10;No information regarding duplicate studies&#10;&#10;Q6&#10;Did the review authors provide a list of excluded studies and justify the exclusion?&#10;Yes &#10;&#10;Q7&#10;Did the review authors describe the included studies in adequate detail?&#10;Yes&#10;However, how density was defined by each study was not provided&#10;&#10;Q8&#10;Did the review authors use a satisfactory technique for assessing the risk of bias (RoB) in individual studies that were included in the review?&#10;Yes &#10;&#10;Q9&#10;Did the review authors report on the sources of funding for the studies included in the review?&#10;Yes&#10;N. Houssami receives research support through a National Breast Cancer Foundation (Australia)&#10;&#10;Q10&#10;If meta-analysis was performed did the review authors use appropriate methods for statistical combination of results?&#10;Yes&#10;For paired data, pooled estimate (and 95%CI) of the incremental effect on detection was calculated using a random effects model for proportions using the Wilson (score) method. For data from independent groups of participants, the pooled difference in proportions (and 95%CI) was calculated using random effects modelling estimated with the DerSimonian and Laird method.  Forest plots were also provided&#10;&#10;Q11&#10;If meta-analysis was performed, did the review authors assess the potential impact of RoB in individual studies on the results of the meta-analysis or other evidence synthesis?&#10;No &#10;&#10;Q12&#10;Did the review authors account for RoB in individual studies when interpreting/discussing the results of the review?&#10;Yes &#10;Limited information given&#10;&#10;Q13&#10;Did the review authors provide a satisfactory explanation for, and discussion of, any heterogeneity observed in the results of the review? &#10;No &#10;&#10;Q14&#10;If they performed quantitative synthesis did the review authors carry out an adequate investigation of publication bias (small study bias) and discuss its likely impact on the results of the review?&#10;No &#10;&#10;Q15&#10;Did the review authors report any potential sources of conflict of interest, including any funding they received for conducting the review?&#10;Yes&#10;No conflicts declared&#10;"/>
      </w:tblPr>
      <w:tblGrid>
        <w:gridCol w:w="442"/>
        <w:gridCol w:w="9211"/>
        <w:gridCol w:w="992"/>
        <w:gridCol w:w="3260"/>
      </w:tblGrid>
      <w:tr w:rsidR="00345CCE" w:rsidRPr="00345CCE" w14:paraId="6642ADBA" w14:textId="77777777" w:rsidTr="009107BC">
        <w:trPr>
          <w:cnfStyle w:val="100000000000" w:firstRow="1" w:lastRow="0" w:firstColumn="0" w:lastColumn="0" w:oddVBand="0" w:evenVBand="0" w:oddHBand="0" w:evenHBand="0"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tcPr>
          <w:p w14:paraId="627A17DA"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4" w:type="dxa"/>
            <w:tcBorders>
              <w:top w:val="single" w:sz="4" w:space="0" w:color="77B800"/>
              <w:left w:val="single" w:sz="4" w:space="0" w:color="77B800"/>
              <w:bottom w:val="single" w:sz="4" w:space="0" w:color="77B800"/>
              <w:right w:val="single" w:sz="4" w:space="0" w:color="77B800"/>
            </w:tcBorders>
            <w:hideMark/>
          </w:tcPr>
          <w:p w14:paraId="00F202F5"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5F680EAD"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1" w:type="dxa"/>
            <w:tcBorders>
              <w:top w:val="single" w:sz="4" w:space="0" w:color="77B800"/>
              <w:left w:val="single" w:sz="4" w:space="0" w:color="77B800"/>
              <w:bottom w:val="single" w:sz="4" w:space="0" w:color="77B800"/>
              <w:right w:val="single" w:sz="4" w:space="0" w:color="77B800"/>
            </w:tcBorders>
            <w:hideMark/>
          </w:tcPr>
          <w:p w14:paraId="3607D9FE"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33898C8F"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270FAB3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4" w:type="dxa"/>
            <w:tcBorders>
              <w:top w:val="single" w:sz="4" w:space="0" w:color="77B800"/>
              <w:left w:val="single" w:sz="4" w:space="0" w:color="77B800"/>
              <w:bottom w:val="single" w:sz="4" w:space="0" w:color="77B800"/>
              <w:right w:val="single" w:sz="4" w:space="0" w:color="77B800"/>
            </w:tcBorders>
            <w:hideMark/>
          </w:tcPr>
          <w:p w14:paraId="1F280D0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5E87F02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2013D2C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71B8B7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EE21E3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4" w:type="dxa"/>
            <w:tcBorders>
              <w:top w:val="single" w:sz="4" w:space="0" w:color="77B800"/>
              <w:left w:val="single" w:sz="4" w:space="0" w:color="77B800"/>
              <w:bottom w:val="single" w:sz="4" w:space="0" w:color="77B800"/>
              <w:right w:val="single" w:sz="4" w:space="0" w:color="77B800"/>
            </w:tcBorders>
            <w:hideMark/>
          </w:tcPr>
          <w:p w14:paraId="03AF17A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6F2A2C9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3FFC8F8B"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63B28F1"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6C1D7A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4" w:type="dxa"/>
            <w:tcBorders>
              <w:top w:val="single" w:sz="4" w:space="0" w:color="77B800"/>
              <w:left w:val="single" w:sz="4" w:space="0" w:color="77B800"/>
              <w:bottom w:val="single" w:sz="4" w:space="0" w:color="77B800"/>
              <w:right w:val="single" w:sz="4" w:space="0" w:color="77B800"/>
            </w:tcBorders>
            <w:hideMark/>
          </w:tcPr>
          <w:p w14:paraId="657BEF5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E991712" w14:textId="77777777" w:rsidR="00A253C6" w:rsidRPr="0012277B" w:rsidRDefault="00A253C6" w:rsidP="009107BC">
            <w:pPr>
              <w:spacing w:line="280" w:lineRule="exact"/>
              <w:jc w:val="both"/>
              <w:rPr>
                <w:rFonts w:ascii="Calibri" w:eastAsia="Cambria" w:hAnsi="Calibri" w:cs="Times New Roman"/>
                <w:sz w:val="20"/>
                <w:szCs w:val="20"/>
                <w:lang w:val="en-US"/>
              </w:rPr>
            </w:pPr>
          </w:p>
        </w:tc>
        <w:tc>
          <w:tcPr>
            <w:tcW w:w="3261" w:type="dxa"/>
            <w:tcBorders>
              <w:top w:val="single" w:sz="4" w:space="0" w:color="77B800"/>
              <w:left w:val="single" w:sz="4" w:space="0" w:color="77B800"/>
              <w:bottom w:val="single" w:sz="4" w:space="0" w:color="77B800"/>
              <w:right w:val="single" w:sz="4" w:space="0" w:color="77B800"/>
            </w:tcBorders>
          </w:tcPr>
          <w:p w14:paraId="3216F82A" w14:textId="77777777" w:rsidR="00A253C6" w:rsidRPr="0012277B" w:rsidRDefault="00A253C6" w:rsidP="009107BC">
            <w:pPr>
              <w:spacing w:line="280" w:lineRule="exact"/>
              <w:rPr>
                <w:rFonts w:ascii="Calibri" w:eastAsia="Cambria" w:hAnsi="Calibri" w:cs="Times New Roman"/>
                <w:sz w:val="20"/>
                <w:szCs w:val="20"/>
                <w:lang w:val="en-US"/>
              </w:rPr>
            </w:pPr>
            <w:r w:rsidRPr="008C7301">
              <w:rPr>
                <w:rFonts w:ascii="Calibri" w:eastAsia="Cambria" w:hAnsi="Calibri" w:cs="Times New Roman"/>
                <w:sz w:val="20"/>
                <w:szCs w:val="20"/>
                <w:lang w:val="en-US"/>
              </w:rPr>
              <w:t>(a) evaluated </w:t>
            </w:r>
            <w:hyperlink r:id="rId34" w:tooltip="Learn more about Tomosynthesis" w:history="1">
              <w:r w:rsidRPr="008C7301">
                <w:rPr>
                  <w:rFonts w:ascii="Calibri" w:eastAsia="Cambria" w:hAnsi="Calibri" w:cs="Times New Roman"/>
                  <w:sz w:val="20"/>
                  <w:szCs w:val="20"/>
                  <w:lang w:val="en-US"/>
                </w:rPr>
                <w:t>tomosynthesis</w:t>
              </w:r>
            </w:hyperlink>
            <w:r w:rsidRPr="008C7301">
              <w:rPr>
                <w:rFonts w:ascii="Calibri" w:eastAsia="Cambria" w:hAnsi="Calibri" w:cs="Times New Roman"/>
                <w:sz w:val="20"/>
                <w:szCs w:val="20"/>
                <w:lang w:val="en-US"/>
              </w:rPr>
              <w:t> (also referred to as 3D-mammography) for </w:t>
            </w:r>
            <w:hyperlink r:id="rId35" w:tooltip="Learn more about Population Screening" w:history="1">
              <w:r w:rsidRPr="008C7301">
                <w:rPr>
                  <w:rFonts w:ascii="Calibri" w:eastAsia="Cambria" w:hAnsi="Calibri" w:cs="Times New Roman"/>
                  <w:sz w:val="20"/>
                  <w:szCs w:val="20"/>
                  <w:lang w:val="en-US"/>
                </w:rPr>
                <w:t>population screening</w:t>
              </w:r>
            </w:hyperlink>
            <w:r w:rsidRPr="008C7301">
              <w:rPr>
                <w:rFonts w:ascii="Calibri" w:eastAsia="Cambria" w:hAnsi="Calibri" w:cs="Times New Roman"/>
                <w:sz w:val="20"/>
                <w:szCs w:val="20"/>
                <w:lang w:val="en-US"/>
              </w:rPr>
              <w:t> in comparison with standard digital </w:t>
            </w:r>
            <w:hyperlink r:id="rId36" w:tooltip="Learn more about Mammography" w:history="1">
              <w:r w:rsidRPr="008C7301">
                <w:rPr>
                  <w:rFonts w:ascii="Calibri" w:eastAsia="Cambria" w:hAnsi="Calibri" w:cs="Times New Roman"/>
                  <w:sz w:val="20"/>
                  <w:szCs w:val="20"/>
                  <w:lang w:val="en-US"/>
                </w:rPr>
                <w:t>mammography</w:t>
              </w:r>
            </w:hyperlink>
            <w:r w:rsidRPr="008C7301">
              <w:rPr>
                <w:rFonts w:ascii="Calibri" w:eastAsia="Cambria" w:hAnsi="Calibri" w:cs="Times New Roman"/>
                <w:sz w:val="20"/>
                <w:szCs w:val="20"/>
                <w:lang w:val="en-US"/>
              </w:rPr>
              <w:t>, and (b) provided data on BC detection (detection data or rates and/or incremental BC detection from tomosynthesis) or allowed its calculation, in women with dense breasts. </w:t>
            </w:r>
          </w:p>
        </w:tc>
      </w:tr>
      <w:tr w:rsidR="00A253C6" w:rsidRPr="0012277B" w14:paraId="5F9B9351"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169E7C8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4" w:type="dxa"/>
            <w:tcBorders>
              <w:top w:val="single" w:sz="4" w:space="0" w:color="77B800"/>
              <w:left w:val="single" w:sz="4" w:space="0" w:color="77B800"/>
              <w:bottom w:val="single" w:sz="4" w:space="0" w:color="77B800"/>
              <w:right w:val="single" w:sz="4" w:space="0" w:color="77B800"/>
            </w:tcBorders>
            <w:hideMark/>
          </w:tcPr>
          <w:p w14:paraId="591CB5E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3D7BAE8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4CE3F0D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This was based on a previous systematic review, but not provided in this rapid review</w:t>
            </w:r>
          </w:p>
        </w:tc>
      </w:tr>
      <w:tr w:rsidR="00A253C6" w:rsidRPr="0012277B" w14:paraId="3917F85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E6F662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4" w:type="dxa"/>
            <w:tcBorders>
              <w:top w:val="single" w:sz="4" w:space="0" w:color="77B800"/>
              <w:left w:val="single" w:sz="4" w:space="0" w:color="77B800"/>
              <w:bottom w:val="single" w:sz="4" w:space="0" w:color="77B800"/>
              <w:right w:val="single" w:sz="4" w:space="0" w:color="77B800"/>
            </w:tcBorders>
            <w:hideMark/>
          </w:tcPr>
          <w:p w14:paraId="42AE332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2FECD19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2B3205D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information regarding duplicate studies</w:t>
            </w:r>
          </w:p>
        </w:tc>
      </w:tr>
      <w:tr w:rsidR="00A253C6" w:rsidRPr="0012277B" w14:paraId="2F7D4EC3"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79E90D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4" w:type="dxa"/>
            <w:tcBorders>
              <w:top w:val="single" w:sz="4" w:space="0" w:color="77B800"/>
              <w:left w:val="single" w:sz="4" w:space="0" w:color="77B800"/>
              <w:bottom w:val="single" w:sz="4" w:space="0" w:color="77B800"/>
              <w:right w:val="single" w:sz="4" w:space="0" w:color="77B800"/>
            </w:tcBorders>
            <w:hideMark/>
          </w:tcPr>
          <w:p w14:paraId="4926AE1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6BF288F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527D644A"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557DFA0"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75436D8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7</w:t>
            </w:r>
          </w:p>
        </w:tc>
        <w:tc>
          <w:tcPr>
            <w:tcW w:w="9214" w:type="dxa"/>
            <w:tcBorders>
              <w:top w:val="single" w:sz="4" w:space="0" w:color="77B800"/>
              <w:left w:val="single" w:sz="4" w:space="0" w:color="77B800"/>
              <w:bottom w:val="single" w:sz="4" w:space="0" w:color="77B800"/>
              <w:right w:val="single" w:sz="4" w:space="0" w:color="77B800"/>
            </w:tcBorders>
            <w:hideMark/>
          </w:tcPr>
          <w:p w14:paraId="36CE847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2BBD167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1013740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However, how density was defined by each study was not provided</w:t>
            </w:r>
          </w:p>
        </w:tc>
      </w:tr>
      <w:tr w:rsidR="00A253C6" w:rsidRPr="0012277B" w14:paraId="1C085977"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272AF33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4" w:type="dxa"/>
            <w:tcBorders>
              <w:top w:val="single" w:sz="4" w:space="0" w:color="77B800"/>
              <w:left w:val="single" w:sz="4" w:space="0" w:color="77B800"/>
              <w:bottom w:val="single" w:sz="4" w:space="0" w:color="77B800"/>
              <w:right w:val="single" w:sz="4" w:space="0" w:color="77B800"/>
            </w:tcBorders>
            <w:hideMark/>
          </w:tcPr>
          <w:p w14:paraId="35C142A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226A09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2EEB82DE"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139128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075CE36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4" w:type="dxa"/>
            <w:tcBorders>
              <w:top w:val="single" w:sz="4" w:space="0" w:color="77B800"/>
              <w:left w:val="single" w:sz="4" w:space="0" w:color="77B800"/>
              <w:bottom w:val="single" w:sz="4" w:space="0" w:color="77B800"/>
              <w:right w:val="single" w:sz="4" w:space="0" w:color="77B800"/>
            </w:tcBorders>
            <w:hideMark/>
          </w:tcPr>
          <w:p w14:paraId="118CB09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D5FB0A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3B09C78C" w14:textId="0E241EB6" w:rsidR="00A253C6" w:rsidRPr="0012277B" w:rsidRDefault="00A253C6" w:rsidP="009107BC">
            <w:pPr>
              <w:rPr>
                <w:rFonts w:ascii="Calibri" w:eastAsia="Cambria" w:hAnsi="Calibri" w:cs="Times New Roman"/>
                <w:sz w:val="20"/>
                <w:szCs w:val="20"/>
                <w:lang w:val="en-US"/>
              </w:rPr>
            </w:pPr>
            <w:r w:rsidRPr="00177231">
              <w:rPr>
                <w:rFonts w:ascii="Calibri" w:eastAsia="Cambria" w:hAnsi="Calibri" w:cs="Times New Roman"/>
                <w:sz w:val="20"/>
                <w:szCs w:val="20"/>
                <w:lang w:val="en-US"/>
              </w:rPr>
              <w:t>N. Houssami receives research support through a National </w:t>
            </w:r>
            <w:hyperlink r:id="rId37" w:tooltip="Learn more about Breast Cancer" w:history="1">
              <w:r w:rsidRPr="00177231">
                <w:rPr>
                  <w:rFonts w:ascii="Calibri" w:eastAsia="Cambria" w:hAnsi="Calibri" w:cs="Times New Roman"/>
                  <w:sz w:val="20"/>
                  <w:szCs w:val="20"/>
                  <w:lang w:val="en-US"/>
                </w:rPr>
                <w:t>Breast Cancer</w:t>
              </w:r>
            </w:hyperlink>
            <w:r>
              <w:rPr>
                <w:rFonts w:ascii="Calibri" w:eastAsia="Cambria" w:hAnsi="Calibri" w:cs="Times New Roman"/>
                <w:sz w:val="20"/>
                <w:szCs w:val="20"/>
                <w:lang w:val="en-US"/>
              </w:rPr>
              <w:t xml:space="preserve"> </w:t>
            </w:r>
            <w:r w:rsidRPr="00177231">
              <w:rPr>
                <w:rFonts w:ascii="Calibri" w:eastAsia="Cambria" w:hAnsi="Calibri" w:cs="Times New Roman"/>
                <w:sz w:val="20"/>
                <w:szCs w:val="20"/>
                <w:lang w:val="en-US"/>
              </w:rPr>
              <w:t>Foundation (Australia)</w:t>
            </w:r>
          </w:p>
        </w:tc>
      </w:tr>
      <w:tr w:rsidR="00A253C6" w:rsidRPr="0012277B" w14:paraId="4336BFBF"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587FE7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4" w:type="dxa"/>
            <w:tcBorders>
              <w:top w:val="single" w:sz="4" w:space="0" w:color="77B800"/>
              <w:left w:val="single" w:sz="4" w:space="0" w:color="77B800"/>
              <w:bottom w:val="single" w:sz="4" w:space="0" w:color="77B800"/>
              <w:right w:val="single" w:sz="4" w:space="0" w:color="77B800"/>
            </w:tcBorders>
            <w:hideMark/>
          </w:tcPr>
          <w:p w14:paraId="4D39CAA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3D2099E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26BD3213" w14:textId="77777777" w:rsidR="00A253C6" w:rsidRPr="0012277B" w:rsidRDefault="00A253C6" w:rsidP="009107BC">
            <w:pPr>
              <w:rPr>
                <w:rFonts w:ascii="Calibri" w:eastAsia="Cambria" w:hAnsi="Calibri" w:cs="Times New Roman"/>
                <w:sz w:val="20"/>
                <w:szCs w:val="20"/>
                <w:lang w:val="en-US"/>
              </w:rPr>
            </w:pPr>
            <w:r w:rsidRPr="00177231">
              <w:rPr>
                <w:rFonts w:ascii="Calibri" w:eastAsia="Cambria" w:hAnsi="Calibri" w:cs="Times New Roman"/>
                <w:sz w:val="20"/>
                <w:szCs w:val="20"/>
                <w:lang w:val="en-US"/>
              </w:rPr>
              <w:t xml:space="preserve">For paired data, pooled estimate (and 95%CI) of the incremental effect on detection was calculated using a random effects model for proportions using the Wilson (score) method. For data from independent groups of participants, the pooled difference in proportions (and 95%CI) was </w:t>
            </w:r>
            <w:r>
              <w:rPr>
                <w:rFonts w:ascii="Calibri" w:eastAsia="Cambria" w:hAnsi="Calibri" w:cs="Times New Roman"/>
                <w:sz w:val="20"/>
                <w:szCs w:val="20"/>
                <w:lang w:val="en-US"/>
              </w:rPr>
              <w:t>c</w:t>
            </w:r>
            <w:r w:rsidRPr="00177231">
              <w:rPr>
                <w:rFonts w:ascii="Calibri" w:eastAsia="Cambria" w:hAnsi="Calibri" w:cs="Times New Roman"/>
                <w:sz w:val="20"/>
                <w:szCs w:val="20"/>
                <w:lang w:val="en-US"/>
              </w:rPr>
              <w:t>alculated using random effects modelling estimated with the DerSimonian and Laird method.  Forest plots were also provided</w:t>
            </w:r>
          </w:p>
        </w:tc>
      </w:tr>
      <w:tr w:rsidR="00A253C6" w:rsidRPr="0012277B" w14:paraId="35CEB41D"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2666C8B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4" w:type="dxa"/>
            <w:tcBorders>
              <w:top w:val="single" w:sz="4" w:space="0" w:color="77B800"/>
              <w:left w:val="single" w:sz="4" w:space="0" w:color="77B800"/>
              <w:bottom w:val="single" w:sz="4" w:space="0" w:color="77B800"/>
              <w:right w:val="single" w:sz="4" w:space="0" w:color="77B800"/>
            </w:tcBorders>
            <w:hideMark/>
          </w:tcPr>
          <w:p w14:paraId="5030105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5EF0BCD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54896403"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1DCA16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55E07B0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4" w:type="dxa"/>
            <w:tcBorders>
              <w:top w:val="single" w:sz="4" w:space="0" w:color="77B800"/>
              <w:left w:val="single" w:sz="4" w:space="0" w:color="77B800"/>
              <w:bottom w:val="single" w:sz="4" w:space="0" w:color="77B800"/>
              <w:right w:val="single" w:sz="4" w:space="0" w:color="77B800"/>
            </w:tcBorders>
            <w:hideMark/>
          </w:tcPr>
          <w:p w14:paraId="1FDC81C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696A842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1" w:type="dxa"/>
            <w:tcBorders>
              <w:top w:val="single" w:sz="4" w:space="0" w:color="77B800"/>
              <w:left w:val="single" w:sz="4" w:space="0" w:color="77B800"/>
              <w:bottom w:val="single" w:sz="4" w:space="0" w:color="77B800"/>
              <w:right w:val="single" w:sz="4" w:space="0" w:color="77B800"/>
            </w:tcBorders>
          </w:tcPr>
          <w:p w14:paraId="365CD17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Limited information given</w:t>
            </w:r>
          </w:p>
        </w:tc>
      </w:tr>
      <w:tr w:rsidR="00A253C6" w:rsidRPr="0012277B" w14:paraId="73CE3806"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2828470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4" w:type="dxa"/>
            <w:tcBorders>
              <w:top w:val="single" w:sz="4" w:space="0" w:color="77B800"/>
              <w:left w:val="single" w:sz="4" w:space="0" w:color="77B800"/>
              <w:bottom w:val="single" w:sz="4" w:space="0" w:color="77B800"/>
              <w:right w:val="single" w:sz="4" w:space="0" w:color="77B800"/>
            </w:tcBorders>
            <w:hideMark/>
          </w:tcPr>
          <w:p w14:paraId="2C39BF3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E6A965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1A16B29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037D366"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494830F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14</w:t>
            </w:r>
          </w:p>
        </w:tc>
        <w:tc>
          <w:tcPr>
            <w:tcW w:w="9214" w:type="dxa"/>
            <w:tcBorders>
              <w:top w:val="single" w:sz="4" w:space="0" w:color="77B800"/>
              <w:left w:val="single" w:sz="4" w:space="0" w:color="77B800"/>
              <w:bottom w:val="single" w:sz="4" w:space="0" w:color="77B800"/>
              <w:right w:val="single" w:sz="4" w:space="0" w:color="77B800"/>
            </w:tcBorders>
            <w:hideMark/>
          </w:tcPr>
          <w:p w14:paraId="718B7E6C"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0F7DD765"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69BCEF5E"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8A1619D"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48B5B94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4" w:type="dxa"/>
            <w:tcBorders>
              <w:top w:val="single" w:sz="4" w:space="0" w:color="77B800"/>
              <w:left w:val="single" w:sz="4" w:space="0" w:color="77B800"/>
              <w:bottom w:val="single" w:sz="4" w:space="0" w:color="77B800"/>
              <w:right w:val="single" w:sz="4" w:space="0" w:color="77B800"/>
            </w:tcBorders>
            <w:hideMark/>
          </w:tcPr>
          <w:p w14:paraId="7E91049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1C694EF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0F06882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conflicts declared</w:t>
            </w:r>
          </w:p>
        </w:tc>
      </w:tr>
    </w:tbl>
    <w:p w14:paraId="322A6EAC" w14:textId="77777777" w:rsidR="00A253C6" w:rsidRDefault="00A253C6" w:rsidP="00A253C6">
      <w:pPr>
        <w:pStyle w:val="Heading2"/>
      </w:pPr>
      <w:r>
        <w:br w:type="page"/>
      </w:r>
    </w:p>
    <w:p w14:paraId="20E47D86" w14:textId="77777777" w:rsidR="00A253C6" w:rsidRDefault="00A253C6" w:rsidP="00A253C6">
      <w:pPr>
        <w:pStyle w:val="Heading3"/>
      </w:pPr>
      <w:bookmarkStart w:id="159" w:name="_Toc518922241"/>
      <w:r w:rsidRPr="00C00DD8">
        <w:lastRenderedPageBreak/>
        <w:t>Melnikow et al.</w:t>
      </w:r>
      <w:r>
        <w:t xml:space="preserve"> (</w:t>
      </w:r>
      <w:r w:rsidRPr="00C00DD8">
        <w:t>201</w:t>
      </w:r>
      <w:r>
        <w:t xml:space="preserve">6) - Supplemental Screening for Breast Cancer in Women </w:t>
      </w:r>
      <w:proofErr w:type="gramStart"/>
      <w:r>
        <w:t>With</w:t>
      </w:r>
      <w:proofErr w:type="gramEnd"/>
      <w:r>
        <w:t xml:space="preserve"> Dense Breasts: A Systematic Review for the U.S. Preventive Services Task Force</w:t>
      </w:r>
      <w:bookmarkEnd w:id="159"/>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Yes &#10;&#10;Q3&#10;Did the review authors explain their selection of the study designs for inclusion in the review? &#10;Good-quality diagnostic accuracy studies, RCTs and observational studies&#10;&#10;Q4&#10;Did the review authors use a comprehensive literature search strategy? &#10;Yes &#10;&#10;Q5&#10;Was there duplicate study selection and data extraction?&#10;Yes &#10;&#10;Q6&#10;Did the review authors provide a list of excluded studies and justify the exclusion?&#10;Yes &#10;&#10;Q7&#10;Did the review authors describe the included studies in adequate detail?&#10;Yes &#10;&#10;Q8&#10;Did the review authors use a satisfactory technique for assessing the risk of bias (RoB) in individual studies that were included in the review?&#10;Yes&#10;Summary of evidence tables provided&#10;&#10;Q9&#10;Did the review authors report on the sources of funding for the studies included in the review?&#10;Yes&#10;Agency for Healthcare Research and Quality.&#10;&#10;Q10&#10;If meta-analysis was performed did the review authors use appropriate methods for statistical combination of results?&#10;N/A &#10;&#10;Q11&#10;If meta-analysis was performed, did the review authors assess the potential impact of RoB in individual studies on the results of the meta-analysis or other evidence synthesis?&#10;N/A &#10;&#10;Q12&#10;Did the review authors account for RoB in individual studies when interpreting/discussing the results of the review?&#10;Yes &#10;&#10;Q13&#10;Did the review authors provide a satisfactory explanation for, and discussion of, any heterogeneity observed in the results of the review? &#10;N/A &#10;&#10;Q14&#10;If they performed quantitative synthesis did the review authors carry out an adequate investigation of publication bias (small study bias) and discuss its likely impact on the results of the review?&#10;Yes &#10;&#10;Q15&#10;Did the review authors report any potential sources of conflict of interest, including any funding they received for conducting the review?&#10;Yes &#10;All conflicts were declared&#10;"/>
      </w:tblPr>
      <w:tblGrid>
        <w:gridCol w:w="442"/>
        <w:gridCol w:w="9211"/>
        <w:gridCol w:w="992"/>
        <w:gridCol w:w="3260"/>
      </w:tblGrid>
      <w:tr w:rsidR="00345CCE" w:rsidRPr="00345CCE" w14:paraId="2F1E6598" w14:textId="77777777" w:rsidTr="009107BC">
        <w:trPr>
          <w:cnfStyle w:val="100000000000" w:firstRow="1" w:lastRow="0" w:firstColumn="0" w:lastColumn="0" w:oddVBand="0" w:evenVBand="0" w:oddHBand="0" w:evenHBand="0"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tcPr>
          <w:p w14:paraId="78B04AA1"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4" w:type="dxa"/>
            <w:tcBorders>
              <w:top w:val="single" w:sz="4" w:space="0" w:color="77B800"/>
              <w:left w:val="single" w:sz="4" w:space="0" w:color="77B800"/>
              <w:bottom w:val="single" w:sz="4" w:space="0" w:color="77B800"/>
              <w:right w:val="single" w:sz="4" w:space="0" w:color="77B800"/>
            </w:tcBorders>
            <w:hideMark/>
          </w:tcPr>
          <w:p w14:paraId="1E2BF13C"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16D25042"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1" w:type="dxa"/>
            <w:tcBorders>
              <w:top w:val="single" w:sz="4" w:space="0" w:color="77B800"/>
              <w:left w:val="single" w:sz="4" w:space="0" w:color="77B800"/>
              <w:bottom w:val="single" w:sz="4" w:space="0" w:color="77B800"/>
              <w:right w:val="single" w:sz="4" w:space="0" w:color="77B800"/>
            </w:tcBorders>
            <w:hideMark/>
          </w:tcPr>
          <w:p w14:paraId="1D5DB611"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521900B1"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C2C53A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4" w:type="dxa"/>
            <w:tcBorders>
              <w:top w:val="single" w:sz="4" w:space="0" w:color="77B800"/>
              <w:left w:val="single" w:sz="4" w:space="0" w:color="77B800"/>
              <w:bottom w:val="single" w:sz="4" w:space="0" w:color="77B800"/>
              <w:right w:val="single" w:sz="4" w:space="0" w:color="77B800"/>
            </w:tcBorders>
            <w:hideMark/>
          </w:tcPr>
          <w:p w14:paraId="0B91386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5D2DBD5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3EC62227"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A6813FC"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243C6DE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4" w:type="dxa"/>
            <w:tcBorders>
              <w:top w:val="single" w:sz="4" w:space="0" w:color="77B800"/>
              <w:left w:val="single" w:sz="4" w:space="0" w:color="77B800"/>
              <w:bottom w:val="single" w:sz="4" w:space="0" w:color="77B800"/>
              <w:right w:val="single" w:sz="4" w:space="0" w:color="77B800"/>
            </w:tcBorders>
            <w:hideMark/>
          </w:tcPr>
          <w:p w14:paraId="3D51FEF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0DAEB90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02FCE19E"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3B9CBFB"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45D37D1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4" w:type="dxa"/>
            <w:tcBorders>
              <w:top w:val="single" w:sz="4" w:space="0" w:color="77B800"/>
              <w:left w:val="single" w:sz="4" w:space="0" w:color="77B800"/>
              <w:bottom w:val="single" w:sz="4" w:space="0" w:color="77B800"/>
              <w:right w:val="single" w:sz="4" w:space="0" w:color="77B800"/>
            </w:tcBorders>
            <w:hideMark/>
          </w:tcPr>
          <w:p w14:paraId="5D73DF2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4145EE82" w14:textId="77777777" w:rsidR="00A253C6" w:rsidRPr="0012277B" w:rsidRDefault="00A253C6" w:rsidP="009107BC">
            <w:pPr>
              <w:spacing w:line="280" w:lineRule="exact"/>
              <w:jc w:val="both"/>
              <w:rPr>
                <w:rFonts w:ascii="Calibri" w:eastAsia="Cambria" w:hAnsi="Calibri" w:cs="Times New Roman"/>
                <w:sz w:val="20"/>
                <w:szCs w:val="20"/>
                <w:lang w:val="en-US"/>
              </w:rPr>
            </w:pPr>
          </w:p>
        </w:tc>
        <w:tc>
          <w:tcPr>
            <w:tcW w:w="3261" w:type="dxa"/>
            <w:tcBorders>
              <w:top w:val="single" w:sz="4" w:space="0" w:color="77B800"/>
              <w:left w:val="single" w:sz="4" w:space="0" w:color="77B800"/>
              <w:bottom w:val="single" w:sz="4" w:space="0" w:color="77B800"/>
              <w:right w:val="single" w:sz="4" w:space="0" w:color="77B800"/>
            </w:tcBorders>
          </w:tcPr>
          <w:p w14:paraId="32DBC24D" w14:textId="77777777" w:rsidR="00A253C6" w:rsidRPr="0012277B" w:rsidRDefault="00A253C6" w:rsidP="009107BC">
            <w:pPr>
              <w:spacing w:line="280" w:lineRule="exact"/>
              <w:jc w:val="both"/>
              <w:rPr>
                <w:rFonts w:ascii="Calibri" w:eastAsia="Cambria" w:hAnsi="Calibri" w:cs="Times New Roman"/>
                <w:sz w:val="20"/>
                <w:szCs w:val="20"/>
                <w:lang w:val="en-US"/>
              </w:rPr>
            </w:pPr>
            <w:r>
              <w:t>Good-quality diagnostic accuracy studies, RCTs and observational studies</w:t>
            </w:r>
          </w:p>
        </w:tc>
      </w:tr>
      <w:tr w:rsidR="00A253C6" w:rsidRPr="0012277B" w14:paraId="71E744B9"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79D3250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4" w:type="dxa"/>
            <w:tcBorders>
              <w:top w:val="single" w:sz="4" w:space="0" w:color="77B800"/>
              <w:left w:val="single" w:sz="4" w:space="0" w:color="77B800"/>
              <w:bottom w:val="single" w:sz="4" w:space="0" w:color="77B800"/>
              <w:right w:val="single" w:sz="4" w:space="0" w:color="77B800"/>
            </w:tcBorders>
            <w:hideMark/>
          </w:tcPr>
          <w:p w14:paraId="343FD33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0F96807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1BCBBB90"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E3EA29C"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0445D0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4" w:type="dxa"/>
            <w:tcBorders>
              <w:top w:val="single" w:sz="4" w:space="0" w:color="77B800"/>
              <w:left w:val="single" w:sz="4" w:space="0" w:color="77B800"/>
              <w:bottom w:val="single" w:sz="4" w:space="0" w:color="77B800"/>
              <w:right w:val="single" w:sz="4" w:space="0" w:color="77B800"/>
            </w:tcBorders>
            <w:hideMark/>
          </w:tcPr>
          <w:p w14:paraId="69B0A32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386F634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243FCA3F"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6B92CD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3F11EB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4" w:type="dxa"/>
            <w:tcBorders>
              <w:top w:val="single" w:sz="4" w:space="0" w:color="77B800"/>
              <w:left w:val="single" w:sz="4" w:space="0" w:color="77B800"/>
              <w:bottom w:val="single" w:sz="4" w:space="0" w:color="77B800"/>
              <w:right w:val="single" w:sz="4" w:space="0" w:color="77B800"/>
            </w:tcBorders>
            <w:hideMark/>
          </w:tcPr>
          <w:p w14:paraId="5433A5AC"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5C679FD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0E6C95B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14161B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8F9B18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4" w:type="dxa"/>
            <w:tcBorders>
              <w:top w:val="single" w:sz="4" w:space="0" w:color="77B800"/>
              <w:left w:val="single" w:sz="4" w:space="0" w:color="77B800"/>
              <w:bottom w:val="single" w:sz="4" w:space="0" w:color="77B800"/>
              <w:right w:val="single" w:sz="4" w:space="0" w:color="77B800"/>
            </w:tcBorders>
            <w:hideMark/>
          </w:tcPr>
          <w:p w14:paraId="5E1D8E3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2EE4E67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1E691B19"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47AC941"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44E052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4" w:type="dxa"/>
            <w:tcBorders>
              <w:top w:val="single" w:sz="4" w:space="0" w:color="77B800"/>
              <w:left w:val="single" w:sz="4" w:space="0" w:color="77B800"/>
              <w:bottom w:val="single" w:sz="4" w:space="0" w:color="77B800"/>
              <w:right w:val="single" w:sz="4" w:space="0" w:color="77B800"/>
            </w:tcBorders>
            <w:hideMark/>
          </w:tcPr>
          <w:p w14:paraId="40280C3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B6AA26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24E446B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Summary of evidence tables provided</w:t>
            </w:r>
          </w:p>
        </w:tc>
      </w:tr>
      <w:tr w:rsidR="00A253C6" w:rsidRPr="0012277B" w14:paraId="68961332"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587A17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4" w:type="dxa"/>
            <w:tcBorders>
              <w:top w:val="single" w:sz="4" w:space="0" w:color="77B800"/>
              <w:left w:val="single" w:sz="4" w:space="0" w:color="77B800"/>
              <w:bottom w:val="single" w:sz="4" w:space="0" w:color="77B800"/>
              <w:right w:val="single" w:sz="4" w:space="0" w:color="77B800"/>
            </w:tcBorders>
            <w:hideMark/>
          </w:tcPr>
          <w:p w14:paraId="4F4A772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76C9BEA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34A2E774" w14:textId="77777777" w:rsidR="00A253C6" w:rsidRPr="0012277B" w:rsidRDefault="00A253C6" w:rsidP="009107BC">
            <w:pPr>
              <w:spacing w:line="280" w:lineRule="exact"/>
              <w:jc w:val="both"/>
              <w:rPr>
                <w:rFonts w:ascii="Calibri" w:eastAsia="Cambria" w:hAnsi="Calibri" w:cs="Times New Roman"/>
                <w:sz w:val="20"/>
                <w:szCs w:val="20"/>
                <w:lang w:val="en-US"/>
              </w:rPr>
            </w:pPr>
            <w:r w:rsidRPr="00DA1880">
              <w:rPr>
                <w:rFonts w:ascii="Calibri" w:eastAsia="Cambria" w:hAnsi="Calibri" w:cs="Times New Roman"/>
                <w:sz w:val="20"/>
                <w:szCs w:val="20"/>
                <w:lang w:val="en-US"/>
              </w:rPr>
              <w:t>Agency for Healthcare Research and Quality.</w:t>
            </w:r>
          </w:p>
        </w:tc>
      </w:tr>
      <w:tr w:rsidR="00A253C6" w:rsidRPr="0012277B" w14:paraId="0523601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06B5EF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4" w:type="dxa"/>
            <w:tcBorders>
              <w:top w:val="single" w:sz="4" w:space="0" w:color="77B800"/>
              <w:left w:val="single" w:sz="4" w:space="0" w:color="77B800"/>
              <w:bottom w:val="single" w:sz="4" w:space="0" w:color="77B800"/>
              <w:right w:val="single" w:sz="4" w:space="0" w:color="77B800"/>
            </w:tcBorders>
            <w:hideMark/>
          </w:tcPr>
          <w:p w14:paraId="122843D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2DBE60F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hideMark/>
          </w:tcPr>
          <w:p w14:paraId="7B9B0533"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B8F6DE6"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9299E2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4" w:type="dxa"/>
            <w:tcBorders>
              <w:top w:val="single" w:sz="4" w:space="0" w:color="77B800"/>
              <w:left w:val="single" w:sz="4" w:space="0" w:color="77B800"/>
              <w:bottom w:val="single" w:sz="4" w:space="0" w:color="77B800"/>
              <w:right w:val="single" w:sz="4" w:space="0" w:color="77B800"/>
            </w:tcBorders>
            <w:hideMark/>
          </w:tcPr>
          <w:p w14:paraId="0CA4410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145FE97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tcPr>
          <w:p w14:paraId="3E8B282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24FD41E"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487810A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12</w:t>
            </w:r>
          </w:p>
        </w:tc>
        <w:tc>
          <w:tcPr>
            <w:tcW w:w="9214" w:type="dxa"/>
            <w:tcBorders>
              <w:top w:val="single" w:sz="4" w:space="0" w:color="77B800"/>
              <w:left w:val="single" w:sz="4" w:space="0" w:color="77B800"/>
              <w:bottom w:val="single" w:sz="4" w:space="0" w:color="77B800"/>
              <w:right w:val="single" w:sz="4" w:space="0" w:color="77B800"/>
            </w:tcBorders>
            <w:hideMark/>
          </w:tcPr>
          <w:p w14:paraId="4124D46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CF6450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4EC3A2F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365B285"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0B895C7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4" w:type="dxa"/>
            <w:tcBorders>
              <w:top w:val="single" w:sz="4" w:space="0" w:color="77B800"/>
              <w:left w:val="single" w:sz="4" w:space="0" w:color="77B800"/>
              <w:bottom w:val="single" w:sz="4" w:space="0" w:color="77B800"/>
              <w:right w:val="single" w:sz="4" w:space="0" w:color="77B800"/>
            </w:tcBorders>
            <w:hideMark/>
          </w:tcPr>
          <w:p w14:paraId="2FAC10D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770F3EB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tcPr>
          <w:p w14:paraId="1EE5727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EB0A30F"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4F7E905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4" w:type="dxa"/>
            <w:tcBorders>
              <w:top w:val="single" w:sz="4" w:space="0" w:color="77B800"/>
              <w:left w:val="single" w:sz="4" w:space="0" w:color="77B800"/>
              <w:bottom w:val="single" w:sz="4" w:space="0" w:color="77B800"/>
              <w:right w:val="single" w:sz="4" w:space="0" w:color="77B800"/>
            </w:tcBorders>
            <w:hideMark/>
          </w:tcPr>
          <w:p w14:paraId="4574A61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2714683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54EEF81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6AB05FF"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096C575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4" w:type="dxa"/>
            <w:tcBorders>
              <w:top w:val="single" w:sz="4" w:space="0" w:color="77B800"/>
              <w:left w:val="single" w:sz="4" w:space="0" w:color="77B800"/>
              <w:bottom w:val="single" w:sz="4" w:space="0" w:color="77B800"/>
              <w:right w:val="single" w:sz="4" w:space="0" w:color="77B800"/>
            </w:tcBorders>
            <w:hideMark/>
          </w:tcPr>
          <w:p w14:paraId="1C5F2C7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0A39FA9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6D4E79FE" w14:textId="77777777" w:rsidR="00A253C6" w:rsidRPr="0012277B" w:rsidRDefault="00A253C6" w:rsidP="009107BC">
            <w:pPr>
              <w:spacing w:after="450"/>
              <w:textAlignment w:val="baseline"/>
              <w:rPr>
                <w:rFonts w:ascii="Calibri" w:eastAsia="Cambria" w:hAnsi="Calibri" w:cs="Times New Roman"/>
                <w:sz w:val="20"/>
                <w:szCs w:val="20"/>
                <w:lang w:val="en-US"/>
              </w:rPr>
            </w:pPr>
            <w:r>
              <w:rPr>
                <w:rFonts w:ascii="Calibri" w:eastAsia="Cambria" w:hAnsi="Calibri" w:cs="Times New Roman"/>
                <w:sz w:val="20"/>
                <w:szCs w:val="20"/>
                <w:lang w:val="en-US"/>
              </w:rPr>
              <w:t>All conflicts were declared</w:t>
            </w:r>
          </w:p>
        </w:tc>
      </w:tr>
    </w:tbl>
    <w:p w14:paraId="1A120A3D" w14:textId="77777777" w:rsidR="00A253C6" w:rsidRDefault="00A253C6" w:rsidP="00A253C6">
      <w:pPr>
        <w:pStyle w:val="Heading2"/>
      </w:pPr>
      <w:r>
        <w:br w:type="page"/>
      </w:r>
    </w:p>
    <w:p w14:paraId="411F90B7" w14:textId="77777777" w:rsidR="00A253C6" w:rsidRDefault="00A253C6" w:rsidP="00A253C6">
      <w:pPr>
        <w:pStyle w:val="Heading3"/>
      </w:pPr>
      <w:bookmarkStart w:id="160" w:name="_Toc518922242"/>
      <w:r w:rsidRPr="00C00DD8">
        <w:lastRenderedPageBreak/>
        <w:t>Nelson et al.</w:t>
      </w:r>
      <w:r>
        <w:t xml:space="preserve"> (</w:t>
      </w:r>
      <w:r w:rsidRPr="00C00DD8">
        <w:t>2016</w:t>
      </w:r>
      <w:r>
        <w:t>) - Risk factors for breast cancer for women aged 40 to 49 years: a systematic review and meta-analysis</w:t>
      </w:r>
      <w:bookmarkEnd w:id="160"/>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Yes  &#10;&#10;Q3&#10;Did the review authors explain their selection of the study designs for inclusion in the review?&#10;Yes&#10;RCTs, observational studies of screening cohorts, and systematic reviews of screening with mammography (film, digital, tomosynthesis) and other modalities (MRI, ultrasound, CBE alone or in combination) were included&#10;&#10;Q4&#10;Did the review authors use a comprehensive literature search strategy? &#10;Yes &#10;&#10;Q5&#10;Was there duplicate study selection and data extraction?&#10;Yes &#10;&#10;Q6&#10;Did the review authors provide a list of excluded studies and justify the exclusion?&#10;Yes &#10;&#10;Q7&#10;Did the review authors describe the included studies in adequate detail?&#10;Yes &#10;&#10;Q8&#10;Did the review authors use a satisfactory technique for assessing the risk of bias (RoB) in individual studies that were included in the review?&#10;Yes&#10;Summary of evidence tables provided&#10;&#10;Q9&#10;Did the review authors report on the sources of funding for the studies included in the review?&#10;Yes&#10;Agency for Healthcare Research and Quality&#10;&#10;Q10&#10;If meta-analysis was performed did the review authors use appropriate methods for statistical combination of results?&#10;Yes&#10;A random-effects model was used to combine relative risks (RRs) as the effect measure of the meta-analyses, while incorporating variation among studies.&#10;&#10;Q11&#10;If meta-analysis was performed, did the review authors assess the potential impact of RoB in individual studies on the results of the meta-analysis or other evidence synthesis?&#10;Yes &#10;&#10;Q12&#10;Did the review authors account for RoB in individual studies when interpreting/discussing the results of the review?&#10;Yes &#10;&#10;Q13&#10;Did the review authors provide a satisfactory explanation for, and discussion of, any heterogeneity observed in the results of the review?&#10;Yes&#10;The presence of statistical heterogeneity among the studies was assessed by using the standard Cochran’s chi-square test, and the magnitude of heterogeneity by using the I 2 statistic. &#10;&#10;Q14&#10;If they performed quantitative synthesis did the review authors carry out an adequate investigation of publication bias (small study bias) and discuss its likely impact on the results of the review?&#10;Yes &#10;&#10;Q15&#10;Did the review authors report any potential sources of conflict of interest, including any funding they received for conducting the review? &#10;Yes &#10;All conflicts declared&#10;"/>
      </w:tblPr>
      <w:tblGrid>
        <w:gridCol w:w="442"/>
        <w:gridCol w:w="9211"/>
        <w:gridCol w:w="992"/>
        <w:gridCol w:w="3260"/>
      </w:tblGrid>
      <w:tr w:rsidR="00345CCE" w:rsidRPr="00345CCE" w14:paraId="5DEC2DFB" w14:textId="77777777" w:rsidTr="009107BC">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tcPr>
          <w:p w14:paraId="72FF8C0D"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1" w:type="dxa"/>
            <w:tcBorders>
              <w:top w:val="single" w:sz="4" w:space="0" w:color="77B800"/>
              <w:left w:val="single" w:sz="4" w:space="0" w:color="77B800"/>
              <w:bottom w:val="single" w:sz="4" w:space="0" w:color="77B800"/>
              <w:right w:val="single" w:sz="4" w:space="0" w:color="77B800"/>
            </w:tcBorders>
            <w:hideMark/>
          </w:tcPr>
          <w:p w14:paraId="50ACCB2E"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0FFB7250"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0" w:type="dxa"/>
            <w:tcBorders>
              <w:top w:val="single" w:sz="4" w:space="0" w:color="77B800"/>
              <w:left w:val="single" w:sz="4" w:space="0" w:color="77B800"/>
              <w:bottom w:val="single" w:sz="4" w:space="0" w:color="77B800"/>
              <w:right w:val="single" w:sz="4" w:space="0" w:color="77B800"/>
            </w:tcBorders>
            <w:hideMark/>
          </w:tcPr>
          <w:p w14:paraId="3C5D2F4B"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25A0AA82"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48ACD8F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1" w:type="dxa"/>
            <w:tcBorders>
              <w:top w:val="single" w:sz="4" w:space="0" w:color="77B800"/>
              <w:left w:val="single" w:sz="4" w:space="0" w:color="77B800"/>
              <w:bottom w:val="single" w:sz="4" w:space="0" w:color="77B800"/>
              <w:right w:val="single" w:sz="4" w:space="0" w:color="77B800"/>
            </w:tcBorders>
            <w:hideMark/>
          </w:tcPr>
          <w:p w14:paraId="2A0B587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104D889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097D43DA"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BF1842E"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1FBA0C6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1" w:type="dxa"/>
            <w:tcBorders>
              <w:top w:val="single" w:sz="4" w:space="0" w:color="77B800"/>
              <w:left w:val="single" w:sz="4" w:space="0" w:color="77B800"/>
              <w:bottom w:val="single" w:sz="4" w:space="0" w:color="77B800"/>
              <w:right w:val="single" w:sz="4" w:space="0" w:color="77B800"/>
            </w:tcBorders>
            <w:hideMark/>
          </w:tcPr>
          <w:p w14:paraId="3F7B8B3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019879C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tcPr>
          <w:p w14:paraId="51837A23"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F5DFBED"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B68BA7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1" w:type="dxa"/>
            <w:tcBorders>
              <w:top w:val="single" w:sz="4" w:space="0" w:color="77B800"/>
              <w:left w:val="single" w:sz="4" w:space="0" w:color="77B800"/>
              <w:bottom w:val="single" w:sz="4" w:space="0" w:color="77B800"/>
              <w:right w:val="single" w:sz="4" w:space="0" w:color="77B800"/>
            </w:tcBorders>
            <w:hideMark/>
          </w:tcPr>
          <w:p w14:paraId="3BC74F3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6835AEF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6E8715D8" w14:textId="77777777" w:rsidR="00A253C6" w:rsidRPr="0012277B" w:rsidRDefault="00A253C6" w:rsidP="009107BC">
            <w:pPr>
              <w:spacing w:line="280" w:lineRule="exact"/>
              <w:jc w:val="both"/>
              <w:rPr>
                <w:rFonts w:ascii="Calibri" w:eastAsia="Cambria" w:hAnsi="Calibri" w:cs="Times New Roman"/>
                <w:sz w:val="20"/>
                <w:szCs w:val="20"/>
                <w:lang w:val="en-US"/>
              </w:rPr>
            </w:pPr>
            <w:r w:rsidRPr="00A32BE7">
              <w:rPr>
                <w:rFonts w:ascii="Calibri" w:eastAsia="Cambria" w:hAnsi="Calibri" w:cs="Times New Roman"/>
                <w:sz w:val="20"/>
                <w:szCs w:val="20"/>
                <w:lang w:val="en-US"/>
              </w:rPr>
              <w:t>RCTs, observational studies of screening cohorts, and systematic reviews of screening with mammography (film, digital, tomosynthesis) and other modalities (MRI, ultrasound, CBE alone or in combination) were included</w:t>
            </w:r>
          </w:p>
        </w:tc>
      </w:tr>
      <w:tr w:rsidR="00A253C6" w:rsidRPr="0012277B" w14:paraId="34B3BD49"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39681B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1" w:type="dxa"/>
            <w:tcBorders>
              <w:top w:val="single" w:sz="4" w:space="0" w:color="77B800"/>
              <w:left w:val="single" w:sz="4" w:space="0" w:color="77B800"/>
              <w:bottom w:val="single" w:sz="4" w:space="0" w:color="77B800"/>
              <w:right w:val="single" w:sz="4" w:space="0" w:color="77B800"/>
            </w:tcBorders>
            <w:hideMark/>
          </w:tcPr>
          <w:p w14:paraId="1FFA784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66E459B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61527DDF"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01C4071"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6E717B3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1" w:type="dxa"/>
            <w:tcBorders>
              <w:top w:val="single" w:sz="4" w:space="0" w:color="77B800"/>
              <w:left w:val="single" w:sz="4" w:space="0" w:color="77B800"/>
              <w:bottom w:val="single" w:sz="4" w:space="0" w:color="77B800"/>
              <w:right w:val="single" w:sz="4" w:space="0" w:color="77B800"/>
            </w:tcBorders>
            <w:hideMark/>
          </w:tcPr>
          <w:p w14:paraId="1291348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67987AB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5FA8218E"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E2CD370"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6E1128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1" w:type="dxa"/>
            <w:tcBorders>
              <w:top w:val="single" w:sz="4" w:space="0" w:color="77B800"/>
              <w:left w:val="single" w:sz="4" w:space="0" w:color="77B800"/>
              <w:bottom w:val="single" w:sz="4" w:space="0" w:color="77B800"/>
              <w:right w:val="single" w:sz="4" w:space="0" w:color="77B800"/>
            </w:tcBorders>
            <w:hideMark/>
          </w:tcPr>
          <w:p w14:paraId="6391B3D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67AC37C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54E4F236"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D216588"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48B8570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1" w:type="dxa"/>
            <w:tcBorders>
              <w:top w:val="single" w:sz="4" w:space="0" w:color="77B800"/>
              <w:left w:val="single" w:sz="4" w:space="0" w:color="77B800"/>
              <w:bottom w:val="single" w:sz="4" w:space="0" w:color="77B800"/>
              <w:right w:val="single" w:sz="4" w:space="0" w:color="77B800"/>
            </w:tcBorders>
            <w:hideMark/>
          </w:tcPr>
          <w:p w14:paraId="62EEFA8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050D471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696BF1A0"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B045F2B"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35410D8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1" w:type="dxa"/>
            <w:tcBorders>
              <w:top w:val="single" w:sz="4" w:space="0" w:color="77B800"/>
              <w:left w:val="single" w:sz="4" w:space="0" w:color="77B800"/>
              <w:bottom w:val="single" w:sz="4" w:space="0" w:color="77B800"/>
              <w:right w:val="single" w:sz="4" w:space="0" w:color="77B800"/>
            </w:tcBorders>
            <w:hideMark/>
          </w:tcPr>
          <w:p w14:paraId="1BB04537"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45C14A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6B9194B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Summary of evidence tables provided</w:t>
            </w:r>
          </w:p>
        </w:tc>
      </w:tr>
      <w:tr w:rsidR="00A253C6" w:rsidRPr="0012277B" w14:paraId="6512189D"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01C3D12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1" w:type="dxa"/>
            <w:tcBorders>
              <w:top w:val="single" w:sz="4" w:space="0" w:color="77B800"/>
              <w:left w:val="single" w:sz="4" w:space="0" w:color="77B800"/>
              <w:bottom w:val="single" w:sz="4" w:space="0" w:color="77B800"/>
              <w:right w:val="single" w:sz="4" w:space="0" w:color="77B800"/>
            </w:tcBorders>
            <w:hideMark/>
          </w:tcPr>
          <w:p w14:paraId="503BD1E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21EFA99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0249D236" w14:textId="77777777" w:rsidR="00A253C6" w:rsidRPr="00A32BE7" w:rsidRDefault="00A253C6" w:rsidP="009107BC">
            <w:pPr>
              <w:spacing w:after="450"/>
              <w:textAlignment w:val="baseline"/>
              <w:rPr>
                <w:rFonts w:ascii="Times New Roman" w:eastAsia="Times New Roman" w:hAnsi="Times New Roman" w:cs="Times New Roman"/>
                <w:color w:val="404040"/>
                <w:sz w:val="23"/>
                <w:szCs w:val="23"/>
                <w:lang w:eastAsia="en-NZ"/>
              </w:rPr>
            </w:pPr>
            <w:r w:rsidRPr="00A32BE7">
              <w:rPr>
                <w:rFonts w:ascii="Calibri" w:eastAsia="Cambria" w:hAnsi="Calibri" w:cs="Times New Roman"/>
                <w:sz w:val="20"/>
                <w:szCs w:val="20"/>
                <w:lang w:val="en-US"/>
              </w:rPr>
              <w:t>Agency for Healthcare Research and Quality</w:t>
            </w:r>
          </w:p>
        </w:tc>
      </w:tr>
      <w:tr w:rsidR="00A253C6" w:rsidRPr="0012277B" w14:paraId="67A6EB3E"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0247255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10</w:t>
            </w:r>
          </w:p>
        </w:tc>
        <w:tc>
          <w:tcPr>
            <w:tcW w:w="9211" w:type="dxa"/>
            <w:tcBorders>
              <w:top w:val="single" w:sz="4" w:space="0" w:color="77B800"/>
              <w:left w:val="single" w:sz="4" w:space="0" w:color="77B800"/>
              <w:bottom w:val="single" w:sz="4" w:space="0" w:color="77B800"/>
              <w:right w:val="single" w:sz="4" w:space="0" w:color="77B800"/>
            </w:tcBorders>
            <w:hideMark/>
          </w:tcPr>
          <w:p w14:paraId="7E6F5C9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113F96E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hideMark/>
          </w:tcPr>
          <w:p w14:paraId="4F8CCD25" w14:textId="77777777" w:rsidR="00A253C6" w:rsidRPr="0012277B" w:rsidRDefault="00A253C6" w:rsidP="009107BC">
            <w:pPr>
              <w:spacing w:line="280" w:lineRule="exact"/>
              <w:jc w:val="both"/>
              <w:rPr>
                <w:rFonts w:ascii="Calibri" w:eastAsia="Cambria" w:hAnsi="Calibri" w:cs="Times New Roman"/>
                <w:sz w:val="20"/>
                <w:szCs w:val="20"/>
                <w:lang w:val="en-US"/>
              </w:rPr>
            </w:pPr>
            <w:r w:rsidRPr="00A32BE7">
              <w:rPr>
                <w:rFonts w:ascii="Calibri" w:eastAsia="Cambria" w:hAnsi="Calibri" w:cs="Times New Roman"/>
                <w:sz w:val="20"/>
                <w:szCs w:val="20"/>
                <w:lang w:val="en-US"/>
              </w:rPr>
              <w:t>A random-effects model was used to combine relative risks (RRs) as the effect measure of the meta-analyses, while incorporating variation among studies.</w:t>
            </w:r>
          </w:p>
        </w:tc>
      </w:tr>
      <w:tr w:rsidR="00A253C6" w:rsidRPr="0012277B" w14:paraId="281FD47A"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099B8B7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1" w:type="dxa"/>
            <w:tcBorders>
              <w:top w:val="single" w:sz="4" w:space="0" w:color="77B800"/>
              <w:left w:val="single" w:sz="4" w:space="0" w:color="77B800"/>
              <w:bottom w:val="single" w:sz="4" w:space="0" w:color="77B800"/>
              <w:right w:val="single" w:sz="4" w:space="0" w:color="77B800"/>
            </w:tcBorders>
            <w:hideMark/>
          </w:tcPr>
          <w:p w14:paraId="2F41CA7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0A02061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0AB04A5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585F46E"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682717F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1" w:type="dxa"/>
            <w:tcBorders>
              <w:top w:val="single" w:sz="4" w:space="0" w:color="77B800"/>
              <w:left w:val="single" w:sz="4" w:space="0" w:color="77B800"/>
              <w:bottom w:val="single" w:sz="4" w:space="0" w:color="77B800"/>
              <w:right w:val="single" w:sz="4" w:space="0" w:color="77B800"/>
            </w:tcBorders>
            <w:hideMark/>
          </w:tcPr>
          <w:p w14:paraId="3ED07D0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5F589AB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6534CC13"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22158D8"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6EFEFFA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1" w:type="dxa"/>
            <w:tcBorders>
              <w:top w:val="single" w:sz="4" w:space="0" w:color="77B800"/>
              <w:left w:val="single" w:sz="4" w:space="0" w:color="77B800"/>
              <w:bottom w:val="single" w:sz="4" w:space="0" w:color="77B800"/>
              <w:right w:val="single" w:sz="4" w:space="0" w:color="77B800"/>
            </w:tcBorders>
            <w:hideMark/>
          </w:tcPr>
          <w:p w14:paraId="47A2350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34DA4B4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3587B46C" w14:textId="77777777" w:rsidR="00A253C6" w:rsidRPr="0012277B" w:rsidRDefault="00A253C6" w:rsidP="009107BC">
            <w:pPr>
              <w:spacing w:line="280" w:lineRule="exact"/>
              <w:jc w:val="both"/>
              <w:rPr>
                <w:rFonts w:ascii="Calibri" w:eastAsia="Cambria" w:hAnsi="Calibri" w:cs="Times New Roman"/>
                <w:sz w:val="20"/>
                <w:szCs w:val="20"/>
                <w:lang w:val="en-US"/>
              </w:rPr>
            </w:pPr>
            <w:r w:rsidRPr="00A32BE7">
              <w:rPr>
                <w:rFonts w:ascii="Calibri" w:eastAsia="Cambria" w:hAnsi="Calibri" w:cs="Times New Roman"/>
                <w:sz w:val="20"/>
                <w:szCs w:val="20"/>
                <w:lang w:val="en-US"/>
              </w:rPr>
              <w:t>The presence of statistical heterogeneity among the studies was assessed by using the standard Cochran’s chi-square test, and the magnitude of heterogenei</w:t>
            </w:r>
            <w:r>
              <w:rPr>
                <w:rFonts w:ascii="Calibri" w:eastAsia="Cambria" w:hAnsi="Calibri" w:cs="Times New Roman"/>
                <w:sz w:val="20"/>
                <w:szCs w:val="20"/>
                <w:lang w:val="en-US"/>
              </w:rPr>
              <w:t xml:space="preserve">ty by using </w:t>
            </w:r>
            <w:proofErr w:type="gramStart"/>
            <w:r>
              <w:rPr>
                <w:rFonts w:ascii="Calibri" w:eastAsia="Cambria" w:hAnsi="Calibri" w:cs="Times New Roman"/>
                <w:sz w:val="20"/>
                <w:szCs w:val="20"/>
                <w:lang w:val="en-US"/>
              </w:rPr>
              <w:t>the I</w:t>
            </w:r>
            <w:proofErr w:type="gramEnd"/>
            <w:r>
              <w:rPr>
                <w:rFonts w:ascii="Calibri" w:eastAsia="Cambria" w:hAnsi="Calibri" w:cs="Times New Roman"/>
                <w:sz w:val="20"/>
                <w:szCs w:val="20"/>
                <w:lang w:val="en-US"/>
              </w:rPr>
              <w:t xml:space="preserve"> 2 statistic. </w:t>
            </w:r>
          </w:p>
        </w:tc>
      </w:tr>
      <w:tr w:rsidR="00A253C6" w:rsidRPr="0012277B" w14:paraId="6C7752DA" w14:textId="77777777" w:rsidTr="009107BC">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left w:val="single" w:sz="4" w:space="0" w:color="77B800"/>
              <w:bottom w:val="single" w:sz="4" w:space="0" w:color="77B800"/>
              <w:right w:val="single" w:sz="4" w:space="0" w:color="77B800"/>
            </w:tcBorders>
            <w:hideMark/>
          </w:tcPr>
          <w:p w14:paraId="445A267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1" w:type="dxa"/>
            <w:tcBorders>
              <w:top w:val="single" w:sz="4" w:space="0" w:color="77B800"/>
              <w:left w:val="single" w:sz="4" w:space="0" w:color="77B800"/>
              <w:bottom w:val="single" w:sz="4" w:space="0" w:color="77B800"/>
              <w:right w:val="single" w:sz="4" w:space="0" w:color="77B800"/>
            </w:tcBorders>
            <w:hideMark/>
          </w:tcPr>
          <w:p w14:paraId="5183895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3E379E3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0" w:type="dxa"/>
            <w:tcBorders>
              <w:top w:val="single" w:sz="4" w:space="0" w:color="77B800"/>
              <w:left w:val="single" w:sz="4" w:space="0" w:color="77B800"/>
              <w:bottom w:val="single" w:sz="4" w:space="0" w:color="77B800"/>
              <w:right w:val="single" w:sz="4" w:space="0" w:color="77B800"/>
            </w:tcBorders>
          </w:tcPr>
          <w:p w14:paraId="76BDDA9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A4E812D" w14:textId="77777777" w:rsidTr="009107BC">
        <w:tc>
          <w:tcPr>
            <w:tcW w:w="442" w:type="dxa"/>
            <w:tcBorders>
              <w:top w:val="single" w:sz="4" w:space="0" w:color="77B800"/>
              <w:left w:val="single" w:sz="4" w:space="0" w:color="77B800"/>
              <w:bottom w:val="single" w:sz="4" w:space="0" w:color="77B800"/>
              <w:right w:val="single" w:sz="4" w:space="0" w:color="77B800"/>
            </w:tcBorders>
            <w:hideMark/>
          </w:tcPr>
          <w:p w14:paraId="38B2756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1" w:type="dxa"/>
            <w:tcBorders>
              <w:top w:val="single" w:sz="4" w:space="0" w:color="77B800"/>
              <w:left w:val="single" w:sz="4" w:space="0" w:color="77B800"/>
              <w:bottom w:val="single" w:sz="4" w:space="0" w:color="77B800"/>
              <w:right w:val="single" w:sz="4" w:space="0" w:color="77B800"/>
            </w:tcBorders>
            <w:hideMark/>
          </w:tcPr>
          <w:p w14:paraId="314E9BCD"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2FBBE7D5"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0" w:type="dxa"/>
            <w:tcBorders>
              <w:top w:val="single" w:sz="4" w:space="0" w:color="77B800"/>
              <w:left w:val="single" w:sz="4" w:space="0" w:color="77B800"/>
              <w:bottom w:val="single" w:sz="4" w:space="0" w:color="77B800"/>
              <w:right w:val="single" w:sz="4" w:space="0" w:color="77B800"/>
            </w:tcBorders>
            <w:hideMark/>
          </w:tcPr>
          <w:p w14:paraId="56B9A07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All conflicts declared</w:t>
            </w:r>
          </w:p>
        </w:tc>
      </w:tr>
    </w:tbl>
    <w:p w14:paraId="20BE63CE" w14:textId="77777777" w:rsidR="00A253C6" w:rsidRDefault="00A253C6" w:rsidP="00A253C6">
      <w:pPr>
        <w:pStyle w:val="Heading2"/>
      </w:pPr>
      <w:r>
        <w:br w:type="page"/>
      </w:r>
    </w:p>
    <w:p w14:paraId="4307A21D" w14:textId="3587B002" w:rsidR="00A253C6" w:rsidRDefault="00A253C6" w:rsidP="00A253C6">
      <w:pPr>
        <w:pStyle w:val="Heading3"/>
      </w:pPr>
      <w:bookmarkStart w:id="161" w:name="_Toc518922243"/>
      <w:r>
        <w:lastRenderedPageBreak/>
        <w:t>P</w:t>
      </w:r>
      <w:r w:rsidRPr="008768DE">
        <w:t xml:space="preserve">etterson et al. </w:t>
      </w:r>
      <w:r>
        <w:t>(</w:t>
      </w:r>
      <w:r w:rsidRPr="008768DE">
        <w:t>2014</w:t>
      </w:r>
      <w:proofErr w:type="gramStart"/>
      <w:r>
        <w:t>)-</w:t>
      </w:r>
      <w:proofErr w:type="gramEnd"/>
      <w:r>
        <w:t xml:space="preserve">  </w:t>
      </w:r>
      <w:r w:rsidR="009F2A70">
        <w:t>Mammographic</w:t>
      </w:r>
      <w:r>
        <w:t xml:space="preserve"> Density Phenotypes and risk of Breast Cancer: A Meta-analysis</w:t>
      </w:r>
      <w:bookmarkEnd w:id="161"/>
    </w:p>
    <w:tbl>
      <w:tblPr>
        <w:tblStyle w:val="ACGreen-BandedTable"/>
        <w:tblW w:w="13905" w:type="dxa"/>
        <w:tblInd w:w="0" w:type="dxa"/>
        <w:tblLayout w:type="fixed"/>
        <w:tblLook w:val="04A0" w:firstRow="1" w:lastRow="0" w:firstColumn="1" w:lastColumn="0" w:noHBand="0" w:noVBand="1"/>
        <w:tblDescription w:val="AMSTAR2 Tool - Questions, Answers and Comments&#10;&#10;Q1&#10;Did the research questions and inclusion criteria for the review include the components of the PICO?&#10;Yes &#10;&#10;Q2&#10;Did the report of the review contain an explicit statement that the review methods were established prior to the conduct of the review and did the report justify any significant deviations from the protocol?&#10;Yes&#10;Studies partaking in the DENSNP consortium&#10;&#10;Q3&#10;Did the review authors explain their selection of the study designs for inclusion in the review?&#10;Yes &#10;case –controlled design&#10;&#10;Q4&#10;Did the review authors use a comprehensive literature search strategy? &#10;No &#10;&#10;Q5&#10;Was there duplicate study selection and data extraction?&#10;N/A &#10;&#10;Q6&#10;Did the review authors provide a list of excluded studies and justify the exclusion?&#10;N/A &#10;&#10;Q7&#10;Did the review authors describe the included studies in adequate detail?&#10;Yes &#10;&#10;Q8&#10;Did the review authors use a satisfactory technique for assessing the risk of bias (RoB) in individual studies that were included in the review?&#10;Yes&#10;Yes however, they were unable to account for all the biases&#10;&#10;Q9&#10;Did the review authors report on the sources of funding for the studies included in the review?&#10;Yes&#10;National Cancer Institute&#10;&#10;Q10&#10;If meta-analysis was performed did the review authors use appropriate methods for statistical combination of results?&#10;Yes&#10;Random effects model&#10;&#10;Q11&#10;If meta-analysis was performed, did the review authors assess the potential impact of RoB in individual studies on the results of the meta-analysis or other evidence synthesis?&#10;Yes&#10;Undertook a fully adjusted model&#10;&#10;Q12&#10;Did the review authors account for RoB in individual studies when interpreting/discussing the results of the review?&#10;Yes &#10;&#10;Q13&#10;Did the review authors provide a satisfactory explanation for, and discussion of, any heterogeneity observed in the results of the review?&#10;Yes &#10;&#10;Q14&#10;If they performed quantitative synthesis did the review authors carry out an adequate investigation of publication bias (small study bias) and discuss its likely impact on the results of the review?&#10;No &#10;&#10;Q15&#10;Did the review authors report any potential sources of conflict of interest, including any funding they received for conducting the review?&#10;Yes&#10;All author declarations declared&#10;"/>
      </w:tblPr>
      <w:tblGrid>
        <w:gridCol w:w="442"/>
        <w:gridCol w:w="9211"/>
        <w:gridCol w:w="992"/>
        <w:gridCol w:w="3260"/>
      </w:tblGrid>
      <w:tr w:rsidR="00345CCE" w:rsidRPr="00345CCE" w14:paraId="34C5561A" w14:textId="77777777" w:rsidTr="009107BC">
        <w:trPr>
          <w:cnfStyle w:val="100000000000" w:firstRow="1" w:lastRow="0" w:firstColumn="0" w:lastColumn="0" w:oddVBand="0" w:evenVBand="0" w:oddHBand="0" w:evenHBand="0"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tcPr>
          <w:p w14:paraId="16E308EE"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4" w:type="dxa"/>
            <w:tcBorders>
              <w:top w:val="single" w:sz="4" w:space="0" w:color="77B800"/>
              <w:left w:val="single" w:sz="4" w:space="0" w:color="77B800"/>
              <w:bottom w:val="single" w:sz="4" w:space="0" w:color="77B800"/>
              <w:right w:val="single" w:sz="4" w:space="0" w:color="77B800"/>
            </w:tcBorders>
            <w:hideMark/>
          </w:tcPr>
          <w:p w14:paraId="1EDA5680"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39351D47"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1" w:type="dxa"/>
            <w:tcBorders>
              <w:top w:val="single" w:sz="4" w:space="0" w:color="77B800"/>
              <w:left w:val="single" w:sz="4" w:space="0" w:color="77B800"/>
              <w:bottom w:val="single" w:sz="4" w:space="0" w:color="77B800"/>
              <w:right w:val="single" w:sz="4" w:space="0" w:color="77B800"/>
            </w:tcBorders>
            <w:hideMark/>
          </w:tcPr>
          <w:p w14:paraId="45B11026"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68F5A1AE"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1184E43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4" w:type="dxa"/>
            <w:tcBorders>
              <w:top w:val="single" w:sz="4" w:space="0" w:color="77B800"/>
              <w:left w:val="single" w:sz="4" w:space="0" w:color="77B800"/>
              <w:bottom w:val="single" w:sz="4" w:space="0" w:color="77B800"/>
              <w:right w:val="single" w:sz="4" w:space="0" w:color="77B800"/>
            </w:tcBorders>
            <w:hideMark/>
          </w:tcPr>
          <w:p w14:paraId="3232B68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5E90BED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71F54219"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FB3C60E"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2487FE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4" w:type="dxa"/>
            <w:tcBorders>
              <w:top w:val="single" w:sz="4" w:space="0" w:color="77B800"/>
              <w:left w:val="single" w:sz="4" w:space="0" w:color="77B800"/>
              <w:bottom w:val="single" w:sz="4" w:space="0" w:color="77B800"/>
              <w:right w:val="single" w:sz="4" w:space="0" w:color="77B800"/>
            </w:tcBorders>
            <w:hideMark/>
          </w:tcPr>
          <w:p w14:paraId="2260A0A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6FFF322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2C33F11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Studies partaking in the DENSNP consortium</w:t>
            </w:r>
          </w:p>
        </w:tc>
      </w:tr>
      <w:tr w:rsidR="00A253C6" w:rsidRPr="0012277B" w14:paraId="1E760FD8"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0EC1FFB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4" w:type="dxa"/>
            <w:tcBorders>
              <w:top w:val="single" w:sz="4" w:space="0" w:color="77B800"/>
              <w:left w:val="single" w:sz="4" w:space="0" w:color="77B800"/>
              <w:bottom w:val="single" w:sz="4" w:space="0" w:color="77B800"/>
              <w:right w:val="single" w:sz="4" w:space="0" w:color="77B800"/>
            </w:tcBorders>
            <w:hideMark/>
          </w:tcPr>
          <w:p w14:paraId="437C209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0BFC210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Yes </w:t>
            </w:r>
          </w:p>
        </w:tc>
        <w:tc>
          <w:tcPr>
            <w:tcW w:w="3261" w:type="dxa"/>
            <w:tcBorders>
              <w:top w:val="single" w:sz="4" w:space="0" w:color="77B800"/>
              <w:left w:val="single" w:sz="4" w:space="0" w:color="77B800"/>
              <w:bottom w:val="single" w:sz="4" w:space="0" w:color="77B800"/>
              <w:right w:val="single" w:sz="4" w:space="0" w:color="77B800"/>
            </w:tcBorders>
          </w:tcPr>
          <w:p w14:paraId="628B8B9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case –controlled design</w:t>
            </w:r>
          </w:p>
        </w:tc>
      </w:tr>
      <w:tr w:rsidR="00A253C6" w:rsidRPr="0012277B" w14:paraId="332907AA"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24AA6F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4" w:type="dxa"/>
            <w:tcBorders>
              <w:top w:val="single" w:sz="4" w:space="0" w:color="77B800"/>
              <w:left w:val="single" w:sz="4" w:space="0" w:color="77B800"/>
              <w:bottom w:val="single" w:sz="4" w:space="0" w:color="77B800"/>
              <w:right w:val="single" w:sz="4" w:space="0" w:color="77B800"/>
            </w:tcBorders>
            <w:hideMark/>
          </w:tcPr>
          <w:p w14:paraId="74F40ED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51EB633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4E4B207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C384ED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4817D27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4" w:type="dxa"/>
            <w:tcBorders>
              <w:top w:val="single" w:sz="4" w:space="0" w:color="77B800"/>
              <w:left w:val="single" w:sz="4" w:space="0" w:color="77B800"/>
              <w:bottom w:val="single" w:sz="4" w:space="0" w:color="77B800"/>
              <w:right w:val="single" w:sz="4" w:space="0" w:color="77B800"/>
            </w:tcBorders>
            <w:hideMark/>
          </w:tcPr>
          <w:p w14:paraId="54F1BA3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588145B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tcPr>
          <w:p w14:paraId="725C5BB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7CD4FBB"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77350DE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4" w:type="dxa"/>
            <w:tcBorders>
              <w:top w:val="single" w:sz="4" w:space="0" w:color="77B800"/>
              <w:left w:val="single" w:sz="4" w:space="0" w:color="77B800"/>
              <w:bottom w:val="single" w:sz="4" w:space="0" w:color="77B800"/>
              <w:right w:val="single" w:sz="4" w:space="0" w:color="77B800"/>
            </w:tcBorders>
            <w:hideMark/>
          </w:tcPr>
          <w:p w14:paraId="49625C0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5D71A34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hideMark/>
          </w:tcPr>
          <w:p w14:paraId="6B92BF99"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3B6D9F9"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1A78C29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4" w:type="dxa"/>
            <w:tcBorders>
              <w:top w:val="single" w:sz="4" w:space="0" w:color="77B800"/>
              <w:left w:val="single" w:sz="4" w:space="0" w:color="77B800"/>
              <w:bottom w:val="single" w:sz="4" w:space="0" w:color="77B800"/>
              <w:right w:val="single" w:sz="4" w:space="0" w:color="77B800"/>
            </w:tcBorders>
            <w:hideMark/>
          </w:tcPr>
          <w:p w14:paraId="25CD752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5614BE7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74DB14B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E8BBB3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8D4D42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4" w:type="dxa"/>
            <w:tcBorders>
              <w:top w:val="single" w:sz="4" w:space="0" w:color="77B800"/>
              <w:left w:val="single" w:sz="4" w:space="0" w:color="77B800"/>
              <w:bottom w:val="single" w:sz="4" w:space="0" w:color="77B800"/>
              <w:right w:val="single" w:sz="4" w:space="0" w:color="77B800"/>
            </w:tcBorders>
            <w:hideMark/>
          </w:tcPr>
          <w:p w14:paraId="47DB22C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3CD1DA86"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59B9234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 xml:space="preserve"> Yes however, they were unable to account for all the biases</w:t>
            </w:r>
          </w:p>
        </w:tc>
      </w:tr>
      <w:tr w:rsidR="00A253C6" w:rsidRPr="0012277B" w14:paraId="046C0AF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4199944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4" w:type="dxa"/>
            <w:tcBorders>
              <w:top w:val="single" w:sz="4" w:space="0" w:color="77B800"/>
              <w:left w:val="single" w:sz="4" w:space="0" w:color="77B800"/>
              <w:bottom w:val="single" w:sz="4" w:space="0" w:color="77B800"/>
              <w:right w:val="single" w:sz="4" w:space="0" w:color="77B800"/>
            </w:tcBorders>
            <w:hideMark/>
          </w:tcPr>
          <w:p w14:paraId="3BD95DB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1CEC7EE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37CE67A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National Cancer Institute</w:t>
            </w:r>
          </w:p>
        </w:tc>
      </w:tr>
      <w:tr w:rsidR="00A253C6" w:rsidRPr="0012277B" w14:paraId="2920F642"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FECE179"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4" w:type="dxa"/>
            <w:tcBorders>
              <w:top w:val="single" w:sz="4" w:space="0" w:color="77B800"/>
              <w:left w:val="single" w:sz="4" w:space="0" w:color="77B800"/>
              <w:bottom w:val="single" w:sz="4" w:space="0" w:color="77B800"/>
              <w:right w:val="single" w:sz="4" w:space="0" w:color="77B800"/>
            </w:tcBorders>
            <w:hideMark/>
          </w:tcPr>
          <w:p w14:paraId="7D92A69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7E0DBB3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6FD3BDB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Random effects model</w:t>
            </w:r>
          </w:p>
        </w:tc>
      </w:tr>
      <w:tr w:rsidR="00A253C6" w:rsidRPr="0012277B" w14:paraId="2CA689EF"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70941C6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4" w:type="dxa"/>
            <w:tcBorders>
              <w:top w:val="single" w:sz="4" w:space="0" w:color="77B800"/>
              <w:left w:val="single" w:sz="4" w:space="0" w:color="77B800"/>
              <w:bottom w:val="single" w:sz="4" w:space="0" w:color="77B800"/>
              <w:right w:val="single" w:sz="4" w:space="0" w:color="77B800"/>
            </w:tcBorders>
            <w:hideMark/>
          </w:tcPr>
          <w:p w14:paraId="7D12F18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5ACA003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1278502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Undertook a fully adjusted model</w:t>
            </w:r>
          </w:p>
        </w:tc>
      </w:tr>
      <w:tr w:rsidR="00A253C6" w:rsidRPr="0012277B" w14:paraId="5EC17F87"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C06530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4" w:type="dxa"/>
            <w:tcBorders>
              <w:top w:val="single" w:sz="4" w:space="0" w:color="77B800"/>
              <w:left w:val="single" w:sz="4" w:space="0" w:color="77B800"/>
              <w:bottom w:val="single" w:sz="4" w:space="0" w:color="77B800"/>
              <w:right w:val="single" w:sz="4" w:space="0" w:color="77B800"/>
            </w:tcBorders>
            <w:hideMark/>
          </w:tcPr>
          <w:p w14:paraId="69AC8FD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1C16B91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2EC88C77"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362AD1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4046572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13</w:t>
            </w:r>
          </w:p>
        </w:tc>
        <w:tc>
          <w:tcPr>
            <w:tcW w:w="9214" w:type="dxa"/>
            <w:tcBorders>
              <w:top w:val="single" w:sz="4" w:space="0" w:color="77B800"/>
              <w:left w:val="single" w:sz="4" w:space="0" w:color="77B800"/>
              <w:bottom w:val="single" w:sz="4" w:space="0" w:color="77B800"/>
              <w:right w:val="single" w:sz="4" w:space="0" w:color="77B800"/>
            </w:tcBorders>
            <w:hideMark/>
          </w:tcPr>
          <w:p w14:paraId="658954D8"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6088C3B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79C98791"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CD3E046"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B96A53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4" w:type="dxa"/>
            <w:tcBorders>
              <w:top w:val="single" w:sz="4" w:space="0" w:color="77B800"/>
              <w:left w:val="single" w:sz="4" w:space="0" w:color="77B800"/>
              <w:bottom w:val="single" w:sz="4" w:space="0" w:color="77B800"/>
              <w:right w:val="single" w:sz="4" w:space="0" w:color="77B800"/>
            </w:tcBorders>
            <w:hideMark/>
          </w:tcPr>
          <w:p w14:paraId="1D4D1DB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327A2DE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143EEB41"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5755BFA"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774FB81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4" w:type="dxa"/>
            <w:tcBorders>
              <w:top w:val="single" w:sz="4" w:space="0" w:color="77B800"/>
              <w:left w:val="single" w:sz="4" w:space="0" w:color="77B800"/>
              <w:bottom w:val="single" w:sz="4" w:space="0" w:color="77B800"/>
              <w:right w:val="single" w:sz="4" w:space="0" w:color="77B800"/>
            </w:tcBorders>
            <w:hideMark/>
          </w:tcPr>
          <w:p w14:paraId="4856425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303AEFE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60130A0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All author declarations declared</w:t>
            </w:r>
          </w:p>
        </w:tc>
      </w:tr>
    </w:tbl>
    <w:p w14:paraId="12567C0F" w14:textId="77777777" w:rsidR="00A253C6" w:rsidRDefault="00A253C6" w:rsidP="00A253C6">
      <w:pPr>
        <w:pStyle w:val="Heading2"/>
      </w:pPr>
      <w:r>
        <w:br w:type="page"/>
      </w:r>
    </w:p>
    <w:p w14:paraId="1AE2170E" w14:textId="77777777" w:rsidR="00A253C6" w:rsidRDefault="00A253C6" w:rsidP="00A253C6">
      <w:pPr>
        <w:pStyle w:val="Heading3"/>
      </w:pPr>
      <w:bookmarkStart w:id="162" w:name="_Toc518922244"/>
      <w:r w:rsidRPr="00C00DD8">
        <w:lastRenderedPageBreak/>
        <w:t xml:space="preserve">Sari et al. </w:t>
      </w:r>
      <w:r>
        <w:t>(</w:t>
      </w:r>
      <w:r w:rsidRPr="00C00DD8">
        <w:t>2013</w:t>
      </w:r>
      <w:r>
        <w:t>). - A Systematic Review of the Effects of Diffuse Optical Imaging in Breast Diseases</w:t>
      </w:r>
      <w:bookmarkEnd w:id="162"/>
    </w:p>
    <w:tbl>
      <w:tblPr>
        <w:tblStyle w:val="ACGreen-BandedTable"/>
        <w:tblW w:w="13905" w:type="dxa"/>
        <w:tblInd w:w="0" w:type="dxa"/>
        <w:tblLayout w:type="fixed"/>
        <w:tblLook w:val="04A0" w:firstRow="1" w:lastRow="0" w:firstColumn="1" w:lastColumn="0" w:noHBand="0" w:noVBand="1"/>
        <w:tblDescription w:val="AMSTAR2 Tool - Questions with Answers and Comments&#10;&#10;Q1&#10;Did the research questions and inclusion criteria for the review include the components of the PICO?&#10;No &#10;&#10;Q2&#10;Did the report of the review contain an explicit statement that the review methods were established prior to the conduct of the review and did the report justify any significant deviations from the protocol?&#10;No &#10;&#10;Q3&#10;Did the review authors explain their selection of the study designs for inclusion in the review?&#10;Yes &#10;&#10;Q4&#10;Did the review authors use a comprehensive literature search strategy? &#10;No &#10;&#10;Q5&#10;Was there duplicate study selection and data extraction?&#10;Yes &#10;&#10;Q6&#10;Did the review authors provide a list of excluded studies and justify the exclusion?&#10;Yes &#10;&#10;Q7&#10;Did the review authors describe the included studies in adequate detail?&#10;No &#10;&#10;Q8&#10;Did the review authors use a satisfactory technique for assessing the risk of bias (RoB) in individual studies that were included in the review?&#10;No &#10;&#10;Q9&#10;Did the review authors report on the sources of funding for the studies included in the review?&#10;Yes&#10;No funding declared&#10;&#10;Q10&#10;If meta-analysis was performed did the review authors use appropriate methods for statistical combination of results?&#10;N/A &#10;&#10;Q11&#10;If meta-analysis was performed, did the review authors assess the potential impact of RoB in individual studies on the results of the meta-analysis or other evidence synthesis?&#10;N/A &#10;&#10;Q12&#10;Did the review authors account for RoB in individual studies when interpreting/discussing the results of the review?&#10;No &#10;&#10;Q13&#10;Did the review authors provide a satisfactory explanation for, and discussion of, any heterogeneity observed in the results of the review? &#10;N/A &#10;&#10;Q14&#10;If they performed quantitative synthesis did the review authors carry out an adequate investigation of publication bias (small study bias) and discuss its likely impact on the results of the review?&#10;No &#10;&#10;Q15&#10;Did the review authors report any potential sources of conflict of interest, including any funding they received for conducting the review?&#10;Yes&#10;No conflicts declared&#10;"/>
      </w:tblPr>
      <w:tblGrid>
        <w:gridCol w:w="442"/>
        <w:gridCol w:w="9211"/>
        <w:gridCol w:w="992"/>
        <w:gridCol w:w="3260"/>
      </w:tblGrid>
      <w:tr w:rsidR="00345CCE" w:rsidRPr="00345CCE" w14:paraId="28C7942E" w14:textId="77777777" w:rsidTr="009107BC">
        <w:trPr>
          <w:cnfStyle w:val="100000000000" w:firstRow="1" w:lastRow="0" w:firstColumn="0" w:lastColumn="0" w:oddVBand="0" w:evenVBand="0" w:oddHBand="0" w:evenHBand="0"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tcPr>
          <w:p w14:paraId="6E9B3220"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4" w:type="dxa"/>
            <w:tcBorders>
              <w:top w:val="single" w:sz="4" w:space="0" w:color="77B800"/>
              <w:left w:val="single" w:sz="4" w:space="0" w:color="77B800"/>
              <w:bottom w:val="single" w:sz="4" w:space="0" w:color="77B800"/>
              <w:right w:val="single" w:sz="4" w:space="0" w:color="77B800"/>
            </w:tcBorders>
            <w:hideMark/>
          </w:tcPr>
          <w:p w14:paraId="52DEDEC0"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4B143F98"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1" w:type="dxa"/>
            <w:tcBorders>
              <w:top w:val="single" w:sz="4" w:space="0" w:color="77B800"/>
              <w:left w:val="single" w:sz="4" w:space="0" w:color="77B800"/>
              <w:bottom w:val="single" w:sz="4" w:space="0" w:color="77B800"/>
              <w:right w:val="single" w:sz="4" w:space="0" w:color="77B800"/>
            </w:tcBorders>
            <w:hideMark/>
          </w:tcPr>
          <w:p w14:paraId="62D88DDF"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49AD71F2"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0B8C7F5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4" w:type="dxa"/>
            <w:tcBorders>
              <w:top w:val="single" w:sz="4" w:space="0" w:color="77B800"/>
              <w:left w:val="single" w:sz="4" w:space="0" w:color="77B800"/>
              <w:bottom w:val="single" w:sz="4" w:space="0" w:color="77B800"/>
              <w:right w:val="single" w:sz="4" w:space="0" w:color="77B800"/>
            </w:tcBorders>
            <w:hideMark/>
          </w:tcPr>
          <w:p w14:paraId="27FD927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45E85D4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7E4F77A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42452F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1DF9209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4" w:type="dxa"/>
            <w:tcBorders>
              <w:top w:val="single" w:sz="4" w:space="0" w:color="77B800"/>
              <w:left w:val="single" w:sz="4" w:space="0" w:color="77B800"/>
              <w:bottom w:val="single" w:sz="4" w:space="0" w:color="77B800"/>
              <w:right w:val="single" w:sz="4" w:space="0" w:color="77B800"/>
            </w:tcBorders>
            <w:hideMark/>
          </w:tcPr>
          <w:p w14:paraId="7963115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689E5A4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1DFA3DDF"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085EC6A"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208F244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4" w:type="dxa"/>
            <w:tcBorders>
              <w:top w:val="single" w:sz="4" w:space="0" w:color="77B800"/>
              <w:left w:val="single" w:sz="4" w:space="0" w:color="77B800"/>
              <w:bottom w:val="single" w:sz="4" w:space="0" w:color="77B800"/>
              <w:right w:val="single" w:sz="4" w:space="0" w:color="77B800"/>
            </w:tcBorders>
            <w:hideMark/>
          </w:tcPr>
          <w:p w14:paraId="2E70404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235F381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16F6AE3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88EDFF0"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7CCB6B1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4" w:type="dxa"/>
            <w:tcBorders>
              <w:top w:val="single" w:sz="4" w:space="0" w:color="77B800"/>
              <w:left w:val="single" w:sz="4" w:space="0" w:color="77B800"/>
              <w:bottom w:val="single" w:sz="4" w:space="0" w:color="77B800"/>
              <w:right w:val="single" w:sz="4" w:space="0" w:color="77B800"/>
            </w:tcBorders>
            <w:hideMark/>
          </w:tcPr>
          <w:p w14:paraId="22D7F6E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5227892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51C6895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C973CE9"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2C31C92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4" w:type="dxa"/>
            <w:tcBorders>
              <w:top w:val="single" w:sz="4" w:space="0" w:color="77B800"/>
              <w:left w:val="single" w:sz="4" w:space="0" w:color="77B800"/>
              <w:bottom w:val="single" w:sz="4" w:space="0" w:color="77B800"/>
              <w:right w:val="single" w:sz="4" w:space="0" w:color="77B800"/>
            </w:tcBorders>
            <w:hideMark/>
          </w:tcPr>
          <w:p w14:paraId="0CFF14F8"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30D4373A"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58576A56"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968131B"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41087E0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4" w:type="dxa"/>
            <w:tcBorders>
              <w:top w:val="single" w:sz="4" w:space="0" w:color="77B800"/>
              <w:left w:val="single" w:sz="4" w:space="0" w:color="77B800"/>
              <w:bottom w:val="single" w:sz="4" w:space="0" w:color="77B800"/>
              <w:right w:val="single" w:sz="4" w:space="0" w:color="77B800"/>
            </w:tcBorders>
            <w:hideMark/>
          </w:tcPr>
          <w:p w14:paraId="7DD89688"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7913C92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0717DC3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1AF0756"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8B1C69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4" w:type="dxa"/>
            <w:tcBorders>
              <w:top w:val="single" w:sz="4" w:space="0" w:color="77B800"/>
              <w:left w:val="single" w:sz="4" w:space="0" w:color="77B800"/>
              <w:bottom w:val="single" w:sz="4" w:space="0" w:color="77B800"/>
              <w:right w:val="single" w:sz="4" w:space="0" w:color="77B800"/>
            </w:tcBorders>
            <w:hideMark/>
          </w:tcPr>
          <w:p w14:paraId="071BF87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57174811"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33348A6B"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1F91BBC"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2B9274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4" w:type="dxa"/>
            <w:tcBorders>
              <w:top w:val="single" w:sz="4" w:space="0" w:color="77B800"/>
              <w:left w:val="single" w:sz="4" w:space="0" w:color="77B800"/>
              <w:bottom w:val="single" w:sz="4" w:space="0" w:color="77B800"/>
              <w:right w:val="single" w:sz="4" w:space="0" w:color="77B800"/>
            </w:tcBorders>
            <w:hideMark/>
          </w:tcPr>
          <w:p w14:paraId="042417F4"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77B7914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584C4B7F"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B9DC56E"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4CA9B18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4" w:type="dxa"/>
            <w:tcBorders>
              <w:top w:val="single" w:sz="4" w:space="0" w:color="77B800"/>
              <w:left w:val="single" w:sz="4" w:space="0" w:color="77B800"/>
              <w:bottom w:val="single" w:sz="4" w:space="0" w:color="77B800"/>
              <w:right w:val="single" w:sz="4" w:space="0" w:color="77B800"/>
            </w:tcBorders>
            <w:hideMark/>
          </w:tcPr>
          <w:p w14:paraId="250D0ED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00FE594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38B4654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funding declared</w:t>
            </w:r>
          </w:p>
        </w:tc>
      </w:tr>
      <w:tr w:rsidR="00A253C6" w:rsidRPr="0012277B" w14:paraId="240499E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EAC0F8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4" w:type="dxa"/>
            <w:tcBorders>
              <w:top w:val="single" w:sz="4" w:space="0" w:color="77B800"/>
              <w:left w:val="single" w:sz="4" w:space="0" w:color="77B800"/>
              <w:bottom w:val="single" w:sz="4" w:space="0" w:color="77B800"/>
              <w:right w:val="single" w:sz="4" w:space="0" w:color="77B800"/>
            </w:tcBorders>
            <w:hideMark/>
          </w:tcPr>
          <w:p w14:paraId="59DDD1DD"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2DC9014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hideMark/>
          </w:tcPr>
          <w:p w14:paraId="13439DA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925D432"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F908177"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4" w:type="dxa"/>
            <w:tcBorders>
              <w:top w:val="single" w:sz="4" w:space="0" w:color="77B800"/>
              <w:left w:val="single" w:sz="4" w:space="0" w:color="77B800"/>
              <w:bottom w:val="single" w:sz="4" w:space="0" w:color="77B800"/>
              <w:right w:val="single" w:sz="4" w:space="0" w:color="77B800"/>
            </w:tcBorders>
            <w:hideMark/>
          </w:tcPr>
          <w:p w14:paraId="45C3909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7A8DD87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tcPr>
          <w:p w14:paraId="2EB5A273"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AA32A86"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B4A416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4" w:type="dxa"/>
            <w:tcBorders>
              <w:top w:val="single" w:sz="4" w:space="0" w:color="77B800"/>
              <w:left w:val="single" w:sz="4" w:space="0" w:color="77B800"/>
              <w:bottom w:val="single" w:sz="4" w:space="0" w:color="77B800"/>
              <w:right w:val="single" w:sz="4" w:space="0" w:color="77B800"/>
            </w:tcBorders>
            <w:hideMark/>
          </w:tcPr>
          <w:p w14:paraId="3ABBF1F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573DAF7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748197A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C0C4C65"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0A3162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13</w:t>
            </w:r>
          </w:p>
        </w:tc>
        <w:tc>
          <w:tcPr>
            <w:tcW w:w="9214" w:type="dxa"/>
            <w:tcBorders>
              <w:top w:val="single" w:sz="4" w:space="0" w:color="77B800"/>
              <w:left w:val="single" w:sz="4" w:space="0" w:color="77B800"/>
              <w:bottom w:val="single" w:sz="4" w:space="0" w:color="77B800"/>
              <w:right w:val="single" w:sz="4" w:space="0" w:color="77B800"/>
            </w:tcBorders>
            <w:hideMark/>
          </w:tcPr>
          <w:p w14:paraId="1B955D8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4C313CC9"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tcPr>
          <w:p w14:paraId="17F5CED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AD9D646"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EDB8D12"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4" w:type="dxa"/>
            <w:tcBorders>
              <w:top w:val="single" w:sz="4" w:space="0" w:color="77B800"/>
              <w:left w:val="single" w:sz="4" w:space="0" w:color="77B800"/>
              <w:bottom w:val="single" w:sz="4" w:space="0" w:color="77B800"/>
              <w:right w:val="single" w:sz="4" w:space="0" w:color="77B800"/>
            </w:tcBorders>
            <w:hideMark/>
          </w:tcPr>
          <w:p w14:paraId="17BF9ED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2D3E6E63"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4F1D873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F635A59"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1FE0E3A"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4" w:type="dxa"/>
            <w:tcBorders>
              <w:top w:val="single" w:sz="4" w:space="0" w:color="77B800"/>
              <w:left w:val="single" w:sz="4" w:space="0" w:color="77B800"/>
              <w:bottom w:val="single" w:sz="4" w:space="0" w:color="77B800"/>
              <w:right w:val="single" w:sz="4" w:space="0" w:color="77B800"/>
            </w:tcBorders>
            <w:hideMark/>
          </w:tcPr>
          <w:p w14:paraId="1A7495E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05A74F55"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7E9B1AE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 conflicts declared</w:t>
            </w:r>
          </w:p>
        </w:tc>
      </w:tr>
    </w:tbl>
    <w:p w14:paraId="418DC0C1" w14:textId="77777777" w:rsidR="00A253C6" w:rsidRDefault="00A253C6" w:rsidP="00A253C6">
      <w:pPr>
        <w:rPr>
          <w:rFonts w:asciiTheme="majorHAnsi" w:hAnsiTheme="majorHAnsi"/>
          <w:b/>
          <w:color w:val="36424A" w:themeColor="text2"/>
          <w:sz w:val="28"/>
        </w:rPr>
      </w:pPr>
      <w:r>
        <w:br w:type="page"/>
      </w:r>
    </w:p>
    <w:p w14:paraId="76287D55" w14:textId="77777777" w:rsidR="00A253C6" w:rsidRDefault="00A253C6" w:rsidP="00A253C6">
      <w:pPr>
        <w:pStyle w:val="Heading3"/>
      </w:pPr>
      <w:bookmarkStart w:id="163" w:name="_Toc518922245"/>
      <w:r w:rsidRPr="000A22C3">
        <w:lastRenderedPageBreak/>
        <w:t xml:space="preserve">Scheel et al. (2015) - </w:t>
      </w:r>
      <w:r w:rsidRPr="000A22C3">
        <w:rPr>
          <w:rStyle w:val="title-text"/>
        </w:rPr>
        <w:t>Screening ultrasound as an adjunct to mammography in women with mammographically dense breasts</w:t>
      </w:r>
      <w:bookmarkEnd w:id="163"/>
    </w:p>
    <w:tbl>
      <w:tblPr>
        <w:tblStyle w:val="ACGreen-BandedTable"/>
        <w:tblW w:w="13905" w:type="dxa"/>
        <w:tblInd w:w="0" w:type="dxa"/>
        <w:tblLayout w:type="fixed"/>
        <w:tblLook w:val="04A0" w:firstRow="1" w:lastRow="0" w:firstColumn="1" w:lastColumn="0" w:noHBand="0" w:noVBand="1"/>
        <w:tblDescription w:val="AMSTAR2 Tool - Questions with Answers and Comments&#10;&#10;Q1&#10;Did the research questions and inclusion criteria for the review include the components of the PICO?&#10;No &#10;&#10;Q2&#10;Did the report of the review contain an explicit statement that the review methods were established prior to the conduct of the review and did the report justify any significant deviations from the protocol?&#10;No &#10;&#10;Q3&#10;Did the review authors explain their selection of the study designs for inclusion in the review?&#10;No&#10;No – but they did say included studies using either ABUS or handheld US (HHUS) as an adjunct to screening mammography that were not in male patients, reader studies, case reports, and review articles.&#10;&#10;Q4&#10;Did the review authors use a comprehensive literature search strategy?&#10;No &#10;&#10;Q5&#10;Was there duplicate study selection and data extraction?&#10;Yes &#10;&#10;Q6&#10;Did the review authors provide a list of excluded studies and justify the exclusion?&#10;Yes &#10;&#10;Q7&#10;Did the review authors describe the included studies in adequate detail?&#10;Yes &#10;&#10;Q8&#10;Did the review authors use a satisfactory technique for assessing the risk of bias (RoB) in individual studies that were included in the review?&#10;No &#10;&#10;Q9&#10;Did the review authors report on the sources of funding for the studies included in the review?&#10;Yes&#10;National Institutes of Health (grant 1R01CA151326).&#10;&#10;Q10&#10;If meta-analysis was performed did the review authors use appropriate methods for statistical combination of results?&#10;N/A &#10;&#10;Q11&#10;If meta-analysis was performed, did the review authors assess the potential impact of RoB in individual studies on the results of the meta-analysis or other evidence synthesis?&#10;N/A &#10;&#10;Q12&#10;Did the review authors account for RoB in individual studies when interpreting/discussing the results of the review?&#10;No &#10;&#10;Q13&#10;Did the review authors provide a satisfactory explanation for, and discussion of, any heterogeneity observed in the results of the review?&#10;No &#10;&#10;Q14&#10;If they performed quantitative synthesis did the review authors carry out an adequate investigation of publication bias (small study bias) and discuss its likely impact on the results of the review?&#10;No &#10;&#10;Q15&#10;Did the review authors report any potential sources of conflict of interest, including any funding they received for conducting the review?&#10;Yes&#10;All conflicts declared&#10;"/>
      </w:tblPr>
      <w:tblGrid>
        <w:gridCol w:w="442"/>
        <w:gridCol w:w="9211"/>
        <w:gridCol w:w="992"/>
        <w:gridCol w:w="3260"/>
      </w:tblGrid>
      <w:tr w:rsidR="00345CCE" w:rsidRPr="00345CCE" w14:paraId="007369DD" w14:textId="77777777" w:rsidTr="009107BC">
        <w:trPr>
          <w:cnfStyle w:val="100000000000" w:firstRow="1" w:lastRow="0" w:firstColumn="0" w:lastColumn="0" w:oddVBand="0" w:evenVBand="0" w:oddHBand="0" w:evenHBand="0"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tcPr>
          <w:p w14:paraId="0A5D2230"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4" w:type="dxa"/>
            <w:tcBorders>
              <w:top w:val="single" w:sz="4" w:space="0" w:color="77B800"/>
              <w:left w:val="single" w:sz="4" w:space="0" w:color="77B800"/>
              <w:bottom w:val="single" w:sz="4" w:space="0" w:color="77B800"/>
              <w:right w:val="single" w:sz="4" w:space="0" w:color="77B800"/>
            </w:tcBorders>
            <w:hideMark/>
          </w:tcPr>
          <w:p w14:paraId="31F54C1A"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2A7551EC"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1" w:type="dxa"/>
            <w:tcBorders>
              <w:top w:val="single" w:sz="4" w:space="0" w:color="77B800"/>
              <w:left w:val="single" w:sz="4" w:space="0" w:color="77B800"/>
              <w:bottom w:val="single" w:sz="4" w:space="0" w:color="77B800"/>
              <w:right w:val="single" w:sz="4" w:space="0" w:color="77B800"/>
            </w:tcBorders>
            <w:hideMark/>
          </w:tcPr>
          <w:p w14:paraId="71D4815B"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23AA0B48"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6B0E2A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4" w:type="dxa"/>
            <w:tcBorders>
              <w:top w:val="single" w:sz="4" w:space="0" w:color="77B800"/>
              <w:left w:val="single" w:sz="4" w:space="0" w:color="77B800"/>
              <w:bottom w:val="single" w:sz="4" w:space="0" w:color="77B800"/>
              <w:right w:val="single" w:sz="4" w:space="0" w:color="77B800"/>
            </w:tcBorders>
            <w:hideMark/>
          </w:tcPr>
          <w:p w14:paraId="2AF50B2C"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15BA73C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2CF73B48"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EEFE3B7"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4D7F7FA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4" w:type="dxa"/>
            <w:tcBorders>
              <w:top w:val="single" w:sz="4" w:space="0" w:color="77B800"/>
              <w:left w:val="single" w:sz="4" w:space="0" w:color="77B800"/>
              <w:bottom w:val="single" w:sz="4" w:space="0" w:color="77B800"/>
              <w:right w:val="single" w:sz="4" w:space="0" w:color="77B800"/>
            </w:tcBorders>
            <w:hideMark/>
          </w:tcPr>
          <w:p w14:paraId="2F501F5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2FCF8DB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487BC2E0"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82C52CB"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3FFC33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4" w:type="dxa"/>
            <w:tcBorders>
              <w:top w:val="single" w:sz="4" w:space="0" w:color="77B800"/>
              <w:left w:val="single" w:sz="4" w:space="0" w:color="77B800"/>
              <w:bottom w:val="single" w:sz="4" w:space="0" w:color="77B800"/>
              <w:right w:val="single" w:sz="4" w:space="0" w:color="77B800"/>
            </w:tcBorders>
            <w:hideMark/>
          </w:tcPr>
          <w:p w14:paraId="65F1DA3E"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0A4E699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7D36BE38" w14:textId="31781E82" w:rsidR="00A253C6" w:rsidRPr="0012277B" w:rsidRDefault="00A253C6" w:rsidP="009107BC">
            <w:pPr>
              <w:rPr>
                <w:rFonts w:ascii="Calibri" w:eastAsia="Cambria" w:hAnsi="Calibri" w:cs="Times New Roman"/>
                <w:sz w:val="20"/>
                <w:szCs w:val="20"/>
                <w:lang w:val="en-US"/>
              </w:rPr>
            </w:pPr>
            <w:r>
              <w:rPr>
                <w:rFonts w:ascii="Calibri" w:eastAsia="Cambria" w:hAnsi="Calibri" w:cs="Times New Roman"/>
                <w:sz w:val="20"/>
                <w:szCs w:val="20"/>
                <w:lang w:val="en-US"/>
              </w:rPr>
              <w:t>No – but they did say included</w:t>
            </w:r>
            <w:r w:rsidRPr="007D1DAC">
              <w:rPr>
                <w:rFonts w:ascii="Calibri" w:eastAsia="Cambria" w:hAnsi="Calibri" w:cs="Times New Roman"/>
                <w:sz w:val="20"/>
                <w:szCs w:val="20"/>
                <w:lang w:val="en-US"/>
              </w:rPr>
              <w:t xml:space="preserve"> studies using either ABUS or handheld US (HHUS) as an adjunct to screening mammography</w:t>
            </w:r>
            <w:r>
              <w:rPr>
                <w:rFonts w:ascii="Calibri" w:eastAsia="Cambria" w:hAnsi="Calibri" w:cs="Times New Roman"/>
                <w:sz w:val="20"/>
                <w:szCs w:val="20"/>
                <w:lang w:val="en-US"/>
              </w:rPr>
              <w:t xml:space="preserve"> that were not </w:t>
            </w:r>
            <w:r w:rsidRPr="007D1DAC">
              <w:rPr>
                <w:rFonts w:ascii="Calibri" w:eastAsia="Cambria" w:hAnsi="Calibri" w:cs="Times New Roman"/>
                <w:sz w:val="20"/>
                <w:szCs w:val="20"/>
                <w:lang w:val="en-US"/>
              </w:rPr>
              <w:t>in male patients, reader studies, case reports, and review articles.</w:t>
            </w:r>
          </w:p>
        </w:tc>
      </w:tr>
      <w:tr w:rsidR="00A253C6" w:rsidRPr="0012277B" w14:paraId="5A823E02"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177117AE"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4" w:type="dxa"/>
            <w:tcBorders>
              <w:top w:val="single" w:sz="4" w:space="0" w:color="77B800"/>
              <w:left w:val="single" w:sz="4" w:space="0" w:color="77B800"/>
              <w:bottom w:val="single" w:sz="4" w:space="0" w:color="77B800"/>
              <w:right w:val="single" w:sz="4" w:space="0" w:color="77B800"/>
            </w:tcBorders>
            <w:hideMark/>
          </w:tcPr>
          <w:p w14:paraId="68A6313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4ABA33D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64638F6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4404444"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191C4C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4" w:type="dxa"/>
            <w:tcBorders>
              <w:top w:val="single" w:sz="4" w:space="0" w:color="77B800"/>
              <w:left w:val="single" w:sz="4" w:space="0" w:color="77B800"/>
              <w:bottom w:val="single" w:sz="4" w:space="0" w:color="77B800"/>
              <w:right w:val="single" w:sz="4" w:space="0" w:color="77B800"/>
            </w:tcBorders>
            <w:hideMark/>
          </w:tcPr>
          <w:p w14:paraId="60367E9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25A2B26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6DA313E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C483BA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50879E2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4" w:type="dxa"/>
            <w:tcBorders>
              <w:top w:val="single" w:sz="4" w:space="0" w:color="77B800"/>
              <w:left w:val="single" w:sz="4" w:space="0" w:color="77B800"/>
              <w:bottom w:val="single" w:sz="4" w:space="0" w:color="77B800"/>
              <w:right w:val="single" w:sz="4" w:space="0" w:color="77B800"/>
            </w:tcBorders>
            <w:hideMark/>
          </w:tcPr>
          <w:p w14:paraId="7DCBE40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11F8163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757A34CB"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039E987"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2A24F20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4" w:type="dxa"/>
            <w:tcBorders>
              <w:top w:val="single" w:sz="4" w:space="0" w:color="77B800"/>
              <w:left w:val="single" w:sz="4" w:space="0" w:color="77B800"/>
              <w:bottom w:val="single" w:sz="4" w:space="0" w:color="77B800"/>
              <w:right w:val="single" w:sz="4" w:space="0" w:color="77B800"/>
            </w:tcBorders>
            <w:hideMark/>
          </w:tcPr>
          <w:p w14:paraId="6664A15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3D8F9C45"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496AC5FA"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0796BA4"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8C0B47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4" w:type="dxa"/>
            <w:tcBorders>
              <w:top w:val="single" w:sz="4" w:space="0" w:color="77B800"/>
              <w:left w:val="single" w:sz="4" w:space="0" w:color="77B800"/>
              <w:bottom w:val="single" w:sz="4" w:space="0" w:color="77B800"/>
              <w:right w:val="single" w:sz="4" w:space="0" w:color="77B800"/>
            </w:tcBorders>
            <w:hideMark/>
          </w:tcPr>
          <w:p w14:paraId="43D8EE16"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7432913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52F8DE6A"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4FBC5DF"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D2331F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4" w:type="dxa"/>
            <w:tcBorders>
              <w:top w:val="single" w:sz="4" w:space="0" w:color="77B800"/>
              <w:left w:val="single" w:sz="4" w:space="0" w:color="77B800"/>
              <w:bottom w:val="single" w:sz="4" w:space="0" w:color="77B800"/>
              <w:right w:val="single" w:sz="4" w:space="0" w:color="77B800"/>
            </w:tcBorders>
            <w:hideMark/>
          </w:tcPr>
          <w:p w14:paraId="0A40C43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71B3887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0F87BA1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Arial" w:hAnsi="Arial" w:cs="Arial"/>
                <w:b/>
                <w:bCs/>
                <w:color w:val="000000"/>
                <w:sz w:val="18"/>
                <w:szCs w:val="18"/>
                <w:shd w:val="clear" w:color="auto" w:fill="FFFFFF"/>
              </w:rPr>
              <w:t>National Institutes of Health (grant 1R01CA151326).</w:t>
            </w:r>
          </w:p>
        </w:tc>
      </w:tr>
      <w:tr w:rsidR="00A253C6" w:rsidRPr="0012277B" w14:paraId="3FE48783"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29E2E5F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4" w:type="dxa"/>
            <w:tcBorders>
              <w:top w:val="single" w:sz="4" w:space="0" w:color="77B800"/>
              <w:left w:val="single" w:sz="4" w:space="0" w:color="77B800"/>
              <w:bottom w:val="single" w:sz="4" w:space="0" w:color="77B800"/>
              <w:right w:val="single" w:sz="4" w:space="0" w:color="77B800"/>
            </w:tcBorders>
            <w:hideMark/>
          </w:tcPr>
          <w:p w14:paraId="009CE21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1D99558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hideMark/>
          </w:tcPr>
          <w:p w14:paraId="1E73147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7483093"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D2F74D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11</w:t>
            </w:r>
          </w:p>
        </w:tc>
        <w:tc>
          <w:tcPr>
            <w:tcW w:w="9214" w:type="dxa"/>
            <w:tcBorders>
              <w:top w:val="single" w:sz="4" w:space="0" w:color="77B800"/>
              <w:left w:val="single" w:sz="4" w:space="0" w:color="77B800"/>
              <w:bottom w:val="single" w:sz="4" w:space="0" w:color="77B800"/>
              <w:right w:val="single" w:sz="4" w:space="0" w:color="77B800"/>
            </w:tcBorders>
            <w:hideMark/>
          </w:tcPr>
          <w:p w14:paraId="60A2E9FF"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64F7BFD0"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tcPr>
          <w:p w14:paraId="0F868926"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0B5EDCD"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77C52F6"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12</w:t>
            </w:r>
          </w:p>
        </w:tc>
        <w:tc>
          <w:tcPr>
            <w:tcW w:w="9214" w:type="dxa"/>
            <w:tcBorders>
              <w:top w:val="single" w:sz="4" w:space="0" w:color="77B800"/>
              <w:left w:val="single" w:sz="4" w:space="0" w:color="77B800"/>
              <w:bottom w:val="single" w:sz="4" w:space="0" w:color="77B800"/>
              <w:right w:val="single" w:sz="4" w:space="0" w:color="77B800"/>
            </w:tcBorders>
            <w:hideMark/>
          </w:tcPr>
          <w:p w14:paraId="2787A63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1A00A00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2508767A"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8FB0ED3"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E70B64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4" w:type="dxa"/>
            <w:tcBorders>
              <w:top w:val="single" w:sz="4" w:space="0" w:color="77B800"/>
              <w:left w:val="single" w:sz="4" w:space="0" w:color="77B800"/>
              <w:bottom w:val="single" w:sz="4" w:space="0" w:color="77B800"/>
              <w:right w:val="single" w:sz="4" w:space="0" w:color="77B800"/>
            </w:tcBorders>
            <w:hideMark/>
          </w:tcPr>
          <w:p w14:paraId="750C9AD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7F9D82B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58ACD1D7"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6B7BBB0"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5274C02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4" w:type="dxa"/>
            <w:tcBorders>
              <w:top w:val="single" w:sz="4" w:space="0" w:color="77B800"/>
              <w:left w:val="single" w:sz="4" w:space="0" w:color="77B800"/>
              <w:bottom w:val="single" w:sz="4" w:space="0" w:color="77B800"/>
              <w:right w:val="single" w:sz="4" w:space="0" w:color="77B800"/>
            </w:tcBorders>
            <w:hideMark/>
          </w:tcPr>
          <w:p w14:paraId="63FD13DA"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7EEF710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42D0FE47"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08EB55E7"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1A83D3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4" w:type="dxa"/>
            <w:tcBorders>
              <w:top w:val="single" w:sz="4" w:space="0" w:color="77B800"/>
              <w:left w:val="single" w:sz="4" w:space="0" w:color="77B800"/>
              <w:bottom w:val="single" w:sz="4" w:space="0" w:color="77B800"/>
              <w:right w:val="single" w:sz="4" w:space="0" w:color="77B800"/>
            </w:tcBorders>
            <w:hideMark/>
          </w:tcPr>
          <w:p w14:paraId="1E41E8A9"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61876845"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hideMark/>
          </w:tcPr>
          <w:p w14:paraId="22B806D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All conflicts declared</w:t>
            </w:r>
          </w:p>
        </w:tc>
      </w:tr>
    </w:tbl>
    <w:p w14:paraId="474B32B1" w14:textId="77777777" w:rsidR="00A253C6" w:rsidRDefault="00A253C6" w:rsidP="00A253C6">
      <w:pPr>
        <w:pStyle w:val="Heading2"/>
      </w:pPr>
      <w:r>
        <w:br w:type="page"/>
      </w:r>
    </w:p>
    <w:p w14:paraId="2AE49DD9" w14:textId="77777777" w:rsidR="00A253C6" w:rsidRDefault="00A253C6" w:rsidP="00A253C6">
      <w:pPr>
        <w:pStyle w:val="Heading3"/>
      </w:pPr>
      <w:bookmarkStart w:id="164" w:name="_Toc518922246"/>
      <w:r w:rsidRPr="008768DE">
        <w:lastRenderedPageBreak/>
        <w:t xml:space="preserve">Yankaskas et al. </w:t>
      </w:r>
      <w:r>
        <w:t>(</w:t>
      </w:r>
      <w:r w:rsidRPr="008768DE">
        <w:t>2010</w:t>
      </w:r>
      <w:r>
        <w:t>) - Performance of First Mammography Examination in Women Younger Than 40 Years</w:t>
      </w:r>
      <w:bookmarkEnd w:id="164"/>
    </w:p>
    <w:tbl>
      <w:tblPr>
        <w:tblStyle w:val="ACGreen-BandedTable"/>
        <w:tblW w:w="13905" w:type="dxa"/>
        <w:tblInd w:w="0" w:type="dxa"/>
        <w:tblLayout w:type="fixed"/>
        <w:tblLook w:val="04A0" w:firstRow="1" w:lastRow="0" w:firstColumn="1" w:lastColumn="0" w:noHBand="0" w:noVBand="1"/>
        <w:tblDescription w:val="AMSTAR2 Tool - Questions with Answers and Comments&#10;&#10;Q1&#10;Did the research questions and inclusion criteria for the review include the components of the PICO?&#10;No&#10; &#10;Q2&#10;Did the report of the review contain an explicit statement that the review methods were established prior to the conduct of the review and did the report justify any significant deviations from the protocol?&#10;Yes&#10;The BCSC is a National Cancer Institute-funded collaborative network of population-based mammography registries with linkages to pathology and/or tumor registries&#10;&#10;Q3&#10;Did the review authors explain their selection of the study designs for inclusion in the review?&#10;No&#10;&#10;Q4&#10;Did the review authors use a comprehensive literature search strategy?&#10;No &#10;&#10;Q5&#10;Was there duplicate study selection and data extraction?&#10;No &#10;&#10;Q6&#10;Did the review authors provide a list of excluded studies and justify the exclusion?&#10;N/A&#10; &#10;Q7&#10;Did the review authors describe the included studies in adequate detail?&#10;No &#10;&#10;Q8&#10;Did the review authors use a satisfactory technique for assessing the risk of bias (RoB) in individual studies that were included in the review?&#10;No &#10;&#10;Q9&#10;Did the review authors report on the sources of funding for the studies included in the review?&#10;Yes&#10;National Cancer Institute-funded Breast Cancer Surveillance Consortium cooperative agreements&#10;&#10;Q10&#10;If meta-analysis was performed did the review authors use appropriate methods for statistical combination of results?&#10;No&#10;Not enough detail provided to know&#10;&#10;Q11&#10;If meta-analysis was performed, did the review authors assess the potential impact of RoB in individual studies on the results of the meta-analysis or other evidence synthesis?&#10;No &#10;&#10;Q12&#10;Did the review authors account for RoB in individual studies when interpreting/discussing the results of the review?&#10;Yes&#10;Some study limitations were provided which may have provided bis&#10;&#10;Q13&#10;Did the review authors provide a satisfactory explanation for, and discussion of, any heterogeneity observed in the results of the review?&#10;No &#10;&#10;Q14&#10;If they performed quantitative synthesis did the review authors carry out an adequate investigation of publication bias (small study bias) and discuss its likely impact on the results of the review?&#10;No &#10;&#10;Q15&#10;Did the review authors report any potential sources of conflict of interest, including any funding they received for conducting the review?&#10;No &#10;"/>
      </w:tblPr>
      <w:tblGrid>
        <w:gridCol w:w="442"/>
        <w:gridCol w:w="9211"/>
        <w:gridCol w:w="992"/>
        <w:gridCol w:w="3260"/>
      </w:tblGrid>
      <w:tr w:rsidR="00345CCE" w:rsidRPr="00345CCE" w14:paraId="51E904BA" w14:textId="77777777" w:rsidTr="009107BC">
        <w:trPr>
          <w:cnfStyle w:val="100000000000" w:firstRow="1" w:lastRow="0" w:firstColumn="0" w:lastColumn="0" w:oddVBand="0" w:evenVBand="0" w:oddHBand="0" w:evenHBand="0"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tcPr>
          <w:p w14:paraId="1F8856BD" w14:textId="77777777" w:rsidR="00A253C6" w:rsidRPr="00345CCE" w:rsidRDefault="00A253C6" w:rsidP="009107BC">
            <w:pPr>
              <w:spacing w:line="280" w:lineRule="exact"/>
              <w:jc w:val="both"/>
              <w:rPr>
                <w:rFonts w:ascii="Calibri" w:eastAsia="Cambria" w:hAnsi="Calibri" w:cs="Times New Roman"/>
                <w:color w:val="auto"/>
                <w:sz w:val="20"/>
                <w:szCs w:val="20"/>
                <w:lang w:val="en-US"/>
              </w:rPr>
            </w:pPr>
          </w:p>
        </w:tc>
        <w:tc>
          <w:tcPr>
            <w:tcW w:w="9214" w:type="dxa"/>
            <w:tcBorders>
              <w:top w:val="single" w:sz="4" w:space="0" w:color="77B800"/>
              <w:left w:val="single" w:sz="4" w:space="0" w:color="77B800"/>
              <w:bottom w:val="single" w:sz="4" w:space="0" w:color="77B800"/>
              <w:right w:val="single" w:sz="4" w:space="0" w:color="77B800"/>
            </w:tcBorders>
            <w:hideMark/>
          </w:tcPr>
          <w:p w14:paraId="4C746062"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AMSTAR2 TOOL QUESTION</w:t>
            </w:r>
          </w:p>
        </w:tc>
        <w:tc>
          <w:tcPr>
            <w:tcW w:w="992" w:type="dxa"/>
            <w:tcBorders>
              <w:top w:val="single" w:sz="4" w:space="0" w:color="77B800"/>
              <w:left w:val="single" w:sz="4" w:space="0" w:color="77B800"/>
              <w:bottom w:val="single" w:sz="4" w:space="0" w:color="77B800"/>
              <w:right w:val="single" w:sz="4" w:space="0" w:color="77B800"/>
            </w:tcBorders>
            <w:hideMark/>
          </w:tcPr>
          <w:p w14:paraId="27A273A2"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Answer</w:t>
            </w:r>
          </w:p>
        </w:tc>
        <w:tc>
          <w:tcPr>
            <w:tcW w:w="3261" w:type="dxa"/>
            <w:tcBorders>
              <w:top w:val="single" w:sz="4" w:space="0" w:color="77B800"/>
              <w:left w:val="single" w:sz="4" w:space="0" w:color="77B800"/>
              <w:bottom w:val="single" w:sz="4" w:space="0" w:color="77B800"/>
              <w:right w:val="single" w:sz="4" w:space="0" w:color="77B800"/>
            </w:tcBorders>
            <w:hideMark/>
          </w:tcPr>
          <w:p w14:paraId="1E3AD423" w14:textId="77777777" w:rsidR="00A253C6" w:rsidRPr="00345CCE" w:rsidRDefault="00A253C6" w:rsidP="009107BC">
            <w:pPr>
              <w:spacing w:line="280" w:lineRule="exact"/>
              <w:jc w:val="center"/>
              <w:rPr>
                <w:rFonts w:ascii="Calibri" w:eastAsia="Cambria" w:hAnsi="Calibri" w:cs="Times New Roman"/>
                <w:color w:val="auto"/>
                <w:sz w:val="20"/>
                <w:szCs w:val="20"/>
                <w:lang w:val="en-US"/>
              </w:rPr>
            </w:pPr>
            <w:r w:rsidRPr="00345CCE">
              <w:rPr>
                <w:rFonts w:ascii="Calibri" w:eastAsia="Cambria" w:hAnsi="Calibri" w:cs="Times New Roman"/>
                <w:color w:val="auto"/>
                <w:sz w:val="20"/>
                <w:szCs w:val="20"/>
                <w:lang w:val="en-US"/>
              </w:rPr>
              <w:t>Comment</w:t>
            </w:r>
          </w:p>
        </w:tc>
      </w:tr>
      <w:tr w:rsidR="00A253C6" w:rsidRPr="0012277B" w14:paraId="58E6FA1B"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73672E6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w:t>
            </w:r>
          </w:p>
        </w:tc>
        <w:tc>
          <w:tcPr>
            <w:tcW w:w="9214" w:type="dxa"/>
            <w:tcBorders>
              <w:top w:val="single" w:sz="4" w:space="0" w:color="77B800"/>
              <w:left w:val="single" w:sz="4" w:space="0" w:color="77B800"/>
              <w:bottom w:val="single" w:sz="4" w:space="0" w:color="77B800"/>
              <w:right w:val="single" w:sz="4" w:space="0" w:color="77B800"/>
            </w:tcBorders>
            <w:hideMark/>
          </w:tcPr>
          <w:p w14:paraId="586B452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research questions and inclusion criteria for the review include the components of the PICO?</w:t>
            </w:r>
          </w:p>
        </w:tc>
        <w:tc>
          <w:tcPr>
            <w:tcW w:w="992" w:type="dxa"/>
            <w:tcBorders>
              <w:top w:val="single" w:sz="4" w:space="0" w:color="77B800"/>
              <w:left w:val="single" w:sz="4" w:space="0" w:color="77B800"/>
              <w:bottom w:val="single" w:sz="4" w:space="0" w:color="77B800"/>
              <w:right w:val="single" w:sz="4" w:space="0" w:color="77B800"/>
            </w:tcBorders>
            <w:hideMark/>
          </w:tcPr>
          <w:p w14:paraId="264819F8"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37191929"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AF1E80C"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015D13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2</w:t>
            </w:r>
          </w:p>
        </w:tc>
        <w:tc>
          <w:tcPr>
            <w:tcW w:w="9214" w:type="dxa"/>
            <w:tcBorders>
              <w:top w:val="single" w:sz="4" w:space="0" w:color="77B800"/>
              <w:left w:val="single" w:sz="4" w:space="0" w:color="77B800"/>
              <w:bottom w:val="single" w:sz="4" w:space="0" w:color="77B800"/>
              <w:right w:val="single" w:sz="4" w:space="0" w:color="77B800"/>
            </w:tcBorders>
            <w:hideMark/>
          </w:tcPr>
          <w:p w14:paraId="500760E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992" w:type="dxa"/>
            <w:tcBorders>
              <w:top w:val="single" w:sz="4" w:space="0" w:color="77B800"/>
              <w:left w:val="single" w:sz="4" w:space="0" w:color="77B800"/>
              <w:bottom w:val="single" w:sz="4" w:space="0" w:color="77B800"/>
              <w:right w:val="single" w:sz="4" w:space="0" w:color="77B800"/>
            </w:tcBorders>
            <w:hideMark/>
          </w:tcPr>
          <w:p w14:paraId="461C58E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488C56FC" w14:textId="77777777" w:rsidR="00A253C6" w:rsidRPr="0012277B" w:rsidRDefault="00A253C6" w:rsidP="009107BC">
            <w:pPr>
              <w:rPr>
                <w:rFonts w:ascii="Calibri" w:eastAsia="Cambria" w:hAnsi="Calibri" w:cs="Times New Roman"/>
                <w:sz w:val="20"/>
                <w:szCs w:val="20"/>
                <w:lang w:val="en-US"/>
              </w:rPr>
            </w:pPr>
            <w:r w:rsidRPr="005E05B4">
              <w:rPr>
                <w:rFonts w:ascii="Calibri" w:eastAsia="Cambria" w:hAnsi="Calibri" w:cs="Times New Roman"/>
                <w:sz w:val="20"/>
                <w:szCs w:val="20"/>
                <w:lang w:val="en-US"/>
              </w:rPr>
              <w:t>The BCSC is a National Cancer Institute-funded collaborative network of population-based mammography registries with linkages to pathology and/or tumor registries</w:t>
            </w:r>
          </w:p>
        </w:tc>
      </w:tr>
      <w:tr w:rsidR="00A253C6" w:rsidRPr="0012277B" w14:paraId="682CEED8"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3D6000C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3</w:t>
            </w:r>
          </w:p>
        </w:tc>
        <w:tc>
          <w:tcPr>
            <w:tcW w:w="9214" w:type="dxa"/>
            <w:tcBorders>
              <w:top w:val="single" w:sz="4" w:space="0" w:color="77B800"/>
              <w:left w:val="single" w:sz="4" w:space="0" w:color="77B800"/>
              <w:bottom w:val="single" w:sz="4" w:space="0" w:color="77B800"/>
              <w:right w:val="single" w:sz="4" w:space="0" w:color="77B800"/>
            </w:tcBorders>
            <w:hideMark/>
          </w:tcPr>
          <w:p w14:paraId="270ACC21"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explain their selection of the study designs for inclusion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6445CECD"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651B6CE1"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5C3018F"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1ED3BF0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4</w:t>
            </w:r>
          </w:p>
        </w:tc>
        <w:tc>
          <w:tcPr>
            <w:tcW w:w="9214" w:type="dxa"/>
            <w:tcBorders>
              <w:top w:val="single" w:sz="4" w:space="0" w:color="77B800"/>
              <w:left w:val="single" w:sz="4" w:space="0" w:color="77B800"/>
              <w:bottom w:val="single" w:sz="4" w:space="0" w:color="77B800"/>
              <w:right w:val="single" w:sz="4" w:space="0" w:color="77B800"/>
            </w:tcBorders>
            <w:hideMark/>
          </w:tcPr>
          <w:p w14:paraId="3C53E188"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comprehensive literature search strategy?</w:t>
            </w:r>
          </w:p>
        </w:tc>
        <w:tc>
          <w:tcPr>
            <w:tcW w:w="992" w:type="dxa"/>
            <w:tcBorders>
              <w:top w:val="single" w:sz="4" w:space="0" w:color="77B800"/>
              <w:left w:val="single" w:sz="4" w:space="0" w:color="77B800"/>
              <w:bottom w:val="single" w:sz="4" w:space="0" w:color="77B800"/>
              <w:right w:val="single" w:sz="4" w:space="0" w:color="77B800"/>
            </w:tcBorders>
            <w:hideMark/>
          </w:tcPr>
          <w:p w14:paraId="78FFF98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0F14385D"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2DC22411"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751F8025"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5</w:t>
            </w:r>
          </w:p>
        </w:tc>
        <w:tc>
          <w:tcPr>
            <w:tcW w:w="9214" w:type="dxa"/>
            <w:tcBorders>
              <w:top w:val="single" w:sz="4" w:space="0" w:color="77B800"/>
              <w:left w:val="single" w:sz="4" w:space="0" w:color="77B800"/>
              <w:bottom w:val="single" w:sz="4" w:space="0" w:color="77B800"/>
              <w:right w:val="single" w:sz="4" w:space="0" w:color="77B800"/>
            </w:tcBorders>
            <w:hideMark/>
          </w:tcPr>
          <w:p w14:paraId="54840A4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Was there duplicate study selection and data extraction?</w:t>
            </w:r>
          </w:p>
        </w:tc>
        <w:tc>
          <w:tcPr>
            <w:tcW w:w="992" w:type="dxa"/>
            <w:tcBorders>
              <w:top w:val="single" w:sz="4" w:space="0" w:color="77B800"/>
              <w:left w:val="single" w:sz="4" w:space="0" w:color="77B800"/>
              <w:bottom w:val="single" w:sz="4" w:space="0" w:color="77B800"/>
              <w:right w:val="single" w:sz="4" w:space="0" w:color="77B800"/>
            </w:tcBorders>
            <w:hideMark/>
          </w:tcPr>
          <w:p w14:paraId="688BCD04"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5644F043"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1ACDD3C2"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0BEE5EF8"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6</w:t>
            </w:r>
          </w:p>
        </w:tc>
        <w:tc>
          <w:tcPr>
            <w:tcW w:w="9214" w:type="dxa"/>
            <w:tcBorders>
              <w:top w:val="single" w:sz="4" w:space="0" w:color="77B800"/>
              <w:left w:val="single" w:sz="4" w:space="0" w:color="77B800"/>
              <w:bottom w:val="single" w:sz="4" w:space="0" w:color="77B800"/>
              <w:right w:val="single" w:sz="4" w:space="0" w:color="77B800"/>
            </w:tcBorders>
            <w:hideMark/>
          </w:tcPr>
          <w:p w14:paraId="52BE0BD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list of excluded studies and justify the exclusion?</w:t>
            </w:r>
          </w:p>
        </w:tc>
        <w:tc>
          <w:tcPr>
            <w:tcW w:w="992" w:type="dxa"/>
            <w:tcBorders>
              <w:top w:val="single" w:sz="4" w:space="0" w:color="77B800"/>
              <w:left w:val="single" w:sz="4" w:space="0" w:color="77B800"/>
              <w:bottom w:val="single" w:sz="4" w:space="0" w:color="77B800"/>
              <w:right w:val="single" w:sz="4" w:space="0" w:color="77B800"/>
            </w:tcBorders>
            <w:hideMark/>
          </w:tcPr>
          <w:p w14:paraId="5FD7FB7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N/A</w:t>
            </w:r>
          </w:p>
        </w:tc>
        <w:tc>
          <w:tcPr>
            <w:tcW w:w="3261" w:type="dxa"/>
            <w:tcBorders>
              <w:top w:val="single" w:sz="4" w:space="0" w:color="77B800"/>
              <w:left w:val="single" w:sz="4" w:space="0" w:color="77B800"/>
              <w:bottom w:val="single" w:sz="4" w:space="0" w:color="77B800"/>
              <w:right w:val="single" w:sz="4" w:space="0" w:color="77B800"/>
            </w:tcBorders>
            <w:hideMark/>
          </w:tcPr>
          <w:p w14:paraId="7BD7A47A"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3B7C9FBF"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54181A1"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7</w:t>
            </w:r>
          </w:p>
        </w:tc>
        <w:tc>
          <w:tcPr>
            <w:tcW w:w="9214" w:type="dxa"/>
            <w:tcBorders>
              <w:top w:val="single" w:sz="4" w:space="0" w:color="77B800"/>
              <w:left w:val="single" w:sz="4" w:space="0" w:color="77B800"/>
              <w:bottom w:val="single" w:sz="4" w:space="0" w:color="77B800"/>
              <w:right w:val="single" w:sz="4" w:space="0" w:color="77B800"/>
            </w:tcBorders>
            <w:hideMark/>
          </w:tcPr>
          <w:p w14:paraId="1D16FA9F"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describe the included studies in adequate detail?</w:t>
            </w:r>
          </w:p>
        </w:tc>
        <w:tc>
          <w:tcPr>
            <w:tcW w:w="992" w:type="dxa"/>
            <w:tcBorders>
              <w:top w:val="single" w:sz="4" w:space="0" w:color="77B800"/>
              <w:left w:val="single" w:sz="4" w:space="0" w:color="77B800"/>
              <w:bottom w:val="single" w:sz="4" w:space="0" w:color="77B800"/>
              <w:right w:val="single" w:sz="4" w:space="0" w:color="77B800"/>
            </w:tcBorders>
            <w:hideMark/>
          </w:tcPr>
          <w:p w14:paraId="15996647"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38F57454"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A35DB07"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37092513"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8</w:t>
            </w:r>
          </w:p>
        </w:tc>
        <w:tc>
          <w:tcPr>
            <w:tcW w:w="9214" w:type="dxa"/>
            <w:tcBorders>
              <w:top w:val="single" w:sz="4" w:space="0" w:color="77B800"/>
              <w:left w:val="single" w:sz="4" w:space="0" w:color="77B800"/>
              <w:bottom w:val="single" w:sz="4" w:space="0" w:color="77B800"/>
              <w:right w:val="single" w:sz="4" w:space="0" w:color="77B800"/>
            </w:tcBorders>
            <w:hideMark/>
          </w:tcPr>
          <w:p w14:paraId="74E016B3"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use a satisfactory technique for assessing the risk of bias (RoB) in individual studies that were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53D3D83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0119EA15"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65AF4D1E"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F208C9C"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9</w:t>
            </w:r>
          </w:p>
        </w:tc>
        <w:tc>
          <w:tcPr>
            <w:tcW w:w="9214" w:type="dxa"/>
            <w:tcBorders>
              <w:top w:val="single" w:sz="4" w:space="0" w:color="77B800"/>
              <w:left w:val="single" w:sz="4" w:space="0" w:color="77B800"/>
              <w:bottom w:val="single" w:sz="4" w:space="0" w:color="77B800"/>
              <w:right w:val="single" w:sz="4" w:space="0" w:color="77B800"/>
            </w:tcBorders>
            <w:hideMark/>
          </w:tcPr>
          <w:p w14:paraId="7EBF25A5"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on the sources of funding for the studies included in the review?</w:t>
            </w:r>
          </w:p>
        </w:tc>
        <w:tc>
          <w:tcPr>
            <w:tcW w:w="992" w:type="dxa"/>
            <w:tcBorders>
              <w:top w:val="single" w:sz="4" w:space="0" w:color="77B800"/>
              <w:left w:val="single" w:sz="4" w:space="0" w:color="77B800"/>
              <w:bottom w:val="single" w:sz="4" w:space="0" w:color="77B800"/>
              <w:right w:val="single" w:sz="4" w:space="0" w:color="77B800"/>
            </w:tcBorders>
            <w:hideMark/>
          </w:tcPr>
          <w:p w14:paraId="06141724" w14:textId="77777777" w:rsidR="00A253C6" w:rsidRPr="0012277B" w:rsidRDefault="00A253C6" w:rsidP="009107BC">
            <w:pPr>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4BC87EA5" w14:textId="77777777" w:rsidR="00A253C6" w:rsidRPr="0012277B" w:rsidRDefault="00A253C6" w:rsidP="009107BC">
            <w:pPr>
              <w:rPr>
                <w:rFonts w:ascii="Calibri" w:eastAsia="Cambria" w:hAnsi="Calibri" w:cs="Times New Roman"/>
                <w:sz w:val="20"/>
                <w:szCs w:val="20"/>
                <w:lang w:val="en-US"/>
              </w:rPr>
            </w:pPr>
            <w:r w:rsidRPr="005E05B4">
              <w:rPr>
                <w:rFonts w:ascii="Calibri" w:eastAsia="Cambria" w:hAnsi="Calibri" w:cs="Times New Roman"/>
                <w:sz w:val="20"/>
                <w:szCs w:val="20"/>
                <w:lang w:val="en-US"/>
              </w:rPr>
              <w:t>National</w:t>
            </w:r>
            <w:r>
              <w:rPr>
                <w:color w:val="2A2A2A"/>
                <w:shd w:val="clear" w:color="auto" w:fill="FFFFFF"/>
              </w:rPr>
              <w:t xml:space="preserve"> </w:t>
            </w:r>
            <w:r w:rsidRPr="005E05B4">
              <w:rPr>
                <w:rFonts w:ascii="Calibri" w:eastAsia="Cambria" w:hAnsi="Calibri" w:cs="Times New Roman"/>
                <w:sz w:val="20"/>
                <w:szCs w:val="20"/>
                <w:lang w:val="en-US"/>
              </w:rPr>
              <w:t>Cancer Institute-funded Breast Cancer Surveillance Consortium cooperative agreements</w:t>
            </w:r>
          </w:p>
        </w:tc>
      </w:tr>
      <w:tr w:rsidR="00A253C6" w:rsidRPr="0012277B" w14:paraId="490EC7F9"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112E5530"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10</w:t>
            </w:r>
          </w:p>
        </w:tc>
        <w:tc>
          <w:tcPr>
            <w:tcW w:w="9214" w:type="dxa"/>
            <w:tcBorders>
              <w:top w:val="single" w:sz="4" w:space="0" w:color="77B800"/>
              <w:left w:val="single" w:sz="4" w:space="0" w:color="77B800"/>
              <w:bottom w:val="single" w:sz="4" w:space="0" w:color="77B800"/>
              <w:right w:val="single" w:sz="4" w:space="0" w:color="77B800"/>
            </w:tcBorders>
            <w:hideMark/>
          </w:tcPr>
          <w:p w14:paraId="3986CB6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use appropriate methods for statistical combination of results?</w:t>
            </w:r>
          </w:p>
        </w:tc>
        <w:tc>
          <w:tcPr>
            <w:tcW w:w="992" w:type="dxa"/>
            <w:tcBorders>
              <w:top w:val="single" w:sz="4" w:space="0" w:color="77B800"/>
              <w:left w:val="single" w:sz="4" w:space="0" w:color="77B800"/>
              <w:bottom w:val="single" w:sz="4" w:space="0" w:color="77B800"/>
              <w:right w:val="single" w:sz="4" w:space="0" w:color="77B800"/>
            </w:tcBorders>
            <w:hideMark/>
          </w:tcPr>
          <w:p w14:paraId="03354A3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hideMark/>
          </w:tcPr>
          <w:p w14:paraId="2E6DE59F"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Not enough detail provided to know</w:t>
            </w:r>
          </w:p>
        </w:tc>
      </w:tr>
      <w:tr w:rsidR="00A253C6" w:rsidRPr="0012277B" w14:paraId="5C847A1C"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571A89A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11</w:t>
            </w:r>
          </w:p>
        </w:tc>
        <w:tc>
          <w:tcPr>
            <w:tcW w:w="9214" w:type="dxa"/>
            <w:tcBorders>
              <w:top w:val="single" w:sz="4" w:space="0" w:color="77B800"/>
              <w:left w:val="single" w:sz="4" w:space="0" w:color="77B800"/>
              <w:bottom w:val="single" w:sz="4" w:space="0" w:color="77B800"/>
              <w:right w:val="single" w:sz="4" w:space="0" w:color="77B800"/>
            </w:tcBorders>
            <w:hideMark/>
          </w:tcPr>
          <w:p w14:paraId="3020931B"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meta-analysis was performed, did the review authors assess the potential impact of RoB in individual studies on the results of the meta-analysis or other evidence synthesis?</w:t>
            </w:r>
          </w:p>
        </w:tc>
        <w:tc>
          <w:tcPr>
            <w:tcW w:w="992" w:type="dxa"/>
            <w:tcBorders>
              <w:top w:val="single" w:sz="4" w:space="0" w:color="77B800"/>
              <w:left w:val="single" w:sz="4" w:space="0" w:color="77B800"/>
              <w:bottom w:val="single" w:sz="4" w:space="0" w:color="77B800"/>
              <w:right w:val="single" w:sz="4" w:space="0" w:color="77B800"/>
            </w:tcBorders>
            <w:hideMark/>
          </w:tcPr>
          <w:p w14:paraId="6CB843C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740E1D3C"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7B1FB355"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614D72FD"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lastRenderedPageBreak/>
              <w:t>12</w:t>
            </w:r>
          </w:p>
        </w:tc>
        <w:tc>
          <w:tcPr>
            <w:tcW w:w="9214" w:type="dxa"/>
            <w:tcBorders>
              <w:top w:val="single" w:sz="4" w:space="0" w:color="77B800"/>
              <w:left w:val="single" w:sz="4" w:space="0" w:color="77B800"/>
              <w:bottom w:val="single" w:sz="4" w:space="0" w:color="77B800"/>
              <w:right w:val="single" w:sz="4" w:space="0" w:color="77B800"/>
            </w:tcBorders>
            <w:hideMark/>
          </w:tcPr>
          <w:p w14:paraId="7341468C"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account for RoB in individual studies when interpreting/discussing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2A3C659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Yes</w:t>
            </w:r>
          </w:p>
        </w:tc>
        <w:tc>
          <w:tcPr>
            <w:tcW w:w="3261" w:type="dxa"/>
            <w:tcBorders>
              <w:top w:val="single" w:sz="4" w:space="0" w:color="77B800"/>
              <w:left w:val="single" w:sz="4" w:space="0" w:color="77B800"/>
              <w:bottom w:val="single" w:sz="4" w:space="0" w:color="77B800"/>
              <w:right w:val="single" w:sz="4" w:space="0" w:color="77B800"/>
            </w:tcBorders>
          </w:tcPr>
          <w:p w14:paraId="6A132282"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Some study limitations were provided which may have provided bis</w:t>
            </w:r>
          </w:p>
        </w:tc>
      </w:tr>
      <w:tr w:rsidR="00A253C6" w:rsidRPr="0012277B" w14:paraId="0EE0B99E"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0A2FC97B"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13</w:t>
            </w:r>
          </w:p>
        </w:tc>
        <w:tc>
          <w:tcPr>
            <w:tcW w:w="9214" w:type="dxa"/>
            <w:tcBorders>
              <w:top w:val="single" w:sz="4" w:space="0" w:color="77B800"/>
              <w:left w:val="single" w:sz="4" w:space="0" w:color="77B800"/>
              <w:bottom w:val="single" w:sz="4" w:space="0" w:color="77B800"/>
              <w:right w:val="single" w:sz="4" w:space="0" w:color="77B800"/>
            </w:tcBorders>
            <w:hideMark/>
          </w:tcPr>
          <w:p w14:paraId="66512210"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provide a satisfactory explanation for, and discussion of, any heterogeneity observed in the results of the review?</w:t>
            </w:r>
          </w:p>
        </w:tc>
        <w:tc>
          <w:tcPr>
            <w:tcW w:w="992" w:type="dxa"/>
            <w:tcBorders>
              <w:top w:val="single" w:sz="4" w:space="0" w:color="77B800"/>
              <w:left w:val="single" w:sz="4" w:space="0" w:color="77B800"/>
              <w:bottom w:val="single" w:sz="4" w:space="0" w:color="77B800"/>
              <w:right w:val="single" w:sz="4" w:space="0" w:color="77B800"/>
            </w:tcBorders>
            <w:hideMark/>
          </w:tcPr>
          <w:p w14:paraId="5194AA5C"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4F587080"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5BB5D2E7" w14:textId="77777777" w:rsidTr="009107BC">
        <w:trPr>
          <w:cnfStyle w:val="000000010000" w:firstRow="0" w:lastRow="0" w:firstColumn="0" w:lastColumn="0" w:oddVBand="0" w:evenVBand="0" w:oddHBand="0" w:evenHBand="1" w:firstRowFirstColumn="0" w:firstRowLastColumn="0" w:lastRowFirstColumn="0" w:lastRowLastColumn="0"/>
        </w:trPr>
        <w:tc>
          <w:tcPr>
            <w:tcW w:w="443" w:type="dxa"/>
            <w:tcBorders>
              <w:top w:val="single" w:sz="4" w:space="0" w:color="77B800"/>
              <w:left w:val="single" w:sz="4" w:space="0" w:color="77B800"/>
              <w:bottom w:val="single" w:sz="4" w:space="0" w:color="77B800"/>
              <w:right w:val="single" w:sz="4" w:space="0" w:color="77B800"/>
            </w:tcBorders>
            <w:hideMark/>
          </w:tcPr>
          <w:p w14:paraId="5E3D911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14</w:t>
            </w:r>
          </w:p>
        </w:tc>
        <w:tc>
          <w:tcPr>
            <w:tcW w:w="9214" w:type="dxa"/>
            <w:tcBorders>
              <w:top w:val="single" w:sz="4" w:space="0" w:color="77B800"/>
              <w:left w:val="single" w:sz="4" w:space="0" w:color="77B800"/>
              <w:bottom w:val="single" w:sz="4" w:space="0" w:color="77B800"/>
              <w:right w:val="single" w:sz="4" w:space="0" w:color="77B800"/>
            </w:tcBorders>
            <w:hideMark/>
          </w:tcPr>
          <w:p w14:paraId="7AF38C5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If they performed quantitative synthesis did the review authors carry out an adequate investigation of publication bias (small study bias) and discuss its likely impact on the results of the review?</w:t>
            </w:r>
          </w:p>
        </w:tc>
        <w:tc>
          <w:tcPr>
            <w:tcW w:w="992" w:type="dxa"/>
            <w:tcBorders>
              <w:top w:val="single" w:sz="4" w:space="0" w:color="77B800"/>
              <w:left w:val="single" w:sz="4" w:space="0" w:color="77B800"/>
              <w:bottom w:val="single" w:sz="4" w:space="0" w:color="77B800"/>
              <w:right w:val="single" w:sz="4" w:space="0" w:color="77B800"/>
            </w:tcBorders>
          </w:tcPr>
          <w:p w14:paraId="6C5B20BE"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tcPr>
          <w:p w14:paraId="7F041C12" w14:textId="77777777" w:rsidR="00A253C6" w:rsidRPr="0012277B" w:rsidRDefault="00A253C6" w:rsidP="009107BC">
            <w:pPr>
              <w:spacing w:line="280" w:lineRule="exact"/>
              <w:jc w:val="both"/>
              <w:rPr>
                <w:rFonts w:ascii="Calibri" w:eastAsia="Cambria" w:hAnsi="Calibri" w:cs="Times New Roman"/>
                <w:sz w:val="20"/>
                <w:szCs w:val="20"/>
                <w:lang w:val="en-US"/>
              </w:rPr>
            </w:pPr>
          </w:p>
        </w:tc>
      </w:tr>
      <w:tr w:rsidR="00A253C6" w:rsidRPr="0012277B" w14:paraId="4EF91EED" w14:textId="77777777" w:rsidTr="009107BC">
        <w:tc>
          <w:tcPr>
            <w:tcW w:w="443" w:type="dxa"/>
            <w:tcBorders>
              <w:top w:val="single" w:sz="4" w:space="0" w:color="77B800"/>
              <w:left w:val="single" w:sz="4" w:space="0" w:color="77B800"/>
              <w:bottom w:val="single" w:sz="4" w:space="0" w:color="77B800"/>
              <w:right w:val="single" w:sz="4" w:space="0" w:color="77B800"/>
            </w:tcBorders>
            <w:hideMark/>
          </w:tcPr>
          <w:p w14:paraId="6968C534" w14:textId="77777777" w:rsidR="00A253C6" w:rsidRPr="0012277B" w:rsidRDefault="00A253C6" w:rsidP="009107BC">
            <w:pPr>
              <w:spacing w:line="280" w:lineRule="exact"/>
              <w:jc w:val="both"/>
              <w:rPr>
                <w:rFonts w:ascii="Calibri" w:eastAsia="Cambria" w:hAnsi="Calibri" w:cs="Times New Roman"/>
                <w:sz w:val="20"/>
                <w:szCs w:val="20"/>
                <w:lang w:val="en-US"/>
              </w:rPr>
            </w:pPr>
            <w:r w:rsidRPr="0012277B">
              <w:rPr>
                <w:rFonts w:ascii="Calibri" w:eastAsia="Cambria" w:hAnsi="Calibri" w:cs="Times New Roman"/>
                <w:sz w:val="20"/>
                <w:szCs w:val="20"/>
                <w:lang w:val="en-US"/>
              </w:rPr>
              <w:t>15</w:t>
            </w:r>
          </w:p>
        </w:tc>
        <w:tc>
          <w:tcPr>
            <w:tcW w:w="9214" w:type="dxa"/>
            <w:tcBorders>
              <w:top w:val="single" w:sz="4" w:space="0" w:color="77B800"/>
              <w:left w:val="single" w:sz="4" w:space="0" w:color="77B800"/>
              <w:bottom w:val="single" w:sz="4" w:space="0" w:color="77B800"/>
              <w:right w:val="single" w:sz="4" w:space="0" w:color="77B800"/>
            </w:tcBorders>
            <w:hideMark/>
          </w:tcPr>
          <w:p w14:paraId="73623B32" w14:textId="77777777" w:rsidR="00A253C6" w:rsidRPr="0012277B" w:rsidRDefault="00A253C6" w:rsidP="009107BC">
            <w:pPr>
              <w:contextualSpacing/>
              <w:rPr>
                <w:rFonts w:ascii="Calibri" w:eastAsia="Cambria" w:hAnsi="Calibri" w:cs="Times New Roman"/>
                <w:sz w:val="20"/>
                <w:szCs w:val="20"/>
                <w:lang w:val="en-US"/>
              </w:rPr>
            </w:pPr>
            <w:r w:rsidRPr="0012277B">
              <w:rPr>
                <w:rFonts w:ascii="Calibri" w:eastAsia="Cambria" w:hAnsi="Calibri" w:cs="Times New Roman"/>
                <w:sz w:val="20"/>
                <w:szCs w:val="20"/>
                <w:lang w:val="en-US"/>
              </w:rPr>
              <w:t>Did the review authors report any potential sources of conflict of interest, including any funding they received for conducting the review?</w:t>
            </w:r>
          </w:p>
        </w:tc>
        <w:tc>
          <w:tcPr>
            <w:tcW w:w="992" w:type="dxa"/>
            <w:tcBorders>
              <w:top w:val="single" w:sz="4" w:space="0" w:color="77B800"/>
              <w:left w:val="single" w:sz="4" w:space="0" w:color="77B800"/>
              <w:bottom w:val="single" w:sz="4" w:space="0" w:color="77B800"/>
              <w:right w:val="single" w:sz="4" w:space="0" w:color="77B800"/>
            </w:tcBorders>
            <w:hideMark/>
          </w:tcPr>
          <w:p w14:paraId="1A85EF2B" w14:textId="77777777" w:rsidR="00A253C6" w:rsidRPr="0012277B" w:rsidRDefault="00A253C6" w:rsidP="009107BC">
            <w:pPr>
              <w:spacing w:line="280" w:lineRule="exact"/>
              <w:jc w:val="both"/>
              <w:rPr>
                <w:rFonts w:ascii="Calibri" w:eastAsia="Cambria" w:hAnsi="Calibri" w:cs="Times New Roman"/>
                <w:sz w:val="20"/>
                <w:szCs w:val="20"/>
                <w:lang w:val="en-US"/>
              </w:rPr>
            </w:pPr>
            <w:r>
              <w:rPr>
                <w:rFonts w:ascii="Calibri" w:eastAsia="Cambria" w:hAnsi="Calibri" w:cs="Times New Roman"/>
                <w:sz w:val="20"/>
                <w:szCs w:val="20"/>
                <w:lang w:val="en-US"/>
              </w:rPr>
              <w:t>No</w:t>
            </w:r>
          </w:p>
        </w:tc>
        <w:tc>
          <w:tcPr>
            <w:tcW w:w="3261" w:type="dxa"/>
            <w:tcBorders>
              <w:top w:val="single" w:sz="4" w:space="0" w:color="77B800"/>
              <w:left w:val="single" w:sz="4" w:space="0" w:color="77B800"/>
              <w:bottom w:val="single" w:sz="4" w:space="0" w:color="77B800"/>
              <w:right w:val="single" w:sz="4" w:space="0" w:color="77B800"/>
            </w:tcBorders>
            <w:hideMark/>
          </w:tcPr>
          <w:p w14:paraId="1F34FDCB" w14:textId="77777777" w:rsidR="00A253C6" w:rsidRPr="0012277B" w:rsidRDefault="00A253C6" w:rsidP="009107BC">
            <w:pPr>
              <w:spacing w:line="280" w:lineRule="exact"/>
              <w:jc w:val="both"/>
              <w:rPr>
                <w:rFonts w:ascii="Calibri" w:eastAsia="Cambria" w:hAnsi="Calibri" w:cs="Times New Roman"/>
                <w:sz w:val="20"/>
                <w:szCs w:val="20"/>
                <w:lang w:val="en-US"/>
              </w:rPr>
            </w:pPr>
          </w:p>
        </w:tc>
      </w:tr>
    </w:tbl>
    <w:p w14:paraId="46243D31" w14:textId="77777777" w:rsidR="00A253C6" w:rsidRDefault="00A253C6" w:rsidP="00A253C6">
      <w:pPr>
        <w:pStyle w:val="Heading2"/>
      </w:pPr>
      <w:r>
        <w:br w:type="page"/>
      </w:r>
    </w:p>
    <w:p w14:paraId="774C6B7F" w14:textId="77777777" w:rsidR="00A253C6" w:rsidRDefault="00A253C6" w:rsidP="00A253C6">
      <w:pPr>
        <w:pStyle w:val="Heading2"/>
      </w:pPr>
      <w:bookmarkStart w:id="165" w:name="_Toc518922247"/>
      <w:r>
        <w:lastRenderedPageBreak/>
        <w:t>SIGN criteria for RCTs</w:t>
      </w:r>
      <w:bookmarkEnd w:id="154"/>
      <w:bookmarkEnd w:id="165"/>
    </w:p>
    <w:p w14:paraId="49C4DA27" w14:textId="77777777" w:rsidR="00A253C6" w:rsidRDefault="00A253C6" w:rsidP="00A253C6">
      <w:pPr>
        <w:pStyle w:val="Heading3"/>
      </w:pPr>
      <w:bookmarkStart w:id="166" w:name="_Toc518922248"/>
      <w:r>
        <w:t>Ohuchi et al. (2016) - Sensitivity and specificity of mammography and adjunctive ultrasonography to screen for breast cancer in the Japan Strategic Anti-cancer Randomized Trial (J-START): a randomised controlled trial</w:t>
      </w:r>
      <w:bookmarkEnd w:id="166"/>
    </w:p>
    <w:tbl>
      <w:tblPr>
        <w:tblStyle w:val="ACGreen-BandedTable"/>
        <w:tblW w:w="14205" w:type="dxa"/>
        <w:tblInd w:w="0" w:type="dxa"/>
        <w:tblLayout w:type="fixed"/>
        <w:tblLook w:val="04A0" w:firstRow="1" w:lastRow="0" w:firstColumn="1" w:lastColumn="0" w:noHBand="0" w:noVBand="1"/>
        <w:tblDescription w:val="INTERNAL VALIDITY &#10; &#10;1.1&#10;The study addresses an appropriate and clearly focused question.&#10;Yes&#10;&#10;1.2&#10;The assignment of subjects to treatment groups is randomised.&#10;Yes&#10;&#10;1.3&#10;An adequate concealment method is used.&#10;Yes &#10;&#10;1.4&#10;The design keeps subjects and investigators ‘blind’ about treatment allocation.&#10;No&#10;&#10;1.5&#10;The treatment and control groups are similar at the start of the trial.&#10;Yes &#10;&#10;1.6&#10;The only difference between groups is the treatment under investigation.&#10;Can’t say &#10;&#10;1.7&#10;All relevant outcomes are measured in a standard, valid and reliable way.&#10;Yes  &#10;&#10;1.8&#10;What percentage of the individuals or clusters recruited into each treatment arm of the study dropped out before the study was completed?&#10;2% of participants were lost to follow-up - No information about which arm these women were in is provided.&#10;&#10;1.9&#10;All the subjects are analysed in the groups to which they were randomly allocated (often referred to as intention to treat analysis).&#10;Yes &#10;&#10;1.10&#10;Where the study is carried out at more than one site, results are comparable for all sites.&#10;Yes &#10;"/>
      </w:tblPr>
      <w:tblGrid>
        <w:gridCol w:w="708"/>
        <w:gridCol w:w="9723"/>
        <w:gridCol w:w="1258"/>
        <w:gridCol w:w="1258"/>
        <w:gridCol w:w="1258"/>
      </w:tblGrid>
      <w:tr w:rsidR="00A37B16" w14:paraId="1470FAA8" w14:textId="77777777" w:rsidTr="00F66F74">
        <w:trPr>
          <w:cnfStyle w:val="100000000000" w:firstRow="1" w:lastRow="0" w:firstColumn="0" w:lastColumn="0" w:oddVBand="0" w:evenVBand="0" w:oddHBand="0" w:evenHBand="0" w:firstRowFirstColumn="0" w:firstRowLastColumn="0" w:lastRowFirstColumn="0" w:lastRowLastColumn="0"/>
        </w:trPr>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43C00AD" w14:textId="77777777" w:rsidR="00A37B16" w:rsidRDefault="00A37B16" w:rsidP="00F66F74">
            <w:pPr>
              <w:pStyle w:val="Footer"/>
              <w:rPr>
                <w:rFonts w:cstheme="majorHAnsi"/>
                <w:sz w:val="20"/>
                <w:szCs w:val="20"/>
                <w:lang w:val="en-US"/>
              </w:rPr>
            </w:pP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CF2C03E" w14:textId="568E460E" w:rsidR="00A37B16" w:rsidRDefault="00A37B16" w:rsidP="00F66F74">
            <w:pPr>
              <w:rPr>
                <w:rFonts w:cstheme="majorHAnsi"/>
                <w:sz w:val="20"/>
                <w:szCs w:val="20"/>
                <w:lang w:val="en-US"/>
              </w:rPr>
            </w:pPr>
            <w:r w:rsidRPr="00345CCE">
              <w:rPr>
                <w:rFonts w:cstheme="majorHAnsi"/>
                <w:color w:val="auto"/>
                <w:sz w:val="20"/>
                <w:szCs w:val="20"/>
                <w:lang w:val="en-US"/>
              </w:rPr>
              <w:t>INTERNAL VALIDITY</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C5EABC" w14:textId="77777777" w:rsidR="00A37B16" w:rsidRDefault="00A37B16" w:rsidP="00F66F74">
            <w:pPr>
              <w:rPr>
                <w:rFonts w:cstheme="majorHAnsi"/>
                <w:sz w:val="20"/>
                <w:szCs w:val="20"/>
                <w:lang w:val="en-US"/>
              </w:rPr>
            </w:pP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CAEA77" w14:textId="77777777" w:rsidR="00A37B16" w:rsidRDefault="00A37B16" w:rsidP="00F66F74">
            <w:pPr>
              <w:rPr>
                <w:rFonts w:cstheme="majorHAnsi"/>
                <w:sz w:val="20"/>
                <w:szCs w:val="20"/>
                <w:lang w:val="en-US"/>
              </w:rPr>
            </w:pP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991AB99" w14:textId="77777777" w:rsidR="00A37B16" w:rsidRDefault="00A37B16" w:rsidP="00F66F74">
            <w:pPr>
              <w:rPr>
                <w:rFonts w:cstheme="majorHAnsi"/>
                <w:sz w:val="20"/>
                <w:szCs w:val="20"/>
                <w:lang w:val="en-US"/>
              </w:rPr>
            </w:pPr>
          </w:p>
        </w:tc>
      </w:tr>
      <w:tr w:rsidR="00A253C6" w14:paraId="4B0698F6" w14:textId="77777777" w:rsidTr="00A37B16">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597778" w14:textId="77777777" w:rsidR="00A253C6" w:rsidRDefault="00A253C6" w:rsidP="009107BC">
            <w:pPr>
              <w:pStyle w:val="Footer"/>
              <w:rPr>
                <w:rFonts w:cstheme="majorHAnsi"/>
                <w:iCs/>
                <w:sz w:val="20"/>
                <w:szCs w:val="20"/>
                <w:lang w:val="en-US"/>
              </w:rPr>
            </w:pPr>
            <w:r>
              <w:rPr>
                <w:rFonts w:cstheme="majorHAnsi"/>
                <w:sz w:val="20"/>
                <w:szCs w:val="20"/>
                <w:lang w:val="en-US"/>
              </w:rPr>
              <w:t>1.1</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48DE3C" w14:textId="77777777" w:rsidR="00A253C6" w:rsidRDefault="00A253C6" w:rsidP="009107BC">
            <w:pPr>
              <w:rPr>
                <w:rFonts w:cstheme="majorHAnsi"/>
                <w:color w:val="FF0000"/>
                <w:sz w:val="20"/>
                <w:szCs w:val="20"/>
                <w:lang w:val="en-US"/>
              </w:rPr>
            </w:pPr>
            <w:r>
              <w:rPr>
                <w:rFonts w:cstheme="majorHAnsi"/>
                <w:sz w:val="20"/>
                <w:szCs w:val="20"/>
                <w:lang w:val="en-US"/>
              </w:rPr>
              <w:t>The study addresses an appropriate and clearly focused question.</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825AA4"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DC4448"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3345DFD"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A253C6" w14:paraId="4FC9202C" w14:textId="77777777" w:rsidTr="00A37B16">
        <w:trPr>
          <w:cnfStyle w:val="000000010000" w:firstRow="0" w:lastRow="0" w:firstColumn="0" w:lastColumn="0" w:oddVBand="0" w:evenVBand="0" w:oddHBand="0" w:evenHBand="1" w:firstRowFirstColumn="0" w:firstRowLastColumn="0" w:lastRowFirstColumn="0" w:lastRowLastColumn="0"/>
        </w:trPr>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26FE57" w14:textId="77777777" w:rsidR="00A253C6" w:rsidRDefault="00A253C6" w:rsidP="009107BC">
            <w:pPr>
              <w:pStyle w:val="Footer"/>
              <w:rPr>
                <w:rFonts w:cstheme="majorHAnsi"/>
                <w:iCs/>
                <w:sz w:val="20"/>
                <w:szCs w:val="20"/>
                <w:lang w:val="en-US"/>
              </w:rPr>
            </w:pPr>
            <w:r>
              <w:rPr>
                <w:rFonts w:cstheme="majorHAnsi"/>
                <w:iCs/>
                <w:sz w:val="20"/>
                <w:szCs w:val="20"/>
                <w:lang w:val="en-US"/>
              </w:rPr>
              <w:t>1.2</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F83BCE" w14:textId="77777777" w:rsidR="00A253C6" w:rsidRDefault="00A253C6" w:rsidP="009107BC">
            <w:pPr>
              <w:pStyle w:val="Footer"/>
              <w:rPr>
                <w:rFonts w:cstheme="majorHAnsi"/>
                <w:i/>
                <w:iCs/>
                <w:sz w:val="20"/>
                <w:szCs w:val="20"/>
                <w:lang w:val="en-US"/>
              </w:rPr>
            </w:pPr>
            <w:r>
              <w:rPr>
                <w:rFonts w:cstheme="majorHAnsi"/>
                <w:sz w:val="20"/>
                <w:szCs w:val="20"/>
                <w:lang w:val="en-US"/>
              </w:rPr>
              <w:t>The assignment of subjects to treatment groups is randomised.</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71B0C68"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B79898"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65DC82"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A253C6" w14:paraId="4B304F81" w14:textId="77777777" w:rsidTr="00A37B16">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1E4139E" w14:textId="77777777" w:rsidR="00A253C6" w:rsidRDefault="00A253C6" w:rsidP="009107BC">
            <w:pPr>
              <w:pStyle w:val="BodyText"/>
              <w:spacing w:before="0" w:after="0" w:line="240" w:lineRule="auto"/>
              <w:rPr>
                <w:rFonts w:cstheme="majorHAnsi"/>
                <w:sz w:val="20"/>
                <w:szCs w:val="20"/>
                <w:lang w:val="en-US"/>
              </w:rPr>
            </w:pPr>
            <w:r>
              <w:rPr>
                <w:rFonts w:cstheme="majorHAnsi"/>
                <w:iCs/>
                <w:sz w:val="20"/>
                <w:szCs w:val="20"/>
                <w:lang w:val="en-US"/>
              </w:rPr>
              <w:t>1.3</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D19A38" w14:textId="77777777" w:rsidR="00A253C6" w:rsidRDefault="00A253C6" w:rsidP="009107BC">
            <w:pPr>
              <w:pStyle w:val="BodyText"/>
              <w:spacing w:before="0" w:after="0" w:line="240" w:lineRule="auto"/>
              <w:jc w:val="left"/>
              <w:rPr>
                <w:rFonts w:cstheme="majorHAnsi"/>
                <w:iCs/>
                <w:sz w:val="20"/>
                <w:szCs w:val="20"/>
                <w:lang w:val="en-US"/>
              </w:rPr>
            </w:pPr>
            <w:r>
              <w:rPr>
                <w:rFonts w:cstheme="majorHAnsi"/>
                <w:iCs/>
                <w:sz w:val="20"/>
                <w:szCs w:val="20"/>
                <w:lang w:val="en-US"/>
              </w:rPr>
              <w:t>An adequate concealment method is used.</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164011"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A4B155"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33C599"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A253C6" w14:paraId="14DA186A" w14:textId="77777777" w:rsidTr="00A37B16">
        <w:trPr>
          <w:cnfStyle w:val="000000010000" w:firstRow="0" w:lastRow="0" w:firstColumn="0" w:lastColumn="0" w:oddVBand="0" w:evenVBand="0" w:oddHBand="0" w:evenHBand="1" w:firstRowFirstColumn="0" w:firstRowLastColumn="0" w:lastRowFirstColumn="0" w:lastRowLastColumn="0"/>
        </w:trPr>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66E84C" w14:textId="77777777" w:rsidR="00A253C6" w:rsidRDefault="00A253C6" w:rsidP="009107BC">
            <w:pPr>
              <w:jc w:val="both"/>
              <w:rPr>
                <w:rFonts w:cstheme="majorHAnsi"/>
                <w:sz w:val="20"/>
                <w:szCs w:val="20"/>
                <w:lang w:val="en-US"/>
              </w:rPr>
            </w:pPr>
            <w:r>
              <w:rPr>
                <w:rFonts w:cstheme="majorHAnsi"/>
                <w:sz w:val="20"/>
                <w:szCs w:val="20"/>
                <w:lang w:val="en-US"/>
              </w:rPr>
              <w:t>1.4</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EA7CAE" w14:textId="77777777" w:rsidR="00A253C6" w:rsidRDefault="00A253C6" w:rsidP="009107BC">
            <w:pPr>
              <w:rPr>
                <w:rFonts w:cstheme="majorHAnsi"/>
                <w:sz w:val="20"/>
                <w:szCs w:val="20"/>
                <w:lang w:val="en-US"/>
              </w:rPr>
            </w:pPr>
            <w:bookmarkStart w:id="167" w:name="OLE_LINK24"/>
            <w:bookmarkStart w:id="168" w:name="OLE_LINK25"/>
            <w:r>
              <w:rPr>
                <w:rFonts w:cstheme="majorHAnsi"/>
                <w:sz w:val="20"/>
                <w:szCs w:val="20"/>
                <w:lang w:val="en-US"/>
              </w:rPr>
              <w:t>The design keeps subjects and investigators ‘blind’ about treatment allocation</w:t>
            </w:r>
            <w:bookmarkEnd w:id="167"/>
            <w:bookmarkEnd w:id="168"/>
            <w:r>
              <w:rPr>
                <w:rFonts w:cstheme="majorHAnsi"/>
                <w:sz w:val="20"/>
                <w:szCs w:val="20"/>
                <w:lang w:val="en-US"/>
              </w:rPr>
              <w:t>.</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BE0D94"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1BD5F6"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EC071F"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52"/>
            </w:r>
          </w:p>
        </w:tc>
      </w:tr>
      <w:tr w:rsidR="00A253C6" w14:paraId="2B09BE70" w14:textId="77777777" w:rsidTr="00A37B16">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E7606B" w14:textId="77777777" w:rsidR="00A253C6" w:rsidRDefault="00A253C6" w:rsidP="009107BC">
            <w:pPr>
              <w:jc w:val="both"/>
              <w:rPr>
                <w:rFonts w:cstheme="majorHAnsi"/>
                <w:sz w:val="20"/>
                <w:szCs w:val="20"/>
                <w:lang w:val="en-US"/>
              </w:rPr>
            </w:pPr>
            <w:r>
              <w:rPr>
                <w:rFonts w:cstheme="majorHAnsi"/>
                <w:sz w:val="20"/>
                <w:szCs w:val="20"/>
                <w:lang w:val="en-US"/>
              </w:rPr>
              <w:t>1.5</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6AAE69" w14:textId="77777777" w:rsidR="00A253C6" w:rsidRDefault="00A253C6" w:rsidP="009107BC">
            <w:pPr>
              <w:rPr>
                <w:rFonts w:cstheme="majorHAnsi"/>
                <w:sz w:val="20"/>
                <w:szCs w:val="20"/>
                <w:lang w:val="en-US"/>
              </w:rPr>
            </w:pPr>
            <w:r>
              <w:rPr>
                <w:rFonts w:cstheme="majorHAnsi"/>
                <w:sz w:val="20"/>
                <w:szCs w:val="20"/>
                <w:lang w:val="en-US"/>
              </w:rPr>
              <w:t>The treatment and control groups are similar at the start of the trial.</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B194D7"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A7B368"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9A5DB5"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r>
              <w:rPr>
                <w:rFonts w:cstheme="majorHAnsi"/>
                <w:sz w:val="20"/>
                <w:szCs w:val="20"/>
                <w:lang w:val="en-US"/>
              </w:rPr>
              <w:t xml:space="preserve"> </w:t>
            </w:r>
          </w:p>
        </w:tc>
      </w:tr>
      <w:tr w:rsidR="00A253C6" w14:paraId="33A7BF11" w14:textId="77777777" w:rsidTr="00A37B16">
        <w:trPr>
          <w:cnfStyle w:val="000000010000" w:firstRow="0" w:lastRow="0" w:firstColumn="0" w:lastColumn="0" w:oddVBand="0" w:evenVBand="0" w:oddHBand="0" w:evenHBand="1" w:firstRowFirstColumn="0" w:firstRowLastColumn="0" w:lastRowFirstColumn="0" w:lastRowLastColumn="0"/>
        </w:trPr>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DB8A08" w14:textId="77777777" w:rsidR="00A253C6" w:rsidRDefault="00A253C6" w:rsidP="009107BC">
            <w:pPr>
              <w:jc w:val="both"/>
              <w:rPr>
                <w:rFonts w:cstheme="majorHAnsi"/>
                <w:sz w:val="20"/>
                <w:szCs w:val="20"/>
                <w:lang w:val="en-US"/>
              </w:rPr>
            </w:pPr>
            <w:r>
              <w:rPr>
                <w:rFonts w:cstheme="majorHAnsi"/>
                <w:sz w:val="20"/>
                <w:szCs w:val="20"/>
                <w:lang w:val="en-US"/>
              </w:rPr>
              <w:t>1.6</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4B295A" w14:textId="77777777" w:rsidR="00A253C6" w:rsidRDefault="00A253C6" w:rsidP="009107BC">
            <w:pPr>
              <w:rPr>
                <w:rFonts w:cstheme="majorHAnsi"/>
                <w:sz w:val="20"/>
                <w:szCs w:val="20"/>
                <w:lang w:val="en-US"/>
              </w:rPr>
            </w:pPr>
            <w:r>
              <w:rPr>
                <w:rFonts w:cstheme="majorHAnsi"/>
                <w:sz w:val="20"/>
                <w:szCs w:val="20"/>
                <w:lang w:val="en-US"/>
              </w:rPr>
              <w:t>The only difference between groups is the treatment under investigation.</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7E305F"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127BB6"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20CEBC"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A253C6" w14:paraId="50CFBBBC" w14:textId="77777777" w:rsidTr="00A37B16">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59AE91" w14:textId="77777777" w:rsidR="00A253C6" w:rsidRDefault="00A253C6" w:rsidP="009107BC">
            <w:pPr>
              <w:jc w:val="both"/>
              <w:rPr>
                <w:rFonts w:cstheme="majorHAnsi"/>
                <w:sz w:val="20"/>
                <w:szCs w:val="20"/>
                <w:lang w:val="en-US"/>
              </w:rPr>
            </w:pPr>
            <w:r>
              <w:rPr>
                <w:rFonts w:cstheme="majorHAnsi"/>
                <w:sz w:val="20"/>
                <w:szCs w:val="20"/>
                <w:lang w:val="en-US"/>
              </w:rPr>
              <w:t>1.7</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8ABDC8" w14:textId="77777777" w:rsidR="00A253C6" w:rsidRDefault="00A253C6" w:rsidP="009107BC">
            <w:pPr>
              <w:rPr>
                <w:rFonts w:cstheme="majorHAnsi"/>
                <w:sz w:val="20"/>
                <w:szCs w:val="20"/>
                <w:lang w:val="en-US"/>
              </w:rPr>
            </w:pPr>
            <w:r>
              <w:rPr>
                <w:rFonts w:cstheme="majorHAnsi"/>
                <w:sz w:val="20"/>
                <w:szCs w:val="20"/>
                <w:lang w:val="en-US"/>
              </w:rPr>
              <w:t>All relevant outcomes are measured in a standard, valid and reliable way.</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9F519D"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0AB11A"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390DB5"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C8370E" w14:paraId="3266E7CF" w14:textId="77777777" w:rsidTr="00F66F74">
        <w:trPr>
          <w:cnfStyle w:val="000000010000" w:firstRow="0" w:lastRow="0" w:firstColumn="0" w:lastColumn="0" w:oddVBand="0" w:evenVBand="0" w:oddHBand="0" w:evenHBand="1" w:firstRowFirstColumn="0" w:firstRowLastColumn="0" w:lastRowFirstColumn="0" w:lastRowLastColumn="0"/>
        </w:trPr>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61F31D" w14:textId="77777777" w:rsidR="00C8370E" w:rsidRDefault="00C8370E" w:rsidP="009107BC">
            <w:pPr>
              <w:jc w:val="both"/>
              <w:rPr>
                <w:rFonts w:cstheme="majorHAnsi"/>
                <w:sz w:val="20"/>
                <w:szCs w:val="20"/>
                <w:lang w:val="en-US"/>
              </w:rPr>
            </w:pPr>
            <w:r>
              <w:rPr>
                <w:rFonts w:cstheme="majorHAnsi"/>
                <w:sz w:val="20"/>
                <w:szCs w:val="20"/>
                <w:lang w:val="en-US"/>
              </w:rPr>
              <w:t>1.8</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4B874E0" w14:textId="77777777" w:rsidR="00C8370E" w:rsidRDefault="00C8370E" w:rsidP="009107BC">
            <w:pPr>
              <w:rPr>
                <w:rFonts w:cstheme="majorHAnsi"/>
                <w:sz w:val="20"/>
                <w:szCs w:val="20"/>
                <w:lang w:val="en-US"/>
              </w:rPr>
            </w:pPr>
            <w:r>
              <w:rPr>
                <w:rFonts w:cstheme="majorHAnsi"/>
                <w:sz w:val="20"/>
                <w:szCs w:val="20"/>
                <w:lang w:val="en-US"/>
              </w:rPr>
              <w:t>What percentage of the individuals or clusters recruited into each treatment arm of the study dropped out before the study was completed?</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D57EDE" w14:textId="77777777" w:rsidR="00C8370E" w:rsidRDefault="00C8370E" w:rsidP="009107BC">
            <w:pPr>
              <w:pStyle w:val="Header"/>
              <w:tabs>
                <w:tab w:val="left" w:pos="720"/>
              </w:tabs>
              <w:rPr>
                <w:rFonts w:cstheme="majorHAnsi"/>
                <w:sz w:val="16"/>
                <w:szCs w:val="16"/>
                <w:lang w:val="en-US"/>
              </w:rPr>
            </w:pPr>
            <w:r>
              <w:rPr>
                <w:rFonts w:cstheme="majorHAnsi"/>
                <w:sz w:val="16"/>
                <w:szCs w:val="16"/>
                <w:lang w:val="en-US"/>
              </w:rPr>
              <w:t>2% of participants were lost to follow-up - No information about which arm these women were in is provided.</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710D07" w14:textId="2F3902DE" w:rsidR="00C8370E" w:rsidRDefault="00C8370E" w:rsidP="009107BC">
            <w:pPr>
              <w:pStyle w:val="Header"/>
              <w:tabs>
                <w:tab w:val="left" w:pos="720"/>
              </w:tabs>
              <w:rPr>
                <w:rFonts w:cstheme="majorHAnsi"/>
                <w:sz w:val="16"/>
                <w:szCs w:val="16"/>
                <w:lang w:val="en-US"/>
              </w:rPr>
            </w:pPr>
            <w:r>
              <w:rPr>
                <w:rFonts w:cstheme="majorHAnsi"/>
                <w:sz w:val="16"/>
                <w:szCs w:val="16"/>
                <w:lang w:val="en-US"/>
              </w:rPr>
              <w:t>NA</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68B14F" w14:textId="7B74465F" w:rsidR="00C8370E" w:rsidRDefault="00C8370E" w:rsidP="009107BC">
            <w:pPr>
              <w:pStyle w:val="Header"/>
              <w:tabs>
                <w:tab w:val="left" w:pos="720"/>
              </w:tabs>
              <w:rPr>
                <w:rFonts w:cstheme="majorHAnsi"/>
                <w:sz w:val="16"/>
                <w:szCs w:val="16"/>
                <w:lang w:val="en-US"/>
              </w:rPr>
            </w:pPr>
            <w:r>
              <w:rPr>
                <w:rFonts w:cstheme="majorHAnsi"/>
                <w:sz w:val="16"/>
                <w:szCs w:val="16"/>
                <w:lang w:val="en-US"/>
              </w:rPr>
              <w:t>NA</w:t>
            </w:r>
          </w:p>
        </w:tc>
      </w:tr>
      <w:tr w:rsidR="00A253C6" w14:paraId="09151DCE" w14:textId="77777777" w:rsidTr="00A37B16">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D7CE4F" w14:textId="77777777" w:rsidR="00A253C6" w:rsidRDefault="00A253C6" w:rsidP="009107BC">
            <w:pPr>
              <w:jc w:val="both"/>
              <w:rPr>
                <w:rFonts w:cstheme="majorHAnsi"/>
                <w:sz w:val="20"/>
                <w:szCs w:val="20"/>
                <w:lang w:val="en-US"/>
              </w:rPr>
            </w:pPr>
            <w:r>
              <w:rPr>
                <w:rFonts w:cstheme="majorHAnsi"/>
                <w:sz w:val="20"/>
                <w:szCs w:val="20"/>
                <w:lang w:val="en-US"/>
              </w:rPr>
              <w:t>1.9</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128BEE" w14:textId="77777777" w:rsidR="00A253C6" w:rsidRDefault="00A253C6" w:rsidP="009107BC">
            <w:pPr>
              <w:pStyle w:val="BodyText2"/>
              <w:spacing w:after="0" w:line="240" w:lineRule="auto"/>
              <w:rPr>
                <w:rFonts w:cstheme="majorHAnsi"/>
                <w:sz w:val="20"/>
                <w:szCs w:val="20"/>
                <w:lang w:val="en-US"/>
              </w:rPr>
            </w:pPr>
            <w:r>
              <w:rPr>
                <w:rFonts w:cstheme="majorHAnsi"/>
                <w:iCs/>
                <w:sz w:val="20"/>
                <w:szCs w:val="20"/>
                <w:lang w:val="en-US"/>
              </w:rPr>
              <w:t>All the subjects are analysed in the groups to which they were randomly allocated (often referred to as intention to treat analysis).</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8F247D"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77D95B"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DA3AF9"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tc>
      </w:tr>
      <w:tr w:rsidR="00A253C6" w14:paraId="1C5CA5E1" w14:textId="77777777" w:rsidTr="00A37B16">
        <w:trPr>
          <w:cnfStyle w:val="000000010000" w:firstRow="0" w:lastRow="0" w:firstColumn="0" w:lastColumn="0" w:oddVBand="0" w:evenVBand="0" w:oddHBand="0" w:evenHBand="1" w:firstRowFirstColumn="0" w:firstRowLastColumn="0" w:lastRowFirstColumn="0" w:lastRowLastColumn="0"/>
        </w:trPr>
        <w:tc>
          <w:tcPr>
            <w:tcW w:w="70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2515EC" w14:textId="77777777" w:rsidR="00A253C6" w:rsidRDefault="00A253C6" w:rsidP="009107BC">
            <w:pPr>
              <w:jc w:val="both"/>
              <w:rPr>
                <w:rFonts w:cstheme="majorHAnsi"/>
                <w:sz w:val="20"/>
                <w:szCs w:val="20"/>
                <w:lang w:val="en-US"/>
              </w:rPr>
            </w:pPr>
            <w:r>
              <w:rPr>
                <w:rFonts w:cstheme="majorHAnsi"/>
                <w:sz w:val="20"/>
                <w:szCs w:val="20"/>
                <w:lang w:val="en-US"/>
              </w:rPr>
              <w:t>1.10</w:t>
            </w:r>
          </w:p>
        </w:tc>
        <w:tc>
          <w:tcPr>
            <w:tcW w:w="972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C6BE0A" w14:textId="77777777" w:rsidR="00A253C6" w:rsidRDefault="00A253C6" w:rsidP="009107BC">
            <w:pPr>
              <w:rPr>
                <w:rFonts w:cstheme="majorHAnsi"/>
                <w:color w:val="FF0000"/>
                <w:sz w:val="20"/>
                <w:szCs w:val="20"/>
                <w:lang w:val="en-US"/>
              </w:rPr>
            </w:pPr>
            <w:r>
              <w:rPr>
                <w:rFonts w:cstheme="majorHAnsi"/>
                <w:sz w:val="20"/>
                <w:szCs w:val="20"/>
                <w:lang w:val="en-US"/>
              </w:rPr>
              <w:t>Where the study is carried out at more than one site, results are comparable for all sites</w:t>
            </w:r>
            <w:r w:rsidRPr="00345CCE">
              <w:rPr>
                <w:rFonts w:cstheme="majorHAnsi"/>
                <w:sz w:val="20"/>
                <w:szCs w:val="20"/>
                <w:lang w:val="en-US"/>
              </w:rPr>
              <w:t>.</w:t>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27562E0" w14:textId="77777777" w:rsidR="00A253C6" w:rsidRDefault="00A253C6" w:rsidP="009107BC">
            <w:pPr>
              <w:rPr>
                <w:rFonts w:cstheme="majorHAnsi"/>
                <w:sz w:val="20"/>
                <w:szCs w:val="20"/>
                <w:lang w:val="en-US"/>
              </w:rPr>
            </w:pPr>
            <w:r>
              <w:rPr>
                <w:rFonts w:cstheme="majorHAnsi"/>
                <w:sz w:val="20"/>
                <w:szCs w:val="20"/>
                <w:lang w:val="en-US"/>
              </w:rPr>
              <w:t xml:space="preserve">Yes </w:t>
            </w:r>
            <w:r>
              <w:rPr>
                <w:rFonts w:cstheme="majorHAnsi"/>
                <w:sz w:val="20"/>
                <w:szCs w:val="20"/>
                <w:lang w:val="en-US"/>
              </w:rPr>
              <w:sym w:font="Wingdings 2" w:char="F052"/>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5EE4C6" w14:textId="77777777" w:rsidR="00A253C6" w:rsidRDefault="00A253C6" w:rsidP="009107BC">
            <w:pPr>
              <w:rPr>
                <w:rFonts w:cstheme="majorHAnsi"/>
                <w:sz w:val="20"/>
                <w:szCs w:val="20"/>
                <w:lang w:val="en-US"/>
              </w:rPr>
            </w:pPr>
            <w:r>
              <w:rPr>
                <w:rFonts w:cstheme="majorHAnsi"/>
                <w:sz w:val="20"/>
                <w:szCs w:val="20"/>
                <w:lang w:val="en-US"/>
              </w:rPr>
              <w:t xml:space="preserve">Can’t say </w:t>
            </w:r>
            <w:r>
              <w:rPr>
                <w:rFonts w:cstheme="majorHAnsi"/>
                <w:sz w:val="20"/>
                <w:szCs w:val="20"/>
                <w:lang w:val="en-US"/>
              </w:rPr>
              <w:sym w:font="Wingdings 2" w:char="F0A3"/>
            </w:r>
          </w:p>
        </w:tc>
        <w:tc>
          <w:tcPr>
            <w:tcW w:w="1258"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F7B38A7" w14:textId="77777777" w:rsidR="00A253C6" w:rsidRDefault="00A253C6" w:rsidP="009107BC">
            <w:pPr>
              <w:rPr>
                <w:rFonts w:cstheme="majorHAnsi"/>
                <w:sz w:val="20"/>
                <w:szCs w:val="20"/>
                <w:lang w:val="en-US"/>
              </w:rPr>
            </w:pPr>
            <w:r>
              <w:rPr>
                <w:rFonts w:cstheme="majorHAnsi"/>
                <w:sz w:val="20"/>
                <w:szCs w:val="20"/>
                <w:lang w:val="en-US"/>
              </w:rPr>
              <w:t xml:space="preserve">No </w:t>
            </w:r>
            <w:r>
              <w:rPr>
                <w:rFonts w:cstheme="majorHAnsi"/>
                <w:sz w:val="20"/>
                <w:szCs w:val="20"/>
                <w:lang w:val="en-US"/>
              </w:rPr>
              <w:sym w:font="Wingdings 2" w:char="F0A3"/>
            </w:r>
          </w:p>
          <w:p w14:paraId="25392567" w14:textId="77777777" w:rsidR="00A253C6" w:rsidRDefault="00A253C6" w:rsidP="009107BC">
            <w:pPr>
              <w:rPr>
                <w:rFonts w:cstheme="majorHAnsi"/>
                <w:sz w:val="20"/>
                <w:szCs w:val="20"/>
                <w:lang w:val="en-US"/>
              </w:rPr>
            </w:pPr>
            <w:r>
              <w:rPr>
                <w:rFonts w:cstheme="majorHAnsi"/>
                <w:sz w:val="20"/>
                <w:szCs w:val="20"/>
                <w:lang w:val="en-US"/>
              </w:rPr>
              <w:t xml:space="preserve">NA </w:t>
            </w:r>
            <w:r>
              <w:rPr>
                <w:rFonts w:cstheme="majorHAnsi"/>
                <w:sz w:val="20"/>
                <w:szCs w:val="20"/>
                <w:lang w:val="en-US"/>
              </w:rPr>
              <w:sym w:font="Wingdings 2" w:char="F0A3"/>
            </w:r>
          </w:p>
        </w:tc>
      </w:tr>
    </w:tbl>
    <w:p w14:paraId="29546AD4" w14:textId="77777777" w:rsidR="00A253C6" w:rsidRDefault="00A253C6" w:rsidP="00A253C6">
      <w:pPr>
        <w:spacing w:after="0" w:line="240" w:lineRule="auto"/>
        <w:rPr>
          <w:sz w:val="4"/>
          <w:szCs w:val="4"/>
        </w:rPr>
      </w:pPr>
    </w:p>
    <w:tbl>
      <w:tblPr>
        <w:tblStyle w:val="ACGreen-BandedTable"/>
        <w:tblW w:w="14205" w:type="dxa"/>
        <w:tblInd w:w="0" w:type="dxa"/>
        <w:tblLayout w:type="fixed"/>
        <w:tblLook w:val="04A0" w:firstRow="1" w:lastRow="0" w:firstColumn="1" w:lastColumn="0" w:noHBand="0" w:noVBand="1"/>
        <w:tblDescription w:val="OVERALL ASSESSMENT OF THE STUDY&#10;&#10;2.1&#10;How well was the study done to minimise bias? &#10;Acceptable (+)&#10;&#10;2.2&#10;Taking into account clinical considerations, your evaluation of the methodology used, and the statistical power of the study, are you certain that the overall effect is due to the study intervention?&#10;Yes – study has good power and groups have no heterogeneity&#10;&#10;2.3&#10;Are the results of this study directly applicable to the patient group targeted by this guideline?&#10;Yes&#10;&#10;2.4&#10;NOTES&#10;&#10;"/>
      </w:tblPr>
      <w:tblGrid>
        <w:gridCol w:w="709"/>
        <w:gridCol w:w="9581"/>
        <w:gridCol w:w="3915"/>
      </w:tblGrid>
      <w:tr w:rsidR="00C8370E" w14:paraId="01746781" w14:textId="77777777" w:rsidTr="00C8370E">
        <w:trPr>
          <w:cnfStyle w:val="100000000000" w:firstRow="1" w:lastRow="0" w:firstColumn="0" w:lastColumn="0" w:oddVBand="0" w:evenVBand="0" w:oddHBand="0" w:evenHBand="0"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AD84ADA" w14:textId="707544D7" w:rsidR="00C8370E" w:rsidRDefault="00C8370E" w:rsidP="00F66F74">
            <w:pPr>
              <w:jc w:val="both"/>
              <w:rPr>
                <w:rFonts w:cstheme="majorHAnsi"/>
                <w:sz w:val="20"/>
                <w:szCs w:val="20"/>
                <w:lang w:val="en-US"/>
              </w:rPr>
            </w:pPr>
          </w:p>
        </w:tc>
        <w:tc>
          <w:tcPr>
            <w:tcW w:w="958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6BC6CBC" w14:textId="5DDEE51D" w:rsidR="00C8370E" w:rsidRDefault="00C8370E" w:rsidP="00F66F74">
            <w:pPr>
              <w:pStyle w:val="EndnoteText"/>
              <w:rPr>
                <w:rFonts w:asciiTheme="majorHAnsi" w:hAnsiTheme="majorHAnsi" w:cstheme="majorHAnsi"/>
                <w:lang w:val="en-US"/>
              </w:rPr>
            </w:pPr>
            <w:r w:rsidRPr="00345CCE">
              <w:rPr>
                <w:rFonts w:cstheme="majorHAnsi"/>
                <w:bCs/>
                <w:caps/>
                <w:color w:val="auto"/>
                <w:lang w:val="en-US"/>
              </w:rPr>
              <w:t>Overall assessment of the study</w:t>
            </w:r>
          </w:p>
        </w:tc>
        <w:tc>
          <w:tcPr>
            <w:tcW w:w="391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5A40C31" w14:textId="51A02FA4" w:rsidR="00C8370E" w:rsidRDefault="00C8370E" w:rsidP="00F66F74">
            <w:pPr>
              <w:pStyle w:val="EndnoteText"/>
              <w:rPr>
                <w:rFonts w:asciiTheme="majorHAnsi" w:hAnsiTheme="majorHAnsi" w:cstheme="majorHAnsi"/>
              </w:rPr>
            </w:pPr>
          </w:p>
        </w:tc>
      </w:tr>
      <w:tr w:rsidR="00A253C6" w14:paraId="4C9EDEBF" w14:textId="77777777" w:rsidTr="00C8370E">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5541837" w14:textId="77777777" w:rsidR="00A253C6" w:rsidRDefault="00A253C6" w:rsidP="009107BC">
            <w:pPr>
              <w:jc w:val="both"/>
              <w:rPr>
                <w:rFonts w:cstheme="majorHAnsi"/>
                <w:sz w:val="20"/>
                <w:szCs w:val="20"/>
                <w:lang w:val="en-US"/>
              </w:rPr>
            </w:pPr>
            <w:r>
              <w:rPr>
                <w:rFonts w:cstheme="majorHAnsi"/>
                <w:sz w:val="20"/>
                <w:szCs w:val="20"/>
                <w:lang w:val="en-US"/>
              </w:rPr>
              <w:t>2.1</w:t>
            </w:r>
          </w:p>
        </w:tc>
        <w:tc>
          <w:tcPr>
            <w:tcW w:w="958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631C5A2" w14:textId="77777777" w:rsidR="00A253C6" w:rsidRDefault="00A253C6" w:rsidP="009107BC">
            <w:pPr>
              <w:pStyle w:val="Heading4"/>
              <w:spacing w:before="0" w:after="0" w:line="240" w:lineRule="auto"/>
              <w:outlineLvl w:val="3"/>
              <w:rPr>
                <w:rFonts w:cstheme="majorHAnsi"/>
                <w:b w:val="0"/>
                <w:i w:val="0"/>
                <w:color w:val="auto"/>
                <w:sz w:val="20"/>
                <w:szCs w:val="20"/>
                <w:lang w:val="en-US"/>
              </w:rPr>
            </w:pPr>
            <w:r>
              <w:rPr>
                <w:rFonts w:cstheme="majorHAnsi"/>
                <w:b w:val="0"/>
                <w:i w:val="0"/>
                <w:iCs/>
                <w:color w:val="auto"/>
                <w:sz w:val="20"/>
                <w:szCs w:val="20"/>
                <w:lang w:val="en-US"/>
              </w:rPr>
              <w:t xml:space="preserve">How well was the study done to minimise bias? </w:t>
            </w:r>
          </w:p>
          <w:p w14:paraId="5E778E8C" w14:textId="77777777" w:rsidR="00A253C6" w:rsidRDefault="00A253C6" w:rsidP="009107BC">
            <w:pPr>
              <w:pStyle w:val="Heading4"/>
              <w:spacing w:before="0" w:after="0" w:line="240" w:lineRule="auto"/>
              <w:outlineLvl w:val="3"/>
              <w:rPr>
                <w:rFonts w:cstheme="majorHAnsi"/>
                <w:b w:val="0"/>
                <w:color w:val="auto"/>
                <w:sz w:val="20"/>
                <w:szCs w:val="20"/>
                <w:lang w:val="en-US"/>
              </w:rPr>
            </w:pPr>
          </w:p>
        </w:tc>
        <w:tc>
          <w:tcPr>
            <w:tcW w:w="391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A481A1" w14:textId="77777777" w:rsidR="00A253C6" w:rsidRDefault="00A253C6" w:rsidP="009107BC">
            <w:pPr>
              <w:rPr>
                <w:rFonts w:cstheme="majorHAnsi"/>
                <w:sz w:val="20"/>
                <w:szCs w:val="20"/>
                <w:lang w:val="en-US"/>
              </w:rPr>
            </w:pPr>
            <w:r>
              <w:rPr>
                <w:rFonts w:cstheme="majorHAnsi"/>
                <w:sz w:val="20"/>
                <w:szCs w:val="20"/>
                <w:lang w:val="en-US"/>
              </w:rPr>
              <w:t>High quality (++)</w:t>
            </w:r>
            <w:r>
              <w:rPr>
                <w:rFonts w:cstheme="majorHAnsi"/>
                <w:sz w:val="20"/>
                <w:szCs w:val="20"/>
                <w:lang w:val="en-US"/>
              </w:rPr>
              <w:sym w:font="Wingdings 2" w:char="F0A3"/>
            </w:r>
          </w:p>
          <w:p w14:paraId="610DBF20" w14:textId="77777777" w:rsidR="00A253C6" w:rsidRDefault="00A253C6" w:rsidP="009107BC">
            <w:pPr>
              <w:rPr>
                <w:rFonts w:cstheme="majorHAnsi"/>
                <w:sz w:val="20"/>
                <w:szCs w:val="20"/>
                <w:lang w:val="en-US"/>
              </w:rPr>
            </w:pPr>
            <w:bookmarkStart w:id="169" w:name="OLE_LINK62"/>
            <w:bookmarkStart w:id="170" w:name="OLE_LINK60"/>
            <w:bookmarkStart w:id="171" w:name="OLE_LINK61"/>
            <w:r>
              <w:rPr>
                <w:rFonts w:cstheme="majorHAnsi"/>
                <w:sz w:val="20"/>
                <w:szCs w:val="20"/>
                <w:lang w:val="en-US"/>
              </w:rPr>
              <w:t>Acceptable (+)</w:t>
            </w:r>
            <w:r>
              <w:rPr>
                <w:rFonts w:cstheme="majorHAnsi"/>
                <w:sz w:val="20"/>
                <w:szCs w:val="20"/>
                <w:lang w:val="en-US"/>
              </w:rPr>
              <w:sym w:font="Wingdings 2" w:char="F052"/>
            </w:r>
            <w:bookmarkEnd w:id="169"/>
          </w:p>
          <w:p w14:paraId="676A0CF5" w14:textId="77777777" w:rsidR="00A253C6" w:rsidRDefault="00A253C6" w:rsidP="009107BC">
            <w:pPr>
              <w:rPr>
                <w:rFonts w:cstheme="majorHAnsi"/>
                <w:sz w:val="20"/>
                <w:szCs w:val="20"/>
                <w:lang w:val="en-US"/>
              </w:rPr>
            </w:pPr>
            <w:r>
              <w:rPr>
                <w:rFonts w:cstheme="majorHAnsi"/>
                <w:sz w:val="20"/>
                <w:szCs w:val="20"/>
                <w:lang w:val="en-US"/>
              </w:rPr>
              <w:t>Low quality (-)</w:t>
            </w:r>
            <w:r>
              <w:rPr>
                <w:rFonts w:cstheme="majorHAnsi"/>
                <w:sz w:val="20"/>
                <w:szCs w:val="20"/>
                <w:lang w:val="en-US"/>
              </w:rPr>
              <w:sym w:font="Wingdings 2" w:char="F0A3"/>
            </w:r>
            <w:bookmarkEnd w:id="170"/>
            <w:bookmarkEnd w:id="171"/>
          </w:p>
          <w:p w14:paraId="6A800724" w14:textId="77777777" w:rsidR="00A253C6" w:rsidRDefault="00A253C6" w:rsidP="009107BC">
            <w:pPr>
              <w:rPr>
                <w:rFonts w:cstheme="majorHAnsi"/>
                <w:sz w:val="20"/>
                <w:szCs w:val="20"/>
                <w:lang w:val="en-US"/>
              </w:rPr>
            </w:pPr>
            <w:r>
              <w:rPr>
                <w:rFonts w:cstheme="majorHAnsi"/>
                <w:sz w:val="20"/>
                <w:szCs w:val="20"/>
                <w:lang w:val="en-US"/>
              </w:rPr>
              <w:t xml:space="preserve">Unacceptable – reject 0 </w:t>
            </w:r>
            <w:r>
              <w:rPr>
                <w:rFonts w:cstheme="majorHAnsi"/>
                <w:sz w:val="20"/>
                <w:szCs w:val="20"/>
                <w:lang w:val="en-US"/>
              </w:rPr>
              <w:sym w:font="Wingdings 2" w:char="F0A3"/>
            </w:r>
          </w:p>
        </w:tc>
      </w:tr>
      <w:tr w:rsidR="00A253C6" w14:paraId="7EBE9521" w14:textId="77777777" w:rsidTr="00C8370E">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D42A18" w14:textId="77777777" w:rsidR="00A253C6" w:rsidRDefault="00A253C6" w:rsidP="009107BC">
            <w:pPr>
              <w:jc w:val="both"/>
              <w:rPr>
                <w:rFonts w:cstheme="majorHAnsi"/>
                <w:sz w:val="20"/>
                <w:szCs w:val="20"/>
                <w:lang w:val="en-US"/>
              </w:rPr>
            </w:pPr>
            <w:r>
              <w:rPr>
                <w:rFonts w:cstheme="majorHAnsi"/>
                <w:sz w:val="20"/>
                <w:szCs w:val="20"/>
                <w:lang w:val="en-US"/>
              </w:rPr>
              <w:t>2.2</w:t>
            </w:r>
          </w:p>
        </w:tc>
        <w:tc>
          <w:tcPr>
            <w:tcW w:w="958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5F92FE" w14:textId="77777777" w:rsidR="00A253C6" w:rsidRDefault="00A253C6" w:rsidP="009107BC">
            <w:pPr>
              <w:pStyle w:val="EndnoteText"/>
              <w:rPr>
                <w:rFonts w:asciiTheme="majorHAnsi" w:hAnsiTheme="majorHAnsi" w:cstheme="majorHAnsi"/>
                <w:lang w:val="en-US"/>
              </w:rPr>
            </w:pPr>
            <w:r>
              <w:rPr>
                <w:rFonts w:asciiTheme="majorHAnsi" w:hAnsiTheme="majorHAnsi" w:cstheme="majorHAnsi"/>
                <w:lang w:val="en-US"/>
              </w:rPr>
              <w:t>Taking into account clinical considerations, your evaluation of the methodology used, and the statistical power of the study, are you certain that the overall effect is due to the study intervention?</w:t>
            </w:r>
          </w:p>
        </w:tc>
        <w:tc>
          <w:tcPr>
            <w:tcW w:w="391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896DD8F" w14:textId="77777777" w:rsidR="00A253C6" w:rsidRDefault="00A253C6" w:rsidP="009107BC">
            <w:pPr>
              <w:pStyle w:val="EndnoteText"/>
              <w:rPr>
                <w:rFonts w:asciiTheme="majorHAnsi" w:hAnsiTheme="majorHAnsi" w:cstheme="majorHAnsi"/>
              </w:rPr>
            </w:pPr>
            <w:r>
              <w:rPr>
                <w:rFonts w:asciiTheme="majorHAnsi" w:hAnsiTheme="majorHAnsi" w:cstheme="majorHAnsi"/>
              </w:rPr>
              <w:t>Yes – study has good power and groups have no heterogeneity</w:t>
            </w:r>
          </w:p>
        </w:tc>
      </w:tr>
      <w:tr w:rsidR="00A253C6" w14:paraId="34DD74F6" w14:textId="77777777" w:rsidTr="00C8370E">
        <w:trPr>
          <w:trHeight w:val="229"/>
        </w:trPr>
        <w:tc>
          <w:tcPr>
            <w:tcW w:w="709"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6C1F8D" w14:textId="77777777" w:rsidR="00A253C6" w:rsidRDefault="00A253C6" w:rsidP="009107BC">
            <w:pPr>
              <w:jc w:val="both"/>
              <w:rPr>
                <w:rFonts w:cstheme="majorHAnsi"/>
                <w:sz w:val="20"/>
                <w:szCs w:val="20"/>
                <w:lang w:val="en-US"/>
              </w:rPr>
            </w:pPr>
            <w:r>
              <w:rPr>
                <w:rFonts w:cstheme="majorHAnsi"/>
                <w:sz w:val="20"/>
                <w:szCs w:val="20"/>
                <w:lang w:val="en-US"/>
              </w:rPr>
              <w:t>2.3</w:t>
            </w:r>
          </w:p>
        </w:tc>
        <w:tc>
          <w:tcPr>
            <w:tcW w:w="9581"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F035B21" w14:textId="77777777" w:rsidR="00A253C6" w:rsidRDefault="00A253C6" w:rsidP="009107BC">
            <w:pPr>
              <w:rPr>
                <w:rFonts w:cstheme="majorHAnsi"/>
                <w:sz w:val="20"/>
                <w:szCs w:val="20"/>
                <w:lang w:val="en-US"/>
              </w:rPr>
            </w:pPr>
            <w:r>
              <w:rPr>
                <w:rFonts w:cstheme="majorHAnsi"/>
                <w:sz w:val="20"/>
                <w:szCs w:val="20"/>
                <w:lang w:val="en-US"/>
              </w:rPr>
              <w:t>Are the results of this study directly applicable to the patient group targeted by this guideline?</w:t>
            </w:r>
          </w:p>
        </w:tc>
        <w:tc>
          <w:tcPr>
            <w:tcW w:w="3915"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CC0B62" w14:textId="77777777" w:rsidR="00A253C6" w:rsidRDefault="00A253C6" w:rsidP="009107BC">
            <w:pPr>
              <w:pStyle w:val="EndnoteText"/>
              <w:rPr>
                <w:rFonts w:asciiTheme="majorHAnsi" w:hAnsiTheme="majorHAnsi" w:cstheme="majorHAnsi"/>
              </w:rPr>
            </w:pPr>
            <w:r>
              <w:rPr>
                <w:rFonts w:asciiTheme="majorHAnsi" w:hAnsiTheme="majorHAnsi" w:cstheme="majorHAnsi"/>
              </w:rPr>
              <w:t>Yes</w:t>
            </w:r>
          </w:p>
        </w:tc>
      </w:tr>
    </w:tbl>
    <w:p w14:paraId="64984DF1" w14:textId="77777777" w:rsidR="00A253C6" w:rsidRDefault="00A253C6" w:rsidP="00A253C6"/>
    <w:p w14:paraId="71AD61A4" w14:textId="6DF15251" w:rsidR="007C1D27" w:rsidRDefault="007C1D27" w:rsidP="000D4A00">
      <w:pPr>
        <w:pStyle w:val="BodyText"/>
      </w:pPr>
    </w:p>
    <w:p w14:paraId="2387BD3A" w14:textId="3F0D3C77" w:rsidR="00BC5C55" w:rsidRPr="007444F9" w:rsidRDefault="007C1D27" w:rsidP="000D4A00">
      <w:pPr>
        <w:pStyle w:val="BodyText"/>
      </w:pPr>
      <w:r>
        <w:fldChar w:fldCharType="begin"/>
      </w:r>
      <w:r w:rsidRPr="0000565D">
        <w:instrText xml:space="preserve"> ADDIN EN.REFLIST </w:instrText>
      </w:r>
      <w:r>
        <w:fldChar w:fldCharType="end"/>
      </w:r>
    </w:p>
    <w:sectPr w:rsidR="00BC5C55" w:rsidRPr="007444F9" w:rsidSect="009A4F68">
      <w:pgSz w:w="16839" w:h="11907" w:orient="landscape" w:code="9"/>
      <w:pgMar w:top="1418" w:right="1418" w:bottom="1418" w:left="1418" w:header="964" w:footer="964"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4A042" w14:textId="77777777" w:rsidR="0060223E" w:rsidRDefault="0060223E" w:rsidP="005839ED">
      <w:r>
        <w:separator/>
      </w:r>
    </w:p>
    <w:p w14:paraId="4B94FAF6" w14:textId="77777777" w:rsidR="0060223E" w:rsidRDefault="0060223E"/>
  </w:endnote>
  <w:endnote w:type="continuationSeparator" w:id="0">
    <w:p w14:paraId="3A67EA71" w14:textId="77777777" w:rsidR="0060223E" w:rsidRDefault="0060223E" w:rsidP="005839ED">
      <w:r>
        <w:continuationSeparator/>
      </w:r>
    </w:p>
    <w:p w14:paraId="3F99B78F" w14:textId="77777777" w:rsidR="0060223E" w:rsidRDefault="00602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G Omega">
    <w:altName w:val="Tahoma"/>
    <w:panose1 w:val="00000000000000000000"/>
    <w:charset w:val="00"/>
    <w:family w:val="swiss"/>
    <w:notTrueType/>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Noto Sans">
    <w:altName w:val="Calibri"/>
    <w:charset w:val="00"/>
    <w:family w:val="swiss"/>
    <w:pitch w:val="variable"/>
    <w:sig w:usb0="E00002FF" w:usb1="4000001F" w:usb2="08000029" w:usb3="00000000" w:csb0="00000001"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35EDD" w14:textId="59B11453" w:rsidR="0060223E" w:rsidRDefault="0060223E" w:rsidP="009A4F68">
    <w:pPr>
      <w:pStyle w:val="Footer-OddPage"/>
      <w:pBdr>
        <w:top w:val="single" w:sz="4" w:space="0" w:color="77B800" w:themeColor="background2"/>
      </w:pBdr>
    </w:pPr>
    <w:r>
      <w:rPr>
        <w:i/>
      </w:rPr>
      <w:t xml:space="preserve">ALLEN + CLARKE </w:t>
    </w:r>
    <w:r>
      <w:t>REVIEW OF EVIDENCE: BREAST DENSITY AND SCREENING</w:t>
    </w:r>
    <w:r>
      <w:tab/>
    </w:r>
    <w:r w:rsidRPr="00E17DEB">
      <w:fldChar w:fldCharType="begin"/>
    </w:r>
    <w:r w:rsidRPr="00E17DEB">
      <w:instrText xml:space="preserve"> PAGE  \* Arabic  \* MERGEFORMAT </w:instrText>
    </w:r>
    <w:r w:rsidRPr="00E17DEB">
      <w:fldChar w:fldCharType="separate"/>
    </w:r>
    <w:r w:rsidR="007379CE">
      <w:rPr>
        <w:noProof/>
      </w:rPr>
      <w:t>20</w:t>
    </w:r>
    <w:r w:rsidRPr="00E17D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272D" w14:textId="44CD51A1" w:rsidR="0060223E" w:rsidRDefault="0060223E" w:rsidP="009A4F68">
    <w:pPr>
      <w:pStyle w:val="Footer-OddPage"/>
      <w:pBdr>
        <w:top w:val="single" w:sz="4" w:space="0" w:color="77B800" w:themeColor="background2"/>
      </w:pBdr>
    </w:pPr>
    <w:r>
      <w:rPr>
        <w:i/>
      </w:rPr>
      <w:t xml:space="preserve">ALLEN + CLARKE </w:t>
    </w:r>
    <w:r>
      <w:t>REVIEW OF EVIDENCE: BREAST DENSITY AND SCREENING</w:t>
    </w:r>
    <w:r>
      <w:tab/>
    </w:r>
    <w:r w:rsidRPr="00E17DEB">
      <w:fldChar w:fldCharType="begin"/>
    </w:r>
    <w:r w:rsidRPr="00E17DEB">
      <w:instrText xml:space="preserve"> PAGE  \* Arabic  \* MERGEFORMAT </w:instrText>
    </w:r>
    <w:r w:rsidRPr="00E17DEB">
      <w:fldChar w:fldCharType="separate"/>
    </w:r>
    <w:r w:rsidR="007379CE">
      <w:rPr>
        <w:noProof/>
      </w:rPr>
      <w:t>1</w:t>
    </w:r>
    <w:r w:rsidRPr="00E17D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299B" w14:textId="1BC89869" w:rsidR="0060223E" w:rsidRPr="00B47141" w:rsidRDefault="0060223E" w:rsidP="00B64534">
    <w:pPr>
      <w:pStyle w:val="Footer-OddPage"/>
      <w:pBdr>
        <w:top w:val="single" w:sz="4" w:space="0" w:color="77B800" w:themeColor="background2"/>
      </w:pBdr>
      <w:jc w:val="both"/>
    </w:pPr>
    <w:r>
      <w:rPr>
        <w:i/>
      </w:rPr>
      <w:t xml:space="preserve">ALLEN + CLARKE </w:t>
    </w:r>
    <w:r>
      <w:t>REVIEW OF EVIDENCE: BREAST DENSITY AND SCREENING</w:t>
    </w:r>
    <w:r>
      <w:tab/>
    </w:r>
    <w:r w:rsidRPr="00E17DEB">
      <w:fldChar w:fldCharType="begin"/>
    </w:r>
    <w:r w:rsidRPr="00E17DEB">
      <w:instrText xml:space="preserve"> PAGE  \* Arabic  \* MERGEFORMAT </w:instrText>
    </w:r>
    <w:r w:rsidRPr="00E17DEB">
      <w:fldChar w:fldCharType="separate"/>
    </w:r>
    <w:r w:rsidR="007379CE">
      <w:rPr>
        <w:noProof/>
      </w:rPr>
      <w:t>88</w:t>
    </w:r>
    <w:r w:rsidRPr="00E17DE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6674B" w14:textId="5D19046A" w:rsidR="0060223E" w:rsidRDefault="0060223E" w:rsidP="00B64534">
    <w:pPr>
      <w:pStyle w:val="Footer-OddPage"/>
      <w:pBdr>
        <w:top w:val="single" w:sz="4" w:space="0" w:color="77B800" w:themeColor="background2"/>
      </w:pBdr>
      <w:tabs>
        <w:tab w:val="clear" w:pos="4253"/>
      </w:tabs>
    </w:pPr>
    <w:r>
      <w:rPr>
        <w:i/>
      </w:rPr>
      <w:t xml:space="preserve">ALLEN + CLARKE </w:t>
    </w:r>
    <w:r>
      <w:t>REVIEW OF EVIDENCE: BREAST DENSITY AND SCREENING</w:t>
    </w:r>
    <w:r>
      <w:tab/>
    </w:r>
    <w:r w:rsidRPr="00E17DEB">
      <w:fldChar w:fldCharType="begin"/>
    </w:r>
    <w:r w:rsidRPr="00E17DEB">
      <w:instrText xml:space="preserve"> PAGE  \* Arabic  \* MERGEFORMAT </w:instrText>
    </w:r>
    <w:r w:rsidRPr="00E17DEB">
      <w:fldChar w:fldCharType="separate"/>
    </w:r>
    <w:r w:rsidR="007379CE">
      <w:rPr>
        <w:noProof/>
      </w:rPr>
      <w:t>89</w:t>
    </w:r>
    <w:r w:rsidRPr="00E17DE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45FF2" w14:textId="77777777" w:rsidR="0060223E" w:rsidRDefault="0060223E" w:rsidP="00EC2A6D">
    <w:pPr>
      <w:pStyle w:val="Footer"/>
    </w:pPr>
  </w:p>
  <w:p w14:paraId="08217526" w14:textId="7FED8863" w:rsidR="0060223E" w:rsidRPr="00C11277" w:rsidRDefault="0060223E" w:rsidP="00C11277">
    <w:pPr>
      <w:pStyle w:val="Footer-OddPage"/>
      <w:pBdr>
        <w:top w:val="single" w:sz="4" w:space="1" w:color="77B800" w:themeColor="background2"/>
      </w:pBdr>
      <w:rPr>
        <w:noProof/>
      </w:rPr>
    </w:pPr>
    <w:r>
      <w:rPr>
        <w:i/>
      </w:rPr>
      <w:t xml:space="preserve">ALLEN + </w:t>
    </w:r>
    <w:r w:rsidRPr="00C11277">
      <w:rPr>
        <w:i/>
      </w:rPr>
      <w:t>CLARKE</w:t>
    </w:r>
    <w:r w:rsidRPr="00C11277">
      <w:t xml:space="preserve"> REVIEW </w:t>
    </w:r>
    <w:r>
      <w:t xml:space="preserve">OF EVIDENCE: BREAST DENSITY AND </w:t>
    </w:r>
    <w:r w:rsidRPr="00C11277">
      <w:t>SCREENING</w:t>
    </w:r>
    <w:r w:rsidRPr="00C11277">
      <w:rPr>
        <w:i/>
      </w:rPr>
      <w:tab/>
    </w:r>
    <w:r w:rsidRPr="00C11277">
      <w:rPr>
        <w:noProof/>
      </w:rPr>
      <w:fldChar w:fldCharType="begin"/>
    </w:r>
    <w:r w:rsidRPr="00C11277">
      <w:rPr>
        <w:noProof/>
      </w:rPr>
      <w:instrText xml:space="preserve"> PAGE  \* Arabic  \* MERGEFORMAT </w:instrText>
    </w:r>
    <w:r w:rsidRPr="00C11277">
      <w:rPr>
        <w:noProof/>
      </w:rPr>
      <w:fldChar w:fldCharType="separate"/>
    </w:r>
    <w:r w:rsidR="007379CE">
      <w:rPr>
        <w:noProof/>
      </w:rPr>
      <w:t>102</w:t>
    </w:r>
    <w:r w:rsidRPr="00C1127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4850C" w14:textId="77777777" w:rsidR="0060223E" w:rsidRDefault="0060223E" w:rsidP="00D553C1">
    <w:pPr>
      <w:pStyle w:val="Footer"/>
    </w:pPr>
  </w:p>
  <w:p w14:paraId="5000D15C" w14:textId="1106B4B3" w:rsidR="0060223E" w:rsidRPr="00E17DEB" w:rsidRDefault="0060223E" w:rsidP="00D553C1">
    <w:pPr>
      <w:pStyle w:val="Footer-OddPage"/>
      <w:pBdr>
        <w:top w:val="single" w:sz="4" w:space="1" w:color="77B800" w:themeColor="background2"/>
      </w:pBdr>
    </w:pPr>
    <w:r>
      <w:rPr>
        <w:i/>
      </w:rPr>
      <w:t xml:space="preserve">ALLEN + CLARKE </w:t>
    </w:r>
    <w:r>
      <w:t>REVIEW OF EVIDENCE: BREAST DENSITY AND SCREENING</w:t>
    </w:r>
    <w:r>
      <w:tab/>
    </w:r>
    <w:r w:rsidRPr="00E17DEB">
      <w:fldChar w:fldCharType="begin"/>
    </w:r>
    <w:r w:rsidRPr="00E17DEB">
      <w:instrText xml:space="preserve"> PAGE  \* Arabic  \* MERGEFORMAT </w:instrText>
    </w:r>
    <w:r w:rsidRPr="00E17DEB">
      <w:fldChar w:fldCharType="separate"/>
    </w:r>
    <w:r w:rsidR="007379CE">
      <w:rPr>
        <w:noProof/>
      </w:rPr>
      <w:t>103</w:t>
    </w:r>
    <w:r w:rsidRPr="00E17DE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D6822" w14:textId="77777777" w:rsidR="0060223E" w:rsidRDefault="0060223E" w:rsidP="00EC2A6D">
    <w:pPr>
      <w:pStyle w:val="Footer"/>
    </w:pPr>
  </w:p>
  <w:p w14:paraId="48D0B133" w14:textId="22AC27C4" w:rsidR="0060223E" w:rsidRPr="00C11277" w:rsidRDefault="0060223E" w:rsidP="00C11277">
    <w:pPr>
      <w:pStyle w:val="Footer-OddPage"/>
      <w:pBdr>
        <w:top w:val="single" w:sz="4" w:space="1" w:color="77B800" w:themeColor="background2"/>
      </w:pBdr>
      <w:rPr>
        <w:i/>
      </w:rPr>
    </w:pPr>
    <w:r>
      <w:rPr>
        <w:i/>
      </w:rPr>
      <w:t xml:space="preserve">ALLEN + CLARKE </w:t>
    </w:r>
    <w:r w:rsidRPr="00C11277">
      <w:t>REVIEW OF EVIDENCE: BREAST DENSITY AND SCREENING</w:t>
    </w:r>
    <w:r w:rsidRPr="00C11277">
      <w:tab/>
    </w:r>
    <w:r w:rsidRPr="00C11277">
      <w:tab/>
    </w:r>
    <w:r w:rsidRPr="00C11277">
      <w:fldChar w:fldCharType="begin"/>
    </w:r>
    <w:r w:rsidRPr="00C11277">
      <w:instrText xml:space="preserve"> PAGE  \* Arabic  \* MERGEFORMAT </w:instrText>
    </w:r>
    <w:r w:rsidRPr="00C11277">
      <w:fldChar w:fldCharType="separate"/>
    </w:r>
    <w:r w:rsidR="007379CE">
      <w:rPr>
        <w:noProof/>
      </w:rPr>
      <w:t>150</w:t>
    </w:r>
    <w:r w:rsidRPr="00C1127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4777" w14:textId="77777777" w:rsidR="0060223E" w:rsidRDefault="0060223E" w:rsidP="00D553C1">
    <w:pPr>
      <w:pStyle w:val="Footer"/>
    </w:pPr>
  </w:p>
  <w:p w14:paraId="0A548E3B" w14:textId="2027D7DA" w:rsidR="0060223E" w:rsidRPr="00C67150" w:rsidRDefault="0060223E" w:rsidP="00C67150">
    <w:pPr>
      <w:pStyle w:val="Footer-OddPage"/>
      <w:pBdr>
        <w:top w:val="single" w:sz="4" w:space="1" w:color="77B800" w:themeColor="background2"/>
      </w:pBdr>
    </w:pPr>
    <w:r w:rsidRPr="00C67150">
      <w:t>REVIEW OF EVIDENCE: BREAST DENSITY AND SCREENING</w:t>
    </w:r>
    <w:r w:rsidRPr="00C11277">
      <w:tab/>
    </w:r>
    <w:r w:rsidRPr="00C11277">
      <w:tab/>
    </w:r>
    <w:r w:rsidRPr="00C11277">
      <w:fldChar w:fldCharType="begin"/>
    </w:r>
    <w:r w:rsidRPr="00C11277">
      <w:instrText xml:space="preserve"> PAGE  \* Arabic  \* MERGEFORMAT </w:instrText>
    </w:r>
    <w:r w:rsidRPr="00C11277">
      <w:fldChar w:fldCharType="separate"/>
    </w:r>
    <w:r w:rsidR="007379CE">
      <w:rPr>
        <w:noProof/>
      </w:rPr>
      <w:t>151</w:t>
    </w:r>
    <w:r w:rsidRPr="00C1127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99DB3" w14:textId="77777777" w:rsidR="0060223E" w:rsidRDefault="0060223E" w:rsidP="005839ED">
      <w:r>
        <w:separator/>
      </w:r>
    </w:p>
  </w:footnote>
  <w:footnote w:type="continuationSeparator" w:id="0">
    <w:p w14:paraId="10FC58D2" w14:textId="77777777" w:rsidR="0060223E" w:rsidRDefault="0060223E" w:rsidP="005839ED">
      <w:r>
        <w:continuationSeparator/>
      </w:r>
    </w:p>
    <w:p w14:paraId="3BE81C92" w14:textId="77777777" w:rsidR="0060223E" w:rsidRDefault="006022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08852" w14:textId="77777777" w:rsidR="0060223E" w:rsidRPr="00D0798A" w:rsidRDefault="0060223E" w:rsidP="002C5E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7EEF"/>
    <w:multiLevelType w:val="hybridMultilevel"/>
    <w:tmpl w:val="9EF0DB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E9A53ED"/>
    <w:multiLevelType w:val="hybridMultilevel"/>
    <w:tmpl w:val="F9CA6D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E9F0AE0"/>
    <w:multiLevelType w:val="hybridMultilevel"/>
    <w:tmpl w:val="DAB6F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ED7453"/>
    <w:multiLevelType w:val="hybridMultilevel"/>
    <w:tmpl w:val="336870D6"/>
    <w:lvl w:ilvl="0" w:tplc="6004DA00">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734F8"/>
    <w:multiLevelType w:val="hybridMultilevel"/>
    <w:tmpl w:val="233ACC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BE14867"/>
    <w:multiLevelType w:val="hybridMultilevel"/>
    <w:tmpl w:val="B59A4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1EF7EBB"/>
    <w:multiLevelType w:val="hybridMultilevel"/>
    <w:tmpl w:val="2B12CE9C"/>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7" w15:restartNumberingAfterBreak="0">
    <w:nsid w:val="22EC7272"/>
    <w:multiLevelType w:val="multilevel"/>
    <w:tmpl w:val="3D86AAC2"/>
    <w:lvl w:ilvl="0">
      <w:start w:val="1"/>
      <w:numFmt w:val="decimal"/>
      <w:pStyle w:val="List-AlphanumericLvl1"/>
      <w:lvlText w:val="%1."/>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1"/>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8" w15:restartNumberingAfterBreak="0">
    <w:nsid w:val="27743DFB"/>
    <w:multiLevelType w:val="multilevel"/>
    <w:tmpl w:val="93CA5B54"/>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0" w:firstLine="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3906526A"/>
    <w:multiLevelType w:val="multilevel"/>
    <w:tmpl w:val="CF50E1DC"/>
    <w:lvl w:ilvl="0">
      <w:start w:val="1"/>
      <w:numFmt w:val="bullet"/>
      <w:lvlText w:val=""/>
      <w:lvlJc w:val="left"/>
      <w:pPr>
        <w:ind w:left="992"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10" w15:restartNumberingAfterBreak="0">
    <w:nsid w:val="3DEC57EE"/>
    <w:multiLevelType w:val="multilevel"/>
    <w:tmpl w:val="1BD870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2F50604"/>
    <w:multiLevelType w:val="hybridMultilevel"/>
    <w:tmpl w:val="C04A50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ABB2B05"/>
    <w:multiLevelType w:val="hybridMultilevel"/>
    <w:tmpl w:val="4A90E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C0E0A91"/>
    <w:multiLevelType w:val="hybridMultilevel"/>
    <w:tmpl w:val="0E02AB0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6" w15:restartNumberingAfterBreak="0">
    <w:nsid w:val="59B77D9C"/>
    <w:multiLevelType w:val="hybridMultilevel"/>
    <w:tmpl w:val="2B2C9820"/>
    <w:lvl w:ilvl="0" w:tplc="2C0C1A70">
      <w:numFmt w:val="bullet"/>
      <w:lvlText w:val="•"/>
      <w:lvlJc w:val="left"/>
      <w:pPr>
        <w:ind w:left="724" w:hanging="51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8" w15:restartNumberingAfterBreak="0">
    <w:nsid w:val="7BC87F79"/>
    <w:multiLevelType w:val="hybridMultilevel"/>
    <w:tmpl w:val="4D0E8834"/>
    <w:lvl w:ilvl="0" w:tplc="9222B8DC">
      <w:start w:val="1"/>
      <w:numFmt w:val="upperLetter"/>
      <w:lvlText w:val="%1."/>
      <w:lvlJc w:val="left"/>
      <w:pPr>
        <w:ind w:left="720" w:hanging="360"/>
      </w:pPr>
      <w:rPr>
        <w:rFonts w:asciiTheme="minorHAnsi" w:eastAsia="Times New Roman" w:hAnsiTheme="minorHAnsi"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12"/>
  </w:num>
  <w:num w:numId="3">
    <w:abstractNumId w:val="17"/>
  </w:num>
  <w:num w:numId="4">
    <w:abstractNumId w:val="7"/>
  </w:num>
  <w:num w:numId="5">
    <w:abstractNumId w:val="1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4"/>
  </w:num>
  <w:num w:numId="15">
    <w:abstractNumId w:val="1"/>
  </w:num>
  <w:num w:numId="16">
    <w:abstractNumId w:val="11"/>
  </w:num>
  <w:num w:numId="17">
    <w:abstractNumId w:val="1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1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6"/>
  </w:num>
  <w:num w:numId="32">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efaultTableStyle w:val="ListTable4-Accent61"/>
  <w:evenAndOddHeaders/>
  <w:drawingGridHorizontalSpacing w:val="110"/>
  <w:displayHorizontalDrawingGridEvery w:val="2"/>
  <w:characterSpacingControl w:val="doNotCompress"/>
  <w:hdrShapeDefaults>
    <o:shapedefaults v:ext="edit" spidmax="40961"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74179"/>
    <w:rsid w:val="000002BE"/>
    <w:rsid w:val="0000049E"/>
    <w:rsid w:val="000008ED"/>
    <w:rsid w:val="000009DE"/>
    <w:rsid w:val="00000C35"/>
    <w:rsid w:val="0000115C"/>
    <w:rsid w:val="00001445"/>
    <w:rsid w:val="00001721"/>
    <w:rsid w:val="00001F3A"/>
    <w:rsid w:val="00002179"/>
    <w:rsid w:val="00002453"/>
    <w:rsid w:val="0000251A"/>
    <w:rsid w:val="00002CE1"/>
    <w:rsid w:val="00003F38"/>
    <w:rsid w:val="000042E9"/>
    <w:rsid w:val="000046C0"/>
    <w:rsid w:val="00005125"/>
    <w:rsid w:val="00005614"/>
    <w:rsid w:val="0000565D"/>
    <w:rsid w:val="000059B4"/>
    <w:rsid w:val="00007037"/>
    <w:rsid w:val="0000704A"/>
    <w:rsid w:val="00007DCD"/>
    <w:rsid w:val="00007FEF"/>
    <w:rsid w:val="000101C3"/>
    <w:rsid w:val="00010494"/>
    <w:rsid w:val="00010E0E"/>
    <w:rsid w:val="0001171D"/>
    <w:rsid w:val="00011AE5"/>
    <w:rsid w:val="000121A6"/>
    <w:rsid w:val="00012BA3"/>
    <w:rsid w:val="000132C5"/>
    <w:rsid w:val="00013E04"/>
    <w:rsid w:val="00013ED1"/>
    <w:rsid w:val="0001439C"/>
    <w:rsid w:val="000148BA"/>
    <w:rsid w:val="00014FCA"/>
    <w:rsid w:val="0001507F"/>
    <w:rsid w:val="0001627D"/>
    <w:rsid w:val="00016FEF"/>
    <w:rsid w:val="000176A7"/>
    <w:rsid w:val="000176BD"/>
    <w:rsid w:val="000176C6"/>
    <w:rsid w:val="0001785E"/>
    <w:rsid w:val="00020705"/>
    <w:rsid w:val="00020C27"/>
    <w:rsid w:val="00020F69"/>
    <w:rsid w:val="000218D1"/>
    <w:rsid w:val="000225E2"/>
    <w:rsid w:val="0002270E"/>
    <w:rsid w:val="00022EC0"/>
    <w:rsid w:val="0002342B"/>
    <w:rsid w:val="000236F5"/>
    <w:rsid w:val="0002373C"/>
    <w:rsid w:val="00023B08"/>
    <w:rsid w:val="0002451A"/>
    <w:rsid w:val="00024607"/>
    <w:rsid w:val="00024A9B"/>
    <w:rsid w:val="00024EEC"/>
    <w:rsid w:val="000251DB"/>
    <w:rsid w:val="0002529E"/>
    <w:rsid w:val="00025913"/>
    <w:rsid w:val="00025C35"/>
    <w:rsid w:val="0002688A"/>
    <w:rsid w:val="00026991"/>
    <w:rsid w:val="00027273"/>
    <w:rsid w:val="00027414"/>
    <w:rsid w:val="00027837"/>
    <w:rsid w:val="0003024B"/>
    <w:rsid w:val="00030828"/>
    <w:rsid w:val="000309E8"/>
    <w:rsid w:val="00030F54"/>
    <w:rsid w:val="00031DF0"/>
    <w:rsid w:val="00032002"/>
    <w:rsid w:val="0003229F"/>
    <w:rsid w:val="00032344"/>
    <w:rsid w:val="00032892"/>
    <w:rsid w:val="00033BDF"/>
    <w:rsid w:val="0003474F"/>
    <w:rsid w:val="000349FF"/>
    <w:rsid w:val="000354F5"/>
    <w:rsid w:val="00035512"/>
    <w:rsid w:val="00035F6E"/>
    <w:rsid w:val="000366EA"/>
    <w:rsid w:val="0003694A"/>
    <w:rsid w:val="00036BC6"/>
    <w:rsid w:val="00037315"/>
    <w:rsid w:val="00040514"/>
    <w:rsid w:val="0004056F"/>
    <w:rsid w:val="00040B9D"/>
    <w:rsid w:val="00040BE8"/>
    <w:rsid w:val="0004161D"/>
    <w:rsid w:val="000417DB"/>
    <w:rsid w:val="000418FB"/>
    <w:rsid w:val="00041A92"/>
    <w:rsid w:val="000429F7"/>
    <w:rsid w:val="000430E9"/>
    <w:rsid w:val="00043123"/>
    <w:rsid w:val="00043F0D"/>
    <w:rsid w:val="00043F36"/>
    <w:rsid w:val="00044391"/>
    <w:rsid w:val="00044644"/>
    <w:rsid w:val="00044E8C"/>
    <w:rsid w:val="0004538A"/>
    <w:rsid w:val="00045D3C"/>
    <w:rsid w:val="000467F9"/>
    <w:rsid w:val="00047574"/>
    <w:rsid w:val="0004759C"/>
    <w:rsid w:val="000478C2"/>
    <w:rsid w:val="000507E2"/>
    <w:rsid w:val="00050F20"/>
    <w:rsid w:val="00050FE4"/>
    <w:rsid w:val="000513BB"/>
    <w:rsid w:val="00051E44"/>
    <w:rsid w:val="00051F65"/>
    <w:rsid w:val="00052B88"/>
    <w:rsid w:val="00052C1F"/>
    <w:rsid w:val="000531D7"/>
    <w:rsid w:val="000539E0"/>
    <w:rsid w:val="0005400C"/>
    <w:rsid w:val="00054126"/>
    <w:rsid w:val="000543CC"/>
    <w:rsid w:val="00054495"/>
    <w:rsid w:val="000544E0"/>
    <w:rsid w:val="0005451D"/>
    <w:rsid w:val="00054795"/>
    <w:rsid w:val="00055272"/>
    <w:rsid w:val="00056332"/>
    <w:rsid w:val="00056889"/>
    <w:rsid w:val="00056C36"/>
    <w:rsid w:val="00057257"/>
    <w:rsid w:val="0005771E"/>
    <w:rsid w:val="0005779F"/>
    <w:rsid w:val="00057908"/>
    <w:rsid w:val="000579F4"/>
    <w:rsid w:val="00057CCF"/>
    <w:rsid w:val="00060575"/>
    <w:rsid w:val="00060730"/>
    <w:rsid w:val="00060D15"/>
    <w:rsid w:val="00060D87"/>
    <w:rsid w:val="00061512"/>
    <w:rsid w:val="00061781"/>
    <w:rsid w:val="00061FD5"/>
    <w:rsid w:val="00062832"/>
    <w:rsid w:val="00062FE6"/>
    <w:rsid w:val="000631F4"/>
    <w:rsid w:val="0006344F"/>
    <w:rsid w:val="00063A04"/>
    <w:rsid w:val="00064725"/>
    <w:rsid w:val="000650C7"/>
    <w:rsid w:val="00065519"/>
    <w:rsid w:val="0006586B"/>
    <w:rsid w:val="00065B84"/>
    <w:rsid w:val="00065F16"/>
    <w:rsid w:val="00066D53"/>
    <w:rsid w:val="00067563"/>
    <w:rsid w:val="00067583"/>
    <w:rsid w:val="00067740"/>
    <w:rsid w:val="00067C61"/>
    <w:rsid w:val="00071046"/>
    <w:rsid w:val="00071182"/>
    <w:rsid w:val="0007188B"/>
    <w:rsid w:val="00071A56"/>
    <w:rsid w:val="00071F6E"/>
    <w:rsid w:val="000721DA"/>
    <w:rsid w:val="00072844"/>
    <w:rsid w:val="00072998"/>
    <w:rsid w:val="00072B47"/>
    <w:rsid w:val="00072DA2"/>
    <w:rsid w:val="0007340F"/>
    <w:rsid w:val="00073C39"/>
    <w:rsid w:val="00074C23"/>
    <w:rsid w:val="00074CFC"/>
    <w:rsid w:val="00075A05"/>
    <w:rsid w:val="00075ED4"/>
    <w:rsid w:val="00076199"/>
    <w:rsid w:val="00076336"/>
    <w:rsid w:val="0007754E"/>
    <w:rsid w:val="00077CBA"/>
    <w:rsid w:val="000800CE"/>
    <w:rsid w:val="0008085A"/>
    <w:rsid w:val="00080A54"/>
    <w:rsid w:val="000822A5"/>
    <w:rsid w:val="000838A9"/>
    <w:rsid w:val="00083D2D"/>
    <w:rsid w:val="00083DF9"/>
    <w:rsid w:val="00084CFA"/>
    <w:rsid w:val="00084F67"/>
    <w:rsid w:val="000850DD"/>
    <w:rsid w:val="000852BD"/>
    <w:rsid w:val="00085C8A"/>
    <w:rsid w:val="0008651C"/>
    <w:rsid w:val="00086657"/>
    <w:rsid w:val="0008669E"/>
    <w:rsid w:val="0008704F"/>
    <w:rsid w:val="00087374"/>
    <w:rsid w:val="000873E2"/>
    <w:rsid w:val="00087D34"/>
    <w:rsid w:val="00087D6A"/>
    <w:rsid w:val="00087DBA"/>
    <w:rsid w:val="00087F69"/>
    <w:rsid w:val="00090A54"/>
    <w:rsid w:val="00090AEE"/>
    <w:rsid w:val="00090D85"/>
    <w:rsid w:val="00090EA7"/>
    <w:rsid w:val="0009100A"/>
    <w:rsid w:val="00091133"/>
    <w:rsid w:val="000926C9"/>
    <w:rsid w:val="00092A56"/>
    <w:rsid w:val="000932E4"/>
    <w:rsid w:val="00093403"/>
    <w:rsid w:val="00094641"/>
    <w:rsid w:val="000948D0"/>
    <w:rsid w:val="00094E81"/>
    <w:rsid w:val="00095695"/>
    <w:rsid w:val="00095D72"/>
    <w:rsid w:val="00095FFD"/>
    <w:rsid w:val="0009602C"/>
    <w:rsid w:val="0009641C"/>
    <w:rsid w:val="0009682D"/>
    <w:rsid w:val="000968A5"/>
    <w:rsid w:val="00097008"/>
    <w:rsid w:val="0009751E"/>
    <w:rsid w:val="00097536"/>
    <w:rsid w:val="0009771C"/>
    <w:rsid w:val="00097E9F"/>
    <w:rsid w:val="00097F75"/>
    <w:rsid w:val="000A14C7"/>
    <w:rsid w:val="000A1A0A"/>
    <w:rsid w:val="000A1B7C"/>
    <w:rsid w:val="000A251D"/>
    <w:rsid w:val="000A2A3C"/>
    <w:rsid w:val="000A4387"/>
    <w:rsid w:val="000A4800"/>
    <w:rsid w:val="000A49C2"/>
    <w:rsid w:val="000A5118"/>
    <w:rsid w:val="000A6196"/>
    <w:rsid w:val="000A651C"/>
    <w:rsid w:val="000A67F1"/>
    <w:rsid w:val="000A6925"/>
    <w:rsid w:val="000A6A95"/>
    <w:rsid w:val="000A7886"/>
    <w:rsid w:val="000B05F5"/>
    <w:rsid w:val="000B0822"/>
    <w:rsid w:val="000B0A1F"/>
    <w:rsid w:val="000B0D22"/>
    <w:rsid w:val="000B14CB"/>
    <w:rsid w:val="000B1AC9"/>
    <w:rsid w:val="000B1D45"/>
    <w:rsid w:val="000B1DE3"/>
    <w:rsid w:val="000B2111"/>
    <w:rsid w:val="000B22B9"/>
    <w:rsid w:val="000B2639"/>
    <w:rsid w:val="000B2A91"/>
    <w:rsid w:val="000B2AFF"/>
    <w:rsid w:val="000B2D38"/>
    <w:rsid w:val="000B2EC8"/>
    <w:rsid w:val="000B365E"/>
    <w:rsid w:val="000B400D"/>
    <w:rsid w:val="000B46B7"/>
    <w:rsid w:val="000B4721"/>
    <w:rsid w:val="000B4970"/>
    <w:rsid w:val="000B5398"/>
    <w:rsid w:val="000B56A8"/>
    <w:rsid w:val="000B595A"/>
    <w:rsid w:val="000B5ADA"/>
    <w:rsid w:val="000B5F8F"/>
    <w:rsid w:val="000B601B"/>
    <w:rsid w:val="000B617C"/>
    <w:rsid w:val="000B77B5"/>
    <w:rsid w:val="000B7894"/>
    <w:rsid w:val="000B7E52"/>
    <w:rsid w:val="000C054B"/>
    <w:rsid w:val="000C0766"/>
    <w:rsid w:val="000C0906"/>
    <w:rsid w:val="000C0E31"/>
    <w:rsid w:val="000C1D5E"/>
    <w:rsid w:val="000C1EDB"/>
    <w:rsid w:val="000C2044"/>
    <w:rsid w:val="000C21B7"/>
    <w:rsid w:val="000C250A"/>
    <w:rsid w:val="000C2C53"/>
    <w:rsid w:val="000C39C3"/>
    <w:rsid w:val="000C3B0C"/>
    <w:rsid w:val="000C5390"/>
    <w:rsid w:val="000C5506"/>
    <w:rsid w:val="000C5B3E"/>
    <w:rsid w:val="000C5ECE"/>
    <w:rsid w:val="000C6215"/>
    <w:rsid w:val="000C63C6"/>
    <w:rsid w:val="000C645C"/>
    <w:rsid w:val="000C664F"/>
    <w:rsid w:val="000C6D09"/>
    <w:rsid w:val="000C733F"/>
    <w:rsid w:val="000D01DA"/>
    <w:rsid w:val="000D02CC"/>
    <w:rsid w:val="000D1AF3"/>
    <w:rsid w:val="000D2067"/>
    <w:rsid w:val="000D2368"/>
    <w:rsid w:val="000D23C3"/>
    <w:rsid w:val="000D2475"/>
    <w:rsid w:val="000D2DF7"/>
    <w:rsid w:val="000D3178"/>
    <w:rsid w:val="000D353F"/>
    <w:rsid w:val="000D3CC1"/>
    <w:rsid w:val="000D3D3D"/>
    <w:rsid w:val="000D3E9C"/>
    <w:rsid w:val="000D4A00"/>
    <w:rsid w:val="000D4C2F"/>
    <w:rsid w:val="000D4F0F"/>
    <w:rsid w:val="000D56CD"/>
    <w:rsid w:val="000D577F"/>
    <w:rsid w:val="000D5E7A"/>
    <w:rsid w:val="000D6012"/>
    <w:rsid w:val="000D6259"/>
    <w:rsid w:val="000D62F4"/>
    <w:rsid w:val="000D68E9"/>
    <w:rsid w:val="000D6A22"/>
    <w:rsid w:val="000D6B05"/>
    <w:rsid w:val="000D7152"/>
    <w:rsid w:val="000D7244"/>
    <w:rsid w:val="000D75F2"/>
    <w:rsid w:val="000D7F3B"/>
    <w:rsid w:val="000D7F4F"/>
    <w:rsid w:val="000E078B"/>
    <w:rsid w:val="000E0BBA"/>
    <w:rsid w:val="000E15EB"/>
    <w:rsid w:val="000E1D3B"/>
    <w:rsid w:val="000E2104"/>
    <w:rsid w:val="000E22BC"/>
    <w:rsid w:val="000E2508"/>
    <w:rsid w:val="000E2582"/>
    <w:rsid w:val="000E26F6"/>
    <w:rsid w:val="000E301E"/>
    <w:rsid w:val="000E3599"/>
    <w:rsid w:val="000E3779"/>
    <w:rsid w:val="000E3BEF"/>
    <w:rsid w:val="000E45D4"/>
    <w:rsid w:val="000E4C3C"/>
    <w:rsid w:val="000E50EE"/>
    <w:rsid w:val="000E57AB"/>
    <w:rsid w:val="000F0391"/>
    <w:rsid w:val="000F0880"/>
    <w:rsid w:val="000F0B61"/>
    <w:rsid w:val="000F0BE4"/>
    <w:rsid w:val="000F15F6"/>
    <w:rsid w:val="000F250B"/>
    <w:rsid w:val="000F26AF"/>
    <w:rsid w:val="000F26DE"/>
    <w:rsid w:val="000F2A56"/>
    <w:rsid w:val="000F30A4"/>
    <w:rsid w:val="000F35CC"/>
    <w:rsid w:val="000F369D"/>
    <w:rsid w:val="000F37A5"/>
    <w:rsid w:val="000F3A5F"/>
    <w:rsid w:val="000F3F74"/>
    <w:rsid w:val="000F46BB"/>
    <w:rsid w:val="000F4F83"/>
    <w:rsid w:val="000F5417"/>
    <w:rsid w:val="000F5736"/>
    <w:rsid w:val="000F5B8F"/>
    <w:rsid w:val="000F62F8"/>
    <w:rsid w:val="000F66F3"/>
    <w:rsid w:val="000F6774"/>
    <w:rsid w:val="000F6EB1"/>
    <w:rsid w:val="000F7720"/>
    <w:rsid w:val="000F7823"/>
    <w:rsid w:val="000F7D7E"/>
    <w:rsid w:val="000F7F24"/>
    <w:rsid w:val="000F7F3B"/>
    <w:rsid w:val="00100455"/>
    <w:rsid w:val="0010082C"/>
    <w:rsid w:val="0010096B"/>
    <w:rsid w:val="00100ADD"/>
    <w:rsid w:val="00100D49"/>
    <w:rsid w:val="001016DB"/>
    <w:rsid w:val="001017B3"/>
    <w:rsid w:val="00102960"/>
    <w:rsid w:val="00102A42"/>
    <w:rsid w:val="00102B9A"/>
    <w:rsid w:val="00103409"/>
    <w:rsid w:val="00104AE1"/>
    <w:rsid w:val="00104C27"/>
    <w:rsid w:val="00104FFF"/>
    <w:rsid w:val="001050DA"/>
    <w:rsid w:val="00106059"/>
    <w:rsid w:val="0010622F"/>
    <w:rsid w:val="0010679A"/>
    <w:rsid w:val="00106AFA"/>
    <w:rsid w:val="00106F45"/>
    <w:rsid w:val="00106F51"/>
    <w:rsid w:val="00107B6D"/>
    <w:rsid w:val="00107BD5"/>
    <w:rsid w:val="001109F9"/>
    <w:rsid w:val="00111639"/>
    <w:rsid w:val="00111697"/>
    <w:rsid w:val="00111723"/>
    <w:rsid w:val="00111967"/>
    <w:rsid w:val="00111DC4"/>
    <w:rsid w:val="0011239D"/>
    <w:rsid w:val="0011245E"/>
    <w:rsid w:val="0011278D"/>
    <w:rsid w:val="00112D1F"/>
    <w:rsid w:val="00113559"/>
    <w:rsid w:val="001135B8"/>
    <w:rsid w:val="001135BE"/>
    <w:rsid w:val="00113F6F"/>
    <w:rsid w:val="00114685"/>
    <w:rsid w:val="00114714"/>
    <w:rsid w:val="00114845"/>
    <w:rsid w:val="0011485C"/>
    <w:rsid w:val="0011497E"/>
    <w:rsid w:val="00114C21"/>
    <w:rsid w:val="00115669"/>
    <w:rsid w:val="001156AD"/>
    <w:rsid w:val="00115701"/>
    <w:rsid w:val="00115D88"/>
    <w:rsid w:val="001164BF"/>
    <w:rsid w:val="001170A9"/>
    <w:rsid w:val="0011710E"/>
    <w:rsid w:val="00120545"/>
    <w:rsid w:val="001207D1"/>
    <w:rsid w:val="00121410"/>
    <w:rsid w:val="00121675"/>
    <w:rsid w:val="0012167C"/>
    <w:rsid w:val="00121A7D"/>
    <w:rsid w:val="00121D20"/>
    <w:rsid w:val="00122264"/>
    <w:rsid w:val="0012237E"/>
    <w:rsid w:val="0012264C"/>
    <w:rsid w:val="001229B2"/>
    <w:rsid w:val="001229F2"/>
    <w:rsid w:val="00122B93"/>
    <w:rsid w:val="00122E42"/>
    <w:rsid w:val="00122E57"/>
    <w:rsid w:val="0012309A"/>
    <w:rsid w:val="00123C3C"/>
    <w:rsid w:val="0012497A"/>
    <w:rsid w:val="00124D24"/>
    <w:rsid w:val="00125495"/>
    <w:rsid w:val="00125DB1"/>
    <w:rsid w:val="0012635E"/>
    <w:rsid w:val="0012690D"/>
    <w:rsid w:val="00126B6A"/>
    <w:rsid w:val="001279D3"/>
    <w:rsid w:val="00127CA3"/>
    <w:rsid w:val="00127D73"/>
    <w:rsid w:val="0013029C"/>
    <w:rsid w:val="0013056F"/>
    <w:rsid w:val="00130629"/>
    <w:rsid w:val="00130C0C"/>
    <w:rsid w:val="00130D03"/>
    <w:rsid w:val="00132313"/>
    <w:rsid w:val="00132557"/>
    <w:rsid w:val="00132A55"/>
    <w:rsid w:val="00132C61"/>
    <w:rsid w:val="00132D1C"/>
    <w:rsid w:val="00132D76"/>
    <w:rsid w:val="00132FEC"/>
    <w:rsid w:val="00133981"/>
    <w:rsid w:val="00133AAE"/>
    <w:rsid w:val="00133B80"/>
    <w:rsid w:val="00133FB2"/>
    <w:rsid w:val="00134101"/>
    <w:rsid w:val="0013484B"/>
    <w:rsid w:val="0013499F"/>
    <w:rsid w:val="00134A62"/>
    <w:rsid w:val="00134A95"/>
    <w:rsid w:val="001359C9"/>
    <w:rsid w:val="001359F2"/>
    <w:rsid w:val="00135BAD"/>
    <w:rsid w:val="00135DBA"/>
    <w:rsid w:val="00135E53"/>
    <w:rsid w:val="00136559"/>
    <w:rsid w:val="00136A8C"/>
    <w:rsid w:val="00136D4F"/>
    <w:rsid w:val="00136DF3"/>
    <w:rsid w:val="0013701A"/>
    <w:rsid w:val="0013712A"/>
    <w:rsid w:val="0013732B"/>
    <w:rsid w:val="00137817"/>
    <w:rsid w:val="00137A89"/>
    <w:rsid w:val="00137E84"/>
    <w:rsid w:val="00140031"/>
    <w:rsid w:val="00140251"/>
    <w:rsid w:val="001404B9"/>
    <w:rsid w:val="00140564"/>
    <w:rsid w:val="001406A0"/>
    <w:rsid w:val="00140820"/>
    <w:rsid w:val="00140BA4"/>
    <w:rsid w:val="00140C25"/>
    <w:rsid w:val="00140DA0"/>
    <w:rsid w:val="001418A6"/>
    <w:rsid w:val="00141E99"/>
    <w:rsid w:val="0014216E"/>
    <w:rsid w:val="001427D7"/>
    <w:rsid w:val="001428C8"/>
    <w:rsid w:val="00142B8C"/>
    <w:rsid w:val="00142EF3"/>
    <w:rsid w:val="00143000"/>
    <w:rsid w:val="00143445"/>
    <w:rsid w:val="00143AC6"/>
    <w:rsid w:val="00143DB2"/>
    <w:rsid w:val="00143DEB"/>
    <w:rsid w:val="00144107"/>
    <w:rsid w:val="00145662"/>
    <w:rsid w:val="00145676"/>
    <w:rsid w:val="00145779"/>
    <w:rsid w:val="00145E7B"/>
    <w:rsid w:val="00145F36"/>
    <w:rsid w:val="00146052"/>
    <w:rsid w:val="0014679E"/>
    <w:rsid w:val="00146A7D"/>
    <w:rsid w:val="00147399"/>
    <w:rsid w:val="001474AF"/>
    <w:rsid w:val="00147621"/>
    <w:rsid w:val="00147B44"/>
    <w:rsid w:val="00147C8B"/>
    <w:rsid w:val="00147E02"/>
    <w:rsid w:val="00147EB9"/>
    <w:rsid w:val="001500AE"/>
    <w:rsid w:val="00150C2A"/>
    <w:rsid w:val="00150C6B"/>
    <w:rsid w:val="00150C74"/>
    <w:rsid w:val="00150F7B"/>
    <w:rsid w:val="00151252"/>
    <w:rsid w:val="001513A3"/>
    <w:rsid w:val="00152405"/>
    <w:rsid w:val="0015254A"/>
    <w:rsid w:val="001526D3"/>
    <w:rsid w:val="00152C76"/>
    <w:rsid w:val="00153C73"/>
    <w:rsid w:val="00153F2E"/>
    <w:rsid w:val="00154B31"/>
    <w:rsid w:val="00155773"/>
    <w:rsid w:val="00155B53"/>
    <w:rsid w:val="00155CE7"/>
    <w:rsid w:val="00155D2A"/>
    <w:rsid w:val="00155DFC"/>
    <w:rsid w:val="00156616"/>
    <w:rsid w:val="00156D40"/>
    <w:rsid w:val="001570FB"/>
    <w:rsid w:val="0015777E"/>
    <w:rsid w:val="00157A71"/>
    <w:rsid w:val="00157AE4"/>
    <w:rsid w:val="00160662"/>
    <w:rsid w:val="001608E8"/>
    <w:rsid w:val="001609EC"/>
    <w:rsid w:val="00160E62"/>
    <w:rsid w:val="00161125"/>
    <w:rsid w:val="0016125A"/>
    <w:rsid w:val="0016178E"/>
    <w:rsid w:val="001620AA"/>
    <w:rsid w:val="001627A8"/>
    <w:rsid w:val="00162940"/>
    <w:rsid w:val="00162A58"/>
    <w:rsid w:val="00162D6D"/>
    <w:rsid w:val="00162F93"/>
    <w:rsid w:val="00163279"/>
    <w:rsid w:val="001633B0"/>
    <w:rsid w:val="00163E70"/>
    <w:rsid w:val="00164284"/>
    <w:rsid w:val="00164303"/>
    <w:rsid w:val="00164E26"/>
    <w:rsid w:val="00165509"/>
    <w:rsid w:val="00165EE5"/>
    <w:rsid w:val="001662E0"/>
    <w:rsid w:val="001665E4"/>
    <w:rsid w:val="001666C0"/>
    <w:rsid w:val="00166917"/>
    <w:rsid w:val="00166B6D"/>
    <w:rsid w:val="001677A5"/>
    <w:rsid w:val="00170494"/>
    <w:rsid w:val="001704EC"/>
    <w:rsid w:val="00170A80"/>
    <w:rsid w:val="001715E8"/>
    <w:rsid w:val="0017173E"/>
    <w:rsid w:val="00171D19"/>
    <w:rsid w:val="00171E54"/>
    <w:rsid w:val="00172184"/>
    <w:rsid w:val="00172245"/>
    <w:rsid w:val="00172547"/>
    <w:rsid w:val="00172A51"/>
    <w:rsid w:val="00172C87"/>
    <w:rsid w:val="00172D65"/>
    <w:rsid w:val="001730E7"/>
    <w:rsid w:val="00173686"/>
    <w:rsid w:val="001739E6"/>
    <w:rsid w:val="00174065"/>
    <w:rsid w:val="00174900"/>
    <w:rsid w:val="0017559C"/>
    <w:rsid w:val="00175726"/>
    <w:rsid w:val="001758D9"/>
    <w:rsid w:val="001759E4"/>
    <w:rsid w:val="00175A70"/>
    <w:rsid w:val="00175E83"/>
    <w:rsid w:val="001765D3"/>
    <w:rsid w:val="001766A0"/>
    <w:rsid w:val="00176B0F"/>
    <w:rsid w:val="00176DB7"/>
    <w:rsid w:val="001771B3"/>
    <w:rsid w:val="00177309"/>
    <w:rsid w:val="001778B4"/>
    <w:rsid w:val="00177C8E"/>
    <w:rsid w:val="00177E4E"/>
    <w:rsid w:val="001803F5"/>
    <w:rsid w:val="00180B24"/>
    <w:rsid w:val="00180B2C"/>
    <w:rsid w:val="0018107F"/>
    <w:rsid w:val="00181948"/>
    <w:rsid w:val="00181C37"/>
    <w:rsid w:val="00181C71"/>
    <w:rsid w:val="001823C8"/>
    <w:rsid w:val="00182593"/>
    <w:rsid w:val="00182760"/>
    <w:rsid w:val="001829A3"/>
    <w:rsid w:val="00182CB7"/>
    <w:rsid w:val="00183B38"/>
    <w:rsid w:val="00184278"/>
    <w:rsid w:val="00185214"/>
    <w:rsid w:val="001859DC"/>
    <w:rsid w:val="00185B3B"/>
    <w:rsid w:val="00185BEF"/>
    <w:rsid w:val="0018631C"/>
    <w:rsid w:val="001863A0"/>
    <w:rsid w:val="0018673F"/>
    <w:rsid w:val="00186A77"/>
    <w:rsid w:val="00186FDF"/>
    <w:rsid w:val="00187E54"/>
    <w:rsid w:val="00187FEB"/>
    <w:rsid w:val="001901D0"/>
    <w:rsid w:val="0019069E"/>
    <w:rsid w:val="00190958"/>
    <w:rsid w:val="00190BF3"/>
    <w:rsid w:val="00191691"/>
    <w:rsid w:val="00191AF3"/>
    <w:rsid w:val="00191F76"/>
    <w:rsid w:val="0019239D"/>
    <w:rsid w:val="00192433"/>
    <w:rsid w:val="00192591"/>
    <w:rsid w:val="0019321B"/>
    <w:rsid w:val="00193C7A"/>
    <w:rsid w:val="00194045"/>
    <w:rsid w:val="00194E78"/>
    <w:rsid w:val="001969EC"/>
    <w:rsid w:val="00196A79"/>
    <w:rsid w:val="00196B8A"/>
    <w:rsid w:val="0019714D"/>
    <w:rsid w:val="001976E8"/>
    <w:rsid w:val="0019785E"/>
    <w:rsid w:val="00197F9A"/>
    <w:rsid w:val="001A0464"/>
    <w:rsid w:val="001A06F5"/>
    <w:rsid w:val="001A0A3A"/>
    <w:rsid w:val="001A0FD1"/>
    <w:rsid w:val="001A1870"/>
    <w:rsid w:val="001A25FE"/>
    <w:rsid w:val="001A2FE3"/>
    <w:rsid w:val="001A373E"/>
    <w:rsid w:val="001A3822"/>
    <w:rsid w:val="001A3B61"/>
    <w:rsid w:val="001A3C6C"/>
    <w:rsid w:val="001A496A"/>
    <w:rsid w:val="001A597E"/>
    <w:rsid w:val="001A5EB1"/>
    <w:rsid w:val="001A5F11"/>
    <w:rsid w:val="001A6421"/>
    <w:rsid w:val="001A6A00"/>
    <w:rsid w:val="001A6A5E"/>
    <w:rsid w:val="001A79B4"/>
    <w:rsid w:val="001B04C9"/>
    <w:rsid w:val="001B07E5"/>
    <w:rsid w:val="001B0EB1"/>
    <w:rsid w:val="001B0F0E"/>
    <w:rsid w:val="001B1692"/>
    <w:rsid w:val="001B1FC3"/>
    <w:rsid w:val="001B2387"/>
    <w:rsid w:val="001B2D8B"/>
    <w:rsid w:val="001B3C09"/>
    <w:rsid w:val="001B4473"/>
    <w:rsid w:val="001B4AF6"/>
    <w:rsid w:val="001B4FA4"/>
    <w:rsid w:val="001B52CB"/>
    <w:rsid w:val="001B58F9"/>
    <w:rsid w:val="001B5EC7"/>
    <w:rsid w:val="001B634B"/>
    <w:rsid w:val="001B6409"/>
    <w:rsid w:val="001B72A9"/>
    <w:rsid w:val="001B7B1F"/>
    <w:rsid w:val="001B7C83"/>
    <w:rsid w:val="001B7DCD"/>
    <w:rsid w:val="001C01B9"/>
    <w:rsid w:val="001C086B"/>
    <w:rsid w:val="001C0FB2"/>
    <w:rsid w:val="001C10CD"/>
    <w:rsid w:val="001C1662"/>
    <w:rsid w:val="001C2010"/>
    <w:rsid w:val="001C3A10"/>
    <w:rsid w:val="001C3A9D"/>
    <w:rsid w:val="001C3B58"/>
    <w:rsid w:val="001C3B9F"/>
    <w:rsid w:val="001C439A"/>
    <w:rsid w:val="001C4501"/>
    <w:rsid w:val="001C4BBD"/>
    <w:rsid w:val="001C5149"/>
    <w:rsid w:val="001C5360"/>
    <w:rsid w:val="001C5F40"/>
    <w:rsid w:val="001C692B"/>
    <w:rsid w:val="001C7882"/>
    <w:rsid w:val="001C7EE7"/>
    <w:rsid w:val="001D0827"/>
    <w:rsid w:val="001D0CC1"/>
    <w:rsid w:val="001D10DB"/>
    <w:rsid w:val="001D149F"/>
    <w:rsid w:val="001D14BC"/>
    <w:rsid w:val="001D206F"/>
    <w:rsid w:val="001D235E"/>
    <w:rsid w:val="001D280F"/>
    <w:rsid w:val="001D2A45"/>
    <w:rsid w:val="001D371B"/>
    <w:rsid w:val="001D48EC"/>
    <w:rsid w:val="001D4DAE"/>
    <w:rsid w:val="001D50C0"/>
    <w:rsid w:val="001D50F1"/>
    <w:rsid w:val="001D51C3"/>
    <w:rsid w:val="001D5947"/>
    <w:rsid w:val="001D67D7"/>
    <w:rsid w:val="001D7289"/>
    <w:rsid w:val="001D7C9D"/>
    <w:rsid w:val="001E0528"/>
    <w:rsid w:val="001E0A63"/>
    <w:rsid w:val="001E1D4D"/>
    <w:rsid w:val="001E3423"/>
    <w:rsid w:val="001E398F"/>
    <w:rsid w:val="001E3C51"/>
    <w:rsid w:val="001E485D"/>
    <w:rsid w:val="001E4AEA"/>
    <w:rsid w:val="001E64BD"/>
    <w:rsid w:val="001E6D92"/>
    <w:rsid w:val="001E6FC3"/>
    <w:rsid w:val="001E7574"/>
    <w:rsid w:val="001E7C42"/>
    <w:rsid w:val="001F070C"/>
    <w:rsid w:val="001F091F"/>
    <w:rsid w:val="001F0B78"/>
    <w:rsid w:val="001F0FBB"/>
    <w:rsid w:val="001F14E1"/>
    <w:rsid w:val="001F1925"/>
    <w:rsid w:val="001F19D2"/>
    <w:rsid w:val="001F1FA5"/>
    <w:rsid w:val="001F25AB"/>
    <w:rsid w:val="001F2964"/>
    <w:rsid w:val="001F2C7B"/>
    <w:rsid w:val="001F3513"/>
    <w:rsid w:val="001F3B72"/>
    <w:rsid w:val="001F4A87"/>
    <w:rsid w:val="001F50F5"/>
    <w:rsid w:val="001F51BF"/>
    <w:rsid w:val="001F5435"/>
    <w:rsid w:val="001F5449"/>
    <w:rsid w:val="001F5853"/>
    <w:rsid w:val="001F672D"/>
    <w:rsid w:val="001F6C9A"/>
    <w:rsid w:val="001F6D5E"/>
    <w:rsid w:val="001F7478"/>
    <w:rsid w:val="001F7771"/>
    <w:rsid w:val="001F78B8"/>
    <w:rsid w:val="001F7A9A"/>
    <w:rsid w:val="00200523"/>
    <w:rsid w:val="00200896"/>
    <w:rsid w:val="00200B9C"/>
    <w:rsid w:val="00201123"/>
    <w:rsid w:val="00201A16"/>
    <w:rsid w:val="00202000"/>
    <w:rsid w:val="00202650"/>
    <w:rsid w:val="002026B3"/>
    <w:rsid w:val="002028CF"/>
    <w:rsid w:val="00202D38"/>
    <w:rsid w:val="00203661"/>
    <w:rsid w:val="00203BD2"/>
    <w:rsid w:val="0020430E"/>
    <w:rsid w:val="00204E52"/>
    <w:rsid w:val="00205E75"/>
    <w:rsid w:val="00206B9D"/>
    <w:rsid w:val="0020723F"/>
    <w:rsid w:val="00207502"/>
    <w:rsid w:val="0020778C"/>
    <w:rsid w:val="00211905"/>
    <w:rsid w:val="00211D17"/>
    <w:rsid w:val="00211D48"/>
    <w:rsid w:val="00211E9E"/>
    <w:rsid w:val="00213287"/>
    <w:rsid w:val="002137EA"/>
    <w:rsid w:val="002138BA"/>
    <w:rsid w:val="00214164"/>
    <w:rsid w:val="002143AD"/>
    <w:rsid w:val="00214E51"/>
    <w:rsid w:val="0021566F"/>
    <w:rsid w:val="00215C88"/>
    <w:rsid w:val="0021600D"/>
    <w:rsid w:val="00216765"/>
    <w:rsid w:val="00216E39"/>
    <w:rsid w:val="002172BA"/>
    <w:rsid w:val="00217464"/>
    <w:rsid w:val="00217AA3"/>
    <w:rsid w:val="002203CF"/>
    <w:rsid w:val="00220584"/>
    <w:rsid w:val="00220BAE"/>
    <w:rsid w:val="00221561"/>
    <w:rsid w:val="002218F4"/>
    <w:rsid w:val="00221942"/>
    <w:rsid w:val="00221976"/>
    <w:rsid w:val="00221D83"/>
    <w:rsid w:val="00222110"/>
    <w:rsid w:val="00223170"/>
    <w:rsid w:val="002232F9"/>
    <w:rsid w:val="002236AB"/>
    <w:rsid w:val="00223C25"/>
    <w:rsid w:val="00223F37"/>
    <w:rsid w:val="0022504C"/>
    <w:rsid w:val="0022513C"/>
    <w:rsid w:val="00225588"/>
    <w:rsid w:val="00225AA5"/>
    <w:rsid w:val="00225FBA"/>
    <w:rsid w:val="00226356"/>
    <w:rsid w:val="00226804"/>
    <w:rsid w:val="00230142"/>
    <w:rsid w:val="002306E8"/>
    <w:rsid w:val="00230FAD"/>
    <w:rsid w:val="00231000"/>
    <w:rsid w:val="00231917"/>
    <w:rsid w:val="002321DD"/>
    <w:rsid w:val="00232341"/>
    <w:rsid w:val="00232E4D"/>
    <w:rsid w:val="00233163"/>
    <w:rsid w:val="0023325C"/>
    <w:rsid w:val="002332DB"/>
    <w:rsid w:val="00233C41"/>
    <w:rsid w:val="00233EEA"/>
    <w:rsid w:val="00233F5C"/>
    <w:rsid w:val="00234603"/>
    <w:rsid w:val="0023471F"/>
    <w:rsid w:val="00234833"/>
    <w:rsid w:val="00234F93"/>
    <w:rsid w:val="00234FB1"/>
    <w:rsid w:val="00236210"/>
    <w:rsid w:val="002362AA"/>
    <w:rsid w:val="00236339"/>
    <w:rsid w:val="0023689C"/>
    <w:rsid w:val="00237220"/>
    <w:rsid w:val="00237EC1"/>
    <w:rsid w:val="00237F7F"/>
    <w:rsid w:val="00240213"/>
    <w:rsid w:val="00240A8F"/>
    <w:rsid w:val="002419B8"/>
    <w:rsid w:val="00242382"/>
    <w:rsid w:val="00242618"/>
    <w:rsid w:val="00242F99"/>
    <w:rsid w:val="00243B1A"/>
    <w:rsid w:val="00243C59"/>
    <w:rsid w:val="00243CDA"/>
    <w:rsid w:val="00243EF2"/>
    <w:rsid w:val="00244F96"/>
    <w:rsid w:val="002450FC"/>
    <w:rsid w:val="0024525F"/>
    <w:rsid w:val="0024555D"/>
    <w:rsid w:val="0024556E"/>
    <w:rsid w:val="00245612"/>
    <w:rsid w:val="00245968"/>
    <w:rsid w:val="002460BD"/>
    <w:rsid w:val="00246A97"/>
    <w:rsid w:val="002471D8"/>
    <w:rsid w:val="002508A5"/>
    <w:rsid w:val="00250E57"/>
    <w:rsid w:val="00251DA6"/>
    <w:rsid w:val="0025225B"/>
    <w:rsid w:val="00252814"/>
    <w:rsid w:val="00252AFC"/>
    <w:rsid w:val="002532F1"/>
    <w:rsid w:val="002533CB"/>
    <w:rsid w:val="00254012"/>
    <w:rsid w:val="00254069"/>
    <w:rsid w:val="00254110"/>
    <w:rsid w:val="0025428D"/>
    <w:rsid w:val="00254413"/>
    <w:rsid w:val="0025466A"/>
    <w:rsid w:val="002547D2"/>
    <w:rsid w:val="00254BF1"/>
    <w:rsid w:val="00254EAC"/>
    <w:rsid w:val="00254F07"/>
    <w:rsid w:val="00254FED"/>
    <w:rsid w:val="00255550"/>
    <w:rsid w:val="00255868"/>
    <w:rsid w:val="00255BD8"/>
    <w:rsid w:val="002563D8"/>
    <w:rsid w:val="00256A66"/>
    <w:rsid w:val="00257789"/>
    <w:rsid w:val="00257B23"/>
    <w:rsid w:val="00260352"/>
    <w:rsid w:val="00260D71"/>
    <w:rsid w:val="00260EB4"/>
    <w:rsid w:val="00261075"/>
    <w:rsid w:val="002614FB"/>
    <w:rsid w:val="00261AC8"/>
    <w:rsid w:val="00261D24"/>
    <w:rsid w:val="002626E7"/>
    <w:rsid w:val="002627ED"/>
    <w:rsid w:val="002637D1"/>
    <w:rsid w:val="00263940"/>
    <w:rsid w:val="00263AEA"/>
    <w:rsid w:val="00263C3D"/>
    <w:rsid w:val="00264451"/>
    <w:rsid w:val="0026548C"/>
    <w:rsid w:val="002654E8"/>
    <w:rsid w:val="00265C36"/>
    <w:rsid w:val="00265D47"/>
    <w:rsid w:val="00265DE1"/>
    <w:rsid w:val="00266073"/>
    <w:rsid w:val="00266C50"/>
    <w:rsid w:val="002700F6"/>
    <w:rsid w:val="002703AF"/>
    <w:rsid w:val="00271595"/>
    <w:rsid w:val="0027172C"/>
    <w:rsid w:val="00271767"/>
    <w:rsid w:val="00271AE6"/>
    <w:rsid w:val="00272FE7"/>
    <w:rsid w:val="00273CA3"/>
    <w:rsid w:val="00273F13"/>
    <w:rsid w:val="0027402E"/>
    <w:rsid w:val="00274381"/>
    <w:rsid w:val="002745CF"/>
    <w:rsid w:val="0027478C"/>
    <w:rsid w:val="00274A47"/>
    <w:rsid w:val="00274A6D"/>
    <w:rsid w:val="00274FB8"/>
    <w:rsid w:val="002751C2"/>
    <w:rsid w:val="002753D4"/>
    <w:rsid w:val="00275458"/>
    <w:rsid w:val="00275695"/>
    <w:rsid w:val="00275B9E"/>
    <w:rsid w:val="00275D51"/>
    <w:rsid w:val="00275D65"/>
    <w:rsid w:val="00276636"/>
    <w:rsid w:val="00276F72"/>
    <w:rsid w:val="0027717F"/>
    <w:rsid w:val="00277912"/>
    <w:rsid w:val="00277B6C"/>
    <w:rsid w:val="00277CBA"/>
    <w:rsid w:val="002800FA"/>
    <w:rsid w:val="002804C2"/>
    <w:rsid w:val="00280554"/>
    <w:rsid w:val="00280741"/>
    <w:rsid w:val="00280D46"/>
    <w:rsid w:val="00280DBA"/>
    <w:rsid w:val="002814DF"/>
    <w:rsid w:val="002815DA"/>
    <w:rsid w:val="00281899"/>
    <w:rsid w:val="00281C9E"/>
    <w:rsid w:val="00281FDE"/>
    <w:rsid w:val="00282510"/>
    <w:rsid w:val="0028287D"/>
    <w:rsid w:val="00282CDA"/>
    <w:rsid w:val="00282E2C"/>
    <w:rsid w:val="00283685"/>
    <w:rsid w:val="002836DD"/>
    <w:rsid w:val="00283983"/>
    <w:rsid w:val="00283F41"/>
    <w:rsid w:val="002846BE"/>
    <w:rsid w:val="00285263"/>
    <w:rsid w:val="002853CC"/>
    <w:rsid w:val="00285482"/>
    <w:rsid w:val="002859F4"/>
    <w:rsid w:val="00286723"/>
    <w:rsid w:val="00286725"/>
    <w:rsid w:val="00286B22"/>
    <w:rsid w:val="00286C5A"/>
    <w:rsid w:val="002879C1"/>
    <w:rsid w:val="002905A8"/>
    <w:rsid w:val="00290E29"/>
    <w:rsid w:val="0029202B"/>
    <w:rsid w:val="0029271E"/>
    <w:rsid w:val="00292FB9"/>
    <w:rsid w:val="0029352F"/>
    <w:rsid w:val="00294094"/>
    <w:rsid w:val="00294263"/>
    <w:rsid w:val="00294B61"/>
    <w:rsid w:val="002950E0"/>
    <w:rsid w:val="00295751"/>
    <w:rsid w:val="002958F3"/>
    <w:rsid w:val="00295A3A"/>
    <w:rsid w:val="00295E19"/>
    <w:rsid w:val="00296229"/>
    <w:rsid w:val="00296314"/>
    <w:rsid w:val="00296429"/>
    <w:rsid w:val="00296C39"/>
    <w:rsid w:val="00296C57"/>
    <w:rsid w:val="00296E68"/>
    <w:rsid w:val="002970D2"/>
    <w:rsid w:val="002A0642"/>
    <w:rsid w:val="002A0B2F"/>
    <w:rsid w:val="002A0CAF"/>
    <w:rsid w:val="002A1C7F"/>
    <w:rsid w:val="002A2DEA"/>
    <w:rsid w:val="002A364F"/>
    <w:rsid w:val="002A3896"/>
    <w:rsid w:val="002A395E"/>
    <w:rsid w:val="002A3DCF"/>
    <w:rsid w:val="002A3E51"/>
    <w:rsid w:val="002A4634"/>
    <w:rsid w:val="002A484F"/>
    <w:rsid w:val="002A49EA"/>
    <w:rsid w:val="002A4B21"/>
    <w:rsid w:val="002A5375"/>
    <w:rsid w:val="002A55C3"/>
    <w:rsid w:val="002A56FE"/>
    <w:rsid w:val="002A5F95"/>
    <w:rsid w:val="002A6C4B"/>
    <w:rsid w:val="002A718E"/>
    <w:rsid w:val="002A72B0"/>
    <w:rsid w:val="002A78C5"/>
    <w:rsid w:val="002A7FFE"/>
    <w:rsid w:val="002B0A52"/>
    <w:rsid w:val="002B1403"/>
    <w:rsid w:val="002B1659"/>
    <w:rsid w:val="002B1971"/>
    <w:rsid w:val="002B1B63"/>
    <w:rsid w:val="002B1C76"/>
    <w:rsid w:val="002B1D88"/>
    <w:rsid w:val="002B371D"/>
    <w:rsid w:val="002B37B2"/>
    <w:rsid w:val="002B3D17"/>
    <w:rsid w:val="002B3E6B"/>
    <w:rsid w:val="002B3F53"/>
    <w:rsid w:val="002B4929"/>
    <w:rsid w:val="002B49D7"/>
    <w:rsid w:val="002B4C2D"/>
    <w:rsid w:val="002B5A1B"/>
    <w:rsid w:val="002B5D73"/>
    <w:rsid w:val="002B63AD"/>
    <w:rsid w:val="002B6424"/>
    <w:rsid w:val="002B723D"/>
    <w:rsid w:val="002B74B0"/>
    <w:rsid w:val="002B7A76"/>
    <w:rsid w:val="002C0574"/>
    <w:rsid w:val="002C0927"/>
    <w:rsid w:val="002C0A5C"/>
    <w:rsid w:val="002C1321"/>
    <w:rsid w:val="002C175B"/>
    <w:rsid w:val="002C1F7F"/>
    <w:rsid w:val="002C307C"/>
    <w:rsid w:val="002C30C6"/>
    <w:rsid w:val="002C336E"/>
    <w:rsid w:val="002C3AAB"/>
    <w:rsid w:val="002C3D2E"/>
    <w:rsid w:val="002C3D4D"/>
    <w:rsid w:val="002C3D7A"/>
    <w:rsid w:val="002C4475"/>
    <w:rsid w:val="002C488C"/>
    <w:rsid w:val="002C4BD9"/>
    <w:rsid w:val="002C5047"/>
    <w:rsid w:val="002C55D4"/>
    <w:rsid w:val="002C59E8"/>
    <w:rsid w:val="002C5E92"/>
    <w:rsid w:val="002C64C8"/>
    <w:rsid w:val="002C79DD"/>
    <w:rsid w:val="002D01FA"/>
    <w:rsid w:val="002D12AE"/>
    <w:rsid w:val="002D152A"/>
    <w:rsid w:val="002D1633"/>
    <w:rsid w:val="002D1AFE"/>
    <w:rsid w:val="002D1DE4"/>
    <w:rsid w:val="002D2959"/>
    <w:rsid w:val="002D2C97"/>
    <w:rsid w:val="002D2D7D"/>
    <w:rsid w:val="002D3014"/>
    <w:rsid w:val="002D3439"/>
    <w:rsid w:val="002D3481"/>
    <w:rsid w:val="002D3A6B"/>
    <w:rsid w:val="002D3F42"/>
    <w:rsid w:val="002D4FAA"/>
    <w:rsid w:val="002D4FB1"/>
    <w:rsid w:val="002D5166"/>
    <w:rsid w:val="002D59A6"/>
    <w:rsid w:val="002D5F3D"/>
    <w:rsid w:val="002D61C1"/>
    <w:rsid w:val="002D636C"/>
    <w:rsid w:val="002D65E1"/>
    <w:rsid w:val="002D6E59"/>
    <w:rsid w:val="002D74B6"/>
    <w:rsid w:val="002D75A3"/>
    <w:rsid w:val="002D75E5"/>
    <w:rsid w:val="002D768B"/>
    <w:rsid w:val="002D790B"/>
    <w:rsid w:val="002D7DC8"/>
    <w:rsid w:val="002E0426"/>
    <w:rsid w:val="002E064F"/>
    <w:rsid w:val="002E0E7F"/>
    <w:rsid w:val="002E1465"/>
    <w:rsid w:val="002E1E7B"/>
    <w:rsid w:val="002E1FEF"/>
    <w:rsid w:val="002E250F"/>
    <w:rsid w:val="002E2769"/>
    <w:rsid w:val="002E2D2F"/>
    <w:rsid w:val="002E3459"/>
    <w:rsid w:val="002E4977"/>
    <w:rsid w:val="002E4C04"/>
    <w:rsid w:val="002E4D2A"/>
    <w:rsid w:val="002E4DD9"/>
    <w:rsid w:val="002E5701"/>
    <w:rsid w:val="002E5EA5"/>
    <w:rsid w:val="002E6177"/>
    <w:rsid w:val="002E62DE"/>
    <w:rsid w:val="002E640F"/>
    <w:rsid w:val="002E6AED"/>
    <w:rsid w:val="002E702A"/>
    <w:rsid w:val="002E7712"/>
    <w:rsid w:val="002E7A7F"/>
    <w:rsid w:val="002F041F"/>
    <w:rsid w:val="002F05DD"/>
    <w:rsid w:val="002F0AF6"/>
    <w:rsid w:val="002F1DD5"/>
    <w:rsid w:val="002F2199"/>
    <w:rsid w:val="002F24DC"/>
    <w:rsid w:val="002F2B52"/>
    <w:rsid w:val="002F2FC1"/>
    <w:rsid w:val="002F3AE5"/>
    <w:rsid w:val="002F40A2"/>
    <w:rsid w:val="002F4355"/>
    <w:rsid w:val="002F4A90"/>
    <w:rsid w:val="002F5791"/>
    <w:rsid w:val="002F64B2"/>
    <w:rsid w:val="002F65CA"/>
    <w:rsid w:val="002F726F"/>
    <w:rsid w:val="002F7C04"/>
    <w:rsid w:val="00300114"/>
    <w:rsid w:val="00300CC1"/>
    <w:rsid w:val="00300D58"/>
    <w:rsid w:val="00300E32"/>
    <w:rsid w:val="00301055"/>
    <w:rsid w:val="00301237"/>
    <w:rsid w:val="00301425"/>
    <w:rsid w:val="0030146A"/>
    <w:rsid w:val="00301909"/>
    <w:rsid w:val="003024F4"/>
    <w:rsid w:val="003027DC"/>
    <w:rsid w:val="00303A7D"/>
    <w:rsid w:val="003043AE"/>
    <w:rsid w:val="003049B9"/>
    <w:rsid w:val="00304CA0"/>
    <w:rsid w:val="00304CB8"/>
    <w:rsid w:val="00305190"/>
    <w:rsid w:val="003051DB"/>
    <w:rsid w:val="0030590E"/>
    <w:rsid w:val="003064C2"/>
    <w:rsid w:val="00306921"/>
    <w:rsid w:val="003069A8"/>
    <w:rsid w:val="00306B31"/>
    <w:rsid w:val="00306BC8"/>
    <w:rsid w:val="0030728C"/>
    <w:rsid w:val="00307661"/>
    <w:rsid w:val="00307921"/>
    <w:rsid w:val="00307AB7"/>
    <w:rsid w:val="00307C55"/>
    <w:rsid w:val="00307EE3"/>
    <w:rsid w:val="003101CB"/>
    <w:rsid w:val="003109A7"/>
    <w:rsid w:val="00310A77"/>
    <w:rsid w:val="00310BD4"/>
    <w:rsid w:val="00310E77"/>
    <w:rsid w:val="00310F03"/>
    <w:rsid w:val="003117FF"/>
    <w:rsid w:val="0031182B"/>
    <w:rsid w:val="003125B6"/>
    <w:rsid w:val="0031264A"/>
    <w:rsid w:val="0031281A"/>
    <w:rsid w:val="00313177"/>
    <w:rsid w:val="00313664"/>
    <w:rsid w:val="003137DB"/>
    <w:rsid w:val="00313E17"/>
    <w:rsid w:val="00314036"/>
    <w:rsid w:val="0031426D"/>
    <w:rsid w:val="00314B85"/>
    <w:rsid w:val="00314E35"/>
    <w:rsid w:val="003156EB"/>
    <w:rsid w:val="00315F10"/>
    <w:rsid w:val="00315F42"/>
    <w:rsid w:val="00315FCE"/>
    <w:rsid w:val="003160A9"/>
    <w:rsid w:val="0031661B"/>
    <w:rsid w:val="00317244"/>
    <w:rsid w:val="003179D6"/>
    <w:rsid w:val="00317E83"/>
    <w:rsid w:val="003203ED"/>
    <w:rsid w:val="003229C7"/>
    <w:rsid w:val="003234B3"/>
    <w:rsid w:val="00323D8F"/>
    <w:rsid w:val="00323EED"/>
    <w:rsid w:val="00324202"/>
    <w:rsid w:val="0032537D"/>
    <w:rsid w:val="00325526"/>
    <w:rsid w:val="00325FC3"/>
    <w:rsid w:val="0032634F"/>
    <w:rsid w:val="003264A7"/>
    <w:rsid w:val="003264D8"/>
    <w:rsid w:val="003265FD"/>
    <w:rsid w:val="00326EED"/>
    <w:rsid w:val="00327840"/>
    <w:rsid w:val="00327D01"/>
    <w:rsid w:val="00327DE6"/>
    <w:rsid w:val="00330181"/>
    <w:rsid w:val="003303C9"/>
    <w:rsid w:val="003311C6"/>
    <w:rsid w:val="003313F4"/>
    <w:rsid w:val="003314C8"/>
    <w:rsid w:val="00331517"/>
    <w:rsid w:val="0033168E"/>
    <w:rsid w:val="00331BDC"/>
    <w:rsid w:val="00331E34"/>
    <w:rsid w:val="0033229E"/>
    <w:rsid w:val="003324FC"/>
    <w:rsid w:val="0033290C"/>
    <w:rsid w:val="00332B94"/>
    <w:rsid w:val="00332D30"/>
    <w:rsid w:val="003333A4"/>
    <w:rsid w:val="0033347D"/>
    <w:rsid w:val="00333FD2"/>
    <w:rsid w:val="00334077"/>
    <w:rsid w:val="003343F0"/>
    <w:rsid w:val="0033447C"/>
    <w:rsid w:val="00334DD4"/>
    <w:rsid w:val="00335079"/>
    <w:rsid w:val="00335900"/>
    <w:rsid w:val="00335E7E"/>
    <w:rsid w:val="00335E8C"/>
    <w:rsid w:val="00336EE9"/>
    <w:rsid w:val="00337155"/>
    <w:rsid w:val="0033718B"/>
    <w:rsid w:val="003374D0"/>
    <w:rsid w:val="00337A29"/>
    <w:rsid w:val="00337E05"/>
    <w:rsid w:val="003404B2"/>
    <w:rsid w:val="00340B65"/>
    <w:rsid w:val="00340D45"/>
    <w:rsid w:val="003411A6"/>
    <w:rsid w:val="003415A9"/>
    <w:rsid w:val="003415D6"/>
    <w:rsid w:val="0034175C"/>
    <w:rsid w:val="0034295E"/>
    <w:rsid w:val="0034337E"/>
    <w:rsid w:val="003433B4"/>
    <w:rsid w:val="00343D7E"/>
    <w:rsid w:val="00343FF4"/>
    <w:rsid w:val="00344BD2"/>
    <w:rsid w:val="00344C12"/>
    <w:rsid w:val="00345812"/>
    <w:rsid w:val="0034585D"/>
    <w:rsid w:val="00345B5C"/>
    <w:rsid w:val="00345CCE"/>
    <w:rsid w:val="0034657E"/>
    <w:rsid w:val="00347F88"/>
    <w:rsid w:val="00350094"/>
    <w:rsid w:val="003508DD"/>
    <w:rsid w:val="00350F00"/>
    <w:rsid w:val="003510BE"/>
    <w:rsid w:val="00351184"/>
    <w:rsid w:val="0035129B"/>
    <w:rsid w:val="003517B5"/>
    <w:rsid w:val="003517C5"/>
    <w:rsid w:val="0035232B"/>
    <w:rsid w:val="00352440"/>
    <w:rsid w:val="003524A3"/>
    <w:rsid w:val="0035275F"/>
    <w:rsid w:val="00352909"/>
    <w:rsid w:val="0035344E"/>
    <w:rsid w:val="00353707"/>
    <w:rsid w:val="00353974"/>
    <w:rsid w:val="00353B78"/>
    <w:rsid w:val="00353BAA"/>
    <w:rsid w:val="003546C4"/>
    <w:rsid w:val="003546DD"/>
    <w:rsid w:val="003547CE"/>
    <w:rsid w:val="00354AB2"/>
    <w:rsid w:val="00354EDC"/>
    <w:rsid w:val="003553E4"/>
    <w:rsid w:val="00355E77"/>
    <w:rsid w:val="00356714"/>
    <w:rsid w:val="00356AD6"/>
    <w:rsid w:val="0035702E"/>
    <w:rsid w:val="00357306"/>
    <w:rsid w:val="003573E6"/>
    <w:rsid w:val="00357726"/>
    <w:rsid w:val="003579ED"/>
    <w:rsid w:val="00357A2A"/>
    <w:rsid w:val="00357CB8"/>
    <w:rsid w:val="00360058"/>
    <w:rsid w:val="003603CE"/>
    <w:rsid w:val="00360420"/>
    <w:rsid w:val="0036065C"/>
    <w:rsid w:val="00360789"/>
    <w:rsid w:val="00360E04"/>
    <w:rsid w:val="003610E7"/>
    <w:rsid w:val="00361578"/>
    <w:rsid w:val="003619F8"/>
    <w:rsid w:val="00361A24"/>
    <w:rsid w:val="00362056"/>
    <w:rsid w:val="00362063"/>
    <w:rsid w:val="0036210C"/>
    <w:rsid w:val="00362A3B"/>
    <w:rsid w:val="00362D38"/>
    <w:rsid w:val="003634B2"/>
    <w:rsid w:val="00363592"/>
    <w:rsid w:val="00363939"/>
    <w:rsid w:val="00363CEA"/>
    <w:rsid w:val="00364AE9"/>
    <w:rsid w:val="00364C3D"/>
    <w:rsid w:val="00364F44"/>
    <w:rsid w:val="0036591A"/>
    <w:rsid w:val="00366BA0"/>
    <w:rsid w:val="00367051"/>
    <w:rsid w:val="0036738D"/>
    <w:rsid w:val="003678F9"/>
    <w:rsid w:val="00367A01"/>
    <w:rsid w:val="003700F6"/>
    <w:rsid w:val="00370232"/>
    <w:rsid w:val="00370756"/>
    <w:rsid w:val="00370D21"/>
    <w:rsid w:val="00371837"/>
    <w:rsid w:val="0037199D"/>
    <w:rsid w:val="00371BFA"/>
    <w:rsid w:val="00371E72"/>
    <w:rsid w:val="00372116"/>
    <w:rsid w:val="00372A38"/>
    <w:rsid w:val="00372BBE"/>
    <w:rsid w:val="00372FD9"/>
    <w:rsid w:val="00373422"/>
    <w:rsid w:val="0037362C"/>
    <w:rsid w:val="00373BCE"/>
    <w:rsid w:val="00373E30"/>
    <w:rsid w:val="00373EAE"/>
    <w:rsid w:val="00373F77"/>
    <w:rsid w:val="00374071"/>
    <w:rsid w:val="00374323"/>
    <w:rsid w:val="003743F7"/>
    <w:rsid w:val="003747F7"/>
    <w:rsid w:val="003754AE"/>
    <w:rsid w:val="003761CF"/>
    <w:rsid w:val="003763C4"/>
    <w:rsid w:val="0037642A"/>
    <w:rsid w:val="00376B97"/>
    <w:rsid w:val="00376CA2"/>
    <w:rsid w:val="003772E6"/>
    <w:rsid w:val="003776A8"/>
    <w:rsid w:val="0037777F"/>
    <w:rsid w:val="00377E93"/>
    <w:rsid w:val="00377EC4"/>
    <w:rsid w:val="0038007C"/>
    <w:rsid w:val="003809F9"/>
    <w:rsid w:val="00380DF0"/>
    <w:rsid w:val="00380EB4"/>
    <w:rsid w:val="00381543"/>
    <w:rsid w:val="00381A03"/>
    <w:rsid w:val="00381FF3"/>
    <w:rsid w:val="00382025"/>
    <w:rsid w:val="00382BA5"/>
    <w:rsid w:val="00383229"/>
    <w:rsid w:val="003834BE"/>
    <w:rsid w:val="00383C15"/>
    <w:rsid w:val="00384A02"/>
    <w:rsid w:val="003859D6"/>
    <w:rsid w:val="003860F4"/>
    <w:rsid w:val="00386135"/>
    <w:rsid w:val="00386B56"/>
    <w:rsid w:val="00387A1C"/>
    <w:rsid w:val="00387B20"/>
    <w:rsid w:val="00387F18"/>
    <w:rsid w:val="003908AD"/>
    <w:rsid w:val="003919B2"/>
    <w:rsid w:val="0039204D"/>
    <w:rsid w:val="0039237B"/>
    <w:rsid w:val="00393218"/>
    <w:rsid w:val="0039441D"/>
    <w:rsid w:val="0039502C"/>
    <w:rsid w:val="00395878"/>
    <w:rsid w:val="00395E7E"/>
    <w:rsid w:val="00396033"/>
    <w:rsid w:val="00396342"/>
    <w:rsid w:val="0039649B"/>
    <w:rsid w:val="0039699C"/>
    <w:rsid w:val="00397046"/>
    <w:rsid w:val="003971E2"/>
    <w:rsid w:val="00397995"/>
    <w:rsid w:val="003A00C9"/>
    <w:rsid w:val="003A05C2"/>
    <w:rsid w:val="003A06B5"/>
    <w:rsid w:val="003A0704"/>
    <w:rsid w:val="003A0ADE"/>
    <w:rsid w:val="003A0F80"/>
    <w:rsid w:val="003A1737"/>
    <w:rsid w:val="003A1AEC"/>
    <w:rsid w:val="003A1C73"/>
    <w:rsid w:val="003A236E"/>
    <w:rsid w:val="003A23F3"/>
    <w:rsid w:val="003A24B1"/>
    <w:rsid w:val="003A261F"/>
    <w:rsid w:val="003A2C1F"/>
    <w:rsid w:val="003A2D8F"/>
    <w:rsid w:val="003A3762"/>
    <w:rsid w:val="003A38BF"/>
    <w:rsid w:val="003A3D41"/>
    <w:rsid w:val="003A3E60"/>
    <w:rsid w:val="003A4358"/>
    <w:rsid w:val="003A43C5"/>
    <w:rsid w:val="003A47C1"/>
    <w:rsid w:val="003A47C2"/>
    <w:rsid w:val="003A536A"/>
    <w:rsid w:val="003A5C6B"/>
    <w:rsid w:val="003A5C96"/>
    <w:rsid w:val="003A60F0"/>
    <w:rsid w:val="003A626C"/>
    <w:rsid w:val="003A6E52"/>
    <w:rsid w:val="003A73F5"/>
    <w:rsid w:val="003A7445"/>
    <w:rsid w:val="003A7559"/>
    <w:rsid w:val="003A7562"/>
    <w:rsid w:val="003A7672"/>
    <w:rsid w:val="003B04A7"/>
    <w:rsid w:val="003B0511"/>
    <w:rsid w:val="003B07D6"/>
    <w:rsid w:val="003B0B16"/>
    <w:rsid w:val="003B0D32"/>
    <w:rsid w:val="003B1493"/>
    <w:rsid w:val="003B237D"/>
    <w:rsid w:val="003B25C4"/>
    <w:rsid w:val="003B2670"/>
    <w:rsid w:val="003B2935"/>
    <w:rsid w:val="003B32FA"/>
    <w:rsid w:val="003B33D0"/>
    <w:rsid w:val="003B3F98"/>
    <w:rsid w:val="003B4595"/>
    <w:rsid w:val="003B4886"/>
    <w:rsid w:val="003B5292"/>
    <w:rsid w:val="003B5DAD"/>
    <w:rsid w:val="003B617C"/>
    <w:rsid w:val="003B6517"/>
    <w:rsid w:val="003B6AC5"/>
    <w:rsid w:val="003B6BD1"/>
    <w:rsid w:val="003B6BE5"/>
    <w:rsid w:val="003B6F2C"/>
    <w:rsid w:val="003C03B5"/>
    <w:rsid w:val="003C046B"/>
    <w:rsid w:val="003C0DC2"/>
    <w:rsid w:val="003C114E"/>
    <w:rsid w:val="003C1458"/>
    <w:rsid w:val="003C1638"/>
    <w:rsid w:val="003C19BF"/>
    <w:rsid w:val="003C19EE"/>
    <w:rsid w:val="003C1F8E"/>
    <w:rsid w:val="003C2B86"/>
    <w:rsid w:val="003C2D57"/>
    <w:rsid w:val="003C30E4"/>
    <w:rsid w:val="003C3277"/>
    <w:rsid w:val="003C3B25"/>
    <w:rsid w:val="003C3B26"/>
    <w:rsid w:val="003C3E5F"/>
    <w:rsid w:val="003C4813"/>
    <w:rsid w:val="003C4CA2"/>
    <w:rsid w:val="003C5CD3"/>
    <w:rsid w:val="003C5F08"/>
    <w:rsid w:val="003C61DA"/>
    <w:rsid w:val="003C6658"/>
    <w:rsid w:val="003C6B66"/>
    <w:rsid w:val="003C6BC5"/>
    <w:rsid w:val="003C7A39"/>
    <w:rsid w:val="003C7B1E"/>
    <w:rsid w:val="003C7C70"/>
    <w:rsid w:val="003D03CE"/>
    <w:rsid w:val="003D10CF"/>
    <w:rsid w:val="003D1617"/>
    <w:rsid w:val="003D1C1A"/>
    <w:rsid w:val="003D1E9A"/>
    <w:rsid w:val="003D1FF9"/>
    <w:rsid w:val="003D281E"/>
    <w:rsid w:val="003D3136"/>
    <w:rsid w:val="003D45F8"/>
    <w:rsid w:val="003D4A4E"/>
    <w:rsid w:val="003D4C15"/>
    <w:rsid w:val="003D6020"/>
    <w:rsid w:val="003D60DC"/>
    <w:rsid w:val="003D63AD"/>
    <w:rsid w:val="003D677A"/>
    <w:rsid w:val="003D6DE7"/>
    <w:rsid w:val="003D6EA0"/>
    <w:rsid w:val="003D71A7"/>
    <w:rsid w:val="003D79B2"/>
    <w:rsid w:val="003D7D88"/>
    <w:rsid w:val="003D7EA8"/>
    <w:rsid w:val="003E11E4"/>
    <w:rsid w:val="003E1873"/>
    <w:rsid w:val="003E191E"/>
    <w:rsid w:val="003E2551"/>
    <w:rsid w:val="003E2795"/>
    <w:rsid w:val="003E2B2C"/>
    <w:rsid w:val="003E2FD2"/>
    <w:rsid w:val="003E3DC7"/>
    <w:rsid w:val="003E4202"/>
    <w:rsid w:val="003E44B8"/>
    <w:rsid w:val="003E44C6"/>
    <w:rsid w:val="003E493D"/>
    <w:rsid w:val="003E4BF4"/>
    <w:rsid w:val="003E4E98"/>
    <w:rsid w:val="003E5009"/>
    <w:rsid w:val="003E5369"/>
    <w:rsid w:val="003E57BD"/>
    <w:rsid w:val="003E58B5"/>
    <w:rsid w:val="003E5D15"/>
    <w:rsid w:val="003E674D"/>
    <w:rsid w:val="003E6F76"/>
    <w:rsid w:val="003E6FB5"/>
    <w:rsid w:val="003E7129"/>
    <w:rsid w:val="003E7231"/>
    <w:rsid w:val="003E78D7"/>
    <w:rsid w:val="003E7D0A"/>
    <w:rsid w:val="003E7E2D"/>
    <w:rsid w:val="003F06DC"/>
    <w:rsid w:val="003F08BD"/>
    <w:rsid w:val="003F0BA7"/>
    <w:rsid w:val="003F0F14"/>
    <w:rsid w:val="003F0F5C"/>
    <w:rsid w:val="003F1559"/>
    <w:rsid w:val="003F1DF4"/>
    <w:rsid w:val="003F26D7"/>
    <w:rsid w:val="003F2C0C"/>
    <w:rsid w:val="003F31E2"/>
    <w:rsid w:val="003F36E5"/>
    <w:rsid w:val="003F3F24"/>
    <w:rsid w:val="003F4216"/>
    <w:rsid w:val="003F4EA4"/>
    <w:rsid w:val="003F54E9"/>
    <w:rsid w:val="003F55E9"/>
    <w:rsid w:val="003F5F77"/>
    <w:rsid w:val="003F604C"/>
    <w:rsid w:val="003F61DD"/>
    <w:rsid w:val="003F6210"/>
    <w:rsid w:val="003F6DDF"/>
    <w:rsid w:val="003F70C6"/>
    <w:rsid w:val="003F7573"/>
    <w:rsid w:val="003F7AB3"/>
    <w:rsid w:val="003F7C98"/>
    <w:rsid w:val="003F7E62"/>
    <w:rsid w:val="00400089"/>
    <w:rsid w:val="0040009D"/>
    <w:rsid w:val="00400215"/>
    <w:rsid w:val="00400A40"/>
    <w:rsid w:val="00400AF2"/>
    <w:rsid w:val="00400B45"/>
    <w:rsid w:val="00400D7D"/>
    <w:rsid w:val="00400EBA"/>
    <w:rsid w:val="0040111C"/>
    <w:rsid w:val="004021D8"/>
    <w:rsid w:val="00402E0B"/>
    <w:rsid w:val="0040365E"/>
    <w:rsid w:val="004036B3"/>
    <w:rsid w:val="00403BDB"/>
    <w:rsid w:val="0040464E"/>
    <w:rsid w:val="004046BF"/>
    <w:rsid w:val="00404F29"/>
    <w:rsid w:val="00405F28"/>
    <w:rsid w:val="00406CE9"/>
    <w:rsid w:val="004076EB"/>
    <w:rsid w:val="0040775F"/>
    <w:rsid w:val="004077C4"/>
    <w:rsid w:val="00407B39"/>
    <w:rsid w:val="00407B78"/>
    <w:rsid w:val="004104E6"/>
    <w:rsid w:val="00410AD1"/>
    <w:rsid w:val="00410C3E"/>
    <w:rsid w:val="00410DD9"/>
    <w:rsid w:val="0041116F"/>
    <w:rsid w:val="004111A1"/>
    <w:rsid w:val="004118A3"/>
    <w:rsid w:val="00412438"/>
    <w:rsid w:val="004135A4"/>
    <w:rsid w:val="00413D40"/>
    <w:rsid w:val="00413F38"/>
    <w:rsid w:val="00414260"/>
    <w:rsid w:val="004146E2"/>
    <w:rsid w:val="0041472E"/>
    <w:rsid w:val="00416E53"/>
    <w:rsid w:val="0041712F"/>
    <w:rsid w:val="00417400"/>
    <w:rsid w:val="00417640"/>
    <w:rsid w:val="00417670"/>
    <w:rsid w:val="00417BB6"/>
    <w:rsid w:val="00417C85"/>
    <w:rsid w:val="00417F12"/>
    <w:rsid w:val="0042031E"/>
    <w:rsid w:val="00420494"/>
    <w:rsid w:val="0042082D"/>
    <w:rsid w:val="00420F71"/>
    <w:rsid w:val="00421022"/>
    <w:rsid w:val="00421B3E"/>
    <w:rsid w:val="00423B51"/>
    <w:rsid w:val="004248CA"/>
    <w:rsid w:val="00424C0D"/>
    <w:rsid w:val="00425004"/>
    <w:rsid w:val="0042511A"/>
    <w:rsid w:val="0042522E"/>
    <w:rsid w:val="0042528E"/>
    <w:rsid w:val="004254B1"/>
    <w:rsid w:val="00425682"/>
    <w:rsid w:val="00425A1A"/>
    <w:rsid w:val="00425F35"/>
    <w:rsid w:val="00426097"/>
    <w:rsid w:val="00426273"/>
    <w:rsid w:val="004271CF"/>
    <w:rsid w:val="0042743C"/>
    <w:rsid w:val="0042771F"/>
    <w:rsid w:val="00430645"/>
    <w:rsid w:val="0043135A"/>
    <w:rsid w:val="004324BB"/>
    <w:rsid w:val="004329C7"/>
    <w:rsid w:val="004330B6"/>
    <w:rsid w:val="0043312D"/>
    <w:rsid w:val="00433265"/>
    <w:rsid w:val="00433A9A"/>
    <w:rsid w:val="00433C07"/>
    <w:rsid w:val="00433E39"/>
    <w:rsid w:val="0043459B"/>
    <w:rsid w:val="0043481D"/>
    <w:rsid w:val="00434FBF"/>
    <w:rsid w:val="00435778"/>
    <w:rsid w:val="004357E2"/>
    <w:rsid w:val="0043607B"/>
    <w:rsid w:val="00436274"/>
    <w:rsid w:val="0043652B"/>
    <w:rsid w:val="00436662"/>
    <w:rsid w:val="0043691D"/>
    <w:rsid w:val="00436B33"/>
    <w:rsid w:val="00436B59"/>
    <w:rsid w:val="00436DC4"/>
    <w:rsid w:val="00437713"/>
    <w:rsid w:val="004378EB"/>
    <w:rsid w:val="00437DE6"/>
    <w:rsid w:val="00440D12"/>
    <w:rsid w:val="00441022"/>
    <w:rsid w:val="004413E2"/>
    <w:rsid w:val="00441562"/>
    <w:rsid w:val="00441B6B"/>
    <w:rsid w:val="004420E3"/>
    <w:rsid w:val="00442288"/>
    <w:rsid w:val="00442386"/>
    <w:rsid w:val="00442511"/>
    <w:rsid w:val="00442B43"/>
    <w:rsid w:val="00442B5B"/>
    <w:rsid w:val="00442CEB"/>
    <w:rsid w:val="00443325"/>
    <w:rsid w:val="004444B7"/>
    <w:rsid w:val="0044465F"/>
    <w:rsid w:val="00444C11"/>
    <w:rsid w:val="00445412"/>
    <w:rsid w:val="0044553E"/>
    <w:rsid w:val="004472EB"/>
    <w:rsid w:val="00447FB8"/>
    <w:rsid w:val="00450D5B"/>
    <w:rsid w:val="00451005"/>
    <w:rsid w:val="00451CA4"/>
    <w:rsid w:val="004527DE"/>
    <w:rsid w:val="00452875"/>
    <w:rsid w:val="00452962"/>
    <w:rsid w:val="00452DF6"/>
    <w:rsid w:val="00453470"/>
    <w:rsid w:val="00453BBA"/>
    <w:rsid w:val="0045455A"/>
    <w:rsid w:val="00454891"/>
    <w:rsid w:val="004548E5"/>
    <w:rsid w:val="0045566B"/>
    <w:rsid w:val="004573A4"/>
    <w:rsid w:val="004575A8"/>
    <w:rsid w:val="00457646"/>
    <w:rsid w:val="00457885"/>
    <w:rsid w:val="00460269"/>
    <w:rsid w:val="00461081"/>
    <w:rsid w:val="00461163"/>
    <w:rsid w:val="004612CD"/>
    <w:rsid w:val="004617CC"/>
    <w:rsid w:val="00461CD4"/>
    <w:rsid w:val="004621D3"/>
    <w:rsid w:val="0046296D"/>
    <w:rsid w:val="00463C78"/>
    <w:rsid w:val="0046428E"/>
    <w:rsid w:val="004645A8"/>
    <w:rsid w:val="00464CE7"/>
    <w:rsid w:val="00464F7A"/>
    <w:rsid w:val="0046559B"/>
    <w:rsid w:val="00465600"/>
    <w:rsid w:val="00465797"/>
    <w:rsid w:val="004659FA"/>
    <w:rsid w:val="00465B83"/>
    <w:rsid w:val="00465FB2"/>
    <w:rsid w:val="00467208"/>
    <w:rsid w:val="00467381"/>
    <w:rsid w:val="004674CC"/>
    <w:rsid w:val="00470C14"/>
    <w:rsid w:val="00470D00"/>
    <w:rsid w:val="004710D7"/>
    <w:rsid w:val="00471AE7"/>
    <w:rsid w:val="0047207E"/>
    <w:rsid w:val="004721EE"/>
    <w:rsid w:val="00472549"/>
    <w:rsid w:val="00472649"/>
    <w:rsid w:val="00472E4B"/>
    <w:rsid w:val="004736E2"/>
    <w:rsid w:val="0047388D"/>
    <w:rsid w:val="0047398A"/>
    <w:rsid w:val="00473EEC"/>
    <w:rsid w:val="00474140"/>
    <w:rsid w:val="004741C0"/>
    <w:rsid w:val="004746D9"/>
    <w:rsid w:val="00474D12"/>
    <w:rsid w:val="00474EFD"/>
    <w:rsid w:val="004750B1"/>
    <w:rsid w:val="004757B9"/>
    <w:rsid w:val="00475BE8"/>
    <w:rsid w:val="00475C92"/>
    <w:rsid w:val="00475CCE"/>
    <w:rsid w:val="00475EDC"/>
    <w:rsid w:val="004763B6"/>
    <w:rsid w:val="0047667C"/>
    <w:rsid w:val="004769B6"/>
    <w:rsid w:val="00476C1C"/>
    <w:rsid w:val="0047702D"/>
    <w:rsid w:val="004776E7"/>
    <w:rsid w:val="00477928"/>
    <w:rsid w:val="00477AD1"/>
    <w:rsid w:val="00477D5C"/>
    <w:rsid w:val="00480373"/>
    <w:rsid w:val="00481DC5"/>
    <w:rsid w:val="00482BFA"/>
    <w:rsid w:val="00483525"/>
    <w:rsid w:val="00483A90"/>
    <w:rsid w:val="00483DDB"/>
    <w:rsid w:val="00484197"/>
    <w:rsid w:val="00484C32"/>
    <w:rsid w:val="00484F6F"/>
    <w:rsid w:val="0048531B"/>
    <w:rsid w:val="00485495"/>
    <w:rsid w:val="004854F3"/>
    <w:rsid w:val="00485F01"/>
    <w:rsid w:val="004871D2"/>
    <w:rsid w:val="00487B0B"/>
    <w:rsid w:val="00490058"/>
    <w:rsid w:val="0049046F"/>
    <w:rsid w:val="0049052E"/>
    <w:rsid w:val="0049067F"/>
    <w:rsid w:val="00490D57"/>
    <w:rsid w:val="00490E4B"/>
    <w:rsid w:val="00490EF6"/>
    <w:rsid w:val="00490F1B"/>
    <w:rsid w:val="00491057"/>
    <w:rsid w:val="00491516"/>
    <w:rsid w:val="00491761"/>
    <w:rsid w:val="00492572"/>
    <w:rsid w:val="00492B10"/>
    <w:rsid w:val="00492E74"/>
    <w:rsid w:val="00493657"/>
    <w:rsid w:val="004939A3"/>
    <w:rsid w:val="00493EB7"/>
    <w:rsid w:val="00494815"/>
    <w:rsid w:val="00494BEA"/>
    <w:rsid w:val="00494F5C"/>
    <w:rsid w:val="00497507"/>
    <w:rsid w:val="00497A3D"/>
    <w:rsid w:val="00497B27"/>
    <w:rsid w:val="00497E16"/>
    <w:rsid w:val="00497F18"/>
    <w:rsid w:val="004A00DD"/>
    <w:rsid w:val="004A03E6"/>
    <w:rsid w:val="004A0909"/>
    <w:rsid w:val="004A0912"/>
    <w:rsid w:val="004A11A9"/>
    <w:rsid w:val="004A149C"/>
    <w:rsid w:val="004A1652"/>
    <w:rsid w:val="004A221D"/>
    <w:rsid w:val="004A2330"/>
    <w:rsid w:val="004A25DF"/>
    <w:rsid w:val="004A29B3"/>
    <w:rsid w:val="004A324A"/>
    <w:rsid w:val="004A3333"/>
    <w:rsid w:val="004A3DAF"/>
    <w:rsid w:val="004A418F"/>
    <w:rsid w:val="004A41B8"/>
    <w:rsid w:val="004A4831"/>
    <w:rsid w:val="004A48AA"/>
    <w:rsid w:val="004A49C8"/>
    <w:rsid w:val="004A4B5D"/>
    <w:rsid w:val="004A4B7E"/>
    <w:rsid w:val="004A4DCA"/>
    <w:rsid w:val="004A510A"/>
    <w:rsid w:val="004A5449"/>
    <w:rsid w:val="004A6070"/>
    <w:rsid w:val="004A6266"/>
    <w:rsid w:val="004A63CA"/>
    <w:rsid w:val="004A69CC"/>
    <w:rsid w:val="004A6BAF"/>
    <w:rsid w:val="004A6E96"/>
    <w:rsid w:val="004A71E5"/>
    <w:rsid w:val="004A726F"/>
    <w:rsid w:val="004A7ADB"/>
    <w:rsid w:val="004B0284"/>
    <w:rsid w:val="004B0A52"/>
    <w:rsid w:val="004B1115"/>
    <w:rsid w:val="004B1883"/>
    <w:rsid w:val="004B2442"/>
    <w:rsid w:val="004B2A7C"/>
    <w:rsid w:val="004B2B3B"/>
    <w:rsid w:val="004B3245"/>
    <w:rsid w:val="004B35FC"/>
    <w:rsid w:val="004B483C"/>
    <w:rsid w:val="004B4B19"/>
    <w:rsid w:val="004B552F"/>
    <w:rsid w:val="004B575D"/>
    <w:rsid w:val="004B57ED"/>
    <w:rsid w:val="004B6166"/>
    <w:rsid w:val="004B6773"/>
    <w:rsid w:val="004B6A21"/>
    <w:rsid w:val="004B721E"/>
    <w:rsid w:val="004B7372"/>
    <w:rsid w:val="004B7B7F"/>
    <w:rsid w:val="004B7F9C"/>
    <w:rsid w:val="004C05EA"/>
    <w:rsid w:val="004C0909"/>
    <w:rsid w:val="004C21B3"/>
    <w:rsid w:val="004C26A2"/>
    <w:rsid w:val="004C2721"/>
    <w:rsid w:val="004C3677"/>
    <w:rsid w:val="004C3759"/>
    <w:rsid w:val="004C3A14"/>
    <w:rsid w:val="004C3AD9"/>
    <w:rsid w:val="004C3BBA"/>
    <w:rsid w:val="004C45D2"/>
    <w:rsid w:val="004C4BE6"/>
    <w:rsid w:val="004C4D0D"/>
    <w:rsid w:val="004C4E01"/>
    <w:rsid w:val="004C507B"/>
    <w:rsid w:val="004C5180"/>
    <w:rsid w:val="004C5346"/>
    <w:rsid w:val="004C5F7E"/>
    <w:rsid w:val="004C66B0"/>
    <w:rsid w:val="004C69C4"/>
    <w:rsid w:val="004C6F4A"/>
    <w:rsid w:val="004C7B42"/>
    <w:rsid w:val="004C7F53"/>
    <w:rsid w:val="004D0155"/>
    <w:rsid w:val="004D037A"/>
    <w:rsid w:val="004D07EF"/>
    <w:rsid w:val="004D0A74"/>
    <w:rsid w:val="004D0A78"/>
    <w:rsid w:val="004D0E10"/>
    <w:rsid w:val="004D23A9"/>
    <w:rsid w:val="004D23AF"/>
    <w:rsid w:val="004D267E"/>
    <w:rsid w:val="004D3107"/>
    <w:rsid w:val="004D3B0B"/>
    <w:rsid w:val="004D3D31"/>
    <w:rsid w:val="004D4A4B"/>
    <w:rsid w:val="004D4AF2"/>
    <w:rsid w:val="004D5337"/>
    <w:rsid w:val="004D55F5"/>
    <w:rsid w:val="004D575F"/>
    <w:rsid w:val="004D59E6"/>
    <w:rsid w:val="004D5A34"/>
    <w:rsid w:val="004D6264"/>
    <w:rsid w:val="004D66DE"/>
    <w:rsid w:val="004D696B"/>
    <w:rsid w:val="004D6CC7"/>
    <w:rsid w:val="004E00AE"/>
    <w:rsid w:val="004E0294"/>
    <w:rsid w:val="004E193D"/>
    <w:rsid w:val="004E1C6E"/>
    <w:rsid w:val="004E2112"/>
    <w:rsid w:val="004E2313"/>
    <w:rsid w:val="004E2594"/>
    <w:rsid w:val="004E2CC2"/>
    <w:rsid w:val="004E312B"/>
    <w:rsid w:val="004E3A10"/>
    <w:rsid w:val="004E3BC3"/>
    <w:rsid w:val="004E3D95"/>
    <w:rsid w:val="004E3F99"/>
    <w:rsid w:val="004E425C"/>
    <w:rsid w:val="004E4E54"/>
    <w:rsid w:val="004E54AC"/>
    <w:rsid w:val="004E5A53"/>
    <w:rsid w:val="004E61BE"/>
    <w:rsid w:val="004E74D0"/>
    <w:rsid w:val="004E7AA5"/>
    <w:rsid w:val="004E7E61"/>
    <w:rsid w:val="004E7EA5"/>
    <w:rsid w:val="004F092E"/>
    <w:rsid w:val="004F0A32"/>
    <w:rsid w:val="004F0F9D"/>
    <w:rsid w:val="004F15C5"/>
    <w:rsid w:val="004F2604"/>
    <w:rsid w:val="004F2717"/>
    <w:rsid w:val="004F28F4"/>
    <w:rsid w:val="004F2A88"/>
    <w:rsid w:val="004F3A89"/>
    <w:rsid w:val="004F4AD4"/>
    <w:rsid w:val="004F5EFA"/>
    <w:rsid w:val="004F5F9B"/>
    <w:rsid w:val="004F6833"/>
    <w:rsid w:val="004F6A90"/>
    <w:rsid w:val="004F7613"/>
    <w:rsid w:val="00500824"/>
    <w:rsid w:val="00500950"/>
    <w:rsid w:val="00500D23"/>
    <w:rsid w:val="00501704"/>
    <w:rsid w:val="00502099"/>
    <w:rsid w:val="005025F3"/>
    <w:rsid w:val="00502D12"/>
    <w:rsid w:val="0050423F"/>
    <w:rsid w:val="0050534C"/>
    <w:rsid w:val="00505430"/>
    <w:rsid w:val="005055DF"/>
    <w:rsid w:val="00505627"/>
    <w:rsid w:val="00505A35"/>
    <w:rsid w:val="00505E40"/>
    <w:rsid w:val="00506372"/>
    <w:rsid w:val="005063EE"/>
    <w:rsid w:val="00506989"/>
    <w:rsid w:val="00506B26"/>
    <w:rsid w:val="00506C3D"/>
    <w:rsid w:val="00506C6E"/>
    <w:rsid w:val="00507838"/>
    <w:rsid w:val="00507B49"/>
    <w:rsid w:val="00510909"/>
    <w:rsid w:val="00510AE7"/>
    <w:rsid w:val="005111B3"/>
    <w:rsid w:val="0051169F"/>
    <w:rsid w:val="00511945"/>
    <w:rsid w:val="0051255E"/>
    <w:rsid w:val="00512E97"/>
    <w:rsid w:val="00512F0F"/>
    <w:rsid w:val="00512F86"/>
    <w:rsid w:val="0051338A"/>
    <w:rsid w:val="00513395"/>
    <w:rsid w:val="005133CB"/>
    <w:rsid w:val="005138AF"/>
    <w:rsid w:val="00513F42"/>
    <w:rsid w:val="00514268"/>
    <w:rsid w:val="005146FE"/>
    <w:rsid w:val="00514D2B"/>
    <w:rsid w:val="00514D6E"/>
    <w:rsid w:val="00515D0E"/>
    <w:rsid w:val="00515F93"/>
    <w:rsid w:val="00516312"/>
    <w:rsid w:val="005168EE"/>
    <w:rsid w:val="00516B2F"/>
    <w:rsid w:val="005173BA"/>
    <w:rsid w:val="005174E4"/>
    <w:rsid w:val="00517755"/>
    <w:rsid w:val="00517B3B"/>
    <w:rsid w:val="00517C05"/>
    <w:rsid w:val="005205AE"/>
    <w:rsid w:val="00520897"/>
    <w:rsid w:val="00520A18"/>
    <w:rsid w:val="00520FD5"/>
    <w:rsid w:val="00521BB2"/>
    <w:rsid w:val="00522191"/>
    <w:rsid w:val="0052260E"/>
    <w:rsid w:val="0052286E"/>
    <w:rsid w:val="00522A65"/>
    <w:rsid w:val="00522EBC"/>
    <w:rsid w:val="00522F1A"/>
    <w:rsid w:val="00523871"/>
    <w:rsid w:val="00523A9F"/>
    <w:rsid w:val="00524C77"/>
    <w:rsid w:val="005259B7"/>
    <w:rsid w:val="005259C5"/>
    <w:rsid w:val="005263E6"/>
    <w:rsid w:val="0052685B"/>
    <w:rsid w:val="005275F1"/>
    <w:rsid w:val="00527A44"/>
    <w:rsid w:val="00527BB2"/>
    <w:rsid w:val="00527C3D"/>
    <w:rsid w:val="00527F9E"/>
    <w:rsid w:val="00530189"/>
    <w:rsid w:val="00530AE7"/>
    <w:rsid w:val="005315D9"/>
    <w:rsid w:val="00532192"/>
    <w:rsid w:val="0053239D"/>
    <w:rsid w:val="00532533"/>
    <w:rsid w:val="0053308F"/>
    <w:rsid w:val="005331D3"/>
    <w:rsid w:val="005335A9"/>
    <w:rsid w:val="00533884"/>
    <w:rsid w:val="005340EF"/>
    <w:rsid w:val="00534593"/>
    <w:rsid w:val="00535A26"/>
    <w:rsid w:val="005362AF"/>
    <w:rsid w:val="00536A27"/>
    <w:rsid w:val="00536ED4"/>
    <w:rsid w:val="005370AB"/>
    <w:rsid w:val="00537EE9"/>
    <w:rsid w:val="005400FA"/>
    <w:rsid w:val="00540BFA"/>
    <w:rsid w:val="00540F87"/>
    <w:rsid w:val="00541478"/>
    <w:rsid w:val="005417F3"/>
    <w:rsid w:val="00542564"/>
    <w:rsid w:val="00543D60"/>
    <w:rsid w:val="0054462D"/>
    <w:rsid w:val="00544A70"/>
    <w:rsid w:val="0054511E"/>
    <w:rsid w:val="005451F5"/>
    <w:rsid w:val="00545CD3"/>
    <w:rsid w:val="00546913"/>
    <w:rsid w:val="00546A0F"/>
    <w:rsid w:val="00546E0C"/>
    <w:rsid w:val="0054753B"/>
    <w:rsid w:val="0055088F"/>
    <w:rsid w:val="005513FF"/>
    <w:rsid w:val="00551A03"/>
    <w:rsid w:val="00551EDA"/>
    <w:rsid w:val="005527C3"/>
    <w:rsid w:val="00552D43"/>
    <w:rsid w:val="00553043"/>
    <w:rsid w:val="00553764"/>
    <w:rsid w:val="00553BDF"/>
    <w:rsid w:val="00553DF7"/>
    <w:rsid w:val="00554208"/>
    <w:rsid w:val="00554813"/>
    <w:rsid w:val="0055483D"/>
    <w:rsid w:val="00554D2A"/>
    <w:rsid w:val="0055509F"/>
    <w:rsid w:val="005550D9"/>
    <w:rsid w:val="00555199"/>
    <w:rsid w:val="0055529F"/>
    <w:rsid w:val="00555B6A"/>
    <w:rsid w:val="00555D3C"/>
    <w:rsid w:val="00555FF7"/>
    <w:rsid w:val="0055613A"/>
    <w:rsid w:val="0055619E"/>
    <w:rsid w:val="005566DF"/>
    <w:rsid w:val="00556703"/>
    <w:rsid w:val="0055692D"/>
    <w:rsid w:val="00557BF9"/>
    <w:rsid w:val="0056069D"/>
    <w:rsid w:val="00561435"/>
    <w:rsid w:val="005614CD"/>
    <w:rsid w:val="005615FE"/>
    <w:rsid w:val="00561845"/>
    <w:rsid w:val="005620DD"/>
    <w:rsid w:val="0056263A"/>
    <w:rsid w:val="005627C3"/>
    <w:rsid w:val="005633BC"/>
    <w:rsid w:val="00563462"/>
    <w:rsid w:val="005639E2"/>
    <w:rsid w:val="00563E8F"/>
    <w:rsid w:val="00564149"/>
    <w:rsid w:val="00564BE1"/>
    <w:rsid w:val="00564EAE"/>
    <w:rsid w:val="0056584D"/>
    <w:rsid w:val="00565E41"/>
    <w:rsid w:val="00565FD7"/>
    <w:rsid w:val="005664C7"/>
    <w:rsid w:val="005665FC"/>
    <w:rsid w:val="005667ED"/>
    <w:rsid w:val="005669E4"/>
    <w:rsid w:val="00566CAD"/>
    <w:rsid w:val="00566FBE"/>
    <w:rsid w:val="00567297"/>
    <w:rsid w:val="0056766C"/>
    <w:rsid w:val="00567981"/>
    <w:rsid w:val="00567EF4"/>
    <w:rsid w:val="005707C1"/>
    <w:rsid w:val="0057124C"/>
    <w:rsid w:val="00571674"/>
    <w:rsid w:val="00571909"/>
    <w:rsid w:val="005725FA"/>
    <w:rsid w:val="005727AB"/>
    <w:rsid w:val="005730F2"/>
    <w:rsid w:val="00573481"/>
    <w:rsid w:val="005738D4"/>
    <w:rsid w:val="00574283"/>
    <w:rsid w:val="0057484A"/>
    <w:rsid w:val="005748A3"/>
    <w:rsid w:val="005757CC"/>
    <w:rsid w:val="00575B85"/>
    <w:rsid w:val="00576328"/>
    <w:rsid w:val="0057690E"/>
    <w:rsid w:val="00576B86"/>
    <w:rsid w:val="00576FE6"/>
    <w:rsid w:val="005771D0"/>
    <w:rsid w:val="005779CC"/>
    <w:rsid w:val="00577B11"/>
    <w:rsid w:val="005800FB"/>
    <w:rsid w:val="00580A2B"/>
    <w:rsid w:val="00580A71"/>
    <w:rsid w:val="005812E8"/>
    <w:rsid w:val="00581567"/>
    <w:rsid w:val="00581C2B"/>
    <w:rsid w:val="0058259C"/>
    <w:rsid w:val="00582EE9"/>
    <w:rsid w:val="005839ED"/>
    <w:rsid w:val="00584733"/>
    <w:rsid w:val="00584938"/>
    <w:rsid w:val="005859A6"/>
    <w:rsid w:val="00585FAE"/>
    <w:rsid w:val="005860DE"/>
    <w:rsid w:val="00586E7D"/>
    <w:rsid w:val="0059152E"/>
    <w:rsid w:val="005919B6"/>
    <w:rsid w:val="00591AC8"/>
    <w:rsid w:val="00591BE5"/>
    <w:rsid w:val="00592609"/>
    <w:rsid w:val="00592914"/>
    <w:rsid w:val="00592B08"/>
    <w:rsid w:val="00592E99"/>
    <w:rsid w:val="0059365E"/>
    <w:rsid w:val="00593B5E"/>
    <w:rsid w:val="00593C8E"/>
    <w:rsid w:val="005944BF"/>
    <w:rsid w:val="005945A9"/>
    <w:rsid w:val="005947E2"/>
    <w:rsid w:val="0059501E"/>
    <w:rsid w:val="00595665"/>
    <w:rsid w:val="00596242"/>
    <w:rsid w:val="005963CD"/>
    <w:rsid w:val="0059653B"/>
    <w:rsid w:val="005966E4"/>
    <w:rsid w:val="00596707"/>
    <w:rsid w:val="0059683C"/>
    <w:rsid w:val="00596B38"/>
    <w:rsid w:val="005977A2"/>
    <w:rsid w:val="005A04C8"/>
    <w:rsid w:val="005A10FA"/>
    <w:rsid w:val="005A1A52"/>
    <w:rsid w:val="005A24B4"/>
    <w:rsid w:val="005A280D"/>
    <w:rsid w:val="005A2C17"/>
    <w:rsid w:val="005A32E8"/>
    <w:rsid w:val="005A3ACE"/>
    <w:rsid w:val="005A42E2"/>
    <w:rsid w:val="005A46D3"/>
    <w:rsid w:val="005A4A8B"/>
    <w:rsid w:val="005A51F3"/>
    <w:rsid w:val="005A5358"/>
    <w:rsid w:val="005A5B01"/>
    <w:rsid w:val="005A60FF"/>
    <w:rsid w:val="005A65C8"/>
    <w:rsid w:val="005A6A4E"/>
    <w:rsid w:val="005A6C9C"/>
    <w:rsid w:val="005A71D5"/>
    <w:rsid w:val="005A7822"/>
    <w:rsid w:val="005A79D5"/>
    <w:rsid w:val="005B17A2"/>
    <w:rsid w:val="005B1B98"/>
    <w:rsid w:val="005B2156"/>
    <w:rsid w:val="005B287E"/>
    <w:rsid w:val="005B28F2"/>
    <w:rsid w:val="005B2E0E"/>
    <w:rsid w:val="005B3608"/>
    <w:rsid w:val="005B46B9"/>
    <w:rsid w:val="005B4AEB"/>
    <w:rsid w:val="005B4B39"/>
    <w:rsid w:val="005B5391"/>
    <w:rsid w:val="005B5592"/>
    <w:rsid w:val="005B55FF"/>
    <w:rsid w:val="005B6BE2"/>
    <w:rsid w:val="005B711A"/>
    <w:rsid w:val="005B7368"/>
    <w:rsid w:val="005B790D"/>
    <w:rsid w:val="005B7BB9"/>
    <w:rsid w:val="005B7C61"/>
    <w:rsid w:val="005B7E04"/>
    <w:rsid w:val="005B7E84"/>
    <w:rsid w:val="005C0928"/>
    <w:rsid w:val="005C0A3B"/>
    <w:rsid w:val="005C0BF0"/>
    <w:rsid w:val="005C0C26"/>
    <w:rsid w:val="005C1132"/>
    <w:rsid w:val="005C13C3"/>
    <w:rsid w:val="005C1F90"/>
    <w:rsid w:val="005C1FF2"/>
    <w:rsid w:val="005C201D"/>
    <w:rsid w:val="005C240E"/>
    <w:rsid w:val="005C24EB"/>
    <w:rsid w:val="005C31F0"/>
    <w:rsid w:val="005C3394"/>
    <w:rsid w:val="005C38A3"/>
    <w:rsid w:val="005C38D3"/>
    <w:rsid w:val="005C3E28"/>
    <w:rsid w:val="005C4B3D"/>
    <w:rsid w:val="005C5CA1"/>
    <w:rsid w:val="005C5CD7"/>
    <w:rsid w:val="005C5FC1"/>
    <w:rsid w:val="005C6091"/>
    <w:rsid w:val="005C68A3"/>
    <w:rsid w:val="005C7123"/>
    <w:rsid w:val="005C7377"/>
    <w:rsid w:val="005C7C17"/>
    <w:rsid w:val="005C7E83"/>
    <w:rsid w:val="005D0732"/>
    <w:rsid w:val="005D0B12"/>
    <w:rsid w:val="005D0D08"/>
    <w:rsid w:val="005D1270"/>
    <w:rsid w:val="005D1594"/>
    <w:rsid w:val="005D2438"/>
    <w:rsid w:val="005D302C"/>
    <w:rsid w:val="005D35E9"/>
    <w:rsid w:val="005D3A3E"/>
    <w:rsid w:val="005D3DD9"/>
    <w:rsid w:val="005D419E"/>
    <w:rsid w:val="005D4FBA"/>
    <w:rsid w:val="005D5250"/>
    <w:rsid w:val="005D59AF"/>
    <w:rsid w:val="005D5D14"/>
    <w:rsid w:val="005D5F06"/>
    <w:rsid w:val="005D61B1"/>
    <w:rsid w:val="005D61F4"/>
    <w:rsid w:val="005D65BC"/>
    <w:rsid w:val="005D6A4B"/>
    <w:rsid w:val="005D7170"/>
    <w:rsid w:val="005D75E3"/>
    <w:rsid w:val="005D76CB"/>
    <w:rsid w:val="005D795F"/>
    <w:rsid w:val="005D7C13"/>
    <w:rsid w:val="005E0B65"/>
    <w:rsid w:val="005E0E16"/>
    <w:rsid w:val="005E147A"/>
    <w:rsid w:val="005E16B0"/>
    <w:rsid w:val="005E1898"/>
    <w:rsid w:val="005E191E"/>
    <w:rsid w:val="005E1ACB"/>
    <w:rsid w:val="005E1F0E"/>
    <w:rsid w:val="005E23B0"/>
    <w:rsid w:val="005E25DD"/>
    <w:rsid w:val="005E2D7C"/>
    <w:rsid w:val="005E2FFC"/>
    <w:rsid w:val="005E3039"/>
    <w:rsid w:val="005E38A1"/>
    <w:rsid w:val="005E3C5E"/>
    <w:rsid w:val="005E3DCC"/>
    <w:rsid w:val="005E40FF"/>
    <w:rsid w:val="005E4499"/>
    <w:rsid w:val="005E48FE"/>
    <w:rsid w:val="005E49CF"/>
    <w:rsid w:val="005E4F47"/>
    <w:rsid w:val="005E511F"/>
    <w:rsid w:val="005E56C3"/>
    <w:rsid w:val="005E5D5F"/>
    <w:rsid w:val="005E6DDC"/>
    <w:rsid w:val="005E6E26"/>
    <w:rsid w:val="005F06E7"/>
    <w:rsid w:val="005F07FF"/>
    <w:rsid w:val="005F1DD0"/>
    <w:rsid w:val="005F2EE5"/>
    <w:rsid w:val="005F2FE6"/>
    <w:rsid w:val="005F395C"/>
    <w:rsid w:val="005F39EE"/>
    <w:rsid w:val="005F3AD4"/>
    <w:rsid w:val="005F5227"/>
    <w:rsid w:val="005F5938"/>
    <w:rsid w:val="005F5CAE"/>
    <w:rsid w:val="005F5FFB"/>
    <w:rsid w:val="005F64C0"/>
    <w:rsid w:val="005F6A5F"/>
    <w:rsid w:val="005F7480"/>
    <w:rsid w:val="005F75EB"/>
    <w:rsid w:val="005F7706"/>
    <w:rsid w:val="005F7948"/>
    <w:rsid w:val="005F7C0F"/>
    <w:rsid w:val="005F7CA4"/>
    <w:rsid w:val="006000D8"/>
    <w:rsid w:val="00600116"/>
    <w:rsid w:val="00600278"/>
    <w:rsid w:val="006005FC"/>
    <w:rsid w:val="0060069D"/>
    <w:rsid w:val="00601201"/>
    <w:rsid w:val="0060137C"/>
    <w:rsid w:val="00601787"/>
    <w:rsid w:val="0060178D"/>
    <w:rsid w:val="006019DF"/>
    <w:rsid w:val="00601AE8"/>
    <w:rsid w:val="00601CC8"/>
    <w:rsid w:val="00601F8A"/>
    <w:rsid w:val="0060217F"/>
    <w:rsid w:val="0060223E"/>
    <w:rsid w:val="006022D2"/>
    <w:rsid w:val="006028EA"/>
    <w:rsid w:val="00602A24"/>
    <w:rsid w:val="00603419"/>
    <w:rsid w:val="00603BB2"/>
    <w:rsid w:val="006041F0"/>
    <w:rsid w:val="00604A98"/>
    <w:rsid w:val="0060541B"/>
    <w:rsid w:val="0060544A"/>
    <w:rsid w:val="006054D8"/>
    <w:rsid w:val="006058CD"/>
    <w:rsid w:val="00605BD0"/>
    <w:rsid w:val="00605EBC"/>
    <w:rsid w:val="00605F72"/>
    <w:rsid w:val="0060690C"/>
    <w:rsid w:val="00607030"/>
    <w:rsid w:val="00607625"/>
    <w:rsid w:val="0060778D"/>
    <w:rsid w:val="00610016"/>
    <w:rsid w:val="00610B9D"/>
    <w:rsid w:val="00610CDC"/>
    <w:rsid w:val="00610D2D"/>
    <w:rsid w:val="00611413"/>
    <w:rsid w:val="00611490"/>
    <w:rsid w:val="006118D4"/>
    <w:rsid w:val="00611908"/>
    <w:rsid w:val="00611B67"/>
    <w:rsid w:val="00611DD1"/>
    <w:rsid w:val="00611E17"/>
    <w:rsid w:val="006124FA"/>
    <w:rsid w:val="006127D3"/>
    <w:rsid w:val="00612FBB"/>
    <w:rsid w:val="00613F3F"/>
    <w:rsid w:val="006141C2"/>
    <w:rsid w:val="006143C6"/>
    <w:rsid w:val="006146D5"/>
    <w:rsid w:val="00614ABE"/>
    <w:rsid w:val="00615207"/>
    <w:rsid w:val="00615366"/>
    <w:rsid w:val="00615367"/>
    <w:rsid w:val="006155B1"/>
    <w:rsid w:val="00615B9B"/>
    <w:rsid w:val="00615F71"/>
    <w:rsid w:val="0061698A"/>
    <w:rsid w:val="00616EC3"/>
    <w:rsid w:val="0061734D"/>
    <w:rsid w:val="00617931"/>
    <w:rsid w:val="00617D1C"/>
    <w:rsid w:val="00617FA1"/>
    <w:rsid w:val="00620148"/>
    <w:rsid w:val="006201E5"/>
    <w:rsid w:val="00620238"/>
    <w:rsid w:val="0062062D"/>
    <w:rsid w:val="00620980"/>
    <w:rsid w:val="00621140"/>
    <w:rsid w:val="0062192B"/>
    <w:rsid w:val="00622A8D"/>
    <w:rsid w:val="00623040"/>
    <w:rsid w:val="006235B7"/>
    <w:rsid w:val="006240DD"/>
    <w:rsid w:val="00624151"/>
    <w:rsid w:val="006241CB"/>
    <w:rsid w:val="0062425E"/>
    <w:rsid w:val="0062457E"/>
    <w:rsid w:val="00625005"/>
    <w:rsid w:val="006259EE"/>
    <w:rsid w:val="00625B5E"/>
    <w:rsid w:val="00625D93"/>
    <w:rsid w:val="006261A9"/>
    <w:rsid w:val="00626DB7"/>
    <w:rsid w:val="00626F9D"/>
    <w:rsid w:val="00626FF0"/>
    <w:rsid w:val="006270A1"/>
    <w:rsid w:val="00627A9B"/>
    <w:rsid w:val="00627DC9"/>
    <w:rsid w:val="00627E27"/>
    <w:rsid w:val="006303B3"/>
    <w:rsid w:val="00630740"/>
    <w:rsid w:val="00630DFD"/>
    <w:rsid w:val="00630F3F"/>
    <w:rsid w:val="006310F0"/>
    <w:rsid w:val="006313C4"/>
    <w:rsid w:val="00631A43"/>
    <w:rsid w:val="00631CA8"/>
    <w:rsid w:val="00632675"/>
    <w:rsid w:val="006338F4"/>
    <w:rsid w:val="00633A73"/>
    <w:rsid w:val="00633E12"/>
    <w:rsid w:val="00633F2E"/>
    <w:rsid w:val="006346BC"/>
    <w:rsid w:val="006349AF"/>
    <w:rsid w:val="00634AF1"/>
    <w:rsid w:val="00635268"/>
    <w:rsid w:val="0063559C"/>
    <w:rsid w:val="006356ED"/>
    <w:rsid w:val="006357EA"/>
    <w:rsid w:val="00635875"/>
    <w:rsid w:val="006362C6"/>
    <w:rsid w:val="00636385"/>
    <w:rsid w:val="00636F99"/>
    <w:rsid w:val="0063700C"/>
    <w:rsid w:val="00637509"/>
    <w:rsid w:val="00637A4E"/>
    <w:rsid w:val="00637AD8"/>
    <w:rsid w:val="00640093"/>
    <w:rsid w:val="006408D3"/>
    <w:rsid w:val="0064093F"/>
    <w:rsid w:val="00640D7A"/>
    <w:rsid w:val="00640E1F"/>
    <w:rsid w:val="00640ED7"/>
    <w:rsid w:val="006411F2"/>
    <w:rsid w:val="00641FE3"/>
    <w:rsid w:val="0064247A"/>
    <w:rsid w:val="00642A10"/>
    <w:rsid w:val="00642FB0"/>
    <w:rsid w:val="00643D65"/>
    <w:rsid w:val="006443B1"/>
    <w:rsid w:val="00644938"/>
    <w:rsid w:val="006450C8"/>
    <w:rsid w:val="0064541B"/>
    <w:rsid w:val="006465B1"/>
    <w:rsid w:val="00646805"/>
    <w:rsid w:val="00647AE1"/>
    <w:rsid w:val="00650214"/>
    <w:rsid w:val="00650C2A"/>
    <w:rsid w:val="00650CC6"/>
    <w:rsid w:val="0065106C"/>
    <w:rsid w:val="00651388"/>
    <w:rsid w:val="00651E62"/>
    <w:rsid w:val="00652CBF"/>
    <w:rsid w:val="0065331D"/>
    <w:rsid w:val="00653363"/>
    <w:rsid w:val="006542F5"/>
    <w:rsid w:val="00654434"/>
    <w:rsid w:val="00654C3D"/>
    <w:rsid w:val="00654C5B"/>
    <w:rsid w:val="006553E6"/>
    <w:rsid w:val="006557D6"/>
    <w:rsid w:val="00655B73"/>
    <w:rsid w:val="00656C05"/>
    <w:rsid w:val="00657167"/>
    <w:rsid w:val="00657994"/>
    <w:rsid w:val="00657A19"/>
    <w:rsid w:val="00660160"/>
    <w:rsid w:val="006604EC"/>
    <w:rsid w:val="00660953"/>
    <w:rsid w:val="00660A8D"/>
    <w:rsid w:val="00660FAE"/>
    <w:rsid w:val="0066120B"/>
    <w:rsid w:val="00661672"/>
    <w:rsid w:val="00661ACA"/>
    <w:rsid w:val="0066338C"/>
    <w:rsid w:val="00663D45"/>
    <w:rsid w:val="00664067"/>
    <w:rsid w:val="00664F9F"/>
    <w:rsid w:val="00665315"/>
    <w:rsid w:val="0066598D"/>
    <w:rsid w:val="006659E0"/>
    <w:rsid w:val="00665DB9"/>
    <w:rsid w:val="00665EC9"/>
    <w:rsid w:val="0066687A"/>
    <w:rsid w:val="006669E9"/>
    <w:rsid w:val="00666A36"/>
    <w:rsid w:val="00667910"/>
    <w:rsid w:val="00670AC2"/>
    <w:rsid w:val="00671039"/>
    <w:rsid w:val="006717C2"/>
    <w:rsid w:val="00671D8C"/>
    <w:rsid w:val="00671FC3"/>
    <w:rsid w:val="00672159"/>
    <w:rsid w:val="0067228C"/>
    <w:rsid w:val="006726B8"/>
    <w:rsid w:val="00672E8F"/>
    <w:rsid w:val="00673464"/>
    <w:rsid w:val="006735EE"/>
    <w:rsid w:val="0067372B"/>
    <w:rsid w:val="00673740"/>
    <w:rsid w:val="00674091"/>
    <w:rsid w:val="006742A6"/>
    <w:rsid w:val="006749E6"/>
    <w:rsid w:val="00674FCD"/>
    <w:rsid w:val="006758FD"/>
    <w:rsid w:val="00675A1C"/>
    <w:rsid w:val="00675B1D"/>
    <w:rsid w:val="00676270"/>
    <w:rsid w:val="00676D37"/>
    <w:rsid w:val="006770D5"/>
    <w:rsid w:val="0067717A"/>
    <w:rsid w:val="00677619"/>
    <w:rsid w:val="006777B9"/>
    <w:rsid w:val="00677975"/>
    <w:rsid w:val="006779C4"/>
    <w:rsid w:val="00677AE0"/>
    <w:rsid w:val="00680603"/>
    <w:rsid w:val="00680AAE"/>
    <w:rsid w:val="00681030"/>
    <w:rsid w:val="006815CA"/>
    <w:rsid w:val="00682766"/>
    <w:rsid w:val="00683F3E"/>
    <w:rsid w:val="0068401A"/>
    <w:rsid w:val="006841B7"/>
    <w:rsid w:val="00684284"/>
    <w:rsid w:val="0068469C"/>
    <w:rsid w:val="00684B8D"/>
    <w:rsid w:val="00684ED6"/>
    <w:rsid w:val="00685722"/>
    <w:rsid w:val="00685C86"/>
    <w:rsid w:val="00685F31"/>
    <w:rsid w:val="006867DC"/>
    <w:rsid w:val="00686A99"/>
    <w:rsid w:val="00687710"/>
    <w:rsid w:val="00687A52"/>
    <w:rsid w:val="00687AF3"/>
    <w:rsid w:val="00687B21"/>
    <w:rsid w:val="0069038F"/>
    <w:rsid w:val="0069053D"/>
    <w:rsid w:val="00690751"/>
    <w:rsid w:val="00690972"/>
    <w:rsid w:val="00690D36"/>
    <w:rsid w:val="00691C5B"/>
    <w:rsid w:val="006922F4"/>
    <w:rsid w:val="006927D7"/>
    <w:rsid w:val="00692871"/>
    <w:rsid w:val="00692B37"/>
    <w:rsid w:val="00693469"/>
    <w:rsid w:val="0069391A"/>
    <w:rsid w:val="0069402B"/>
    <w:rsid w:val="006944A8"/>
    <w:rsid w:val="00694C94"/>
    <w:rsid w:val="00695226"/>
    <w:rsid w:val="006952E8"/>
    <w:rsid w:val="00695B73"/>
    <w:rsid w:val="00695FAA"/>
    <w:rsid w:val="006962F0"/>
    <w:rsid w:val="00696597"/>
    <w:rsid w:val="006965DA"/>
    <w:rsid w:val="00696C23"/>
    <w:rsid w:val="00697774"/>
    <w:rsid w:val="006A00CD"/>
    <w:rsid w:val="006A09ED"/>
    <w:rsid w:val="006A0DEE"/>
    <w:rsid w:val="006A1186"/>
    <w:rsid w:val="006A142B"/>
    <w:rsid w:val="006A1794"/>
    <w:rsid w:val="006A2335"/>
    <w:rsid w:val="006A2359"/>
    <w:rsid w:val="006A330E"/>
    <w:rsid w:val="006A34F2"/>
    <w:rsid w:val="006A3C41"/>
    <w:rsid w:val="006A3EF8"/>
    <w:rsid w:val="006A3FD6"/>
    <w:rsid w:val="006A41AA"/>
    <w:rsid w:val="006A4AA3"/>
    <w:rsid w:val="006A527A"/>
    <w:rsid w:val="006A5520"/>
    <w:rsid w:val="006A5795"/>
    <w:rsid w:val="006A5D60"/>
    <w:rsid w:val="006A6214"/>
    <w:rsid w:val="006A627C"/>
    <w:rsid w:val="006A65CC"/>
    <w:rsid w:val="006A6A6C"/>
    <w:rsid w:val="006A7408"/>
    <w:rsid w:val="006A776B"/>
    <w:rsid w:val="006B000A"/>
    <w:rsid w:val="006B045C"/>
    <w:rsid w:val="006B0586"/>
    <w:rsid w:val="006B0663"/>
    <w:rsid w:val="006B0BC3"/>
    <w:rsid w:val="006B107C"/>
    <w:rsid w:val="006B148A"/>
    <w:rsid w:val="006B176E"/>
    <w:rsid w:val="006B1F52"/>
    <w:rsid w:val="006B29D4"/>
    <w:rsid w:val="006B2F66"/>
    <w:rsid w:val="006B3B99"/>
    <w:rsid w:val="006B3FA1"/>
    <w:rsid w:val="006B40D2"/>
    <w:rsid w:val="006B4912"/>
    <w:rsid w:val="006B4E99"/>
    <w:rsid w:val="006B5123"/>
    <w:rsid w:val="006B5A67"/>
    <w:rsid w:val="006B64EE"/>
    <w:rsid w:val="006B6C3D"/>
    <w:rsid w:val="006B6C9D"/>
    <w:rsid w:val="006B6D95"/>
    <w:rsid w:val="006B720B"/>
    <w:rsid w:val="006B75EE"/>
    <w:rsid w:val="006B797A"/>
    <w:rsid w:val="006B7F1C"/>
    <w:rsid w:val="006B7F73"/>
    <w:rsid w:val="006C0062"/>
    <w:rsid w:val="006C06F9"/>
    <w:rsid w:val="006C158D"/>
    <w:rsid w:val="006C160C"/>
    <w:rsid w:val="006C1E35"/>
    <w:rsid w:val="006C26F3"/>
    <w:rsid w:val="006C3502"/>
    <w:rsid w:val="006C3F49"/>
    <w:rsid w:val="006C415F"/>
    <w:rsid w:val="006C44A6"/>
    <w:rsid w:val="006C497B"/>
    <w:rsid w:val="006C551D"/>
    <w:rsid w:val="006C55F3"/>
    <w:rsid w:val="006C56F8"/>
    <w:rsid w:val="006C607E"/>
    <w:rsid w:val="006C6317"/>
    <w:rsid w:val="006C6993"/>
    <w:rsid w:val="006C6A68"/>
    <w:rsid w:val="006C6C08"/>
    <w:rsid w:val="006C6DA2"/>
    <w:rsid w:val="006D00EB"/>
    <w:rsid w:val="006D02C1"/>
    <w:rsid w:val="006D0E37"/>
    <w:rsid w:val="006D1727"/>
    <w:rsid w:val="006D237C"/>
    <w:rsid w:val="006D2447"/>
    <w:rsid w:val="006D2555"/>
    <w:rsid w:val="006D28E2"/>
    <w:rsid w:val="006D2D2E"/>
    <w:rsid w:val="006D3337"/>
    <w:rsid w:val="006D35EC"/>
    <w:rsid w:val="006D3703"/>
    <w:rsid w:val="006D5BC4"/>
    <w:rsid w:val="006D5CAE"/>
    <w:rsid w:val="006D5E9A"/>
    <w:rsid w:val="006D65FE"/>
    <w:rsid w:val="006D6859"/>
    <w:rsid w:val="006D7CA9"/>
    <w:rsid w:val="006E0313"/>
    <w:rsid w:val="006E103F"/>
    <w:rsid w:val="006E1146"/>
    <w:rsid w:val="006E15DE"/>
    <w:rsid w:val="006E163D"/>
    <w:rsid w:val="006E19D8"/>
    <w:rsid w:val="006E1F5B"/>
    <w:rsid w:val="006E2111"/>
    <w:rsid w:val="006E22E8"/>
    <w:rsid w:val="006E2376"/>
    <w:rsid w:val="006E2780"/>
    <w:rsid w:val="006E2D5B"/>
    <w:rsid w:val="006E30E9"/>
    <w:rsid w:val="006E3BDF"/>
    <w:rsid w:val="006E3D91"/>
    <w:rsid w:val="006E3FB7"/>
    <w:rsid w:val="006E4109"/>
    <w:rsid w:val="006E4624"/>
    <w:rsid w:val="006E511A"/>
    <w:rsid w:val="006E5866"/>
    <w:rsid w:val="006E593E"/>
    <w:rsid w:val="006E6092"/>
    <w:rsid w:val="006E651F"/>
    <w:rsid w:val="006E6738"/>
    <w:rsid w:val="006E6C39"/>
    <w:rsid w:val="006E7DB3"/>
    <w:rsid w:val="006E7E03"/>
    <w:rsid w:val="006F064E"/>
    <w:rsid w:val="006F0A88"/>
    <w:rsid w:val="006F0D26"/>
    <w:rsid w:val="006F15D6"/>
    <w:rsid w:val="006F18C8"/>
    <w:rsid w:val="006F1F2B"/>
    <w:rsid w:val="006F2311"/>
    <w:rsid w:val="006F2B72"/>
    <w:rsid w:val="006F31CC"/>
    <w:rsid w:val="006F33EB"/>
    <w:rsid w:val="006F35E7"/>
    <w:rsid w:val="006F41D9"/>
    <w:rsid w:val="006F449C"/>
    <w:rsid w:val="006F4708"/>
    <w:rsid w:val="006F488A"/>
    <w:rsid w:val="006F4F08"/>
    <w:rsid w:val="006F572A"/>
    <w:rsid w:val="006F58AB"/>
    <w:rsid w:val="006F5FEC"/>
    <w:rsid w:val="006F6204"/>
    <w:rsid w:val="006F6D4C"/>
    <w:rsid w:val="006F714A"/>
    <w:rsid w:val="006F72D4"/>
    <w:rsid w:val="006F73EB"/>
    <w:rsid w:val="007006D7"/>
    <w:rsid w:val="007007F6"/>
    <w:rsid w:val="007009E5"/>
    <w:rsid w:val="00700C8F"/>
    <w:rsid w:val="00700EA8"/>
    <w:rsid w:val="00700EB4"/>
    <w:rsid w:val="00700EFF"/>
    <w:rsid w:val="00701218"/>
    <w:rsid w:val="007016BB"/>
    <w:rsid w:val="0070177D"/>
    <w:rsid w:val="0070195B"/>
    <w:rsid w:val="00702698"/>
    <w:rsid w:val="00702FEE"/>
    <w:rsid w:val="00703968"/>
    <w:rsid w:val="00703B7E"/>
    <w:rsid w:val="00703CE2"/>
    <w:rsid w:val="0070410C"/>
    <w:rsid w:val="00704258"/>
    <w:rsid w:val="007044C2"/>
    <w:rsid w:val="00704563"/>
    <w:rsid w:val="0070493B"/>
    <w:rsid w:val="0070496D"/>
    <w:rsid w:val="0070563E"/>
    <w:rsid w:val="00705D37"/>
    <w:rsid w:val="00705E37"/>
    <w:rsid w:val="00706613"/>
    <w:rsid w:val="00707313"/>
    <w:rsid w:val="007073E0"/>
    <w:rsid w:val="0070770F"/>
    <w:rsid w:val="00707763"/>
    <w:rsid w:val="00707CD6"/>
    <w:rsid w:val="0071000B"/>
    <w:rsid w:val="00710224"/>
    <w:rsid w:val="0071053B"/>
    <w:rsid w:val="00710B03"/>
    <w:rsid w:val="00710C82"/>
    <w:rsid w:val="00710D9D"/>
    <w:rsid w:val="007110AA"/>
    <w:rsid w:val="00711102"/>
    <w:rsid w:val="007114EE"/>
    <w:rsid w:val="00711778"/>
    <w:rsid w:val="00712099"/>
    <w:rsid w:val="007122D5"/>
    <w:rsid w:val="00712425"/>
    <w:rsid w:val="00712513"/>
    <w:rsid w:val="00712960"/>
    <w:rsid w:val="00712E22"/>
    <w:rsid w:val="007130ED"/>
    <w:rsid w:val="00713397"/>
    <w:rsid w:val="00713A09"/>
    <w:rsid w:val="00713BC2"/>
    <w:rsid w:val="00714051"/>
    <w:rsid w:val="00714100"/>
    <w:rsid w:val="00715ED6"/>
    <w:rsid w:val="00716506"/>
    <w:rsid w:val="00716EE6"/>
    <w:rsid w:val="007172B1"/>
    <w:rsid w:val="007177DC"/>
    <w:rsid w:val="007203F8"/>
    <w:rsid w:val="0072136E"/>
    <w:rsid w:val="0072148D"/>
    <w:rsid w:val="00721C49"/>
    <w:rsid w:val="00721CAA"/>
    <w:rsid w:val="00721F22"/>
    <w:rsid w:val="007226B1"/>
    <w:rsid w:val="00722A76"/>
    <w:rsid w:val="00722DCF"/>
    <w:rsid w:val="00723457"/>
    <w:rsid w:val="00723CDD"/>
    <w:rsid w:val="00724080"/>
    <w:rsid w:val="007242B0"/>
    <w:rsid w:val="00724662"/>
    <w:rsid w:val="007246C4"/>
    <w:rsid w:val="007246D8"/>
    <w:rsid w:val="00724798"/>
    <w:rsid w:val="00725BBA"/>
    <w:rsid w:val="00725F73"/>
    <w:rsid w:val="00726D1F"/>
    <w:rsid w:val="00727169"/>
    <w:rsid w:val="007276F2"/>
    <w:rsid w:val="007279E9"/>
    <w:rsid w:val="007301E1"/>
    <w:rsid w:val="00730969"/>
    <w:rsid w:val="0073157B"/>
    <w:rsid w:val="007315ED"/>
    <w:rsid w:val="007318FA"/>
    <w:rsid w:val="00731BFE"/>
    <w:rsid w:val="00731C12"/>
    <w:rsid w:val="00731E01"/>
    <w:rsid w:val="00731EF5"/>
    <w:rsid w:val="00733824"/>
    <w:rsid w:val="007345E9"/>
    <w:rsid w:val="00734F76"/>
    <w:rsid w:val="00735086"/>
    <w:rsid w:val="00735C5D"/>
    <w:rsid w:val="007364BB"/>
    <w:rsid w:val="00737196"/>
    <w:rsid w:val="007371AA"/>
    <w:rsid w:val="007371BD"/>
    <w:rsid w:val="0073772E"/>
    <w:rsid w:val="007379CE"/>
    <w:rsid w:val="00737B1F"/>
    <w:rsid w:val="00737B80"/>
    <w:rsid w:val="00737CCF"/>
    <w:rsid w:val="00737D1D"/>
    <w:rsid w:val="00740351"/>
    <w:rsid w:val="0074064F"/>
    <w:rsid w:val="007406CD"/>
    <w:rsid w:val="00740E11"/>
    <w:rsid w:val="007412AB"/>
    <w:rsid w:val="00742B43"/>
    <w:rsid w:val="007436A2"/>
    <w:rsid w:val="00744138"/>
    <w:rsid w:val="007443C1"/>
    <w:rsid w:val="007444F9"/>
    <w:rsid w:val="007446FC"/>
    <w:rsid w:val="0074693C"/>
    <w:rsid w:val="0074694F"/>
    <w:rsid w:val="00746FF8"/>
    <w:rsid w:val="0074737C"/>
    <w:rsid w:val="007476B0"/>
    <w:rsid w:val="007476DF"/>
    <w:rsid w:val="00747BDA"/>
    <w:rsid w:val="00750929"/>
    <w:rsid w:val="00750DD1"/>
    <w:rsid w:val="0075148F"/>
    <w:rsid w:val="007519FA"/>
    <w:rsid w:val="00751DC6"/>
    <w:rsid w:val="00751F61"/>
    <w:rsid w:val="007528E9"/>
    <w:rsid w:val="0075291F"/>
    <w:rsid w:val="00752E33"/>
    <w:rsid w:val="00753183"/>
    <w:rsid w:val="007541FF"/>
    <w:rsid w:val="00754A23"/>
    <w:rsid w:val="00755360"/>
    <w:rsid w:val="007562A6"/>
    <w:rsid w:val="00756901"/>
    <w:rsid w:val="00756D7A"/>
    <w:rsid w:val="00757079"/>
    <w:rsid w:val="00757A21"/>
    <w:rsid w:val="00757D00"/>
    <w:rsid w:val="0076124C"/>
    <w:rsid w:val="0076155E"/>
    <w:rsid w:val="007615A9"/>
    <w:rsid w:val="00761B6F"/>
    <w:rsid w:val="007620E9"/>
    <w:rsid w:val="00762573"/>
    <w:rsid w:val="0076278C"/>
    <w:rsid w:val="00762AE8"/>
    <w:rsid w:val="00762E9E"/>
    <w:rsid w:val="00763305"/>
    <w:rsid w:val="007648FA"/>
    <w:rsid w:val="00764AE5"/>
    <w:rsid w:val="00764B88"/>
    <w:rsid w:val="0076538B"/>
    <w:rsid w:val="007654CA"/>
    <w:rsid w:val="00765902"/>
    <w:rsid w:val="00765B4B"/>
    <w:rsid w:val="00766A42"/>
    <w:rsid w:val="00766F95"/>
    <w:rsid w:val="00767CC6"/>
    <w:rsid w:val="0077044E"/>
    <w:rsid w:val="0077052C"/>
    <w:rsid w:val="007706F3"/>
    <w:rsid w:val="007708E2"/>
    <w:rsid w:val="007708E4"/>
    <w:rsid w:val="00770AE3"/>
    <w:rsid w:val="00770E64"/>
    <w:rsid w:val="0077146B"/>
    <w:rsid w:val="00771F76"/>
    <w:rsid w:val="007720FF"/>
    <w:rsid w:val="00772352"/>
    <w:rsid w:val="0077278D"/>
    <w:rsid w:val="00772C31"/>
    <w:rsid w:val="00773059"/>
    <w:rsid w:val="007738DD"/>
    <w:rsid w:val="00774255"/>
    <w:rsid w:val="00775855"/>
    <w:rsid w:val="00775F69"/>
    <w:rsid w:val="007760AE"/>
    <w:rsid w:val="0077615F"/>
    <w:rsid w:val="0077648D"/>
    <w:rsid w:val="00776B55"/>
    <w:rsid w:val="00777081"/>
    <w:rsid w:val="007770AA"/>
    <w:rsid w:val="00777460"/>
    <w:rsid w:val="00777622"/>
    <w:rsid w:val="00777FCC"/>
    <w:rsid w:val="0078029C"/>
    <w:rsid w:val="00780314"/>
    <w:rsid w:val="007803D3"/>
    <w:rsid w:val="00780525"/>
    <w:rsid w:val="0078066C"/>
    <w:rsid w:val="00780C09"/>
    <w:rsid w:val="00780D02"/>
    <w:rsid w:val="00780D72"/>
    <w:rsid w:val="007813F8"/>
    <w:rsid w:val="007816DE"/>
    <w:rsid w:val="00781910"/>
    <w:rsid w:val="00782027"/>
    <w:rsid w:val="007824D6"/>
    <w:rsid w:val="00782B36"/>
    <w:rsid w:val="00783323"/>
    <w:rsid w:val="00783493"/>
    <w:rsid w:val="0078379C"/>
    <w:rsid w:val="0078474B"/>
    <w:rsid w:val="00784991"/>
    <w:rsid w:val="00785347"/>
    <w:rsid w:val="007855FE"/>
    <w:rsid w:val="00785920"/>
    <w:rsid w:val="00785FA5"/>
    <w:rsid w:val="007873DD"/>
    <w:rsid w:val="007874BF"/>
    <w:rsid w:val="00787985"/>
    <w:rsid w:val="00790723"/>
    <w:rsid w:val="007907D8"/>
    <w:rsid w:val="00790E2A"/>
    <w:rsid w:val="007915B8"/>
    <w:rsid w:val="00791880"/>
    <w:rsid w:val="0079196B"/>
    <w:rsid w:val="00792387"/>
    <w:rsid w:val="007924E0"/>
    <w:rsid w:val="007942FD"/>
    <w:rsid w:val="00794F17"/>
    <w:rsid w:val="00796103"/>
    <w:rsid w:val="00796340"/>
    <w:rsid w:val="007963C5"/>
    <w:rsid w:val="0079679F"/>
    <w:rsid w:val="00796A57"/>
    <w:rsid w:val="00796B20"/>
    <w:rsid w:val="00796CC5"/>
    <w:rsid w:val="00796DCF"/>
    <w:rsid w:val="007A0271"/>
    <w:rsid w:val="007A06FB"/>
    <w:rsid w:val="007A1231"/>
    <w:rsid w:val="007A1982"/>
    <w:rsid w:val="007A210F"/>
    <w:rsid w:val="007A2126"/>
    <w:rsid w:val="007A2622"/>
    <w:rsid w:val="007A35A0"/>
    <w:rsid w:val="007A366F"/>
    <w:rsid w:val="007A368B"/>
    <w:rsid w:val="007A4072"/>
    <w:rsid w:val="007A41B4"/>
    <w:rsid w:val="007A42A5"/>
    <w:rsid w:val="007A4307"/>
    <w:rsid w:val="007A43BB"/>
    <w:rsid w:val="007A4C71"/>
    <w:rsid w:val="007A4CCC"/>
    <w:rsid w:val="007A4DC0"/>
    <w:rsid w:val="007A5162"/>
    <w:rsid w:val="007A51EA"/>
    <w:rsid w:val="007A554A"/>
    <w:rsid w:val="007A58A7"/>
    <w:rsid w:val="007A5CE3"/>
    <w:rsid w:val="007A60BD"/>
    <w:rsid w:val="007A6ACF"/>
    <w:rsid w:val="007B07AE"/>
    <w:rsid w:val="007B0890"/>
    <w:rsid w:val="007B0911"/>
    <w:rsid w:val="007B0DE4"/>
    <w:rsid w:val="007B0FB3"/>
    <w:rsid w:val="007B123D"/>
    <w:rsid w:val="007B1668"/>
    <w:rsid w:val="007B1BA7"/>
    <w:rsid w:val="007B23E8"/>
    <w:rsid w:val="007B2485"/>
    <w:rsid w:val="007B2CF4"/>
    <w:rsid w:val="007B312C"/>
    <w:rsid w:val="007B38D4"/>
    <w:rsid w:val="007B3AF5"/>
    <w:rsid w:val="007B3F01"/>
    <w:rsid w:val="007B43FC"/>
    <w:rsid w:val="007B468D"/>
    <w:rsid w:val="007B4827"/>
    <w:rsid w:val="007B57C0"/>
    <w:rsid w:val="007B5D2E"/>
    <w:rsid w:val="007B646A"/>
    <w:rsid w:val="007B6D07"/>
    <w:rsid w:val="007B725D"/>
    <w:rsid w:val="007B729A"/>
    <w:rsid w:val="007B73C0"/>
    <w:rsid w:val="007B7608"/>
    <w:rsid w:val="007B7684"/>
    <w:rsid w:val="007C04A0"/>
    <w:rsid w:val="007C1512"/>
    <w:rsid w:val="007C16C4"/>
    <w:rsid w:val="007C1D27"/>
    <w:rsid w:val="007C22B4"/>
    <w:rsid w:val="007C259E"/>
    <w:rsid w:val="007C2A78"/>
    <w:rsid w:val="007C343B"/>
    <w:rsid w:val="007C34C3"/>
    <w:rsid w:val="007C3616"/>
    <w:rsid w:val="007C3AE7"/>
    <w:rsid w:val="007C3C92"/>
    <w:rsid w:val="007C3EC1"/>
    <w:rsid w:val="007C41AE"/>
    <w:rsid w:val="007C46E5"/>
    <w:rsid w:val="007C4AEE"/>
    <w:rsid w:val="007C4C67"/>
    <w:rsid w:val="007C4CD5"/>
    <w:rsid w:val="007C4D7E"/>
    <w:rsid w:val="007C58EA"/>
    <w:rsid w:val="007C59B2"/>
    <w:rsid w:val="007C6054"/>
    <w:rsid w:val="007C63FA"/>
    <w:rsid w:val="007C6730"/>
    <w:rsid w:val="007C6E08"/>
    <w:rsid w:val="007D03ED"/>
    <w:rsid w:val="007D0671"/>
    <w:rsid w:val="007D14C2"/>
    <w:rsid w:val="007D20D9"/>
    <w:rsid w:val="007D22B3"/>
    <w:rsid w:val="007D265C"/>
    <w:rsid w:val="007D2DF2"/>
    <w:rsid w:val="007D30BB"/>
    <w:rsid w:val="007D31AA"/>
    <w:rsid w:val="007D351E"/>
    <w:rsid w:val="007D4A21"/>
    <w:rsid w:val="007D4F58"/>
    <w:rsid w:val="007D570E"/>
    <w:rsid w:val="007D5E51"/>
    <w:rsid w:val="007D5EF2"/>
    <w:rsid w:val="007D616B"/>
    <w:rsid w:val="007D6BED"/>
    <w:rsid w:val="007D7030"/>
    <w:rsid w:val="007D72EC"/>
    <w:rsid w:val="007D7EB4"/>
    <w:rsid w:val="007E0924"/>
    <w:rsid w:val="007E0A71"/>
    <w:rsid w:val="007E1968"/>
    <w:rsid w:val="007E1AAA"/>
    <w:rsid w:val="007E261E"/>
    <w:rsid w:val="007E2715"/>
    <w:rsid w:val="007E2974"/>
    <w:rsid w:val="007E3034"/>
    <w:rsid w:val="007E3296"/>
    <w:rsid w:val="007E3E14"/>
    <w:rsid w:val="007E4014"/>
    <w:rsid w:val="007E411A"/>
    <w:rsid w:val="007E471F"/>
    <w:rsid w:val="007E4ADF"/>
    <w:rsid w:val="007E4E4D"/>
    <w:rsid w:val="007E4FE4"/>
    <w:rsid w:val="007E6350"/>
    <w:rsid w:val="007E67D9"/>
    <w:rsid w:val="007E71BA"/>
    <w:rsid w:val="007F0818"/>
    <w:rsid w:val="007F0CFC"/>
    <w:rsid w:val="007F15A8"/>
    <w:rsid w:val="007F1C4C"/>
    <w:rsid w:val="007F1F23"/>
    <w:rsid w:val="007F2820"/>
    <w:rsid w:val="007F3257"/>
    <w:rsid w:val="007F3518"/>
    <w:rsid w:val="007F36D0"/>
    <w:rsid w:val="007F3C95"/>
    <w:rsid w:val="007F4640"/>
    <w:rsid w:val="007F4BC3"/>
    <w:rsid w:val="007F4C44"/>
    <w:rsid w:val="007F5349"/>
    <w:rsid w:val="007F5A67"/>
    <w:rsid w:val="007F6454"/>
    <w:rsid w:val="007F65CA"/>
    <w:rsid w:val="007F6A5E"/>
    <w:rsid w:val="007F6D0B"/>
    <w:rsid w:val="007F6D90"/>
    <w:rsid w:val="007F7034"/>
    <w:rsid w:val="007F79D2"/>
    <w:rsid w:val="007F7D8D"/>
    <w:rsid w:val="008002D6"/>
    <w:rsid w:val="0080065F"/>
    <w:rsid w:val="008006BF"/>
    <w:rsid w:val="00801710"/>
    <w:rsid w:val="0080180C"/>
    <w:rsid w:val="008018FF"/>
    <w:rsid w:val="00801F2E"/>
    <w:rsid w:val="0080274C"/>
    <w:rsid w:val="0080303A"/>
    <w:rsid w:val="008038E2"/>
    <w:rsid w:val="00804516"/>
    <w:rsid w:val="0080481A"/>
    <w:rsid w:val="00804A15"/>
    <w:rsid w:val="00804C54"/>
    <w:rsid w:val="0080586B"/>
    <w:rsid w:val="00805AE7"/>
    <w:rsid w:val="00806257"/>
    <w:rsid w:val="008065D5"/>
    <w:rsid w:val="00806978"/>
    <w:rsid w:val="00806F10"/>
    <w:rsid w:val="00806F37"/>
    <w:rsid w:val="008100F3"/>
    <w:rsid w:val="00810239"/>
    <w:rsid w:val="00810DCF"/>
    <w:rsid w:val="00810F7E"/>
    <w:rsid w:val="0081174B"/>
    <w:rsid w:val="0081174E"/>
    <w:rsid w:val="00811F78"/>
    <w:rsid w:val="008123A1"/>
    <w:rsid w:val="00812631"/>
    <w:rsid w:val="00812865"/>
    <w:rsid w:val="00812BCD"/>
    <w:rsid w:val="00813098"/>
    <w:rsid w:val="008131D7"/>
    <w:rsid w:val="008137D2"/>
    <w:rsid w:val="008143FB"/>
    <w:rsid w:val="00814BF1"/>
    <w:rsid w:val="00816623"/>
    <w:rsid w:val="00816E3B"/>
    <w:rsid w:val="00816E4C"/>
    <w:rsid w:val="00817201"/>
    <w:rsid w:val="00820078"/>
    <w:rsid w:val="00821296"/>
    <w:rsid w:val="00821EDC"/>
    <w:rsid w:val="00822105"/>
    <w:rsid w:val="00822AE1"/>
    <w:rsid w:val="00823633"/>
    <w:rsid w:val="00823E4E"/>
    <w:rsid w:val="008247AB"/>
    <w:rsid w:val="0082558E"/>
    <w:rsid w:val="008257B5"/>
    <w:rsid w:val="0082585C"/>
    <w:rsid w:val="00825F4F"/>
    <w:rsid w:val="00826899"/>
    <w:rsid w:val="0082692B"/>
    <w:rsid w:val="0082714D"/>
    <w:rsid w:val="00827251"/>
    <w:rsid w:val="008275AA"/>
    <w:rsid w:val="008275F9"/>
    <w:rsid w:val="00827FF1"/>
    <w:rsid w:val="008301B7"/>
    <w:rsid w:val="0083030F"/>
    <w:rsid w:val="00830335"/>
    <w:rsid w:val="00830CF5"/>
    <w:rsid w:val="0083104B"/>
    <w:rsid w:val="0083182E"/>
    <w:rsid w:val="0083206F"/>
    <w:rsid w:val="00833341"/>
    <w:rsid w:val="00833ADB"/>
    <w:rsid w:val="00833CB5"/>
    <w:rsid w:val="0083402D"/>
    <w:rsid w:val="008348FE"/>
    <w:rsid w:val="008352D1"/>
    <w:rsid w:val="0083556E"/>
    <w:rsid w:val="00835739"/>
    <w:rsid w:val="00835806"/>
    <w:rsid w:val="00835891"/>
    <w:rsid w:val="00835C9E"/>
    <w:rsid w:val="008361EC"/>
    <w:rsid w:val="00836A2A"/>
    <w:rsid w:val="00837433"/>
    <w:rsid w:val="00837E4C"/>
    <w:rsid w:val="00837F1D"/>
    <w:rsid w:val="00840798"/>
    <w:rsid w:val="008407F3"/>
    <w:rsid w:val="008408CB"/>
    <w:rsid w:val="00840A5F"/>
    <w:rsid w:val="00840CC4"/>
    <w:rsid w:val="0084124E"/>
    <w:rsid w:val="0084136E"/>
    <w:rsid w:val="0084172F"/>
    <w:rsid w:val="00841DB3"/>
    <w:rsid w:val="00841FEA"/>
    <w:rsid w:val="008442AE"/>
    <w:rsid w:val="00845985"/>
    <w:rsid w:val="008459F3"/>
    <w:rsid w:val="008459F8"/>
    <w:rsid w:val="00845B0A"/>
    <w:rsid w:val="00845B6A"/>
    <w:rsid w:val="00845D89"/>
    <w:rsid w:val="00846291"/>
    <w:rsid w:val="00846342"/>
    <w:rsid w:val="00846A6A"/>
    <w:rsid w:val="00846B0A"/>
    <w:rsid w:val="0084747E"/>
    <w:rsid w:val="00847954"/>
    <w:rsid w:val="00847E0A"/>
    <w:rsid w:val="008504E7"/>
    <w:rsid w:val="00850A9D"/>
    <w:rsid w:val="00850C50"/>
    <w:rsid w:val="0085124B"/>
    <w:rsid w:val="008515D8"/>
    <w:rsid w:val="008516C3"/>
    <w:rsid w:val="008519BC"/>
    <w:rsid w:val="008524B4"/>
    <w:rsid w:val="00852500"/>
    <w:rsid w:val="0085261F"/>
    <w:rsid w:val="00852B97"/>
    <w:rsid w:val="00852BD4"/>
    <w:rsid w:val="008531BD"/>
    <w:rsid w:val="008538D8"/>
    <w:rsid w:val="008539B6"/>
    <w:rsid w:val="008539D9"/>
    <w:rsid w:val="00853B04"/>
    <w:rsid w:val="00855FDD"/>
    <w:rsid w:val="00856182"/>
    <w:rsid w:val="00856CF0"/>
    <w:rsid w:val="00857204"/>
    <w:rsid w:val="00857206"/>
    <w:rsid w:val="00860F7D"/>
    <w:rsid w:val="00860FDB"/>
    <w:rsid w:val="008611EB"/>
    <w:rsid w:val="008616A9"/>
    <w:rsid w:val="008618F3"/>
    <w:rsid w:val="00861935"/>
    <w:rsid w:val="00862124"/>
    <w:rsid w:val="008627DE"/>
    <w:rsid w:val="008636FA"/>
    <w:rsid w:val="00863718"/>
    <w:rsid w:val="00863959"/>
    <w:rsid w:val="008640FE"/>
    <w:rsid w:val="00864586"/>
    <w:rsid w:val="00864D4B"/>
    <w:rsid w:val="008650B9"/>
    <w:rsid w:val="0086591B"/>
    <w:rsid w:val="00865CD9"/>
    <w:rsid w:val="00865D75"/>
    <w:rsid w:val="00866391"/>
    <w:rsid w:val="00866AF4"/>
    <w:rsid w:val="00867391"/>
    <w:rsid w:val="0086797E"/>
    <w:rsid w:val="00870285"/>
    <w:rsid w:val="008727F8"/>
    <w:rsid w:val="00872B14"/>
    <w:rsid w:val="0087395B"/>
    <w:rsid w:val="00873C27"/>
    <w:rsid w:val="008743FD"/>
    <w:rsid w:val="00874AC2"/>
    <w:rsid w:val="00875353"/>
    <w:rsid w:val="00875DC7"/>
    <w:rsid w:val="00876864"/>
    <w:rsid w:val="008768DE"/>
    <w:rsid w:val="00877A0B"/>
    <w:rsid w:val="00877B3B"/>
    <w:rsid w:val="0088001F"/>
    <w:rsid w:val="00880414"/>
    <w:rsid w:val="00880431"/>
    <w:rsid w:val="008807A4"/>
    <w:rsid w:val="00880878"/>
    <w:rsid w:val="00880B48"/>
    <w:rsid w:val="00880E9E"/>
    <w:rsid w:val="008811D2"/>
    <w:rsid w:val="0088192A"/>
    <w:rsid w:val="00881E3A"/>
    <w:rsid w:val="00881E69"/>
    <w:rsid w:val="00882126"/>
    <w:rsid w:val="00882F8B"/>
    <w:rsid w:val="00883259"/>
    <w:rsid w:val="0088348E"/>
    <w:rsid w:val="00883491"/>
    <w:rsid w:val="008847A5"/>
    <w:rsid w:val="00884AF6"/>
    <w:rsid w:val="00884C61"/>
    <w:rsid w:val="00884FEE"/>
    <w:rsid w:val="008852B6"/>
    <w:rsid w:val="00885337"/>
    <w:rsid w:val="00885796"/>
    <w:rsid w:val="00885888"/>
    <w:rsid w:val="00885A60"/>
    <w:rsid w:val="008860BF"/>
    <w:rsid w:val="0088685E"/>
    <w:rsid w:val="00886939"/>
    <w:rsid w:val="00887312"/>
    <w:rsid w:val="008873B1"/>
    <w:rsid w:val="00887A38"/>
    <w:rsid w:val="00887EF9"/>
    <w:rsid w:val="0089011B"/>
    <w:rsid w:val="0089031A"/>
    <w:rsid w:val="008904BD"/>
    <w:rsid w:val="00890863"/>
    <w:rsid w:val="00890ABB"/>
    <w:rsid w:val="00890DAA"/>
    <w:rsid w:val="0089155C"/>
    <w:rsid w:val="00891743"/>
    <w:rsid w:val="00891ADB"/>
    <w:rsid w:val="00892EAF"/>
    <w:rsid w:val="00893A07"/>
    <w:rsid w:val="00893A6D"/>
    <w:rsid w:val="00893AA8"/>
    <w:rsid w:val="00894258"/>
    <w:rsid w:val="0089426E"/>
    <w:rsid w:val="00894921"/>
    <w:rsid w:val="00894AF4"/>
    <w:rsid w:val="00894FA4"/>
    <w:rsid w:val="00894FDF"/>
    <w:rsid w:val="00895A84"/>
    <w:rsid w:val="00895FC7"/>
    <w:rsid w:val="00896B46"/>
    <w:rsid w:val="0089723F"/>
    <w:rsid w:val="008974AE"/>
    <w:rsid w:val="008977CD"/>
    <w:rsid w:val="00897B2F"/>
    <w:rsid w:val="00897D9A"/>
    <w:rsid w:val="00897E5E"/>
    <w:rsid w:val="008A05E4"/>
    <w:rsid w:val="008A061A"/>
    <w:rsid w:val="008A0B53"/>
    <w:rsid w:val="008A0FFE"/>
    <w:rsid w:val="008A1444"/>
    <w:rsid w:val="008A187D"/>
    <w:rsid w:val="008A2257"/>
    <w:rsid w:val="008A2596"/>
    <w:rsid w:val="008A29DF"/>
    <w:rsid w:val="008A2ECC"/>
    <w:rsid w:val="008A2EE4"/>
    <w:rsid w:val="008A3FED"/>
    <w:rsid w:val="008A407C"/>
    <w:rsid w:val="008A40BB"/>
    <w:rsid w:val="008A42DD"/>
    <w:rsid w:val="008A4480"/>
    <w:rsid w:val="008A4AC3"/>
    <w:rsid w:val="008A52E2"/>
    <w:rsid w:val="008A543B"/>
    <w:rsid w:val="008A58BC"/>
    <w:rsid w:val="008A5AA3"/>
    <w:rsid w:val="008A6008"/>
    <w:rsid w:val="008A6BBB"/>
    <w:rsid w:val="008A6FEA"/>
    <w:rsid w:val="008A7453"/>
    <w:rsid w:val="008A7693"/>
    <w:rsid w:val="008A7CA0"/>
    <w:rsid w:val="008A7EF1"/>
    <w:rsid w:val="008B0102"/>
    <w:rsid w:val="008B0CE0"/>
    <w:rsid w:val="008B16CB"/>
    <w:rsid w:val="008B3B12"/>
    <w:rsid w:val="008B4880"/>
    <w:rsid w:val="008B4F49"/>
    <w:rsid w:val="008B5708"/>
    <w:rsid w:val="008B58E8"/>
    <w:rsid w:val="008B5B42"/>
    <w:rsid w:val="008B5E42"/>
    <w:rsid w:val="008B6B50"/>
    <w:rsid w:val="008B712E"/>
    <w:rsid w:val="008B7361"/>
    <w:rsid w:val="008B77C2"/>
    <w:rsid w:val="008B7C04"/>
    <w:rsid w:val="008B7CFF"/>
    <w:rsid w:val="008C07A8"/>
    <w:rsid w:val="008C147F"/>
    <w:rsid w:val="008C19EB"/>
    <w:rsid w:val="008C20D5"/>
    <w:rsid w:val="008C2AAD"/>
    <w:rsid w:val="008C2D6A"/>
    <w:rsid w:val="008C2D9A"/>
    <w:rsid w:val="008C2EA2"/>
    <w:rsid w:val="008C3284"/>
    <w:rsid w:val="008C3986"/>
    <w:rsid w:val="008C4439"/>
    <w:rsid w:val="008C462F"/>
    <w:rsid w:val="008C4A6A"/>
    <w:rsid w:val="008C4E38"/>
    <w:rsid w:val="008C4E6F"/>
    <w:rsid w:val="008C6A7F"/>
    <w:rsid w:val="008C711F"/>
    <w:rsid w:val="008C7432"/>
    <w:rsid w:val="008C79B2"/>
    <w:rsid w:val="008C7BC0"/>
    <w:rsid w:val="008C7DCD"/>
    <w:rsid w:val="008D0040"/>
    <w:rsid w:val="008D006A"/>
    <w:rsid w:val="008D0558"/>
    <w:rsid w:val="008D0751"/>
    <w:rsid w:val="008D0EF7"/>
    <w:rsid w:val="008D0F38"/>
    <w:rsid w:val="008D1040"/>
    <w:rsid w:val="008D10E2"/>
    <w:rsid w:val="008D14D1"/>
    <w:rsid w:val="008D181B"/>
    <w:rsid w:val="008D19AC"/>
    <w:rsid w:val="008D1C9B"/>
    <w:rsid w:val="008D2634"/>
    <w:rsid w:val="008D2951"/>
    <w:rsid w:val="008D2B52"/>
    <w:rsid w:val="008D2E8E"/>
    <w:rsid w:val="008D2EF6"/>
    <w:rsid w:val="008D389D"/>
    <w:rsid w:val="008D3933"/>
    <w:rsid w:val="008D3967"/>
    <w:rsid w:val="008D405F"/>
    <w:rsid w:val="008D440E"/>
    <w:rsid w:val="008D56D8"/>
    <w:rsid w:val="008D5C3D"/>
    <w:rsid w:val="008D6B9E"/>
    <w:rsid w:val="008D6DB0"/>
    <w:rsid w:val="008D757B"/>
    <w:rsid w:val="008D7908"/>
    <w:rsid w:val="008E1155"/>
    <w:rsid w:val="008E13D1"/>
    <w:rsid w:val="008E1EC7"/>
    <w:rsid w:val="008E24A6"/>
    <w:rsid w:val="008E24CF"/>
    <w:rsid w:val="008E2A80"/>
    <w:rsid w:val="008E2D5A"/>
    <w:rsid w:val="008E2E6B"/>
    <w:rsid w:val="008E3586"/>
    <w:rsid w:val="008E3A20"/>
    <w:rsid w:val="008E3DC0"/>
    <w:rsid w:val="008E5349"/>
    <w:rsid w:val="008E536B"/>
    <w:rsid w:val="008E53B3"/>
    <w:rsid w:val="008E5BA7"/>
    <w:rsid w:val="008E60E4"/>
    <w:rsid w:val="008E7429"/>
    <w:rsid w:val="008E781F"/>
    <w:rsid w:val="008E7CBF"/>
    <w:rsid w:val="008F14B4"/>
    <w:rsid w:val="008F1858"/>
    <w:rsid w:val="008F1882"/>
    <w:rsid w:val="008F1CF5"/>
    <w:rsid w:val="008F1F8B"/>
    <w:rsid w:val="008F228E"/>
    <w:rsid w:val="008F291F"/>
    <w:rsid w:val="008F29E7"/>
    <w:rsid w:val="008F2AE4"/>
    <w:rsid w:val="008F38CB"/>
    <w:rsid w:val="008F3962"/>
    <w:rsid w:val="008F49CF"/>
    <w:rsid w:val="008F4D14"/>
    <w:rsid w:val="008F5753"/>
    <w:rsid w:val="008F5D77"/>
    <w:rsid w:val="008F6AD7"/>
    <w:rsid w:val="00900099"/>
    <w:rsid w:val="00900704"/>
    <w:rsid w:val="0090093F"/>
    <w:rsid w:val="00900A29"/>
    <w:rsid w:val="00900B4B"/>
    <w:rsid w:val="00900FA2"/>
    <w:rsid w:val="0090185A"/>
    <w:rsid w:val="009018B6"/>
    <w:rsid w:val="009018FF"/>
    <w:rsid w:val="00901934"/>
    <w:rsid w:val="00901AF3"/>
    <w:rsid w:val="00901B08"/>
    <w:rsid w:val="009022BA"/>
    <w:rsid w:val="00902738"/>
    <w:rsid w:val="009027A5"/>
    <w:rsid w:val="009033C1"/>
    <w:rsid w:val="009033C8"/>
    <w:rsid w:val="00903660"/>
    <w:rsid w:val="00903C3A"/>
    <w:rsid w:val="00903EDA"/>
    <w:rsid w:val="00903F41"/>
    <w:rsid w:val="0090499D"/>
    <w:rsid w:val="00904B39"/>
    <w:rsid w:val="00906222"/>
    <w:rsid w:val="00906262"/>
    <w:rsid w:val="00906751"/>
    <w:rsid w:val="00906B0A"/>
    <w:rsid w:val="00906BC7"/>
    <w:rsid w:val="00907241"/>
    <w:rsid w:val="00907635"/>
    <w:rsid w:val="0090772E"/>
    <w:rsid w:val="009077E9"/>
    <w:rsid w:val="00907E4A"/>
    <w:rsid w:val="00910792"/>
    <w:rsid w:val="009107BC"/>
    <w:rsid w:val="00911A2E"/>
    <w:rsid w:val="00911ADD"/>
    <w:rsid w:val="009135BB"/>
    <w:rsid w:val="009135EE"/>
    <w:rsid w:val="00914D9C"/>
    <w:rsid w:val="0091541C"/>
    <w:rsid w:val="00915764"/>
    <w:rsid w:val="00915BE8"/>
    <w:rsid w:val="00915F32"/>
    <w:rsid w:val="0091635F"/>
    <w:rsid w:val="0091662C"/>
    <w:rsid w:val="009169BF"/>
    <w:rsid w:val="00916AE2"/>
    <w:rsid w:val="0091721D"/>
    <w:rsid w:val="0091765D"/>
    <w:rsid w:val="0091791D"/>
    <w:rsid w:val="00917932"/>
    <w:rsid w:val="00917EA4"/>
    <w:rsid w:val="00920043"/>
    <w:rsid w:val="009204D4"/>
    <w:rsid w:val="009205EA"/>
    <w:rsid w:val="00920772"/>
    <w:rsid w:val="009207C6"/>
    <w:rsid w:val="00920A91"/>
    <w:rsid w:val="00920BB9"/>
    <w:rsid w:val="0092109A"/>
    <w:rsid w:val="00921667"/>
    <w:rsid w:val="009217CA"/>
    <w:rsid w:val="00921E8E"/>
    <w:rsid w:val="00921F60"/>
    <w:rsid w:val="00921FDA"/>
    <w:rsid w:val="00922885"/>
    <w:rsid w:val="00922B4C"/>
    <w:rsid w:val="009230FB"/>
    <w:rsid w:val="00923224"/>
    <w:rsid w:val="009237EF"/>
    <w:rsid w:val="0092481D"/>
    <w:rsid w:val="00925F77"/>
    <w:rsid w:val="00926070"/>
    <w:rsid w:val="009264D9"/>
    <w:rsid w:val="00926679"/>
    <w:rsid w:val="00927A8B"/>
    <w:rsid w:val="00927B38"/>
    <w:rsid w:val="00927C0D"/>
    <w:rsid w:val="009300CD"/>
    <w:rsid w:val="0093064D"/>
    <w:rsid w:val="00931D75"/>
    <w:rsid w:val="00931F3E"/>
    <w:rsid w:val="00932A89"/>
    <w:rsid w:val="00932D77"/>
    <w:rsid w:val="00932EC5"/>
    <w:rsid w:val="00934324"/>
    <w:rsid w:val="00934334"/>
    <w:rsid w:val="00934736"/>
    <w:rsid w:val="00934921"/>
    <w:rsid w:val="00934BD2"/>
    <w:rsid w:val="00934C1A"/>
    <w:rsid w:val="009351EB"/>
    <w:rsid w:val="00936053"/>
    <w:rsid w:val="00936116"/>
    <w:rsid w:val="009362B7"/>
    <w:rsid w:val="00936B04"/>
    <w:rsid w:val="00936B2A"/>
    <w:rsid w:val="00936D08"/>
    <w:rsid w:val="00937294"/>
    <w:rsid w:val="00937448"/>
    <w:rsid w:val="00937BEC"/>
    <w:rsid w:val="00940488"/>
    <w:rsid w:val="00940D12"/>
    <w:rsid w:val="00940D29"/>
    <w:rsid w:val="00940F83"/>
    <w:rsid w:val="00941354"/>
    <w:rsid w:val="0094152A"/>
    <w:rsid w:val="00941887"/>
    <w:rsid w:val="0094219F"/>
    <w:rsid w:val="00942E82"/>
    <w:rsid w:val="0094314A"/>
    <w:rsid w:val="00943687"/>
    <w:rsid w:val="009436CE"/>
    <w:rsid w:val="0094389D"/>
    <w:rsid w:val="00943E78"/>
    <w:rsid w:val="009440CE"/>
    <w:rsid w:val="009441B1"/>
    <w:rsid w:val="00945247"/>
    <w:rsid w:val="00945346"/>
    <w:rsid w:val="009456A0"/>
    <w:rsid w:val="00945867"/>
    <w:rsid w:val="00945C3D"/>
    <w:rsid w:val="00945DC6"/>
    <w:rsid w:val="00945E23"/>
    <w:rsid w:val="00946114"/>
    <w:rsid w:val="009468ED"/>
    <w:rsid w:val="009469E4"/>
    <w:rsid w:val="00946AAF"/>
    <w:rsid w:val="00947BE4"/>
    <w:rsid w:val="00950232"/>
    <w:rsid w:val="00950FD6"/>
    <w:rsid w:val="00951782"/>
    <w:rsid w:val="00951C7F"/>
    <w:rsid w:val="00951D7E"/>
    <w:rsid w:val="00952CAF"/>
    <w:rsid w:val="00952E49"/>
    <w:rsid w:val="009532F9"/>
    <w:rsid w:val="00953CF0"/>
    <w:rsid w:val="00953D07"/>
    <w:rsid w:val="00954F5A"/>
    <w:rsid w:val="0095602C"/>
    <w:rsid w:val="009562C0"/>
    <w:rsid w:val="0095661C"/>
    <w:rsid w:val="00957105"/>
    <w:rsid w:val="009572A6"/>
    <w:rsid w:val="00957380"/>
    <w:rsid w:val="00960233"/>
    <w:rsid w:val="0096074E"/>
    <w:rsid w:val="0096094C"/>
    <w:rsid w:val="00960D1B"/>
    <w:rsid w:val="00960D81"/>
    <w:rsid w:val="00960F15"/>
    <w:rsid w:val="0096109F"/>
    <w:rsid w:val="009612FC"/>
    <w:rsid w:val="009614E3"/>
    <w:rsid w:val="00962040"/>
    <w:rsid w:val="00962232"/>
    <w:rsid w:val="009622E9"/>
    <w:rsid w:val="0096240B"/>
    <w:rsid w:val="0096461D"/>
    <w:rsid w:val="00964C4D"/>
    <w:rsid w:val="00965134"/>
    <w:rsid w:val="009659A0"/>
    <w:rsid w:val="00965A3E"/>
    <w:rsid w:val="00965A6A"/>
    <w:rsid w:val="0096600E"/>
    <w:rsid w:val="0096618D"/>
    <w:rsid w:val="009662BC"/>
    <w:rsid w:val="00966FFC"/>
    <w:rsid w:val="009679D3"/>
    <w:rsid w:val="00967B60"/>
    <w:rsid w:val="00967F6A"/>
    <w:rsid w:val="00970571"/>
    <w:rsid w:val="009710AF"/>
    <w:rsid w:val="00971251"/>
    <w:rsid w:val="00971398"/>
    <w:rsid w:val="0097158E"/>
    <w:rsid w:val="009717EE"/>
    <w:rsid w:val="0097252E"/>
    <w:rsid w:val="009727F3"/>
    <w:rsid w:val="0097340E"/>
    <w:rsid w:val="009736AE"/>
    <w:rsid w:val="00973B8D"/>
    <w:rsid w:val="00974273"/>
    <w:rsid w:val="0097436A"/>
    <w:rsid w:val="0097476D"/>
    <w:rsid w:val="00974D0B"/>
    <w:rsid w:val="00974FDA"/>
    <w:rsid w:val="00975158"/>
    <w:rsid w:val="00975C2D"/>
    <w:rsid w:val="009770CF"/>
    <w:rsid w:val="009775D4"/>
    <w:rsid w:val="009777E5"/>
    <w:rsid w:val="00977C56"/>
    <w:rsid w:val="00977DD9"/>
    <w:rsid w:val="00980D10"/>
    <w:rsid w:val="00980F4B"/>
    <w:rsid w:val="0098125C"/>
    <w:rsid w:val="009819DE"/>
    <w:rsid w:val="00981D22"/>
    <w:rsid w:val="009826BC"/>
    <w:rsid w:val="009829B6"/>
    <w:rsid w:val="009829CE"/>
    <w:rsid w:val="00983091"/>
    <w:rsid w:val="00983E2D"/>
    <w:rsid w:val="009841B3"/>
    <w:rsid w:val="009846FD"/>
    <w:rsid w:val="0098483A"/>
    <w:rsid w:val="009848A5"/>
    <w:rsid w:val="00984969"/>
    <w:rsid w:val="0098573D"/>
    <w:rsid w:val="00985DC8"/>
    <w:rsid w:val="00986081"/>
    <w:rsid w:val="009862D6"/>
    <w:rsid w:val="0098657A"/>
    <w:rsid w:val="00986A3D"/>
    <w:rsid w:val="00986BC1"/>
    <w:rsid w:val="00986C48"/>
    <w:rsid w:val="00986DF0"/>
    <w:rsid w:val="0098790C"/>
    <w:rsid w:val="00987AC7"/>
    <w:rsid w:val="00990C29"/>
    <w:rsid w:val="00991296"/>
    <w:rsid w:val="00991EDC"/>
    <w:rsid w:val="009925C4"/>
    <w:rsid w:val="00992BF9"/>
    <w:rsid w:val="009930E9"/>
    <w:rsid w:val="0099324C"/>
    <w:rsid w:val="009938D3"/>
    <w:rsid w:val="0099489E"/>
    <w:rsid w:val="009948B0"/>
    <w:rsid w:val="0099554C"/>
    <w:rsid w:val="0099568D"/>
    <w:rsid w:val="0099573E"/>
    <w:rsid w:val="009957F7"/>
    <w:rsid w:val="00995FD0"/>
    <w:rsid w:val="00996015"/>
    <w:rsid w:val="009961E1"/>
    <w:rsid w:val="00996646"/>
    <w:rsid w:val="009967AC"/>
    <w:rsid w:val="009976DD"/>
    <w:rsid w:val="009A06B5"/>
    <w:rsid w:val="009A075E"/>
    <w:rsid w:val="009A0791"/>
    <w:rsid w:val="009A11CD"/>
    <w:rsid w:val="009A164E"/>
    <w:rsid w:val="009A34D3"/>
    <w:rsid w:val="009A43A0"/>
    <w:rsid w:val="009A4D0C"/>
    <w:rsid w:val="009A4EF0"/>
    <w:rsid w:val="009A4F68"/>
    <w:rsid w:val="009A5452"/>
    <w:rsid w:val="009A5759"/>
    <w:rsid w:val="009A5803"/>
    <w:rsid w:val="009A5E0D"/>
    <w:rsid w:val="009A6327"/>
    <w:rsid w:val="009A650F"/>
    <w:rsid w:val="009A688E"/>
    <w:rsid w:val="009A6A5C"/>
    <w:rsid w:val="009A6F6C"/>
    <w:rsid w:val="009B02F7"/>
    <w:rsid w:val="009B1048"/>
    <w:rsid w:val="009B10FE"/>
    <w:rsid w:val="009B19C0"/>
    <w:rsid w:val="009B1AC5"/>
    <w:rsid w:val="009B1BA1"/>
    <w:rsid w:val="009B2FFA"/>
    <w:rsid w:val="009B494F"/>
    <w:rsid w:val="009B4F3D"/>
    <w:rsid w:val="009B5240"/>
    <w:rsid w:val="009B5818"/>
    <w:rsid w:val="009B594C"/>
    <w:rsid w:val="009B600B"/>
    <w:rsid w:val="009B6CB3"/>
    <w:rsid w:val="009B7CD9"/>
    <w:rsid w:val="009B7D2F"/>
    <w:rsid w:val="009C011A"/>
    <w:rsid w:val="009C011E"/>
    <w:rsid w:val="009C036F"/>
    <w:rsid w:val="009C0880"/>
    <w:rsid w:val="009C0CC9"/>
    <w:rsid w:val="009C0F6C"/>
    <w:rsid w:val="009C1DB9"/>
    <w:rsid w:val="009C1E7B"/>
    <w:rsid w:val="009C2D63"/>
    <w:rsid w:val="009C32BD"/>
    <w:rsid w:val="009C359B"/>
    <w:rsid w:val="009C4497"/>
    <w:rsid w:val="009C44C3"/>
    <w:rsid w:val="009C497A"/>
    <w:rsid w:val="009C4F18"/>
    <w:rsid w:val="009C4F32"/>
    <w:rsid w:val="009C504C"/>
    <w:rsid w:val="009C5667"/>
    <w:rsid w:val="009C56DF"/>
    <w:rsid w:val="009C5C2D"/>
    <w:rsid w:val="009C5F8B"/>
    <w:rsid w:val="009C62CF"/>
    <w:rsid w:val="009C6AF1"/>
    <w:rsid w:val="009C6C1B"/>
    <w:rsid w:val="009C72BB"/>
    <w:rsid w:val="009C73A2"/>
    <w:rsid w:val="009C766C"/>
    <w:rsid w:val="009D0462"/>
    <w:rsid w:val="009D0661"/>
    <w:rsid w:val="009D0860"/>
    <w:rsid w:val="009D14D2"/>
    <w:rsid w:val="009D1C77"/>
    <w:rsid w:val="009D218C"/>
    <w:rsid w:val="009D2A75"/>
    <w:rsid w:val="009D3BB4"/>
    <w:rsid w:val="009D4240"/>
    <w:rsid w:val="009D52A0"/>
    <w:rsid w:val="009D5ABE"/>
    <w:rsid w:val="009D6080"/>
    <w:rsid w:val="009D6177"/>
    <w:rsid w:val="009D63AD"/>
    <w:rsid w:val="009D66D2"/>
    <w:rsid w:val="009D7444"/>
    <w:rsid w:val="009D7D46"/>
    <w:rsid w:val="009D7DBF"/>
    <w:rsid w:val="009E0661"/>
    <w:rsid w:val="009E066A"/>
    <w:rsid w:val="009E0A7D"/>
    <w:rsid w:val="009E15DD"/>
    <w:rsid w:val="009E19BB"/>
    <w:rsid w:val="009E19FB"/>
    <w:rsid w:val="009E1F6F"/>
    <w:rsid w:val="009E2055"/>
    <w:rsid w:val="009E34E1"/>
    <w:rsid w:val="009E3615"/>
    <w:rsid w:val="009E405B"/>
    <w:rsid w:val="009E41BF"/>
    <w:rsid w:val="009E4635"/>
    <w:rsid w:val="009E46A7"/>
    <w:rsid w:val="009E4800"/>
    <w:rsid w:val="009E4A4B"/>
    <w:rsid w:val="009E4C66"/>
    <w:rsid w:val="009E5987"/>
    <w:rsid w:val="009E60B8"/>
    <w:rsid w:val="009E65CF"/>
    <w:rsid w:val="009E6B3C"/>
    <w:rsid w:val="009E7155"/>
    <w:rsid w:val="009E7532"/>
    <w:rsid w:val="009E761C"/>
    <w:rsid w:val="009E79BE"/>
    <w:rsid w:val="009E7A9F"/>
    <w:rsid w:val="009F02F4"/>
    <w:rsid w:val="009F04B1"/>
    <w:rsid w:val="009F05A7"/>
    <w:rsid w:val="009F05AD"/>
    <w:rsid w:val="009F0797"/>
    <w:rsid w:val="009F0D36"/>
    <w:rsid w:val="009F1320"/>
    <w:rsid w:val="009F1528"/>
    <w:rsid w:val="009F1616"/>
    <w:rsid w:val="009F168C"/>
    <w:rsid w:val="009F1F5D"/>
    <w:rsid w:val="009F2105"/>
    <w:rsid w:val="009F21D9"/>
    <w:rsid w:val="009F2A70"/>
    <w:rsid w:val="009F2AEC"/>
    <w:rsid w:val="009F373D"/>
    <w:rsid w:val="009F3AD6"/>
    <w:rsid w:val="009F46FD"/>
    <w:rsid w:val="009F49EB"/>
    <w:rsid w:val="009F4ACD"/>
    <w:rsid w:val="009F5339"/>
    <w:rsid w:val="009F590B"/>
    <w:rsid w:val="009F6139"/>
    <w:rsid w:val="009F621C"/>
    <w:rsid w:val="009F6254"/>
    <w:rsid w:val="009F62DF"/>
    <w:rsid w:val="009F6A4B"/>
    <w:rsid w:val="009F6B01"/>
    <w:rsid w:val="009F7292"/>
    <w:rsid w:val="009F76CF"/>
    <w:rsid w:val="009F78B9"/>
    <w:rsid w:val="00A00E09"/>
    <w:rsid w:val="00A013E4"/>
    <w:rsid w:val="00A021F2"/>
    <w:rsid w:val="00A02607"/>
    <w:rsid w:val="00A02915"/>
    <w:rsid w:val="00A02FA6"/>
    <w:rsid w:val="00A03553"/>
    <w:rsid w:val="00A03ABC"/>
    <w:rsid w:val="00A03B6D"/>
    <w:rsid w:val="00A03D2A"/>
    <w:rsid w:val="00A0433B"/>
    <w:rsid w:val="00A050EF"/>
    <w:rsid w:val="00A0532D"/>
    <w:rsid w:val="00A055DC"/>
    <w:rsid w:val="00A0628F"/>
    <w:rsid w:val="00A06478"/>
    <w:rsid w:val="00A06514"/>
    <w:rsid w:val="00A0673D"/>
    <w:rsid w:val="00A0754E"/>
    <w:rsid w:val="00A0766A"/>
    <w:rsid w:val="00A078FE"/>
    <w:rsid w:val="00A07BE1"/>
    <w:rsid w:val="00A10108"/>
    <w:rsid w:val="00A102C6"/>
    <w:rsid w:val="00A10304"/>
    <w:rsid w:val="00A10939"/>
    <w:rsid w:val="00A10E8A"/>
    <w:rsid w:val="00A110DE"/>
    <w:rsid w:val="00A1113C"/>
    <w:rsid w:val="00A121A7"/>
    <w:rsid w:val="00A12D6D"/>
    <w:rsid w:val="00A12E62"/>
    <w:rsid w:val="00A12F1F"/>
    <w:rsid w:val="00A132F6"/>
    <w:rsid w:val="00A136EB"/>
    <w:rsid w:val="00A13844"/>
    <w:rsid w:val="00A13A13"/>
    <w:rsid w:val="00A13C2C"/>
    <w:rsid w:val="00A141FB"/>
    <w:rsid w:val="00A148BE"/>
    <w:rsid w:val="00A149D4"/>
    <w:rsid w:val="00A14B9F"/>
    <w:rsid w:val="00A154D1"/>
    <w:rsid w:val="00A175E1"/>
    <w:rsid w:val="00A205A7"/>
    <w:rsid w:val="00A206A6"/>
    <w:rsid w:val="00A21027"/>
    <w:rsid w:val="00A21048"/>
    <w:rsid w:val="00A21A1A"/>
    <w:rsid w:val="00A22895"/>
    <w:rsid w:val="00A22B77"/>
    <w:rsid w:val="00A23113"/>
    <w:rsid w:val="00A2320E"/>
    <w:rsid w:val="00A2322E"/>
    <w:rsid w:val="00A23A11"/>
    <w:rsid w:val="00A23C7F"/>
    <w:rsid w:val="00A24959"/>
    <w:rsid w:val="00A24AAF"/>
    <w:rsid w:val="00A24EEE"/>
    <w:rsid w:val="00A24FE7"/>
    <w:rsid w:val="00A251B9"/>
    <w:rsid w:val="00A253C6"/>
    <w:rsid w:val="00A25495"/>
    <w:rsid w:val="00A2570D"/>
    <w:rsid w:val="00A2584B"/>
    <w:rsid w:val="00A27823"/>
    <w:rsid w:val="00A27A9C"/>
    <w:rsid w:val="00A27E96"/>
    <w:rsid w:val="00A302EC"/>
    <w:rsid w:val="00A305FD"/>
    <w:rsid w:val="00A31521"/>
    <w:rsid w:val="00A31634"/>
    <w:rsid w:val="00A31B5D"/>
    <w:rsid w:val="00A32D06"/>
    <w:rsid w:val="00A33090"/>
    <w:rsid w:val="00A3349A"/>
    <w:rsid w:val="00A33B43"/>
    <w:rsid w:val="00A33CBC"/>
    <w:rsid w:val="00A3403D"/>
    <w:rsid w:val="00A34449"/>
    <w:rsid w:val="00A34962"/>
    <w:rsid w:val="00A34EC9"/>
    <w:rsid w:val="00A35555"/>
    <w:rsid w:val="00A3631A"/>
    <w:rsid w:val="00A366D6"/>
    <w:rsid w:val="00A366D8"/>
    <w:rsid w:val="00A36AA7"/>
    <w:rsid w:val="00A36BFC"/>
    <w:rsid w:val="00A36D29"/>
    <w:rsid w:val="00A36D3A"/>
    <w:rsid w:val="00A36F4C"/>
    <w:rsid w:val="00A36F4E"/>
    <w:rsid w:val="00A36F4F"/>
    <w:rsid w:val="00A37691"/>
    <w:rsid w:val="00A37999"/>
    <w:rsid w:val="00A37B16"/>
    <w:rsid w:val="00A37C7E"/>
    <w:rsid w:val="00A4027B"/>
    <w:rsid w:val="00A41338"/>
    <w:rsid w:val="00A41790"/>
    <w:rsid w:val="00A419FC"/>
    <w:rsid w:val="00A41AF4"/>
    <w:rsid w:val="00A41B7A"/>
    <w:rsid w:val="00A41C7D"/>
    <w:rsid w:val="00A42209"/>
    <w:rsid w:val="00A42462"/>
    <w:rsid w:val="00A424C4"/>
    <w:rsid w:val="00A42567"/>
    <w:rsid w:val="00A441DE"/>
    <w:rsid w:val="00A44510"/>
    <w:rsid w:val="00A44B2E"/>
    <w:rsid w:val="00A4565B"/>
    <w:rsid w:val="00A45808"/>
    <w:rsid w:val="00A45992"/>
    <w:rsid w:val="00A459C6"/>
    <w:rsid w:val="00A45BFC"/>
    <w:rsid w:val="00A45E3A"/>
    <w:rsid w:val="00A4665F"/>
    <w:rsid w:val="00A46EC1"/>
    <w:rsid w:val="00A46F65"/>
    <w:rsid w:val="00A474AF"/>
    <w:rsid w:val="00A47726"/>
    <w:rsid w:val="00A506E7"/>
    <w:rsid w:val="00A50F67"/>
    <w:rsid w:val="00A514D4"/>
    <w:rsid w:val="00A51935"/>
    <w:rsid w:val="00A51F15"/>
    <w:rsid w:val="00A5203C"/>
    <w:rsid w:val="00A528BA"/>
    <w:rsid w:val="00A52AF2"/>
    <w:rsid w:val="00A53633"/>
    <w:rsid w:val="00A53CA1"/>
    <w:rsid w:val="00A53EB5"/>
    <w:rsid w:val="00A542C3"/>
    <w:rsid w:val="00A54D9D"/>
    <w:rsid w:val="00A54FCA"/>
    <w:rsid w:val="00A56081"/>
    <w:rsid w:val="00A5634D"/>
    <w:rsid w:val="00A563C7"/>
    <w:rsid w:val="00A56743"/>
    <w:rsid w:val="00A57AA1"/>
    <w:rsid w:val="00A57CB8"/>
    <w:rsid w:val="00A60C1C"/>
    <w:rsid w:val="00A60F96"/>
    <w:rsid w:val="00A613C8"/>
    <w:rsid w:val="00A61876"/>
    <w:rsid w:val="00A619B2"/>
    <w:rsid w:val="00A61D85"/>
    <w:rsid w:val="00A61EA0"/>
    <w:rsid w:val="00A6203B"/>
    <w:rsid w:val="00A6267E"/>
    <w:rsid w:val="00A62F9B"/>
    <w:rsid w:val="00A634F0"/>
    <w:rsid w:val="00A636A2"/>
    <w:rsid w:val="00A63BFF"/>
    <w:rsid w:val="00A63D52"/>
    <w:rsid w:val="00A642A5"/>
    <w:rsid w:val="00A6450F"/>
    <w:rsid w:val="00A64650"/>
    <w:rsid w:val="00A64B1A"/>
    <w:rsid w:val="00A65753"/>
    <w:rsid w:val="00A65BF4"/>
    <w:rsid w:val="00A665D0"/>
    <w:rsid w:val="00A6757D"/>
    <w:rsid w:val="00A706C5"/>
    <w:rsid w:val="00A70CFC"/>
    <w:rsid w:val="00A710BA"/>
    <w:rsid w:val="00A7135B"/>
    <w:rsid w:val="00A71479"/>
    <w:rsid w:val="00A71790"/>
    <w:rsid w:val="00A7192A"/>
    <w:rsid w:val="00A723C8"/>
    <w:rsid w:val="00A7268D"/>
    <w:rsid w:val="00A72B8F"/>
    <w:rsid w:val="00A72C8C"/>
    <w:rsid w:val="00A7385C"/>
    <w:rsid w:val="00A73E92"/>
    <w:rsid w:val="00A74179"/>
    <w:rsid w:val="00A745A5"/>
    <w:rsid w:val="00A74688"/>
    <w:rsid w:val="00A74ED0"/>
    <w:rsid w:val="00A7509D"/>
    <w:rsid w:val="00A7518E"/>
    <w:rsid w:val="00A753C7"/>
    <w:rsid w:val="00A754DC"/>
    <w:rsid w:val="00A755D7"/>
    <w:rsid w:val="00A767D1"/>
    <w:rsid w:val="00A768DD"/>
    <w:rsid w:val="00A76B74"/>
    <w:rsid w:val="00A76D3E"/>
    <w:rsid w:val="00A77A9A"/>
    <w:rsid w:val="00A8057D"/>
    <w:rsid w:val="00A808A5"/>
    <w:rsid w:val="00A80AC9"/>
    <w:rsid w:val="00A80AE3"/>
    <w:rsid w:val="00A8185C"/>
    <w:rsid w:val="00A81AD0"/>
    <w:rsid w:val="00A81DA5"/>
    <w:rsid w:val="00A81DD7"/>
    <w:rsid w:val="00A826C9"/>
    <w:rsid w:val="00A827A4"/>
    <w:rsid w:val="00A829D4"/>
    <w:rsid w:val="00A83332"/>
    <w:rsid w:val="00A833B4"/>
    <w:rsid w:val="00A837C7"/>
    <w:rsid w:val="00A8393A"/>
    <w:rsid w:val="00A846D5"/>
    <w:rsid w:val="00A84BDB"/>
    <w:rsid w:val="00A84FF3"/>
    <w:rsid w:val="00A85A81"/>
    <w:rsid w:val="00A85DF4"/>
    <w:rsid w:val="00A86229"/>
    <w:rsid w:val="00A8717C"/>
    <w:rsid w:val="00A87CF8"/>
    <w:rsid w:val="00A9024A"/>
    <w:rsid w:val="00A90558"/>
    <w:rsid w:val="00A90625"/>
    <w:rsid w:val="00A909DC"/>
    <w:rsid w:val="00A91223"/>
    <w:rsid w:val="00A91B1D"/>
    <w:rsid w:val="00A91B3E"/>
    <w:rsid w:val="00A91D3F"/>
    <w:rsid w:val="00A91DF0"/>
    <w:rsid w:val="00A921E2"/>
    <w:rsid w:val="00A9248A"/>
    <w:rsid w:val="00A924E2"/>
    <w:rsid w:val="00A92708"/>
    <w:rsid w:val="00A9274C"/>
    <w:rsid w:val="00A92C79"/>
    <w:rsid w:val="00A931EF"/>
    <w:rsid w:val="00A933CB"/>
    <w:rsid w:val="00A935EB"/>
    <w:rsid w:val="00A93A58"/>
    <w:rsid w:val="00A93F0D"/>
    <w:rsid w:val="00A941C4"/>
    <w:rsid w:val="00A94529"/>
    <w:rsid w:val="00A952E2"/>
    <w:rsid w:val="00A95738"/>
    <w:rsid w:val="00A95876"/>
    <w:rsid w:val="00A959F5"/>
    <w:rsid w:val="00A961C6"/>
    <w:rsid w:val="00A96A09"/>
    <w:rsid w:val="00A96D66"/>
    <w:rsid w:val="00A9721B"/>
    <w:rsid w:val="00A97DF6"/>
    <w:rsid w:val="00AA0132"/>
    <w:rsid w:val="00AA025D"/>
    <w:rsid w:val="00AA0A72"/>
    <w:rsid w:val="00AA13F2"/>
    <w:rsid w:val="00AA19E6"/>
    <w:rsid w:val="00AA1E31"/>
    <w:rsid w:val="00AA1E38"/>
    <w:rsid w:val="00AA2618"/>
    <w:rsid w:val="00AA28EF"/>
    <w:rsid w:val="00AA3A61"/>
    <w:rsid w:val="00AA3DBF"/>
    <w:rsid w:val="00AA42B2"/>
    <w:rsid w:val="00AA447B"/>
    <w:rsid w:val="00AA4C0B"/>
    <w:rsid w:val="00AA58F2"/>
    <w:rsid w:val="00AA5E71"/>
    <w:rsid w:val="00AA6A70"/>
    <w:rsid w:val="00AA71E7"/>
    <w:rsid w:val="00AA73EA"/>
    <w:rsid w:val="00AA75F4"/>
    <w:rsid w:val="00AA7935"/>
    <w:rsid w:val="00AA7CAA"/>
    <w:rsid w:val="00AB03D2"/>
    <w:rsid w:val="00AB04A2"/>
    <w:rsid w:val="00AB095F"/>
    <w:rsid w:val="00AB096B"/>
    <w:rsid w:val="00AB0CD4"/>
    <w:rsid w:val="00AB1741"/>
    <w:rsid w:val="00AB1B0C"/>
    <w:rsid w:val="00AB1D09"/>
    <w:rsid w:val="00AB221D"/>
    <w:rsid w:val="00AB2441"/>
    <w:rsid w:val="00AB26C1"/>
    <w:rsid w:val="00AB2945"/>
    <w:rsid w:val="00AB330F"/>
    <w:rsid w:val="00AB33EA"/>
    <w:rsid w:val="00AB35D3"/>
    <w:rsid w:val="00AB36B8"/>
    <w:rsid w:val="00AB3858"/>
    <w:rsid w:val="00AB39C0"/>
    <w:rsid w:val="00AB3AA4"/>
    <w:rsid w:val="00AB41BC"/>
    <w:rsid w:val="00AB423A"/>
    <w:rsid w:val="00AB4404"/>
    <w:rsid w:val="00AB4D3F"/>
    <w:rsid w:val="00AB4DB0"/>
    <w:rsid w:val="00AB518A"/>
    <w:rsid w:val="00AB53A2"/>
    <w:rsid w:val="00AB5761"/>
    <w:rsid w:val="00AB647E"/>
    <w:rsid w:val="00AB6CD9"/>
    <w:rsid w:val="00AB70BB"/>
    <w:rsid w:val="00AB7122"/>
    <w:rsid w:val="00AB7473"/>
    <w:rsid w:val="00AB7487"/>
    <w:rsid w:val="00AB7545"/>
    <w:rsid w:val="00AB7C8D"/>
    <w:rsid w:val="00AC00C0"/>
    <w:rsid w:val="00AC07E4"/>
    <w:rsid w:val="00AC08BE"/>
    <w:rsid w:val="00AC0C3C"/>
    <w:rsid w:val="00AC0F6F"/>
    <w:rsid w:val="00AC1399"/>
    <w:rsid w:val="00AC1503"/>
    <w:rsid w:val="00AC1628"/>
    <w:rsid w:val="00AC1FB3"/>
    <w:rsid w:val="00AC207D"/>
    <w:rsid w:val="00AC2A16"/>
    <w:rsid w:val="00AC2D4F"/>
    <w:rsid w:val="00AC3024"/>
    <w:rsid w:val="00AC355D"/>
    <w:rsid w:val="00AC36A2"/>
    <w:rsid w:val="00AC3C6F"/>
    <w:rsid w:val="00AC4819"/>
    <w:rsid w:val="00AC4C38"/>
    <w:rsid w:val="00AC5894"/>
    <w:rsid w:val="00AC599A"/>
    <w:rsid w:val="00AC59F7"/>
    <w:rsid w:val="00AC5A90"/>
    <w:rsid w:val="00AC6119"/>
    <w:rsid w:val="00AC655D"/>
    <w:rsid w:val="00AC694B"/>
    <w:rsid w:val="00AC7332"/>
    <w:rsid w:val="00AC75D9"/>
    <w:rsid w:val="00AC7A88"/>
    <w:rsid w:val="00AC7E4B"/>
    <w:rsid w:val="00AD1864"/>
    <w:rsid w:val="00AD2B24"/>
    <w:rsid w:val="00AD2E96"/>
    <w:rsid w:val="00AD3320"/>
    <w:rsid w:val="00AD486C"/>
    <w:rsid w:val="00AD5324"/>
    <w:rsid w:val="00AD5364"/>
    <w:rsid w:val="00AD564D"/>
    <w:rsid w:val="00AD5981"/>
    <w:rsid w:val="00AD5B8A"/>
    <w:rsid w:val="00AD6400"/>
    <w:rsid w:val="00AD6E20"/>
    <w:rsid w:val="00AD7184"/>
    <w:rsid w:val="00AD745C"/>
    <w:rsid w:val="00AD7A21"/>
    <w:rsid w:val="00AE03D9"/>
    <w:rsid w:val="00AE04F6"/>
    <w:rsid w:val="00AE0AD9"/>
    <w:rsid w:val="00AE143E"/>
    <w:rsid w:val="00AE20CA"/>
    <w:rsid w:val="00AE2304"/>
    <w:rsid w:val="00AE2363"/>
    <w:rsid w:val="00AE292B"/>
    <w:rsid w:val="00AE2AF7"/>
    <w:rsid w:val="00AE317A"/>
    <w:rsid w:val="00AE3248"/>
    <w:rsid w:val="00AE36CB"/>
    <w:rsid w:val="00AE3865"/>
    <w:rsid w:val="00AE38B3"/>
    <w:rsid w:val="00AE3B16"/>
    <w:rsid w:val="00AE5033"/>
    <w:rsid w:val="00AE538F"/>
    <w:rsid w:val="00AE5519"/>
    <w:rsid w:val="00AE5580"/>
    <w:rsid w:val="00AE6A47"/>
    <w:rsid w:val="00AE6DD0"/>
    <w:rsid w:val="00AE7C3A"/>
    <w:rsid w:val="00AE7EA1"/>
    <w:rsid w:val="00AF058E"/>
    <w:rsid w:val="00AF0738"/>
    <w:rsid w:val="00AF155B"/>
    <w:rsid w:val="00AF1BA3"/>
    <w:rsid w:val="00AF205C"/>
    <w:rsid w:val="00AF27D5"/>
    <w:rsid w:val="00AF2872"/>
    <w:rsid w:val="00AF2D45"/>
    <w:rsid w:val="00AF332C"/>
    <w:rsid w:val="00AF3A97"/>
    <w:rsid w:val="00AF3DDA"/>
    <w:rsid w:val="00AF51EB"/>
    <w:rsid w:val="00AF534F"/>
    <w:rsid w:val="00AF555E"/>
    <w:rsid w:val="00AF573F"/>
    <w:rsid w:val="00AF5876"/>
    <w:rsid w:val="00AF59E2"/>
    <w:rsid w:val="00AF5A42"/>
    <w:rsid w:val="00AF5AAF"/>
    <w:rsid w:val="00AF64D8"/>
    <w:rsid w:val="00AF6745"/>
    <w:rsid w:val="00AF68A0"/>
    <w:rsid w:val="00AF7206"/>
    <w:rsid w:val="00AF77DC"/>
    <w:rsid w:val="00AF7B33"/>
    <w:rsid w:val="00AF7BA1"/>
    <w:rsid w:val="00AF7E65"/>
    <w:rsid w:val="00B006D4"/>
    <w:rsid w:val="00B006E6"/>
    <w:rsid w:val="00B007F9"/>
    <w:rsid w:val="00B00D2D"/>
    <w:rsid w:val="00B01B12"/>
    <w:rsid w:val="00B01D18"/>
    <w:rsid w:val="00B0257A"/>
    <w:rsid w:val="00B02676"/>
    <w:rsid w:val="00B02D2C"/>
    <w:rsid w:val="00B02F23"/>
    <w:rsid w:val="00B02F3A"/>
    <w:rsid w:val="00B02F76"/>
    <w:rsid w:val="00B03167"/>
    <w:rsid w:val="00B03751"/>
    <w:rsid w:val="00B037AF"/>
    <w:rsid w:val="00B03B46"/>
    <w:rsid w:val="00B03C55"/>
    <w:rsid w:val="00B03E95"/>
    <w:rsid w:val="00B04571"/>
    <w:rsid w:val="00B05DAE"/>
    <w:rsid w:val="00B0630A"/>
    <w:rsid w:val="00B06AAD"/>
    <w:rsid w:val="00B06C04"/>
    <w:rsid w:val="00B06C8A"/>
    <w:rsid w:val="00B075CA"/>
    <w:rsid w:val="00B07CD7"/>
    <w:rsid w:val="00B1082D"/>
    <w:rsid w:val="00B1092A"/>
    <w:rsid w:val="00B10B8C"/>
    <w:rsid w:val="00B10F07"/>
    <w:rsid w:val="00B10F7C"/>
    <w:rsid w:val="00B113D7"/>
    <w:rsid w:val="00B12AA3"/>
    <w:rsid w:val="00B13726"/>
    <w:rsid w:val="00B13AFB"/>
    <w:rsid w:val="00B13D5D"/>
    <w:rsid w:val="00B1480B"/>
    <w:rsid w:val="00B14AA5"/>
    <w:rsid w:val="00B1662C"/>
    <w:rsid w:val="00B16D0D"/>
    <w:rsid w:val="00B174E5"/>
    <w:rsid w:val="00B17501"/>
    <w:rsid w:val="00B17B1F"/>
    <w:rsid w:val="00B209FF"/>
    <w:rsid w:val="00B20D40"/>
    <w:rsid w:val="00B20E20"/>
    <w:rsid w:val="00B21277"/>
    <w:rsid w:val="00B214B5"/>
    <w:rsid w:val="00B214BD"/>
    <w:rsid w:val="00B2171E"/>
    <w:rsid w:val="00B218FF"/>
    <w:rsid w:val="00B21BF2"/>
    <w:rsid w:val="00B21CFA"/>
    <w:rsid w:val="00B21F79"/>
    <w:rsid w:val="00B22182"/>
    <w:rsid w:val="00B228F1"/>
    <w:rsid w:val="00B229DF"/>
    <w:rsid w:val="00B22A46"/>
    <w:rsid w:val="00B22C61"/>
    <w:rsid w:val="00B22EE9"/>
    <w:rsid w:val="00B23653"/>
    <w:rsid w:val="00B23A3E"/>
    <w:rsid w:val="00B23F20"/>
    <w:rsid w:val="00B24104"/>
    <w:rsid w:val="00B243B7"/>
    <w:rsid w:val="00B253FF"/>
    <w:rsid w:val="00B25929"/>
    <w:rsid w:val="00B25B47"/>
    <w:rsid w:val="00B25C9B"/>
    <w:rsid w:val="00B2604A"/>
    <w:rsid w:val="00B26375"/>
    <w:rsid w:val="00B266A7"/>
    <w:rsid w:val="00B270AD"/>
    <w:rsid w:val="00B2753A"/>
    <w:rsid w:val="00B27CF7"/>
    <w:rsid w:val="00B3078D"/>
    <w:rsid w:val="00B30A25"/>
    <w:rsid w:val="00B30D61"/>
    <w:rsid w:val="00B30F96"/>
    <w:rsid w:val="00B315CD"/>
    <w:rsid w:val="00B32633"/>
    <w:rsid w:val="00B3273D"/>
    <w:rsid w:val="00B329B8"/>
    <w:rsid w:val="00B32CE3"/>
    <w:rsid w:val="00B33406"/>
    <w:rsid w:val="00B33C42"/>
    <w:rsid w:val="00B34578"/>
    <w:rsid w:val="00B3494F"/>
    <w:rsid w:val="00B34A94"/>
    <w:rsid w:val="00B34F66"/>
    <w:rsid w:val="00B35245"/>
    <w:rsid w:val="00B357D9"/>
    <w:rsid w:val="00B35875"/>
    <w:rsid w:val="00B35A71"/>
    <w:rsid w:val="00B35D36"/>
    <w:rsid w:val="00B35DA9"/>
    <w:rsid w:val="00B35F6E"/>
    <w:rsid w:val="00B360AF"/>
    <w:rsid w:val="00B36602"/>
    <w:rsid w:val="00B36663"/>
    <w:rsid w:val="00B37268"/>
    <w:rsid w:val="00B37515"/>
    <w:rsid w:val="00B37D82"/>
    <w:rsid w:val="00B404C0"/>
    <w:rsid w:val="00B4061A"/>
    <w:rsid w:val="00B4064C"/>
    <w:rsid w:val="00B4071E"/>
    <w:rsid w:val="00B40851"/>
    <w:rsid w:val="00B413E7"/>
    <w:rsid w:val="00B4257F"/>
    <w:rsid w:val="00B4298A"/>
    <w:rsid w:val="00B43976"/>
    <w:rsid w:val="00B447BA"/>
    <w:rsid w:val="00B44B49"/>
    <w:rsid w:val="00B453C6"/>
    <w:rsid w:val="00B45461"/>
    <w:rsid w:val="00B45C94"/>
    <w:rsid w:val="00B45F29"/>
    <w:rsid w:val="00B45FD4"/>
    <w:rsid w:val="00B4619F"/>
    <w:rsid w:val="00B46335"/>
    <w:rsid w:val="00B464A6"/>
    <w:rsid w:val="00B47141"/>
    <w:rsid w:val="00B477E0"/>
    <w:rsid w:val="00B501E8"/>
    <w:rsid w:val="00B502CC"/>
    <w:rsid w:val="00B50460"/>
    <w:rsid w:val="00B5049D"/>
    <w:rsid w:val="00B50905"/>
    <w:rsid w:val="00B50F76"/>
    <w:rsid w:val="00B51AE4"/>
    <w:rsid w:val="00B51C66"/>
    <w:rsid w:val="00B51E45"/>
    <w:rsid w:val="00B52409"/>
    <w:rsid w:val="00B52FE0"/>
    <w:rsid w:val="00B536B6"/>
    <w:rsid w:val="00B560F7"/>
    <w:rsid w:val="00B56335"/>
    <w:rsid w:val="00B5701F"/>
    <w:rsid w:val="00B57215"/>
    <w:rsid w:val="00B57823"/>
    <w:rsid w:val="00B57A10"/>
    <w:rsid w:val="00B57A41"/>
    <w:rsid w:val="00B57F55"/>
    <w:rsid w:val="00B601DC"/>
    <w:rsid w:val="00B6040D"/>
    <w:rsid w:val="00B6070F"/>
    <w:rsid w:val="00B6087D"/>
    <w:rsid w:val="00B60971"/>
    <w:rsid w:val="00B60D24"/>
    <w:rsid w:val="00B61B37"/>
    <w:rsid w:val="00B61BA8"/>
    <w:rsid w:val="00B6202A"/>
    <w:rsid w:val="00B6233B"/>
    <w:rsid w:val="00B62C2D"/>
    <w:rsid w:val="00B62DF3"/>
    <w:rsid w:val="00B63125"/>
    <w:rsid w:val="00B63343"/>
    <w:rsid w:val="00B63438"/>
    <w:rsid w:val="00B63FE3"/>
    <w:rsid w:val="00B63FFE"/>
    <w:rsid w:val="00B64534"/>
    <w:rsid w:val="00B65F7D"/>
    <w:rsid w:val="00B66129"/>
    <w:rsid w:val="00B66BC2"/>
    <w:rsid w:val="00B66D01"/>
    <w:rsid w:val="00B6722D"/>
    <w:rsid w:val="00B6728B"/>
    <w:rsid w:val="00B672BF"/>
    <w:rsid w:val="00B70358"/>
    <w:rsid w:val="00B70756"/>
    <w:rsid w:val="00B70979"/>
    <w:rsid w:val="00B709C0"/>
    <w:rsid w:val="00B70E8F"/>
    <w:rsid w:val="00B715F6"/>
    <w:rsid w:val="00B71EEA"/>
    <w:rsid w:val="00B72F17"/>
    <w:rsid w:val="00B732FC"/>
    <w:rsid w:val="00B737B9"/>
    <w:rsid w:val="00B73D0E"/>
    <w:rsid w:val="00B74975"/>
    <w:rsid w:val="00B74CD0"/>
    <w:rsid w:val="00B74D51"/>
    <w:rsid w:val="00B74FF4"/>
    <w:rsid w:val="00B756DD"/>
    <w:rsid w:val="00B7588C"/>
    <w:rsid w:val="00B758DE"/>
    <w:rsid w:val="00B75ADA"/>
    <w:rsid w:val="00B75B94"/>
    <w:rsid w:val="00B764BF"/>
    <w:rsid w:val="00B772C3"/>
    <w:rsid w:val="00B77D2A"/>
    <w:rsid w:val="00B77D77"/>
    <w:rsid w:val="00B80187"/>
    <w:rsid w:val="00B808AC"/>
    <w:rsid w:val="00B81D9A"/>
    <w:rsid w:val="00B81E32"/>
    <w:rsid w:val="00B82367"/>
    <w:rsid w:val="00B82E6C"/>
    <w:rsid w:val="00B83409"/>
    <w:rsid w:val="00B843AB"/>
    <w:rsid w:val="00B847E1"/>
    <w:rsid w:val="00B84869"/>
    <w:rsid w:val="00B85B1D"/>
    <w:rsid w:val="00B86575"/>
    <w:rsid w:val="00B868B0"/>
    <w:rsid w:val="00B86B99"/>
    <w:rsid w:val="00B87121"/>
    <w:rsid w:val="00B8787B"/>
    <w:rsid w:val="00B87E4A"/>
    <w:rsid w:val="00B90067"/>
    <w:rsid w:val="00B904C7"/>
    <w:rsid w:val="00B904F4"/>
    <w:rsid w:val="00B909E5"/>
    <w:rsid w:val="00B90A22"/>
    <w:rsid w:val="00B90E8B"/>
    <w:rsid w:val="00B90E96"/>
    <w:rsid w:val="00B91B48"/>
    <w:rsid w:val="00B9218E"/>
    <w:rsid w:val="00B92ACA"/>
    <w:rsid w:val="00B92D2F"/>
    <w:rsid w:val="00B92D72"/>
    <w:rsid w:val="00B92DF1"/>
    <w:rsid w:val="00B93291"/>
    <w:rsid w:val="00B9339B"/>
    <w:rsid w:val="00B9352F"/>
    <w:rsid w:val="00B93832"/>
    <w:rsid w:val="00B9391F"/>
    <w:rsid w:val="00B93963"/>
    <w:rsid w:val="00B93B92"/>
    <w:rsid w:val="00B93E09"/>
    <w:rsid w:val="00B94396"/>
    <w:rsid w:val="00B94872"/>
    <w:rsid w:val="00B95350"/>
    <w:rsid w:val="00B956B0"/>
    <w:rsid w:val="00B95DA5"/>
    <w:rsid w:val="00B96926"/>
    <w:rsid w:val="00B96FA2"/>
    <w:rsid w:val="00B9739E"/>
    <w:rsid w:val="00B97613"/>
    <w:rsid w:val="00B9793D"/>
    <w:rsid w:val="00B97E7A"/>
    <w:rsid w:val="00BA01D8"/>
    <w:rsid w:val="00BA07B1"/>
    <w:rsid w:val="00BA11B2"/>
    <w:rsid w:val="00BA2D53"/>
    <w:rsid w:val="00BA2F50"/>
    <w:rsid w:val="00BA4358"/>
    <w:rsid w:val="00BA4674"/>
    <w:rsid w:val="00BA4BBA"/>
    <w:rsid w:val="00BA5A19"/>
    <w:rsid w:val="00BA635B"/>
    <w:rsid w:val="00BA63E0"/>
    <w:rsid w:val="00BA6448"/>
    <w:rsid w:val="00BA6565"/>
    <w:rsid w:val="00BA6D10"/>
    <w:rsid w:val="00BA7FCA"/>
    <w:rsid w:val="00BB071F"/>
    <w:rsid w:val="00BB07E7"/>
    <w:rsid w:val="00BB128B"/>
    <w:rsid w:val="00BB140C"/>
    <w:rsid w:val="00BB25F8"/>
    <w:rsid w:val="00BB2B6B"/>
    <w:rsid w:val="00BB36CC"/>
    <w:rsid w:val="00BB4401"/>
    <w:rsid w:val="00BB441F"/>
    <w:rsid w:val="00BB458C"/>
    <w:rsid w:val="00BB480E"/>
    <w:rsid w:val="00BB4896"/>
    <w:rsid w:val="00BB4B4D"/>
    <w:rsid w:val="00BB4BDA"/>
    <w:rsid w:val="00BB4C90"/>
    <w:rsid w:val="00BB5172"/>
    <w:rsid w:val="00BB58C4"/>
    <w:rsid w:val="00BB5A86"/>
    <w:rsid w:val="00BB5B2A"/>
    <w:rsid w:val="00BB69AD"/>
    <w:rsid w:val="00BB6DFF"/>
    <w:rsid w:val="00BB7457"/>
    <w:rsid w:val="00BB7731"/>
    <w:rsid w:val="00BB7ADA"/>
    <w:rsid w:val="00BB7BB4"/>
    <w:rsid w:val="00BB7FD4"/>
    <w:rsid w:val="00BC0693"/>
    <w:rsid w:val="00BC0965"/>
    <w:rsid w:val="00BC0BE0"/>
    <w:rsid w:val="00BC0C20"/>
    <w:rsid w:val="00BC16B5"/>
    <w:rsid w:val="00BC1AAF"/>
    <w:rsid w:val="00BC26CA"/>
    <w:rsid w:val="00BC27EB"/>
    <w:rsid w:val="00BC290F"/>
    <w:rsid w:val="00BC32F6"/>
    <w:rsid w:val="00BC3718"/>
    <w:rsid w:val="00BC4116"/>
    <w:rsid w:val="00BC46C7"/>
    <w:rsid w:val="00BC4CAD"/>
    <w:rsid w:val="00BC4D50"/>
    <w:rsid w:val="00BC55AA"/>
    <w:rsid w:val="00BC5C55"/>
    <w:rsid w:val="00BC6269"/>
    <w:rsid w:val="00BC68AC"/>
    <w:rsid w:val="00BC7461"/>
    <w:rsid w:val="00BC7783"/>
    <w:rsid w:val="00BC7798"/>
    <w:rsid w:val="00BC7AB6"/>
    <w:rsid w:val="00BD01F3"/>
    <w:rsid w:val="00BD0238"/>
    <w:rsid w:val="00BD09B2"/>
    <w:rsid w:val="00BD0DFE"/>
    <w:rsid w:val="00BD100F"/>
    <w:rsid w:val="00BD10AD"/>
    <w:rsid w:val="00BD1208"/>
    <w:rsid w:val="00BD177B"/>
    <w:rsid w:val="00BD1EA4"/>
    <w:rsid w:val="00BD1F5D"/>
    <w:rsid w:val="00BD22B1"/>
    <w:rsid w:val="00BD2562"/>
    <w:rsid w:val="00BD3AA6"/>
    <w:rsid w:val="00BD3AA7"/>
    <w:rsid w:val="00BD3DA3"/>
    <w:rsid w:val="00BD3DB0"/>
    <w:rsid w:val="00BD4332"/>
    <w:rsid w:val="00BD439F"/>
    <w:rsid w:val="00BD45D0"/>
    <w:rsid w:val="00BD4688"/>
    <w:rsid w:val="00BD4727"/>
    <w:rsid w:val="00BD5FB8"/>
    <w:rsid w:val="00BD67D8"/>
    <w:rsid w:val="00BD6E39"/>
    <w:rsid w:val="00BD70A0"/>
    <w:rsid w:val="00BD734A"/>
    <w:rsid w:val="00BD76AF"/>
    <w:rsid w:val="00BD774E"/>
    <w:rsid w:val="00BD797C"/>
    <w:rsid w:val="00BE01DE"/>
    <w:rsid w:val="00BE0275"/>
    <w:rsid w:val="00BE05AC"/>
    <w:rsid w:val="00BE05E2"/>
    <w:rsid w:val="00BE0BA5"/>
    <w:rsid w:val="00BE144B"/>
    <w:rsid w:val="00BE15AE"/>
    <w:rsid w:val="00BE1AE7"/>
    <w:rsid w:val="00BE1B10"/>
    <w:rsid w:val="00BE257F"/>
    <w:rsid w:val="00BE27F1"/>
    <w:rsid w:val="00BE2E91"/>
    <w:rsid w:val="00BE33DF"/>
    <w:rsid w:val="00BE3690"/>
    <w:rsid w:val="00BE3A60"/>
    <w:rsid w:val="00BE3C65"/>
    <w:rsid w:val="00BE3FCE"/>
    <w:rsid w:val="00BE414C"/>
    <w:rsid w:val="00BE44A4"/>
    <w:rsid w:val="00BE458F"/>
    <w:rsid w:val="00BE4656"/>
    <w:rsid w:val="00BE4C9F"/>
    <w:rsid w:val="00BE52DA"/>
    <w:rsid w:val="00BE54D4"/>
    <w:rsid w:val="00BE5A44"/>
    <w:rsid w:val="00BE61DC"/>
    <w:rsid w:val="00BE6AA2"/>
    <w:rsid w:val="00BE6B79"/>
    <w:rsid w:val="00BE6F2D"/>
    <w:rsid w:val="00BE70C5"/>
    <w:rsid w:val="00BE7136"/>
    <w:rsid w:val="00BE7460"/>
    <w:rsid w:val="00BE7D4C"/>
    <w:rsid w:val="00BE7F09"/>
    <w:rsid w:val="00BF007A"/>
    <w:rsid w:val="00BF04C4"/>
    <w:rsid w:val="00BF05A1"/>
    <w:rsid w:val="00BF09A5"/>
    <w:rsid w:val="00BF0AE1"/>
    <w:rsid w:val="00BF10FE"/>
    <w:rsid w:val="00BF1587"/>
    <w:rsid w:val="00BF255B"/>
    <w:rsid w:val="00BF29A4"/>
    <w:rsid w:val="00BF321A"/>
    <w:rsid w:val="00BF33D8"/>
    <w:rsid w:val="00BF37E2"/>
    <w:rsid w:val="00BF3E78"/>
    <w:rsid w:val="00BF4A0E"/>
    <w:rsid w:val="00BF55DC"/>
    <w:rsid w:val="00BF58D7"/>
    <w:rsid w:val="00BF5902"/>
    <w:rsid w:val="00BF5F7A"/>
    <w:rsid w:val="00BF6885"/>
    <w:rsid w:val="00BF6AFF"/>
    <w:rsid w:val="00BF6DB4"/>
    <w:rsid w:val="00BF7817"/>
    <w:rsid w:val="00BF7877"/>
    <w:rsid w:val="00BF78DE"/>
    <w:rsid w:val="00BF7D62"/>
    <w:rsid w:val="00BF7EB1"/>
    <w:rsid w:val="00BF7F97"/>
    <w:rsid w:val="00C00162"/>
    <w:rsid w:val="00C00243"/>
    <w:rsid w:val="00C00388"/>
    <w:rsid w:val="00C007BB"/>
    <w:rsid w:val="00C00DA0"/>
    <w:rsid w:val="00C00DD8"/>
    <w:rsid w:val="00C019FF"/>
    <w:rsid w:val="00C02015"/>
    <w:rsid w:val="00C026C8"/>
    <w:rsid w:val="00C02F82"/>
    <w:rsid w:val="00C030D4"/>
    <w:rsid w:val="00C032EF"/>
    <w:rsid w:val="00C0363D"/>
    <w:rsid w:val="00C03647"/>
    <w:rsid w:val="00C0367C"/>
    <w:rsid w:val="00C03AC7"/>
    <w:rsid w:val="00C04325"/>
    <w:rsid w:val="00C044E5"/>
    <w:rsid w:val="00C048E7"/>
    <w:rsid w:val="00C04DB5"/>
    <w:rsid w:val="00C05110"/>
    <w:rsid w:val="00C052B5"/>
    <w:rsid w:val="00C05316"/>
    <w:rsid w:val="00C056CA"/>
    <w:rsid w:val="00C0604F"/>
    <w:rsid w:val="00C06A89"/>
    <w:rsid w:val="00C06AA6"/>
    <w:rsid w:val="00C06C98"/>
    <w:rsid w:val="00C071DE"/>
    <w:rsid w:val="00C07B07"/>
    <w:rsid w:val="00C100EA"/>
    <w:rsid w:val="00C108E8"/>
    <w:rsid w:val="00C10A10"/>
    <w:rsid w:val="00C10A33"/>
    <w:rsid w:val="00C10C46"/>
    <w:rsid w:val="00C10EE4"/>
    <w:rsid w:val="00C11277"/>
    <w:rsid w:val="00C114CF"/>
    <w:rsid w:val="00C11F51"/>
    <w:rsid w:val="00C1226D"/>
    <w:rsid w:val="00C123B0"/>
    <w:rsid w:val="00C12524"/>
    <w:rsid w:val="00C12A3C"/>
    <w:rsid w:val="00C12C78"/>
    <w:rsid w:val="00C12D7C"/>
    <w:rsid w:val="00C13A39"/>
    <w:rsid w:val="00C13A9E"/>
    <w:rsid w:val="00C13AE0"/>
    <w:rsid w:val="00C14340"/>
    <w:rsid w:val="00C144E3"/>
    <w:rsid w:val="00C1462F"/>
    <w:rsid w:val="00C149C8"/>
    <w:rsid w:val="00C14D92"/>
    <w:rsid w:val="00C1597B"/>
    <w:rsid w:val="00C15E4E"/>
    <w:rsid w:val="00C15E50"/>
    <w:rsid w:val="00C16316"/>
    <w:rsid w:val="00C16FFA"/>
    <w:rsid w:val="00C175CE"/>
    <w:rsid w:val="00C17A91"/>
    <w:rsid w:val="00C17CDA"/>
    <w:rsid w:val="00C17D75"/>
    <w:rsid w:val="00C17EEE"/>
    <w:rsid w:val="00C17FF0"/>
    <w:rsid w:val="00C2007B"/>
    <w:rsid w:val="00C20313"/>
    <w:rsid w:val="00C20A63"/>
    <w:rsid w:val="00C22422"/>
    <w:rsid w:val="00C22ADE"/>
    <w:rsid w:val="00C23C71"/>
    <w:rsid w:val="00C23C88"/>
    <w:rsid w:val="00C23DEF"/>
    <w:rsid w:val="00C23F36"/>
    <w:rsid w:val="00C23F52"/>
    <w:rsid w:val="00C24820"/>
    <w:rsid w:val="00C250C5"/>
    <w:rsid w:val="00C26129"/>
    <w:rsid w:val="00C265B4"/>
    <w:rsid w:val="00C26979"/>
    <w:rsid w:val="00C26B47"/>
    <w:rsid w:val="00C26F36"/>
    <w:rsid w:val="00C270F8"/>
    <w:rsid w:val="00C27B44"/>
    <w:rsid w:val="00C27C5B"/>
    <w:rsid w:val="00C302BE"/>
    <w:rsid w:val="00C306E2"/>
    <w:rsid w:val="00C30979"/>
    <w:rsid w:val="00C3098D"/>
    <w:rsid w:val="00C31008"/>
    <w:rsid w:val="00C31493"/>
    <w:rsid w:val="00C31770"/>
    <w:rsid w:val="00C3181D"/>
    <w:rsid w:val="00C32212"/>
    <w:rsid w:val="00C32B88"/>
    <w:rsid w:val="00C33105"/>
    <w:rsid w:val="00C33149"/>
    <w:rsid w:val="00C334B6"/>
    <w:rsid w:val="00C33DC2"/>
    <w:rsid w:val="00C33F00"/>
    <w:rsid w:val="00C342F1"/>
    <w:rsid w:val="00C343FD"/>
    <w:rsid w:val="00C34EC6"/>
    <w:rsid w:val="00C3573C"/>
    <w:rsid w:val="00C35AB9"/>
    <w:rsid w:val="00C3609B"/>
    <w:rsid w:val="00C3709F"/>
    <w:rsid w:val="00C374DB"/>
    <w:rsid w:val="00C40567"/>
    <w:rsid w:val="00C4072C"/>
    <w:rsid w:val="00C40835"/>
    <w:rsid w:val="00C40FB2"/>
    <w:rsid w:val="00C41263"/>
    <w:rsid w:val="00C415CB"/>
    <w:rsid w:val="00C41817"/>
    <w:rsid w:val="00C425B3"/>
    <w:rsid w:val="00C429DD"/>
    <w:rsid w:val="00C42F79"/>
    <w:rsid w:val="00C43603"/>
    <w:rsid w:val="00C439E3"/>
    <w:rsid w:val="00C448FB"/>
    <w:rsid w:val="00C449F3"/>
    <w:rsid w:val="00C451B0"/>
    <w:rsid w:val="00C456C7"/>
    <w:rsid w:val="00C4582F"/>
    <w:rsid w:val="00C461BC"/>
    <w:rsid w:val="00C461D2"/>
    <w:rsid w:val="00C464B8"/>
    <w:rsid w:val="00C46899"/>
    <w:rsid w:val="00C472A6"/>
    <w:rsid w:val="00C474D3"/>
    <w:rsid w:val="00C476B4"/>
    <w:rsid w:val="00C47E45"/>
    <w:rsid w:val="00C47FB4"/>
    <w:rsid w:val="00C5083F"/>
    <w:rsid w:val="00C50854"/>
    <w:rsid w:val="00C50E73"/>
    <w:rsid w:val="00C5106A"/>
    <w:rsid w:val="00C51A5C"/>
    <w:rsid w:val="00C51AF7"/>
    <w:rsid w:val="00C51C3B"/>
    <w:rsid w:val="00C51C7B"/>
    <w:rsid w:val="00C52316"/>
    <w:rsid w:val="00C52341"/>
    <w:rsid w:val="00C524E2"/>
    <w:rsid w:val="00C52FE6"/>
    <w:rsid w:val="00C53B01"/>
    <w:rsid w:val="00C54797"/>
    <w:rsid w:val="00C5496C"/>
    <w:rsid w:val="00C54A6F"/>
    <w:rsid w:val="00C550E3"/>
    <w:rsid w:val="00C55894"/>
    <w:rsid w:val="00C55A58"/>
    <w:rsid w:val="00C55FF4"/>
    <w:rsid w:val="00C56098"/>
    <w:rsid w:val="00C56CD6"/>
    <w:rsid w:val="00C56D6D"/>
    <w:rsid w:val="00C573EA"/>
    <w:rsid w:val="00C57414"/>
    <w:rsid w:val="00C5766F"/>
    <w:rsid w:val="00C61705"/>
    <w:rsid w:val="00C63544"/>
    <w:rsid w:val="00C63C1D"/>
    <w:rsid w:val="00C63E63"/>
    <w:rsid w:val="00C6485B"/>
    <w:rsid w:val="00C64AE2"/>
    <w:rsid w:val="00C64B21"/>
    <w:rsid w:val="00C64EE1"/>
    <w:rsid w:val="00C65035"/>
    <w:rsid w:val="00C651A8"/>
    <w:rsid w:val="00C65483"/>
    <w:rsid w:val="00C65609"/>
    <w:rsid w:val="00C65A8D"/>
    <w:rsid w:val="00C65B32"/>
    <w:rsid w:val="00C66993"/>
    <w:rsid w:val="00C67054"/>
    <w:rsid w:val="00C67150"/>
    <w:rsid w:val="00C676C5"/>
    <w:rsid w:val="00C67AA7"/>
    <w:rsid w:val="00C67ECF"/>
    <w:rsid w:val="00C701EF"/>
    <w:rsid w:val="00C705E5"/>
    <w:rsid w:val="00C70A89"/>
    <w:rsid w:val="00C70F99"/>
    <w:rsid w:val="00C717EE"/>
    <w:rsid w:val="00C71E14"/>
    <w:rsid w:val="00C7222E"/>
    <w:rsid w:val="00C72B5D"/>
    <w:rsid w:val="00C72BFF"/>
    <w:rsid w:val="00C7395C"/>
    <w:rsid w:val="00C73E26"/>
    <w:rsid w:val="00C74B8F"/>
    <w:rsid w:val="00C74C65"/>
    <w:rsid w:val="00C7520C"/>
    <w:rsid w:val="00C75432"/>
    <w:rsid w:val="00C75C08"/>
    <w:rsid w:val="00C76B96"/>
    <w:rsid w:val="00C7727B"/>
    <w:rsid w:val="00C77363"/>
    <w:rsid w:val="00C80243"/>
    <w:rsid w:val="00C80262"/>
    <w:rsid w:val="00C8039F"/>
    <w:rsid w:val="00C80ABE"/>
    <w:rsid w:val="00C8135A"/>
    <w:rsid w:val="00C818A3"/>
    <w:rsid w:val="00C8265E"/>
    <w:rsid w:val="00C8267B"/>
    <w:rsid w:val="00C83346"/>
    <w:rsid w:val="00C83405"/>
    <w:rsid w:val="00C8370E"/>
    <w:rsid w:val="00C83EF3"/>
    <w:rsid w:val="00C846A2"/>
    <w:rsid w:val="00C84B44"/>
    <w:rsid w:val="00C84FBC"/>
    <w:rsid w:val="00C8506B"/>
    <w:rsid w:val="00C8543D"/>
    <w:rsid w:val="00C85626"/>
    <w:rsid w:val="00C8580F"/>
    <w:rsid w:val="00C8583D"/>
    <w:rsid w:val="00C859B2"/>
    <w:rsid w:val="00C862C2"/>
    <w:rsid w:val="00C87E5E"/>
    <w:rsid w:val="00C90142"/>
    <w:rsid w:val="00C908B9"/>
    <w:rsid w:val="00C90AC9"/>
    <w:rsid w:val="00C90B03"/>
    <w:rsid w:val="00C90BA7"/>
    <w:rsid w:val="00C91272"/>
    <w:rsid w:val="00C91AFC"/>
    <w:rsid w:val="00C9279C"/>
    <w:rsid w:val="00C92A30"/>
    <w:rsid w:val="00C92BCF"/>
    <w:rsid w:val="00C931DC"/>
    <w:rsid w:val="00C93500"/>
    <w:rsid w:val="00C941B3"/>
    <w:rsid w:val="00C94480"/>
    <w:rsid w:val="00C946E9"/>
    <w:rsid w:val="00C94FAF"/>
    <w:rsid w:val="00C95283"/>
    <w:rsid w:val="00C95315"/>
    <w:rsid w:val="00C9572A"/>
    <w:rsid w:val="00C95C8E"/>
    <w:rsid w:val="00C96145"/>
    <w:rsid w:val="00C961CD"/>
    <w:rsid w:val="00C9780E"/>
    <w:rsid w:val="00C97A56"/>
    <w:rsid w:val="00CA0310"/>
    <w:rsid w:val="00CA0777"/>
    <w:rsid w:val="00CA119C"/>
    <w:rsid w:val="00CA184C"/>
    <w:rsid w:val="00CA2B32"/>
    <w:rsid w:val="00CA2EEE"/>
    <w:rsid w:val="00CA3B65"/>
    <w:rsid w:val="00CA3E85"/>
    <w:rsid w:val="00CA4050"/>
    <w:rsid w:val="00CA45A6"/>
    <w:rsid w:val="00CA4688"/>
    <w:rsid w:val="00CA4E2F"/>
    <w:rsid w:val="00CA524D"/>
    <w:rsid w:val="00CA526E"/>
    <w:rsid w:val="00CA5ADA"/>
    <w:rsid w:val="00CA5D0D"/>
    <w:rsid w:val="00CA5E31"/>
    <w:rsid w:val="00CA6486"/>
    <w:rsid w:val="00CA6B4A"/>
    <w:rsid w:val="00CA759D"/>
    <w:rsid w:val="00CA7937"/>
    <w:rsid w:val="00CB0713"/>
    <w:rsid w:val="00CB1144"/>
    <w:rsid w:val="00CB12B5"/>
    <w:rsid w:val="00CB15CE"/>
    <w:rsid w:val="00CB1D5D"/>
    <w:rsid w:val="00CB226C"/>
    <w:rsid w:val="00CB2C20"/>
    <w:rsid w:val="00CB34A8"/>
    <w:rsid w:val="00CB3A9D"/>
    <w:rsid w:val="00CB49FE"/>
    <w:rsid w:val="00CB4EE9"/>
    <w:rsid w:val="00CB5615"/>
    <w:rsid w:val="00CB5D13"/>
    <w:rsid w:val="00CB5F78"/>
    <w:rsid w:val="00CB607B"/>
    <w:rsid w:val="00CB643D"/>
    <w:rsid w:val="00CB6EEC"/>
    <w:rsid w:val="00CB6F2E"/>
    <w:rsid w:val="00CB768D"/>
    <w:rsid w:val="00CC118F"/>
    <w:rsid w:val="00CC19CF"/>
    <w:rsid w:val="00CC1D38"/>
    <w:rsid w:val="00CC211A"/>
    <w:rsid w:val="00CC24AA"/>
    <w:rsid w:val="00CC2CD7"/>
    <w:rsid w:val="00CC2DED"/>
    <w:rsid w:val="00CC3061"/>
    <w:rsid w:val="00CC4034"/>
    <w:rsid w:val="00CC431B"/>
    <w:rsid w:val="00CC4485"/>
    <w:rsid w:val="00CC4879"/>
    <w:rsid w:val="00CC4AD5"/>
    <w:rsid w:val="00CC4BF2"/>
    <w:rsid w:val="00CC4ECC"/>
    <w:rsid w:val="00CC6252"/>
    <w:rsid w:val="00CC6701"/>
    <w:rsid w:val="00CC6EF5"/>
    <w:rsid w:val="00CC7063"/>
    <w:rsid w:val="00CC722F"/>
    <w:rsid w:val="00CC7350"/>
    <w:rsid w:val="00CC7691"/>
    <w:rsid w:val="00CC78B2"/>
    <w:rsid w:val="00CC7DA0"/>
    <w:rsid w:val="00CC7E41"/>
    <w:rsid w:val="00CD0780"/>
    <w:rsid w:val="00CD07A4"/>
    <w:rsid w:val="00CD0A31"/>
    <w:rsid w:val="00CD1AD9"/>
    <w:rsid w:val="00CD1EA8"/>
    <w:rsid w:val="00CD1FF8"/>
    <w:rsid w:val="00CD24DE"/>
    <w:rsid w:val="00CD2B39"/>
    <w:rsid w:val="00CD2FF8"/>
    <w:rsid w:val="00CD32FE"/>
    <w:rsid w:val="00CD39FF"/>
    <w:rsid w:val="00CD3CAE"/>
    <w:rsid w:val="00CD4163"/>
    <w:rsid w:val="00CD41B0"/>
    <w:rsid w:val="00CD440B"/>
    <w:rsid w:val="00CD4661"/>
    <w:rsid w:val="00CD47D4"/>
    <w:rsid w:val="00CD48A5"/>
    <w:rsid w:val="00CD5890"/>
    <w:rsid w:val="00CD5911"/>
    <w:rsid w:val="00CD5C72"/>
    <w:rsid w:val="00CD6D4E"/>
    <w:rsid w:val="00CD6DF9"/>
    <w:rsid w:val="00CD7DCA"/>
    <w:rsid w:val="00CE01C5"/>
    <w:rsid w:val="00CE0244"/>
    <w:rsid w:val="00CE0427"/>
    <w:rsid w:val="00CE0669"/>
    <w:rsid w:val="00CE08EE"/>
    <w:rsid w:val="00CE0B4F"/>
    <w:rsid w:val="00CE0E46"/>
    <w:rsid w:val="00CE0EAA"/>
    <w:rsid w:val="00CE21BC"/>
    <w:rsid w:val="00CE2AD5"/>
    <w:rsid w:val="00CE38D2"/>
    <w:rsid w:val="00CE44C0"/>
    <w:rsid w:val="00CE5A82"/>
    <w:rsid w:val="00CE6FA6"/>
    <w:rsid w:val="00CE70B0"/>
    <w:rsid w:val="00CE738F"/>
    <w:rsid w:val="00CE73E3"/>
    <w:rsid w:val="00CE7646"/>
    <w:rsid w:val="00CE7647"/>
    <w:rsid w:val="00CE76A5"/>
    <w:rsid w:val="00CE7A2A"/>
    <w:rsid w:val="00CE7DDB"/>
    <w:rsid w:val="00CE7F0D"/>
    <w:rsid w:val="00CE7FC0"/>
    <w:rsid w:val="00CF01CF"/>
    <w:rsid w:val="00CF02D6"/>
    <w:rsid w:val="00CF03B2"/>
    <w:rsid w:val="00CF07DF"/>
    <w:rsid w:val="00CF084C"/>
    <w:rsid w:val="00CF0F61"/>
    <w:rsid w:val="00CF14F1"/>
    <w:rsid w:val="00CF1A25"/>
    <w:rsid w:val="00CF1B31"/>
    <w:rsid w:val="00CF2290"/>
    <w:rsid w:val="00CF2672"/>
    <w:rsid w:val="00CF2C74"/>
    <w:rsid w:val="00CF36D5"/>
    <w:rsid w:val="00CF3B13"/>
    <w:rsid w:val="00CF45EC"/>
    <w:rsid w:val="00CF4DC5"/>
    <w:rsid w:val="00CF54B5"/>
    <w:rsid w:val="00CF5A5A"/>
    <w:rsid w:val="00CF5D49"/>
    <w:rsid w:val="00CF5FAE"/>
    <w:rsid w:val="00CF60A9"/>
    <w:rsid w:val="00CF66EE"/>
    <w:rsid w:val="00CF6A23"/>
    <w:rsid w:val="00CF6BA8"/>
    <w:rsid w:val="00CF6C78"/>
    <w:rsid w:val="00CF6F86"/>
    <w:rsid w:val="00D005C1"/>
    <w:rsid w:val="00D00851"/>
    <w:rsid w:val="00D010BC"/>
    <w:rsid w:val="00D01207"/>
    <w:rsid w:val="00D01644"/>
    <w:rsid w:val="00D016FA"/>
    <w:rsid w:val="00D0208C"/>
    <w:rsid w:val="00D029B7"/>
    <w:rsid w:val="00D02A19"/>
    <w:rsid w:val="00D02F69"/>
    <w:rsid w:val="00D03C73"/>
    <w:rsid w:val="00D04339"/>
    <w:rsid w:val="00D0437E"/>
    <w:rsid w:val="00D0447D"/>
    <w:rsid w:val="00D048BF"/>
    <w:rsid w:val="00D04D6A"/>
    <w:rsid w:val="00D04DF4"/>
    <w:rsid w:val="00D053F4"/>
    <w:rsid w:val="00D05D57"/>
    <w:rsid w:val="00D05EA7"/>
    <w:rsid w:val="00D0600C"/>
    <w:rsid w:val="00D062EA"/>
    <w:rsid w:val="00D06A08"/>
    <w:rsid w:val="00D06A33"/>
    <w:rsid w:val="00D06BDB"/>
    <w:rsid w:val="00D06CD7"/>
    <w:rsid w:val="00D0737B"/>
    <w:rsid w:val="00D078A5"/>
    <w:rsid w:val="00D0798A"/>
    <w:rsid w:val="00D1048A"/>
    <w:rsid w:val="00D10B72"/>
    <w:rsid w:val="00D11055"/>
    <w:rsid w:val="00D12249"/>
    <w:rsid w:val="00D123D6"/>
    <w:rsid w:val="00D1243A"/>
    <w:rsid w:val="00D12956"/>
    <w:rsid w:val="00D12E42"/>
    <w:rsid w:val="00D13C43"/>
    <w:rsid w:val="00D13C89"/>
    <w:rsid w:val="00D13DD6"/>
    <w:rsid w:val="00D145D9"/>
    <w:rsid w:val="00D14AE2"/>
    <w:rsid w:val="00D15741"/>
    <w:rsid w:val="00D15763"/>
    <w:rsid w:val="00D15A79"/>
    <w:rsid w:val="00D160BF"/>
    <w:rsid w:val="00D16346"/>
    <w:rsid w:val="00D1647F"/>
    <w:rsid w:val="00D1667A"/>
    <w:rsid w:val="00D16DD7"/>
    <w:rsid w:val="00D173FA"/>
    <w:rsid w:val="00D17582"/>
    <w:rsid w:val="00D1793B"/>
    <w:rsid w:val="00D17B69"/>
    <w:rsid w:val="00D200C2"/>
    <w:rsid w:val="00D202DC"/>
    <w:rsid w:val="00D20391"/>
    <w:rsid w:val="00D20982"/>
    <w:rsid w:val="00D20A72"/>
    <w:rsid w:val="00D20AF6"/>
    <w:rsid w:val="00D21740"/>
    <w:rsid w:val="00D21D6A"/>
    <w:rsid w:val="00D21F40"/>
    <w:rsid w:val="00D2202B"/>
    <w:rsid w:val="00D2248F"/>
    <w:rsid w:val="00D22507"/>
    <w:rsid w:val="00D2262B"/>
    <w:rsid w:val="00D22941"/>
    <w:rsid w:val="00D229AE"/>
    <w:rsid w:val="00D22D2C"/>
    <w:rsid w:val="00D23723"/>
    <w:rsid w:val="00D23A5D"/>
    <w:rsid w:val="00D241C9"/>
    <w:rsid w:val="00D2461D"/>
    <w:rsid w:val="00D2545E"/>
    <w:rsid w:val="00D265A8"/>
    <w:rsid w:val="00D26A33"/>
    <w:rsid w:val="00D27086"/>
    <w:rsid w:val="00D277F3"/>
    <w:rsid w:val="00D27ED4"/>
    <w:rsid w:val="00D3000C"/>
    <w:rsid w:val="00D310C3"/>
    <w:rsid w:val="00D31941"/>
    <w:rsid w:val="00D319AF"/>
    <w:rsid w:val="00D32235"/>
    <w:rsid w:val="00D32A29"/>
    <w:rsid w:val="00D32BE6"/>
    <w:rsid w:val="00D32E2B"/>
    <w:rsid w:val="00D3308C"/>
    <w:rsid w:val="00D337FA"/>
    <w:rsid w:val="00D33D46"/>
    <w:rsid w:val="00D34288"/>
    <w:rsid w:val="00D34D81"/>
    <w:rsid w:val="00D354E4"/>
    <w:rsid w:val="00D35992"/>
    <w:rsid w:val="00D3643D"/>
    <w:rsid w:val="00D365DF"/>
    <w:rsid w:val="00D36608"/>
    <w:rsid w:val="00D36B63"/>
    <w:rsid w:val="00D36BEC"/>
    <w:rsid w:val="00D36C60"/>
    <w:rsid w:val="00D36CF7"/>
    <w:rsid w:val="00D37412"/>
    <w:rsid w:val="00D377A2"/>
    <w:rsid w:val="00D4067C"/>
    <w:rsid w:val="00D408A3"/>
    <w:rsid w:val="00D4118B"/>
    <w:rsid w:val="00D41527"/>
    <w:rsid w:val="00D41714"/>
    <w:rsid w:val="00D41A0D"/>
    <w:rsid w:val="00D41B8A"/>
    <w:rsid w:val="00D4254A"/>
    <w:rsid w:val="00D42BE7"/>
    <w:rsid w:val="00D42CBB"/>
    <w:rsid w:val="00D42F2F"/>
    <w:rsid w:val="00D436AF"/>
    <w:rsid w:val="00D43F41"/>
    <w:rsid w:val="00D44091"/>
    <w:rsid w:val="00D44FA7"/>
    <w:rsid w:val="00D453EC"/>
    <w:rsid w:val="00D45DF0"/>
    <w:rsid w:val="00D460B3"/>
    <w:rsid w:val="00D46632"/>
    <w:rsid w:val="00D46919"/>
    <w:rsid w:val="00D46EF2"/>
    <w:rsid w:val="00D47087"/>
    <w:rsid w:val="00D472C2"/>
    <w:rsid w:val="00D47CE7"/>
    <w:rsid w:val="00D50343"/>
    <w:rsid w:val="00D504B2"/>
    <w:rsid w:val="00D5050E"/>
    <w:rsid w:val="00D5101B"/>
    <w:rsid w:val="00D51E1E"/>
    <w:rsid w:val="00D523A9"/>
    <w:rsid w:val="00D536B3"/>
    <w:rsid w:val="00D53BA4"/>
    <w:rsid w:val="00D53C4A"/>
    <w:rsid w:val="00D53FA3"/>
    <w:rsid w:val="00D5428D"/>
    <w:rsid w:val="00D542FF"/>
    <w:rsid w:val="00D54574"/>
    <w:rsid w:val="00D546FE"/>
    <w:rsid w:val="00D553C1"/>
    <w:rsid w:val="00D55D08"/>
    <w:rsid w:val="00D55E76"/>
    <w:rsid w:val="00D560D3"/>
    <w:rsid w:val="00D562FF"/>
    <w:rsid w:val="00D5681C"/>
    <w:rsid w:val="00D570F1"/>
    <w:rsid w:val="00D573CD"/>
    <w:rsid w:val="00D57A8E"/>
    <w:rsid w:val="00D57B2D"/>
    <w:rsid w:val="00D57B9B"/>
    <w:rsid w:val="00D57D24"/>
    <w:rsid w:val="00D603B7"/>
    <w:rsid w:val="00D60461"/>
    <w:rsid w:val="00D60636"/>
    <w:rsid w:val="00D60A25"/>
    <w:rsid w:val="00D612D3"/>
    <w:rsid w:val="00D61952"/>
    <w:rsid w:val="00D61D24"/>
    <w:rsid w:val="00D61D6C"/>
    <w:rsid w:val="00D62623"/>
    <w:rsid w:val="00D628E2"/>
    <w:rsid w:val="00D62949"/>
    <w:rsid w:val="00D6299A"/>
    <w:rsid w:val="00D62CC8"/>
    <w:rsid w:val="00D62D9B"/>
    <w:rsid w:val="00D62E85"/>
    <w:rsid w:val="00D63062"/>
    <w:rsid w:val="00D63601"/>
    <w:rsid w:val="00D63D78"/>
    <w:rsid w:val="00D63FED"/>
    <w:rsid w:val="00D64775"/>
    <w:rsid w:val="00D64EB6"/>
    <w:rsid w:val="00D64F4E"/>
    <w:rsid w:val="00D650E8"/>
    <w:rsid w:val="00D650FC"/>
    <w:rsid w:val="00D6541A"/>
    <w:rsid w:val="00D657AC"/>
    <w:rsid w:val="00D6588F"/>
    <w:rsid w:val="00D659CA"/>
    <w:rsid w:val="00D65F36"/>
    <w:rsid w:val="00D666CF"/>
    <w:rsid w:val="00D6690B"/>
    <w:rsid w:val="00D66A1B"/>
    <w:rsid w:val="00D67315"/>
    <w:rsid w:val="00D70159"/>
    <w:rsid w:val="00D702E6"/>
    <w:rsid w:val="00D707E0"/>
    <w:rsid w:val="00D70917"/>
    <w:rsid w:val="00D70AB2"/>
    <w:rsid w:val="00D70CB7"/>
    <w:rsid w:val="00D70DA4"/>
    <w:rsid w:val="00D70EB6"/>
    <w:rsid w:val="00D7107F"/>
    <w:rsid w:val="00D710E9"/>
    <w:rsid w:val="00D71607"/>
    <w:rsid w:val="00D72382"/>
    <w:rsid w:val="00D723CB"/>
    <w:rsid w:val="00D72F22"/>
    <w:rsid w:val="00D73B55"/>
    <w:rsid w:val="00D7429E"/>
    <w:rsid w:val="00D74329"/>
    <w:rsid w:val="00D743E9"/>
    <w:rsid w:val="00D7482A"/>
    <w:rsid w:val="00D74CDC"/>
    <w:rsid w:val="00D74D46"/>
    <w:rsid w:val="00D74E71"/>
    <w:rsid w:val="00D750B1"/>
    <w:rsid w:val="00D7563F"/>
    <w:rsid w:val="00D76834"/>
    <w:rsid w:val="00D76869"/>
    <w:rsid w:val="00D76A1E"/>
    <w:rsid w:val="00D76AB0"/>
    <w:rsid w:val="00D77EAF"/>
    <w:rsid w:val="00D80024"/>
    <w:rsid w:val="00D801D2"/>
    <w:rsid w:val="00D80427"/>
    <w:rsid w:val="00D80938"/>
    <w:rsid w:val="00D80E8E"/>
    <w:rsid w:val="00D8154C"/>
    <w:rsid w:val="00D8176C"/>
    <w:rsid w:val="00D818BE"/>
    <w:rsid w:val="00D81BD3"/>
    <w:rsid w:val="00D8232F"/>
    <w:rsid w:val="00D823A0"/>
    <w:rsid w:val="00D83723"/>
    <w:rsid w:val="00D83E89"/>
    <w:rsid w:val="00D83F99"/>
    <w:rsid w:val="00D8419F"/>
    <w:rsid w:val="00D84844"/>
    <w:rsid w:val="00D8490C"/>
    <w:rsid w:val="00D84CFD"/>
    <w:rsid w:val="00D85465"/>
    <w:rsid w:val="00D85897"/>
    <w:rsid w:val="00D85AD5"/>
    <w:rsid w:val="00D86A7B"/>
    <w:rsid w:val="00D86CAB"/>
    <w:rsid w:val="00D87260"/>
    <w:rsid w:val="00D87384"/>
    <w:rsid w:val="00D87440"/>
    <w:rsid w:val="00D87BCF"/>
    <w:rsid w:val="00D90576"/>
    <w:rsid w:val="00D90BC1"/>
    <w:rsid w:val="00D90C42"/>
    <w:rsid w:val="00D90D10"/>
    <w:rsid w:val="00D9184B"/>
    <w:rsid w:val="00D918D4"/>
    <w:rsid w:val="00D9235E"/>
    <w:rsid w:val="00D923AD"/>
    <w:rsid w:val="00D934B0"/>
    <w:rsid w:val="00D93653"/>
    <w:rsid w:val="00D93AD2"/>
    <w:rsid w:val="00D9440D"/>
    <w:rsid w:val="00D94F0F"/>
    <w:rsid w:val="00D95126"/>
    <w:rsid w:val="00D95867"/>
    <w:rsid w:val="00D96768"/>
    <w:rsid w:val="00D97201"/>
    <w:rsid w:val="00D973D2"/>
    <w:rsid w:val="00D97571"/>
    <w:rsid w:val="00D97F89"/>
    <w:rsid w:val="00DA09A8"/>
    <w:rsid w:val="00DA0DD8"/>
    <w:rsid w:val="00DA12C9"/>
    <w:rsid w:val="00DA12E9"/>
    <w:rsid w:val="00DA1B8B"/>
    <w:rsid w:val="00DA1B9C"/>
    <w:rsid w:val="00DA1F53"/>
    <w:rsid w:val="00DA2BBD"/>
    <w:rsid w:val="00DA3275"/>
    <w:rsid w:val="00DA3596"/>
    <w:rsid w:val="00DA3FE7"/>
    <w:rsid w:val="00DA4378"/>
    <w:rsid w:val="00DA48C3"/>
    <w:rsid w:val="00DA4AF0"/>
    <w:rsid w:val="00DA4E0F"/>
    <w:rsid w:val="00DA50BA"/>
    <w:rsid w:val="00DA53FF"/>
    <w:rsid w:val="00DA60BD"/>
    <w:rsid w:val="00DA62F9"/>
    <w:rsid w:val="00DA6F51"/>
    <w:rsid w:val="00DA7565"/>
    <w:rsid w:val="00DA758A"/>
    <w:rsid w:val="00DA76E2"/>
    <w:rsid w:val="00DA7D3A"/>
    <w:rsid w:val="00DB028F"/>
    <w:rsid w:val="00DB0879"/>
    <w:rsid w:val="00DB088B"/>
    <w:rsid w:val="00DB0A9A"/>
    <w:rsid w:val="00DB0B89"/>
    <w:rsid w:val="00DB0C19"/>
    <w:rsid w:val="00DB122D"/>
    <w:rsid w:val="00DB1440"/>
    <w:rsid w:val="00DB205B"/>
    <w:rsid w:val="00DB25C0"/>
    <w:rsid w:val="00DB2821"/>
    <w:rsid w:val="00DB289B"/>
    <w:rsid w:val="00DB3083"/>
    <w:rsid w:val="00DB3CE8"/>
    <w:rsid w:val="00DB3D65"/>
    <w:rsid w:val="00DB4532"/>
    <w:rsid w:val="00DB4AEE"/>
    <w:rsid w:val="00DB5122"/>
    <w:rsid w:val="00DB520A"/>
    <w:rsid w:val="00DB54E5"/>
    <w:rsid w:val="00DB5572"/>
    <w:rsid w:val="00DB5599"/>
    <w:rsid w:val="00DB5FC8"/>
    <w:rsid w:val="00DB6214"/>
    <w:rsid w:val="00DB62DA"/>
    <w:rsid w:val="00DB6761"/>
    <w:rsid w:val="00DB74A8"/>
    <w:rsid w:val="00DB7D30"/>
    <w:rsid w:val="00DC03EC"/>
    <w:rsid w:val="00DC0407"/>
    <w:rsid w:val="00DC07AC"/>
    <w:rsid w:val="00DC0CBC"/>
    <w:rsid w:val="00DC1B77"/>
    <w:rsid w:val="00DC1FE7"/>
    <w:rsid w:val="00DC2A83"/>
    <w:rsid w:val="00DC2E05"/>
    <w:rsid w:val="00DC3266"/>
    <w:rsid w:val="00DC3541"/>
    <w:rsid w:val="00DC3667"/>
    <w:rsid w:val="00DC41BD"/>
    <w:rsid w:val="00DC434B"/>
    <w:rsid w:val="00DC47A5"/>
    <w:rsid w:val="00DC4CEA"/>
    <w:rsid w:val="00DC4CFB"/>
    <w:rsid w:val="00DC4DD4"/>
    <w:rsid w:val="00DC4FBE"/>
    <w:rsid w:val="00DC5779"/>
    <w:rsid w:val="00DC5D84"/>
    <w:rsid w:val="00DC649F"/>
    <w:rsid w:val="00DC6AA2"/>
    <w:rsid w:val="00DC6EB9"/>
    <w:rsid w:val="00DC6EDD"/>
    <w:rsid w:val="00DC7972"/>
    <w:rsid w:val="00DD0101"/>
    <w:rsid w:val="00DD06CE"/>
    <w:rsid w:val="00DD095D"/>
    <w:rsid w:val="00DD0CBA"/>
    <w:rsid w:val="00DD17FD"/>
    <w:rsid w:val="00DD1A50"/>
    <w:rsid w:val="00DD1BCE"/>
    <w:rsid w:val="00DD1CF6"/>
    <w:rsid w:val="00DD22FB"/>
    <w:rsid w:val="00DD2D54"/>
    <w:rsid w:val="00DD3496"/>
    <w:rsid w:val="00DD3847"/>
    <w:rsid w:val="00DD39C0"/>
    <w:rsid w:val="00DD3B2B"/>
    <w:rsid w:val="00DD3DBF"/>
    <w:rsid w:val="00DD402D"/>
    <w:rsid w:val="00DD4498"/>
    <w:rsid w:val="00DD4707"/>
    <w:rsid w:val="00DD4826"/>
    <w:rsid w:val="00DD4903"/>
    <w:rsid w:val="00DD5556"/>
    <w:rsid w:val="00DD576F"/>
    <w:rsid w:val="00DD5FB1"/>
    <w:rsid w:val="00DD6775"/>
    <w:rsid w:val="00DD6AB1"/>
    <w:rsid w:val="00DD6B72"/>
    <w:rsid w:val="00DD714A"/>
    <w:rsid w:val="00DD7227"/>
    <w:rsid w:val="00DD7778"/>
    <w:rsid w:val="00DD7C3B"/>
    <w:rsid w:val="00DD7DBD"/>
    <w:rsid w:val="00DE0042"/>
    <w:rsid w:val="00DE09F5"/>
    <w:rsid w:val="00DE13AE"/>
    <w:rsid w:val="00DE21F5"/>
    <w:rsid w:val="00DE243B"/>
    <w:rsid w:val="00DE2483"/>
    <w:rsid w:val="00DE2A07"/>
    <w:rsid w:val="00DE2CAB"/>
    <w:rsid w:val="00DE31FC"/>
    <w:rsid w:val="00DE3780"/>
    <w:rsid w:val="00DE52D6"/>
    <w:rsid w:val="00DE54DA"/>
    <w:rsid w:val="00DE5777"/>
    <w:rsid w:val="00DE57C5"/>
    <w:rsid w:val="00DE60C4"/>
    <w:rsid w:val="00DE6FBA"/>
    <w:rsid w:val="00DE7174"/>
    <w:rsid w:val="00DE754A"/>
    <w:rsid w:val="00DE7606"/>
    <w:rsid w:val="00DE7769"/>
    <w:rsid w:val="00DE7A18"/>
    <w:rsid w:val="00DE7EF3"/>
    <w:rsid w:val="00DF0022"/>
    <w:rsid w:val="00DF05C7"/>
    <w:rsid w:val="00DF0D39"/>
    <w:rsid w:val="00DF139D"/>
    <w:rsid w:val="00DF1744"/>
    <w:rsid w:val="00DF1891"/>
    <w:rsid w:val="00DF252F"/>
    <w:rsid w:val="00DF2E29"/>
    <w:rsid w:val="00DF306C"/>
    <w:rsid w:val="00DF3278"/>
    <w:rsid w:val="00DF3F56"/>
    <w:rsid w:val="00DF4005"/>
    <w:rsid w:val="00DF4486"/>
    <w:rsid w:val="00DF4530"/>
    <w:rsid w:val="00DF49B8"/>
    <w:rsid w:val="00DF5108"/>
    <w:rsid w:val="00DF532B"/>
    <w:rsid w:val="00DF541E"/>
    <w:rsid w:val="00DF590F"/>
    <w:rsid w:val="00DF5EFA"/>
    <w:rsid w:val="00DF62AF"/>
    <w:rsid w:val="00DF655B"/>
    <w:rsid w:val="00DF668E"/>
    <w:rsid w:val="00DF682F"/>
    <w:rsid w:val="00DF6A34"/>
    <w:rsid w:val="00DF6E01"/>
    <w:rsid w:val="00DF7629"/>
    <w:rsid w:val="00DF7C4E"/>
    <w:rsid w:val="00DF7FB4"/>
    <w:rsid w:val="00E0008F"/>
    <w:rsid w:val="00E0011F"/>
    <w:rsid w:val="00E0089A"/>
    <w:rsid w:val="00E00DC7"/>
    <w:rsid w:val="00E01044"/>
    <w:rsid w:val="00E0254C"/>
    <w:rsid w:val="00E027E1"/>
    <w:rsid w:val="00E028D2"/>
    <w:rsid w:val="00E02F85"/>
    <w:rsid w:val="00E0335C"/>
    <w:rsid w:val="00E03415"/>
    <w:rsid w:val="00E03F38"/>
    <w:rsid w:val="00E03F71"/>
    <w:rsid w:val="00E04472"/>
    <w:rsid w:val="00E044BF"/>
    <w:rsid w:val="00E048D4"/>
    <w:rsid w:val="00E0550E"/>
    <w:rsid w:val="00E05FCA"/>
    <w:rsid w:val="00E0670C"/>
    <w:rsid w:val="00E068E7"/>
    <w:rsid w:val="00E06BAA"/>
    <w:rsid w:val="00E06C98"/>
    <w:rsid w:val="00E06EAE"/>
    <w:rsid w:val="00E0718A"/>
    <w:rsid w:val="00E07682"/>
    <w:rsid w:val="00E07B11"/>
    <w:rsid w:val="00E100FF"/>
    <w:rsid w:val="00E103F6"/>
    <w:rsid w:val="00E10743"/>
    <w:rsid w:val="00E10D22"/>
    <w:rsid w:val="00E11218"/>
    <w:rsid w:val="00E1147B"/>
    <w:rsid w:val="00E11605"/>
    <w:rsid w:val="00E119F4"/>
    <w:rsid w:val="00E11D88"/>
    <w:rsid w:val="00E123FE"/>
    <w:rsid w:val="00E13102"/>
    <w:rsid w:val="00E13155"/>
    <w:rsid w:val="00E13BB7"/>
    <w:rsid w:val="00E14424"/>
    <w:rsid w:val="00E14642"/>
    <w:rsid w:val="00E14D45"/>
    <w:rsid w:val="00E162DE"/>
    <w:rsid w:val="00E162F1"/>
    <w:rsid w:val="00E16660"/>
    <w:rsid w:val="00E1668D"/>
    <w:rsid w:val="00E16AC0"/>
    <w:rsid w:val="00E16BA2"/>
    <w:rsid w:val="00E17370"/>
    <w:rsid w:val="00E17D62"/>
    <w:rsid w:val="00E17DEB"/>
    <w:rsid w:val="00E200A8"/>
    <w:rsid w:val="00E2017B"/>
    <w:rsid w:val="00E20DB3"/>
    <w:rsid w:val="00E20DCA"/>
    <w:rsid w:val="00E213A1"/>
    <w:rsid w:val="00E219CB"/>
    <w:rsid w:val="00E22E57"/>
    <w:rsid w:val="00E22F48"/>
    <w:rsid w:val="00E230E5"/>
    <w:rsid w:val="00E23800"/>
    <w:rsid w:val="00E23A61"/>
    <w:rsid w:val="00E23F9E"/>
    <w:rsid w:val="00E244D3"/>
    <w:rsid w:val="00E2471B"/>
    <w:rsid w:val="00E25253"/>
    <w:rsid w:val="00E252BC"/>
    <w:rsid w:val="00E25351"/>
    <w:rsid w:val="00E257E0"/>
    <w:rsid w:val="00E25CC5"/>
    <w:rsid w:val="00E26AE0"/>
    <w:rsid w:val="00E27409"/>
    <w:rsid w:val="00E3016D"/>
    <w:rsid w:val="00E30605"/>
    <w:rsid w:val="00E306BC"/>
    <w:rsid w:val="00E30E51"/>
    <w:rsid w:val="00E31596"/>
    <w:rsid w:val="00E316AB"/>
    <w:rsid w:val="00E31CD4"/>
    <w:rsid w:val="00E323E9"/>
    <w:rsid w:val="00E3289C"/>
    <w:rsid w:val="00E32AA8"/>
    <w:rsid w:val="00E32B74"/>
    <w:rsid w:val="00E32D70"/>
    <w:rsid w:val="00E3395C"/>
    <w:rsid w:val="00E343AF"/>
    <w:rsid w:val="00E3453C"/>
    <w:rsid w:val="00E346DB"/>
    <w:rsid w:val="00E346F9"/>
    <w:rsid w:val="00E34CDE"/>
    <w:rsid w:val="00E34D65"/>
    <w:rsid w:val="00E34F23"/>
    <w:rsid w:val="00E34F2E"/>
    <w:rsid w:val="00E350F0"/>
    <w:rsid w:val="00E36057"/>
    <w:rsid w:val="00E36175"/>
    <w:rsid w:val="00E363C3"/>
    <w:rsid w:val="00E367F3"/>
    <w:rsid w:val="00E368C3"/>
    <w:rsid w:val="00E36D95"/>
    <w:rsid w:val="00E373C9"/>
    <w:rsid w:val="00E3796B"/>
    <w:rsid w:val="00E37CAD"/>
    <w:rsid w:val="00E40197"/>
    <w:rsid w:val="00E40D67"/>
    <w:rsid w:val="00E41798"/>
    <w:rsid w:val="00E425BA"/>
    <w:rsid w:val="00E4272A"/>
    <w:rsid w:val="00E43B10"/>
    <w:rsid w:val="00E43CCF"/>
    <w:rsid w:val="00E4401E"/>
    <w:rsid w:val="00E44152"/>
    <w:rsid w:val="00E44733"/>
    <w:rsid w:val="00E44F97"/>
    <w:rsid w:val="00E45237"/>
    <w:rsid w:val="00E45E93"/>
    <w:rsid w:val="00E46053"/>
    <w:rsid w:val="00E46153"/>
    <w:rsid w:val="00E461B3"/>
    <w:rsid w:val="00E46C46"/>
    <w:rsid w:val="00E46C72"/>
    <w:rsid w:val="00E46CD5"/>
    <w:rsid w:val="00E47217"/>
    <w:rsid w:val="00E47428"/>
    <w:rsid w:val="00E4760D"/>
    <w:rsid w:val="00E47CAD"/>
    <w:rsid w:val="00E5091F"/>
    <w:rsid w:val="00E5106B"/>
    <w:rsid w:val="00E51647"/>
    <w:rsid w:val="00E51CDD"/>
    <w:rsid w:val="00E52157"/>
    <w:rsid w:val="00E52784"/>
    <w:rsid w:val="00E52C71"/>
    <w:rsid w:val="00E53A0E"/>
    <w:rsid w:val="00E53F48"/>
    <w:rsid w:val="00E54287"/>
    <w:rsid w:val="00E54D8B"/>
    <w:rsid w:val="00E55538"/>
    <w:rsid w:val="00E55DBC"/>
    <w:rsid w:val="00E55F82"/>
    <w:rsid w:val="00E562C6"/>
    <w:rsid w:val="00E565FF"/>
    <w:rsid w:val="00E56D82"/>
    <w:rsid w:val="00E571C9"/>
    <w:rsid w:val="00E57EA5"/>
    <w:rsid w:val="00E60554"/>
    <w:rsid w:val="00E61968"/>
    <w:rsid w:val="00E61D70"/>
    <w:rsid w:val="00E61F68"/>
    <w:rsid w:val="00E62714"/>
    <w:rsid w:val="00E628F6"/>
    <w:rsid w:val="00E62C15"/>
    <w:rsid w:val="00E62C3B"/>
    <w:rsid w:val="00E632A3"/>
    <w:rsid w:val="00E633E2"/>
    <w:rsid w:val="00E63C93"/>
    <w:rsid w:val="00E642EF"/>
    <w:rsid w:val="00E64AB9"/>
    <w:rsid w:val="00E64D1E"/>
    <w:rsid w:val="00E6677A"/>
    <w:rsid w:val="00E66E5E"/>
    <w:rsid w:val="00E6709A"/>
    <w:rsid w:val="00E67805"/>
    <w:rsid w:val="00E67A29"/>
    <w:rsid w:val="00E67E54"/>
    <w:rsid w:val="00E7013D"/>
    <w:rsid w:val="00E70495"/>
    <w:rsid w:val="00E708B4"/>
    <w:rsid w:val="00E71FF5"/>
    <w:rsid w:val="00E723E7"/>
    <w:rsid w:val="00E7294A"/>
    <w:rsid w:val="00E73C44"/>
    <w:rsid w:val="00E75228"/>
    <w:rsid w:val="00E75E49"/>
    <w:rsid w:val="00E760D3"/>
    <w:rsid w:val="00E770DF"/>
    <w:rsid w:val="00E77581"/>
    <w:rsid w:val="00E77882"/>
    <w:rsid w:val="00E7797A"/>
    <w:rsid w:val="00E77B8E"/>
    <w:rsid w:val="00E77ECE"/>
    <w:rsid w:val="00E80410"/>
    <w:rsid w:val="00E808E3"/>
    <w:rsid w:val="00E80CC7"/>
    <w:rsid w:val="00E81A56"/>
    <w:rsid w:val="00E81ADF"/>
    <w:rsid w:val="00E81C27"/>
    <w:rsid w:val="00E82C62"/>
    <w:rsid w:val="00E82D90"/>
    <w:rsid w:val="00E82ED1"/>
    <w:rsid w:val="00E8360B"/>
    <w:rsid w:val="00E837D4"/>
    <w:rsid w:val="00E844E3"/>
    <w:rsid w:val="00E84630"/>
    <w:rsid w:val="00E8490A"/>
    <w:rsid w:val="00E84DE3"/>
    <w:rsid w:val="00E84DFE"/>
    <w:rsid w:val="00E85BE4"/>
    <w:rsid w:val="00E85D3C"/>
    <w:rsid w:val="00E85FAA"/>
    <w:rsid w:val="00E8648E"/>
    <w:rsid w:val="00E864CE"/>
    <w:rsid w:val="00E868FC"/>
    <w:rsid w:val="00E86F5A"/>
    <w:rsid w:val="00E873CB"/>
    <w:rsid w:val="00E87A08"/>
    <w:rsid w:val="00E90023"/>
    <w:rsid w:val="00E9044F"/>
    <w:rsid w:val="00E90681"/>
    <w:rsid w:val="00E90768"/>
    <w:rsid w:val="00E90A62"/>
    <w:rsid w:val="00E90DAB"/>
    <w:rsid w:val="00E91180"/>
    <w:rsid w:val="00E91306"/>
    <w:rsid w:val="00E9200D"/>
    <w:rsid w:val="00E9212D"/>
    <w:rsid w:val="00E924D5"/>
    <w:rsid w:val="00E92998"/>
    <w:rsid w:val="00E92F0E"/>
    <w:rsid w:val="00E93061"/>
    <w:rsid w:val="00E9355E"/>
    <w:rsid w:val="00E93573"/>
    <w:rsid w:val="00E93DD4"/>
    <w:rsid w:val="00E954EC"/>
    <w:rsid w:val="00E9550E"/>
    <w:rsid w:val="00E95AC6"/>
    <w:rsid w:val="00E960F1"/>
    <w:rsid w:val="00E96611"/>
    <w:rsid w:val="00E96691"/>
    <w:rsid w:val="00E96721"/>
    <w:rsid w:val="00E97524"/>
    <w:rsid w:val="00E978E8"/>
    <w:rsid w:val="00E97C28"/>
    <w:rsid w:val="00E97D53"/>
    <w:rsid w:val="00E97E74"/>
    <w:rsid w:val="00EA02C1"/>
    <w:rsid w:val="00EA0450"/>
    <w:rsid w:val="00EA0642"/>
    <w:rsid w:val="00EA0AFF"/>
    <w:rsid w:val="00EA101F"/>
    <w:rsid w:val="00EA14EA"/>
    <w:rsid w:val="00EA1AD2"/>
    <w:rsid w:val="00EA2168"/>
    <w:rsid w:val="00EA2646"/>
    <w:rsid w:val="00EA270B"/>
    <w:rsid w:val="00EA2A29"/>
    <w:rsid w:val="00EA3991"/>
    <w:rsid w:val="00EA3C25"/>
    <w:rsid w:val="00EA4729"/>
    <w:rsid w:val="00EA4748"/>
    <w:rsid w:val="00EA4BA4"/>
    <w:rsid w:val="00EA4BE3"/>
    <w:rsid w:val="00EA4D84"/>
    <w:rsid w:val="00EA5F39"/>
    <w:rsid w:val="00EA6568"/>
    <w:rsid w:val="00EA67E4"/>
    <w:rsid w:val="00EB00A5"/>
    <w:rsid w:val="00EB01FF"/>
    <w:rsid w:val="00EB040B"/>
    <w:rsid w:val="00EB0AAD"/>
    <w:rsid w:val="00EB0B15"/>
    <w:rsid w:val="00EB0E44"/>
    <w:rsid w:val="00EB0EC7"/>
    <w:rsid w:val="00EB0FD1"/>
    <w:rsid w:val="00EB112D"/>
    <w:rsid w:val="00EB234A"/>
    <w:rsid w:val="00EB240E"/>
    <w:rsid w:val="00EB2658"/>
    <w:rsid w:val="00EB295A"/>
    <w:rsid w:val="00EB3266"/>
    <w:rsid w:val="00EB35FA"/>
    <w:rsid w:val="00EB36A7"/>
    <w:rsid w:val="00EB3C19"/>
    <w:rsid w:val="00EB4031"/>
    <w:rsid w:val="00EB4561"/>
    <w:rsid w:val="00EB4B5D"/>
    <w:rsid w:val="00EB5063"/>
    <w:rsid w:val="00EB5138"/>
    <w:rsid w:val="00EB58FD"/>
    <w:rsid w:val="00EB5CA1"/>
    <w:rsid w:val="00EB6AD9"/>
    <w:rsid w:val="00EB6B6D"/>
    <w:rsid w:val="00EB6C9B"/>
    <w:rsid w:val="00EB710F"/>
    <w:rsid w:val="00EB7A6E"/>
    <w:rsid w:val="00EC05F1"/>
    <w:rsid w:val="00EC0855"/>
    <w:rsid w:val="00EC0CBF"/>
    <w:rsid w:val="00EC1DE8"/>
    <w:rsid w:val="00EC1E9D"/>
    <w:rsid w:val="00EC27D2"/>
    <w:rsid w:val="00EC2A6D"/>
    <w:rsid w:val="00EC2B71"/>
    <w:rsid w:val="00EC3655"/>
    <w:rsid w:val="00EC401C"/>
    <w:rsid w:val="00EC4336"/>
    <w:rsid w:val="00EC4E02"/>
    <w:rsid w:val="00EC4EA7"/>
    <w:rsid w:val="00EC5274"/>
    <w:rsid w:val="00EC55D1"/>
    <w:rsid w:val="00EC5C08"/>
    <w:rsid w:val="00EC6B99"/>
    <w:rsid w:val="00EC6ED3"/>
    <w:rsid w:val="00EC70DB"/>
    <w:rsid w:val="00EC70EB"/>
    <w:rsid w:val="00EC7269"/>
    <w:rsid w:val="00EC7302"/>
    <w:rsid w:val="00EC7893"/>
    <w:rsid w:val="00EC7994"/>
    <w:rsid w:val="00EC7B44"/>
    <w:rsid w:val="00EC7FCE"/>
    <w:rsid w:val="00EC7FD5"/>
    <w:rsid w:val="00ED0D4C"/>
    <w:rsid w:val="00ED2505"/>
    <w:rsid w:val="00ED258E"/>
    <w:rsid w:val="00ED2DB0"/>
    <w:rsid w:val="00ED3143"/>
    <w:rsid w:val="00ED34A1"/>
    <w:rsid w:val="00ED3D16"/>
    <w:rsid w:val="00ED478B"/>
    <w:rsid w:val="00ED4796"/>
    <w:rsid w:val="00ED56EF"/>
    <w:rsid w:val="00ED594B"/>
    <w:rsid w:val="00ED5ADA"/>
    <w:rsid w:val="00ED5B8D"/>
    <w:rsid w:val="00ED5E86"/>
    <w:rsid w:val="00ED6238"/>
    <w:rsid w:val="00ED6701"/>
    <w:rsid w:val="00ED67D8"/>
    <w:rsid w:val="00ED6993"/>
    <w:rsid w:val="00ED7DF7"/>
    <w:rsid w:val="00EE0557"/>
    <w:rsid w:val="00EE0955"/>
    <w:rsid w:val="00EE0B72"/>
    <w:rsid w:val="00EE0D0C"/>
    <w:rsid w:val="00EE0E7C"/>
    <w:rsid w:val="00EE0ECF"/>
    <w:rsid w:val="00EE1481"/>
    <w:rsid w:val="00EE16E3"/>
    <w:rsid w:val="00EE1A99"/>
    <w:rsid w:val="00EE1C7C"/>
    <w:rsid w:val="00EE21EC"/>
    <w:rsid w:val="00EE23AC"/>
    <w:rsid w:val="00EE24C3"/>
    <w:rsid w:val="00EE2575"/>
    <w:rsid w:val="00EE2640"/>
    <w:rsid w:val="00EE2F5C"/>
    <w:rsid w:val="00EE311C"/>
    <w:rsid w:val="00EE39EF"/>
    <w:rsid w:val="00EE47EE"/>
    <w:rsid w:val="00EE4999"/>
    <w:rsid w:val="00EE4D68"/>
    <w:rsid w:val="00EE4E34"/>
    <w:rsid w:val="00EE52D6"/>
    <w:rsid w:val="00EE54E2"/>
    <w:rsid w:val="00EE603F"/>
    <w:rsid w:val="00EE6828"/>
    <w:rsid w:val="00EE6871"/>
    <w:rsid w:val="00EE73D9"/>
    <w:rsid w:val="00EE7643"/>
    <w:rsid w:val="00EE79B4"/>
    <w:rsid w:val="00EF071D"/>
    <w:rsid w:val="00EF0B27"/>
    <w:rsid w:val="00EF1A29"/>
    <w:rsid w:val="00EF1B81"/>
    <w:rsid w:val="00EF1F53"/>
    <w:rsid w:val="00EF1FE6"/>
    <w:rsid w:val="00EF22A9"/>
    <w:rsid w:val="00EF3FBF"/>
    <w:rsid w:val="00EF4825"/>
    <w:rsid w:val="00EF4955"/>
    <w:rsid w:val="00EF4F89"/>
    <w:rsid w:val="00EF535C"/>
    <w:rsid w:val="00EF54B6"/>
    <w:rsid w:val="00EF54FD"/>
    <w:rsid w:val="00EF577D"/>
    <w:rsid w:val="00EF5EB8"/>
    <w:rsid w:val="00EF6531"/>
    <w:rsid w:val="00EF6558"/>
    <w:rsid w:val="00EF66F0"/>
    <w:rsid w:val="00EF69F7"/>
    <w:rsid w:val="00EF6B44"/>
    <w:rsid w:val="00EF7A81"/>
    <w:rsid w:val="00F00D1F"/>
    <w:rsid w:val="00F01445"/>
    <w:rsid w:val="00F017D8"/>
    <w:rsid w:val="00F01C5E"/>
    <w:rsid w:val="00F01C8F"/>
    <w:rsid w:val="00F020BC"/>
    <w:rsid w:val="00F02275"/>
    <w:rsid w:val="00F02398"/>
    <w:rsid w:val="00F02434"/>
    <w:rsid w:val="00F02BDB"/>
    <w:rsid w:val="00F02BE4"/>
    <w:rsid w:val="00F02C16"/>
    <w:rsid w:val="00F02E54"/>
    <w:rsid w:val="00F033BA"/>
    <w:rsid w:val="00F03857"/>
    <w:rsid w:val="00F0391B"/>
    <w:rsid w:val="00F0437A"/>
    <w:rsid w:val="00F04520"/>
    <w:rsid w:val="00F046F8"/>
    <w:rsid w:val="00F049DB"/>
    <w:rsid w:val="00F05296"/>
    <w:rsid w:val="00F05992"/>
    <w:rsid w:val="00F059C8"/>
    <w:rsid w:val="00F05E2C"/>
    <w:rsid w:val="00F05FFB"/>
    <w:rsid w:val="00F0687D"/>
    <w:rsid w:val="00F06B43"/>
    <w:rsid w:val="00F0713E"/>
    <w:rsid w:val="00F0742E"/>
    <w:rsid w:val="00F07644"/>
    <w:rsid w:val="00F07D34"/>
    <w:rsid w:val="00F102DD"/>
    <w:rsid w:val="00F1046C"/>
    <w:rsid w:val="00F1070C"/>
    <w:rsid w:val="00F10A60"/>
    <w:rsid w:val="00F10D9B"/>
    <w:rsid w:val="00F11468"/>
    <w:rsid w:val="00F1182A"/>
    <w:rsid w:val="00F11E67"/>
    <w:rsid w:val="00F13066"/>
    <w:rsid w:val="00F13F06"/>
    <w:rsid w:val="00F14689"/>
    <w:rsid w:val="00F14772"/>
    <w:rsid w:val="00F147DE"/>
    <w:rsid w:val="00F14A35"/>
    <w:rsid w:val="00F14A4A"/>
    <w:rsid w:val="00F150DF"/>
    <w:rsid w:val="00F15F62"/>
    <w:rsid w:val="00F161E7"/>
    <w:rsid w:val="00F16D66"/>
    <w:rsid w:val="00F16F38"/>
    <w:rsid w:val="00F170C4"/>
    <w:rsid w:val="00F171BD"/>
    <w:rsid w:val="00F20149"/>
    <w:rsid w:val="00F20614"/>
    <w:rsid w:val="00F20EB1"/>
    <w:rsid w:val="00F215E5"/>
    <w:rsid w:val="00F21973"/>
    <w:rsid w:val="00F21DDE"/>
    <w:rsid w:val="00F22384"/>
    <w:rsid w:val="00F2305A"/>
    <w:rsid w:val="00F231C1"/>
    <w:rsid w:val="00F2324F"/>
    <w:rsid w:val="00F236AA"/>
    <w:rsid w:val="00F23B71"/>
    <w:rsid w:val="00F248E3"/>
    <w:rsid w:val="00F25148"/>
    <w:rsid w:val="00F25358"/>
    <w:rsid w:val="00F25488"/>
    <w:rsid w:val="00F257B9"/>
    <w:rsid w:val="00F25999"/>
    <w:rsid w:val="00F25CF9"/>
    <w:rsid w:val="00F25DB2"/>
    <w:rsid w:val="00F263E4"/>
    <w:rsid w:val="00F26964"/>
    <w:rsid w:val="00F26E17"/>
    <w:rsid w:val="00F270A3"/>
    <w:rsid w:val="00F27AD2"/>
    <w:rsid w:val="00F302DD"/>
    <w:rsid w:val="00F30CDA"/>
    <w:rsid w:val="00F312D1"/>
    <w:rsid w:val="00F31B88"/>
    <w:rsid w:val="00F320F3"/>
    <w:rsid w:val="00F32587"/>
    <w:rsid w:val="00F3299C"/>
    <w:rsid w:val="00F32DF7"/>
    <w:rsid w:val="00F32F05"/>
    <w:rsid w:val="00F32F97"/>
    <w:rsid w:val="00F34BE9"/>
    <w:rsid w:val="00F35332"/>
    <w:rsid w:val="00F35879"/>
    <w:rsid w:val="00F359E2"/>
    <w:rsid w:val="00F35DF0"/>
    <w:rsid w:val="00F35E1B"/>
    <w:rsid w:val="00F35EEF"/>
    <w:rsid w:val="00F36671"/>
    <w:rsid w:val="00F371D6"/>
    <w:rsid w:val="00F3746D"/>
    <w:rsid w:val="00F408DC"/>
    <w:rsid w:val="00F4091E"/>
    <w:rsid w:val="00F40BB8"/>
    <w:rsid w:val="00F41046"/>
    <w:rsid w:val="00F410C1"/>
    <w:rsid w:val="00F41695"/>
    <w:rsid w:val="00F41F67"/>
    <w:rsid w:val="00F42615"/>
    <w:rsid w:val="00F42764"/>
    <w:rsid w:val="00F42785"/>
    <w:rsid w:val="00F43979"/>
    <w:rsid w:val="00F43AFA"/>
    <w:rsid w:val="00F44F63"/>
    <w:rsid w:val="00F464EE"/>
    <w:rsid w:val="00F4659E"/>
    <w:rsid w:val="00F4660E"/>
    <w:rsid w:val="00F46953"/>
    <w:rsid w:val="00F500AD"/>
    <w:rsid w:val="00F504B5"/>
    <w:rsid w:val="00F5058A"/>
    <w:rsid w:val="00F510BF"/>
    <w:rsid w:val="00F51FB7"/>
    <w:rsid w:val="00F520DD"/>
    <w:rsid w:val="00F53035"/>
    <w:rsid w:val="00F535F5"/>
    <w:rsid w:val="00F53881"/>
    <w:rsid w:val="00F538C3"/>
    <w:rsid w:val="00F53ABC"/>
    <w:rsid w:val="00F546E9"/>
    <w:rsid w:val="00F54EDD"/>
    <w:rsid w:val="00F54F43"/>
    <w:rsid w:val="00F55316"/>
    <w:rsid w:val="00F55CE4"/>
    <w:rsid w:val="00F5636C"/>
    <w:rsid w:val="00F566A7"/>
    <w:rsid w:val="00F567B8"/>
    <w:rsid w:val="00F56A75"/>
    <w:rsid w:val="00F56AC5"/>
    <w:rsid w:val="00F56E1E"/>
    <w:rsid w:val="00F56FEB"/>
    <w:rsid w:val="00F577CE"/>
    <w:rsid w:val="00F57D69"/>
    <w:rsid w:val="00F60C9B"/>
    <w:rsid w:val="00F62DB7"/>
    <w:rsid w:val="00F63491"/>
    <w:rsid w:val="00F6501C"/>
    <w:rsid w:val="00F651C6"/>
    <w:rsid w:val="00F65EB7"/>
    <w:rsid w:val="00F66AFB"/>
    <w:rsid w:val="00F66EB1"/>
    <w:rsid w:val="00F66F69"/>
    <w:rsid w:val="00F66F74"/>
    <w:rsid w:val="00F67123"/>
    <w:rsid w:val="00F679E1"/>
    <w:rsid w:val="00F707A0"/>
    <w:rsid w:val="00F70C57"/>
    <w:rsid w:val="00F7103D"/>
    <w:rsid w:val="00F722E8"/>
    <w:rsid w:val="00F723A5"/>
    <w:rsid w:val="00F723C2"/>
    <w:rsid w:val="00F72DFB"/>
    <w:rsid w:val="00F72E8C"/>
    <w:rsid w:val="00F73140"/>
    <w:rsid w:val="00F7359B"/>
    <w:rsid w:val="00F7381E"/>
    <w:rsid w:val="00F73F41"/>
    <w:rsid w:val="00F741A1"/>
    <w:rsid w:val="00F74723"/>
    <w:rsid w:val="00F74CD0"/>
    <w:rsid w:val="00F74FC2"/>
    <w:rsid w:val="00F75735"/>
    <w:rsid w:val="00F757BB"/>
    <w:rsid w:val="00F75836"/>
    <w:rsid w:val="00F76260"/>
    <w:rsid w:val="00F76AA3"/>
    <w:rsid w:val="00F771E4"/>
    <w:rsid w:val="00F77BEC"/>
    <w:rsid w:val="00F77CCD"/>
    <w:rsid w:val="00F8055A"/>
    <w:rsid w:val="00F81748"/>
    <w:rsid w:val="00F818EB"/>
    <w:rsid w:val="00F81C45"/>
    <w:rsid w:val="00F832AD"/>
    <w:rsid w:val="00F84061"/>
    <w:rsid w:val="00F843CB"/>
    <w:rsid w:val="00F84978"/>
    <w:rsid w:val="00F84BC5"/>
    <w:rsid w:val="00F84F16"/>
    <w:rsid w:val="00F85003"/>
    <w:rsid w:val="00F852FF"/>
    <w:rsid w:val="00F8582A"/>
    <w:rsid w:val="00F85A06"/>
    <w:rsid w:val="00F85CF1"/>
    <w:rsid w:val="00F85DDF"/>
    <w:rsid w:val="00F8603C"/>
    <w:rsid w:val="00F86EF0"/>
    <w:rsid w:val="00F90478"/>
    <w:rsid w:val="00F914B8"/>
    <w:rsid w:val="00F91686"/>
    <w:rsid w:val="00F91B4E"/>
    <w:rsid w:val="00F92109"/>
    <w:rsid w:val="00F934D3"/>
    <w:rsid w:val="00F94069"/>
    <w:rsid w:val="00F94434"/>
    <w:rsid w:val="00F94581"/>
    <w:rsid w:val="00F949B2"/>
    <w:rsid w:val="00F94AFE"/>
    <w:rsid w:val="00F95498"/>
    <w:rsid w:val="00F959EC"/>
    <w:rsid w:val="00F95A86"/>
    <w:rsid w:val="00F9641A"/>
    <w:rsid w:val="00F96771"/>
    <w:rsid w:val="00F967BE"/>
    <w:rsid w:val="00F96C8F"/>
    <w:rsid w:val="00F96E49"/>
    <w:rsid w:val="00F96F6E"/>
    <w:rsid w:val="00F97191"/>
    <w:rsid w:val="00F974C3"/>
    <w:rsid w:val="00F97791"/>
    <w:rsid w:val="00F97961"/>
    <w:rsid w:val="00F97DCF"/>
    <w:rsid w:val="00FA1238"/>
    <w:rsid w:val="00FA1601"/>
    <w:rsid w:val="00FA1B61"/>
    <w:rsid w:val="00FA1D94"/>
    <w:rsid w:val="00FA2029"/>
    <w:rsid w:val="00FA459B"/>
    <w:rsid w:val="00FA46FB"/>
    <w:rsid w:val="00FA4D1A"/>
    <w:rsid w:val="00FA53D4"/>
    <w:rsid w:val="00FA5477"/>
    <w:rsid w:val="00FA5806"/>
    <w:rsid w:val="00FA5E99"/>
    <w:rsid w:val="00FA60EA"/>
    <w:rsid w:val="00FA62E4"/>
    <w:rsid w:val="00FA63E6"/>
    <w:rsid w:val="00FA68C8"/>
    <w:rsid w:val="00FA6F60"/>
    <w:rsid w:val="00FA798E"/>
    <w:rsid w:val="00FA7E10"/>
    <w:rsid w:val="00FB1673"/>
    <w:rsid w:val="00FB1819"/>
    <w:rsid w:val="00FB1B24"/>
    <w:rsid w:val="00FB1D11"/>
    <w:rsid w:val="00FB2230"/>
    <w:rsid w:val="00FB2AFB"/>
    <w:rsid w:val="00FB2FB4"/>
    <w:rsid w:val="00FB326C"/>
    <w:rsid w:val="00FB3308"/>
    <w:rsid w:val="00FB3315"/>
    <w:rsid w:val="00FB3C72"/>
    <w:rsid w:val="00FB496A"/>
    <w:rsid w:val="00FB4DC6"/>
    <w:rsid w:val="00FB4F3F"/>
    <w:rsid w:val="00FB59A8"/>
    <w:rsid w:val="00FB623E"/>
    <w:rsid w:val="00FB7F90"/>
    <w:rsid w:val="00FC0020"/>
    <w:rsid w:val="00FC088F"/>
    <w:rsid w:val="00FC0E04"/>
    <w:rsid w:val="00FC14B7"/>
    <w:rsid w:val="00FC14C7"/>
    <w:rsid w:val="00FC18DE"/>
    <w:rsid w:val="00FC1A58"/>
    <w:rsid w:val="00FC21D9"/>
    <w:rsid w:val="00FC2442"/>
    <w:rsid w:val="00FC2BD3"/>
    <w:rsid w:val="00FC43CB"/>
    <w:rsid w:val="00FC44C0"/>
    <w:rsid w:val="00FC4EA8"/>
    <w:rsid w:val="00FC4F54"/>
    <w:rsid w:val="00FC5005"/>
    <w:rsid w:val="00FC5AFB"/>
    <w:rsid w:val="00FC5C8F"/>
    <w:rsid w:val="00FC5EA1"/>
    <w:rsid w:val="00FC6C7C"/>
    <w:rsid w:val="00FC6E65"/>
    <w:rsid w:val="00FC7716"/>
    <w:rsid w:val="00FC7D1C"/>
    <w:rsid w:val="00FC7E6E"/>
    <w:rsid w:val="00FD1023"/>
    <w:rsid w:val="00FD125D"/>
    <w:rsid w:val="00FD21A0"/>
    <w:rsid w:val="00FD23DE"/>
    <w:rsid w:val="00FD302F"/>
    <w:rsid w:val="00FD37C9"/>
    <w:rsid w:val="00FD40E1"/>
    <w:rsid w:val="00FD4129"/>
    <w:rsid w:val="00FD4325"/>
    <w:rsid w:val="00FD457D"/>
    <w:rsid w:val="00FD49AB"/>
    <w:rsid w:val="00FD4A44"/>
    <w:rsid w:val="00FD4DE9"/>
    <w:rsid w:val="00FD50A7"/>
    <w:rsid w:val="00FD53B9"/>
    <w:rsid w:val="00FD6AF6"/>
    <w:rsid w:val="00FD7217"/>
    <w:rsid w:val="00FD7402"/>
    <w:rsid w:val="00FD7A40"/>
    <w:rsid w:val="00FD7A50"/>
    <w:rsid w:val="00FD7ABB"/>
    <w:rsid w:val="00FD7D2B"/>
    <w:rsid w:val="00FE0076"/>
    <w:rsid w:val="00FE046A"/>
    <w:rsid w:val="00FE0D25"/>
    <w:rsid w:val="00FE136A"/>
    <w:rsid w:val="00FE16FF"/>
    <w:rsid w:val="00FE1DF1"/>
    <w:rsid w:val="00FE22BB"/>
    <w:rsid w:val="00FE22EE"/>
    <w:rsid w:val="00FE23BE"/>
    <w:rsid w:val="00FE3298"/>
    <w:rsid w:val="00FE3403"/>
    <w:rsid w:val="00FE39EC"/>
    <w:rsid w:val="00FE441F"/>
    <w:rsid w:val="00FE4BF1"/>
    <w:rsid w:val="00FE565B"/>
    <w:rsid w:val="00FE614B"/>
    <w:rsid w:val="00FE6498"/>
    <w:rsid w:val="00FE6959"/>
    <w:rsid w:val="00FE6C0D"/>
    <w:rsid w:val="00FE733A"/>
    <w:rsid w:val="00FE7783"/>
    <w:rsid w:val="00FE7B0D"/>
    <w:rsid w:val="00FF08C5"/>
    <w:rsid w:val="00FF0A89"/>
    <w:rsid w:val="00FF0EDE"/>
    <w:rsid w:val="00FF1163"/>
    <w:rsid w:val="00FF2F2F"/>
    <w:rsid w:val="00FF304E"/>
    <w:rsid w:val="00FF31F5"/>
    <w:rsid w:val="00FF352D"/>
    <w:rsid w:val="00FF37F3"/>
    <w:rsid w:val="00FF41CD"/>
    <w:rsid w:val="00FF6090"/>
    <w:rsid w:val="00FF61D8"/>
    <w:rsid w:val="00FF6270"/>
    <w:rsid w:val="00FF7729"/>
    <w:rsid w:val="00FF7F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61"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4:docId w14:val="501700DC"/>
  <w15:docId w15:val="{84B5CEBF-8B4F-4155-B12E-4AD22D486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locked="1" w:uiPriority="1" w:qFormat="1"/>
    <w:lsdException w:name="heading 2" w:locked="1" w:semiHidden="1" w:uiPriority="1" w:unhideWhenUsed="1" w:qFormat="1"/>
    <w:lsdException w:name="heading 3" w:locked="1" w:semiHidden="1" w:uiPriority="1" w:unhideWhenUsed="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3"/>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3" w:qFormat="1"/>
    <w:lsdException w:name="Subtle Reference" w:uiPriority="32" w:qFormat="1"/>
    <w:lsdException w:name="Intense Reference" w:uiPriority="33"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D00851"/>
    <w:rPr>
      <w:lang w:val="en-NZ"/>
    </w:rPr>
  </w:style>
  <w:style w:type="paragraph" w:styleId="Heading1">
    <w:name w:val="heading 1"/>
    <w:basedOn w:val="BodyText"/>
    <w:next w:val="BodyText"/>
    <w:link w:val="Heading1Char"/>
    <w:uiPriority w:val="1"/>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locked/>
    <w:rsid w:val="00E14424"/>
    <w:pPr>
      <w:spacing w:before="120" w:after="120" w:line="280" w:lineRule="exact"/>
      <w:jc w:val="both"/>
    </w:pPr>
    <w:rPr>
      <w:lang w:val="en-NZ"/>
    </w:rPr>
  </w:style>
  <w:style w:type="character" w:customStyle="1" w:styleId="BodyTextChar">
    <w:name w:val="Body Text Char"/>
    <w:basedOn w:val="DefaultParagraphFont"/>
    <w:link w:val="BodyText"/>
    <w:rsid w:val="00E14424"/>
    <w:rPr>
      <w:lang w:val="en-NZ"/>
    </w:rPr>
  </w:style>
  <w:style w:type="character" w:customStyle="1" w:styleId="Heading1Char">
    <w:name w:val="Heading 1 Char"/>
    <w:basedOn w:val="DefaultParagraphFont"/>
    <w:link w:val="Heading1"/>
    <w:uiPriority w:val="1"/>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1"/>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1"/>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99"/>
    <w:qFormat/>
    <w:rsid w:val="0047667C"/>
    <w:pPr>
      <w:spacing w:before="120" w:after="120"/>
      <w:ind w:left="851" w:hanging="567"/>
    </w:pPr>
  </w:style>
  <w:style w:type="character" w:customStyle="1" w:styleId="ListParagraphChar">
    <w:name w:val="List Paragraph Char"/>
    <w:basedOn w:val="DefaultParagraphFont"/>
    <w:link w:val="ListParagraph"/>
    <w:uiPriority w:val="99"/>
    <w:rsid w:val="005966E4"/>
  </w:style>
  <w:style w:type="paragraph" w:customStyle="1" w:styleId="List-BulletLvl1">
    <w:name w:val="List - Bullet Lvl 1"/>
    <w:basedOn w:val="BodyText"/>
    <w:link w:val="List-BulletLvl1Char"/>
    <w:uiPriority w:val="4"/>
    <w:qFormat/>
    <w:rsid w:val="002A78C5"/>
    <w:pPr>
      <w:numPr>
        <w:numId w:val="5"/>
      </w:numPr>
      <w:spacing w:before="0"/>
    </w:pPr>
  </w:style>
  <w:style w:type="character" w:customStyle="1" w:styleId="List-BulletLvl1Char">
    <w:name w:val="List - Bullet Lvl 1 Char"/>
    <w:basedOn w:val="ListParagraphChar"/>
    <w:link w:val="List-BulletLvl1"/>
    <w:uiPriority w:val="4"/>
    <w:rsid w:val="002A78C5"/>
    <w:rPr>
      <w:lang w:val="en-NZ"/>
    </w:rPr>
  </w:style>
  <w:style w:type="paragraph" w:customStyle="1" w:styleId="List-AlphanumericLvl1">
    <w:name w:val="List - Alphanumeric Lvl 1"/>
    <w:basedOn w:val="ListParagraph"/>
    <w:link w:val="List-AlphanumericLvl1Char"/>
    <w:uiPriority w:val="99"/>
    <w:qFormat/>
    <w:rsid w:val="00F974C3"/>
    <w:pPr>
      <w:numPr>
        <w:numId w:val="4"/>
      </w:numPr>
      <w:ind w:left="851"/>
    </w:pPr>
  </w:style>
  <w:style w:type="character" w:customStyle="1" w:styleId="List-AlphanumericLvl1Char">
    <w:name w:val="List - Alphanumeric Lvl 1 Char"/>
    <w:basedOn w:val="ListParagraphChar"/>
    <w:link w:val="List-AlphanumericLvl1"/>
    <w:uiPriority w:val="99"/>
    <w:rsid w:val="00F974C3"/>
    <w:rPr>
      <w:lang w:val="en-NZ"/>
    </w:rPr>
  </w:style>
  <w:style w:type="paragraph" w:customStyle="1" w:styleId="List-BulletLvl2">
    <w:name w:val="List - Bullet Lvl 2"/>
    <w:basedOn w:val="BodyText"/>
    <w:link w:val="List-BulletLvl2Char"/>
    <w:uiPriority w:val="99"/>
    <w:rsid w:val="002A78C5"/>
    <w:pPr>
      <w:numPr>
        <w:ilvl w:val="1"/>
        <w:numId w:val="5"/>
      </w:numPr>
    </w:pPr>
  </w:style>
  <w:style w:type="character" w:customStyle="1" w:styleId="List-BulletLvl2Char">
    <w:name w:val="List - Bullet Lvl 2 Char"/>
    <w:basedOn w:val="List-BulletLvl1Char"/>
    <w:link w:val="List-BulletLvl2"/>
    <w:uiPriority w:val="99"/>
    <w:rsid w:val="00106F45"/>
    <w:rPr>
      <w:lang w:val="en-NZ"/>
    </w:r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AlphanumericLvl2Char">
    <w:name w:val="List - Alphanumeric Lvl 2 Char"/>
    <w:basedOn w:val="List-AlphanumericLvl1Char"/>
    <w:link w:val="List-AlphanumericLvl2"/>
    <w:uiPriority w:val="7"/>
    <w:rsid w:val="00F974C3"/>
    <w:rPr>
      <w:lang w:val="en-NZ"/>
    </w:rPr>
  </w:style>
  <w:style w:type="paragraph" w:customStyle="1" w:styleId="List-AlphanumericLvl3">
    <w:name w:val="List - Alphanumeric Lvl 3"/>
    <w:basedOn w:val="List-AlphanumericLvl2"/>
    <w:link w:val="List-AlphanumericLvl3Char"/>
    <w:uiPriority w:val="99"/>
    <w:rsid w:val="00F974C3"/>
    <w:pPr>
      <w:numPr>
        <w:ilvl w:val="2"/>
      </w:numPr>
      <w:tabs>
        <w:tab w:val="left" w:pos="1985"/>
      </w:tabs>
      <w:ind w:left="1985"/>
    </w:pPr>
  </w:style>
  <w:style w:type="character" w:customStyle="1" w:styleId="List-AlphanumericLvl3Char">
    <w:name w:val="List - Alphanumeric Lvl 3 Char"/>
    <w:basedOn w:val="List-AlphanumericLvl2Char"/>
    <w:link w:val="List-AlphanumericLvl3"/>
    <w:uiPriority w:val="99"/>
    <w:rsid w:val="00F974C3"/>
    <w:rPr>
      <w:lang w:val="en-NZ"/>
    </w:rPr>
  </w:style>
  <w:style w:type="paragraph" w:customStyle="1" w:styleId="CV-Name">
    <w:name w:val="CV - Name"/>
    <w:basedOn w:val="BodyText"/>
    <w:next w:val="CV-Quals"/>
    <w:link w:val="CV-NameChar"/>
    <w:uiPriority w:val="10"/>
    <w:qFormat/>
    <w:rsid w:val="00A60C1C"/>
    <w:rPr>
      <w:b/>
      <w:color w:val="77B800"/>
      <w:sz w:val="32"/>
    </w:rPr>
  </w:style>
  <w:style w:type="paragraph" w:customStyle="1" w:styleId="CV-Quals">
    <w:name w:val="CV - Quals"/>
    <w:basedOn w:val="BodyText"/>
    <w:next w:val="BodyText"/>
    <w:link w:val="CV-QualsChar"/>
    <w:uiPriority w:val="10"/>
    <w:qFormat/>
    <w:rsid w:val="008D0558"/>
    <w:pPr>
      <w:spacing w:after="360"/>
    </w:pPr>
    <w:rPr>
      <w:b/>
      <w:i/>
      <w:color w:val="36424A" w:themeColor="text2"/>
    </w:rPr>
  </w:style>
  <w:style w:type="character" w:customStyle="1" w:styleId="CV-QualsChar">
    <w:name w:val="CV - Quals Char"/>
    <w:basedOn w:val="DefaultParagraphFont"/>
    <w:link w:val="CV-Quals"/>
    <w:uiPriority w:val="10"/>
    <w:rsid w:val="008D0558"/>
    <w:rPr>
      <w:b/>
      <w:i/>
      <w:color w:val="36424A" w:themeColor="text2"/>
      <w:lang w:val="en-NZ"/>
    </w:rPr>
  </w:style>
  <w:style w:type="character" w:customStyle="1" w:styleId="CV-NameChar">
    <w:name w:val="CV - Name Char"/>
    <w:basedOn w:val="DefaultParagraphFont"/>
    <w:link w:val="CV-Name"/>
    <w:uiPriority w:val="10"/>
    <w:rsid w:val="00D00851"/>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HeadingChar">
    <w:name w:val="CV - Heading Char"/>
    <w:basedOn w:val="DefaultParagraphFont"/>
    <w:link w:val="CV-Heading"/>
    <w:uiPriority w:val="11"/>
    <w:rsid w:val="00E367F3"/>
    <w:rPr>
      <w:b/>
      <w:color w:val="77B800"/>
      <w:sz w:val="24"/>
      <w:lang w:val="en-NZ"/>
    </w:rPr>
  </w:style>
  <w:style w:type="paragraph" w:styleId="Title">
    <w:name w:val="Title"/>
    <w:basedOn w:val="MainTitleHeading"/>
    <w:next w:val="Normal"/>
    <w:link w:val="TitleChar"/>
    <w:uiPriority w:val="99"/>
    <w:qFormat/>
    <w:rsid w:val="007F2820"/>
    <w:pPr>
      <w:spacing w:before="3000"/>
    </w:pPr>
  </w:style>
  <w:style w:type="character" w:customStyle="1" w:styleId="TitleChar">
    <w:name w:val="Title Char"/>
    <w:basedOn w:val="DefaultParagraphFont"/>
    <w:link w:val="Title"/>
    <w:uiPriority w:val="99"/>
    <w:rsid w:val="002306E8"/>
    <w:rPr>
      <w:rFonts w:asciiTheme="majorHAnsi" w:hAnsiTheme="majorHAnsi"/>
      <w:b/>
      <w:caps/>
      <w:sz w:val="48"/>
    </w:rPr>
  </w:style>
  <w:style w:type="paragraph" w:styleId="Subtitle">
    <w:name w:val="Subtitle"/>
    <w:basedOn w:val="SubTitleHeading"/>
    <w:next w:val="Normal"/>
    <w:link w:val="SubtitleChar"/>
    <w:uiPriority w:val="99"/>
    <w:qFormat/>
    <w:rsid w:val="007F2820"/>
  </w:style>
  <w:style w:type="character" w:customStyle="1" w:styleId="SubtitleChar">
    <w:name w:val="Subtitle Char"/>
    <w:basedOn w:val="DefaultParagraphFont"/>
    <w:link w:val="Subtitle"/>
    <w:uiPriority w:val="99"/>
    <w:rsid w:val="002306E8"/>
    <w:rPr>
      <w:rFonts w:asciiTheme="majorHAnsi" w:hAnsiTheme="majorHAnsi"/>
      <w:b/>
      <w:sz w:val="28"/>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F707A0"/>
    <w:pPr>
      <w:keepNext/>
      <w:numPr>
        <w:numId w:val="7"/>
      </w:numPr>
      <w:spacing w:before="360" w:after="240"/>
      <w:outlineLvl w:val="0"/>
    </w:pPr>
    <w:rPr>
      <w:rFonts w:asciiTheme="majorHAnsi" w:hAnsiTheme="majorHAnsi"/>
      <w:b/>
      <w:caps/>
      <w:color w:val="36424A" w:themeColor="text2"/>
      <w:sz w:val="28"/>
    </w:rPr>
  </w:style>
  <w:style w:type="character" w:customStyle="1" w:styleId="NumberedHeading1Char">
    <w:name w:val="Numbered Heading 1 Char"/>
    <w:basedOn w:val="Heading1Char"/>
    <w:link w:val="NumberedHeading1"/>
    <w:uiPriority w:val="2"/>
    <w:rsid w:val="00F707A0"/>
    <w:rPr>
      <w:rFonts w:asciiTheme="majorHAnsi" w:hAnsiTheme="majorHAnsi"/>
      <w:b/>
      <w:caps/>
      <w:color w:val="36424A" w:themeColor="text2"/>
      <w:sz w:val="28"/>
      <w:lang w:val="en-NZ"/>
    </w:rPr>
  </w:style>
  <w:style w:type="paragraph" w:customStyle="1" w:styleId="NumberedHeading2">
    <w:name w:val="Numbered Heading 2"/>
    <w:basedOn w:val="ListParagraph"/>
    <w:next w:val="BodyText"/>
    <w:link w:val="NumberedHeading2Char"/>
    <w:uiPriority w:val="2"/>
    <w:qFormat/>
    <w:rsid w:val="0077052C"/>
    <w:pPr>
      <w:keepNext/>
      <w:numPr>
        <w:ilvl w:val="1"/>
        <w:numId w:val="7"/>
      </w:numPr>
      <w:spacing w:before="360"/>
      <w:outlineLvl w:val="1"/>
    </w:pPr>
    <w:rPr>
      <w:rFonts w:asciiTheme="majorHAnsi" w:hAnsiTheme="majorHAnsi"/>
      <w:b/>
      <w:color w:val="36424A" w:themeColor="text2"/>
      <w:sz w:val="28"/>
    </w:rPr>
  </w:style>
  <w:style w:type="character" w:customStyle="1" w:styleId="NumberedHeading2Char">
    <w:name w:val="Numbered Heading 2 Char"/>
    <w:basedOn w:val="Heading2Char"/>
    <w:link w:val="NumberedHeading2"/>
    <w:uiPriority w:val="2"/>
    <w:rsid w:val="0077052C"/>
    <w:rPr>
      <w:rFonts w:asciiTheme="majorHAnsi" w:hAnsiTheme="majorHAnsi"/>
      <w:b/>
      <w:color w:val="36424A" w:themeColor="text2"/>
      <w:sz w:val="28"/>
      <w:lang w:val="en-NZ"/>
    </w:rPr>
  </w:style>
  <w:style w:type="paragraph" w:customStyle="1" w:styleId="NumberedHeading3">
    <w:name w:val="Numbered Heading 3"/>
    <w:basedOn w:val="ListParagraph"/>
    <w:link w:val="NumberedHeading3Char"/>
    <w:uiPriority w:val="2"/>
    <w:qFormat/>
    <w:rsid w:val="000F5736"/>
    <w:pPr>
      <w:keepNext/>
      <w:numPr>
        <w:ilvl w:val="2"/>
        <w:numId w:val="7"/>
      </w:numPr>
      <w:spacing w:before="240"/>
      <w:ind w:firstLine="0"/>
      <w:outlineLvl w:val="2"/>
    </w:pPr>
    <w:rPr>
      <w:rFonts w:asciiTheme="majorHAnsi" w:hAnsiTheme="majorHAnsi"/>
      <w:b/>
      <w:color w:val="36424A" w:themeColor="text2"/>
      <w:sz w:val="24"/>
    </w:rPr>
  </w:style>
  <w:style w:type="character" w:customStyle="1" w:styleId="NumberedHeading3Char">
    <w:name w:val="Numbered Heading 3 Char"/>
    <w:basedOn w:val="Heading3Char"/>
    <w:link w:val="NumberedHeading3"/>
    <w:uiPriority w:val="2"/>
    <w:rsid w:val="000F5736"/>
    <w:rPr>
      <w:rFonts w:asciiTheme="majorHAnsi" w:hAnsiTheme="majorHAnsi"/>
      <w:b/>
      <w:color w:val="36424A" w:themeColor="text2"/>
      <w:sz w:val="24"/>
      <w:lang w:val="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7"/>
      </w:numPr>
      <w:outlineLvl w:val="3"/>
    </w:pPr>
    <w:rPr>
      <w:rFonts w:asciiTheme="majorHAnsi" w:hAnsiTheme="majorHAnsi"/>
      <w:b/>
      <w:i/>
      <w:color w:val="36424A" w:themeColor="text2"/>
      <w:sz w:val="24"/>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2"/>
      </w:numPr>
      <w:ind w:left="1134" w:hanging="1134"/>
      <w:outlineLvl w:val="4"/>
    </w:pPr>
    <w:rPr>
      <w:rFonts w:asciiTheme="majorHAnsi" w:hAnsiTheme="majorHAnsi"/>
      <w:i/>
      <w:color w:val="36424A" w:themeColor="text2"/>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customStyle="1" w:styleId="ACGreen-BandedTable">
    <w:name w:val="A+C Green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table" w:styleId="TableGrid">
    <w:name w:val="Table Grid"/>
    <w:basedOn w:val="TableNormal"/>
    <w:uiPriority w:val="3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9F168C"/>
    <w:pPr>
      <w:spacing w:after="0" w:line="240" w:lineRule="auto"/>
    </w:pPr>
    <w:rPr>
      <w:rFonts w:asciiTheme="majorHAnsi" w:hAnsiTheme="majorHAnsi"/>
      <w:sz w:val="21"/>
    </w:rPr>
    <w:tblPr>
      <w:tblStyleRowBandSize w:val="1"/>
      <w:tblStyleCol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Normal"/>
    <w:link w:val="Table-bulletChar"/>
    <w:uiPriority w:val="9"/>
    <w:rsid w:val="0096074E"/>
    <w:pPr>
      <w:numPr>
        <w:numId w:val="1"/>
      </w:numPr>
      <w:tabs>
        <w:tab w:val="left" w:pos="426"/>
      </w:tabs>
      <w:spacing w:after="40"/>
      <w:ind w:left="426"/>
    </w:pPr>
    <w:rPr>
      <w:rFonts w:asciiTheme="majorHAnsi" w:hAnsiTheme="majorHAnsi"/>
      <w:sz w:val="21"/>
      <w:szCs w:val="21"/>
    </w:rPr>
  </w:style>
  <w:style w:type="character" w:customStyle="1" w:styleId="Table-bulletChar">
    <w:name w:val="Table - bullet Char"/>
    <w:basedOn w:val="DefaultParagraphFont"/>
    <w:link w:val="Table-bullet"/>
    <w:uiPriority w:val="9"/>
    <w:rsid w:val="0096074E"/>
    <w:rPr>
      <w:rFonts w:asciiTheme="majorHAnsi" w:hAnsiTheme="majorHAnsi"/>
      <w:sz w:val="21"/>
      <w:szCs w:val="21"/>
      <w:lang w:val="en-NZ"/>
    </w:rPr>
  </w:style>
  <w:style w:type="paragraph" w:customStyle="1" w:styleId="Table-Heading">
    <w:name w:val="Table - Heading"/>
    <w:basedOn w:val="Normal"/>
    <w:next w:val="Table-para"/>
    <w:link w:val="Table-HeadingChar"/>
    <w:uiPriority w:val="11"/>
    <w:rsid w:val="00D87440"/>
    <w:pPr>
      <w:spacing w:before="40" w:after="40"/>
    </w:pPr>
    <w:rPr>
      <w:rFonts w:asciiTheme="majorHAnsi" w:hAnsiTheme="majorHAnsi"/>
      <w:b/>
      <w:sz w:val="21"/>
      <w:szCs w:val="21"/>
    </w:rPr>
  </w:style>
  <w:style w:type="paragraph" w:customStyle="1" w:styleId="Table-para">
    <w:name w:val="Table - para"/>
    <w:basedOn w:val="Normal"/>
    <w:link w:val="Table-paraChar"/>
    <w:uiPriority w:val="11"/>
    <w:rsid w:val="00D87440"/>
    <w:pPr>
      <w:spacing w:after="40"/>
    </w:pPr>
    <w:rPr>
      <w:rFonts w:asciiTheme="majorHAnsi" w:hAnsiTheme="majorHAnsi"/>
      <w:sz w:val="21"/>
      <w:szCs w:val="21"/>
    </w:rPr>
  </w:style>
  <w:style w:type="character" w:customStyle="1" w:styleId="Table-paraChar">
    <w:name w:val="Table - para Char"/>
    <w:basedOn w:val="DefaultParagraphFont"/>
    <w:link w:val="Table-para"/>
    <w:uiPriority w:val="11"/>
    <w:rsid w:val="00E367F3"/>
    <w:rPr>
      <w:rFonts w:asciiTheme="majorHAnsi" w:hAnsiTheme="majorHAnsi"/>
      <w:sz w:val="21"/>
      <w:szCs w:val="21"/>
      <w:lang w:val="en-NZ"/>
    </w:rPr>
  </w:style>
  <w:style w:type="character" w:customStyle="1" w:styleId="Table-HeadingChar">
    <w:name w:val="Table - Heading Char"/>
    <w:basedOn w:val="DefaultParagraphFont"/>
    <w:link w:val="Table-Heading"/>
    <w:uiPriority w:val="11"/>
    <w:rsid w:val="00137E84"/>
    <w:rPr>
      <w:rFonts w:asciiTheme="majorHAnsi" w:hAnsiTheme="majorHAnsi"/>
      <w:b/>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themeColor="text1"/>
    </w:rPr>
  </w:style>
  <w:style w:type="character" w:customStyle="1" w:styleId="QuoteChar">
    <w:name w:val="Quote Char"/>
    <w:basedOn w:val="DefaultParagraphFont"/>
    <w:link w:val="Quote"/>
    <w:uiPriority w:val="20"/>
    <w:rsid w:val="00E367F3"/>
    <w:rPr>
      <w:i/>
      <w:iCs/>
      <w:color w:val="000000" w:themeColor="text1"/>
      <w:lang w:val="en-NZ"/>
    </w:rPr>
  </w:style>
  <w:style w:type="paragraph" w:styleId="Caption">
    <w:name w:val="caption"/>
    <w:basedOn w:val="Normal"/>
    <w:next w:val="Normal"/>
    <w:uiPriority w:val="99"/>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character" w:customStyle="1" w:styleId="ListNumberChar">
    <w:name w:val="List Number Char"/>
    <w:basedOn w:val="List-AlphanumericLvl1Char"/>
    <w:link w:val="ListNumber"/>
    <w:uiPriority w:val="99"/>
    <w:semiHidden/>
    <w:rsid w:val="005966E4"/>
    <w:rPr>
      <w:lang w:val="en-NZ"/>
    </w:rPr>
  </w:style>
  <w:style w:type="paragraph" w:styleId="ListBullet3">
    <w:name w:val="List Bullet 3"/>
    <w:basedOn w:val="Normal"/>
    <w:link w:val="ListBullet3Char"/>
    <w:uiPriority w:val="99"/>
    <w:semiHidden/>
    <w:rsid w:val="00946114"/>
    <w:pPr>
      <w:numPr>
        <w:numId w:val="3"/>
      </w:numPr>
      <w:spacing w:before="120" w:after="120"/>
      <w:ind w:left="1985" w:hanging="567"/>
    </w:pPr>
  </w:style>
  <w:style w:type="character" w:customStyle="1" w:styleId="ListBullet3Char">
    <w:name w:val="List Bullet 3 Char"/>
    <w:basedOn w:val="List-BulletLvl2Char"/>
    <w:link w:val="ListBullet3"/>
    <w:uiPriority w:val="99"/>
    <w:semiHidden/>
    <w:rsid w:val="005966E4"/>
    <w:rPr>
      <w:lang w:val="en-NZ"/>
    </w:rPr>
  </w:style>
  <w:style w:type="paragraph" w:customStyle="1" w:styleId="List-BulletLvl3">
    <w:name w:val="List - Bullet Lvl 3"/>
    <w:basedOn w:val="BodyText"/>
    <w:link w:val="List-BulletLvl3Char"/>
    <w:uiPriority w:val="4"/>
    <w:rsid w:val="002A78C5"/>
    <w:pPr>
      <w:numPr>
        <w:ilvl w:val="2"/>
        <w:numId w:val="5"/>
      </w:numPr>
    </w:pPr>
  </w:style>
  <w:style w:type="character" w:customStyle="1" w:styleId="List-BulletLvl3Char">
    <w:name w:val="List - Bullet Lvl 3 Char"/>
    <w:basedOn w:val="ListBullet3Char"/>
    <w:link w:val="List-BulletLvl3"/>
    <w:uiPriority w:val="4"/>
    <w:rsid w:val="00106F45"/>
    <w:rPr>
      <w:lang w:val="en-NZ"/>
    </w:r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9F168C"/>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paragraph" w:styleId="NoSpacing">
    <w:name w:val="No Spacing"/>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themeColor="background1"/>
      <w:sz w:val="96"/>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14"/>
    <w:rsid w:val="00E56D82"/>
    <w:pPr>
      <w:spacing w:after="0" w:line="240" w:lineRule="auto"/>
    </w:pPr>
    <w:rPr>
      <w:sz w:val="20"/>
      <w:szCs w:val="20"/>
    </w:rPr>
  </w:style>
  <w:style w:type="character" w:customStyle="1" w:styleId="FootnoteTextChar">
    <w:name w:val="Footnote Text Char"/>
    <w:basedOn w:val="DefaultParagraphFont"/>
    <w:link w:val="FootnoteText"/>
    <w:uiPriority w:val="14"/>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character" w:customStyle="1" w:styleId="GreenTextBoxChar">
    <w:name w:val="Green Text Box Char"/>
    <w:basedOn w:val="BodyTextChar"/>
    <w:link w:val="GreenTextBox"/>
    <w:uiPriority w:val="1"/>
    <w:rsid w:val="00E367F3"/>
    <w:rPr>
      <w:i/>
      <w:color w:val="FFFFFF" w:themeColor="background1"/>
      <w:shd w:val="clear" w:color="auto" w:fill="77B800" w:themeFill="background2"/>
      <w:lang w:val="en-NZ"/>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character" w:customStyle="1" w:styleId="BodyText-GREENChar">
    <w:name w:val="Body Text - GREEN Char"/>
    <w:basedOn w:val="BodyTextChar"/>
    <w:link w:val="BodyText-GREEN"/>
    <w:rsid w:val="00654C3D"/>
    <w:rPr>
      <w:color w:val="77B800" w:themeColor="background2"/>
      <w:lang w:val="en-NZ"/>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character" w:styleId="CommentReference">
    <w:name w:val="annotation reference"/>
    <w:basedOn w:val="DefaultParagraphFont"/>
    <w:uiPriority w:val="99"/>
    <w:semiHidden/>
    <w:unhideWhenUsed/>
    <w:rsid w:val="004C7B42"/>
    <w:rPr>
      <w:sz w:val="16"/>
      <w:szCs w:val="16"/>
    </w:rPr>
  </w:style>
  <w:style w:type="paragraph" w:styleId="CommentText">
    <w:name w:val="annotation text"/>
    <w:basedOn w:val="Normal"/>
    <w:link w:val="CommentTextChar"/>
    <w:uiPriority w:val="99"/>
    <w:unhideWhenUsed/>
    <w:rsid w:val="004C7B42"/>
    <w:pPr>
      <w:spacing w:line="240" w:lineRule="auto"/>
    </w:pPr>
    <w:rPr>
      <w:sz w:val="20"/>
      <w:szCs w:val="20"/>
    </w:rPr>
  </w:style>
  <w:style w:type="character" w:customStyle="1" w:styleId="CommentTextChar">
    <w:name w:val="Comment Text Char"/>
    <w:basedOn w:val="DefaultParagraphFont"/>
    <w:link w:val="CommentText"/>
    <w:uiPriority w:val="99"/>
    <w:rsid w:val="004C7B42"/>
    <w:rPr>
      <w:sz w:val="20"/>
      <w:szCs w:val="20"/>
      <w:lang w:val="en-NZ"/>
    </w:rPr>
  </w:style>
  <w:style w:type="paragraph" w:styleId="CommentSubject">
    <w:name w:val="annotation subject"/>
    <w:basedOn w:val="CommentText"/>
    <w:next w:val="CommentText"/>
    <w:link w:val="CommentSubjectChar"/>
    <w:uiPriority w:val="99"/>
    <w:semiHidden/>
    <w:unhideWhenUsed/>
    <w:rsid w:val="004C7B42"/>
    <w:rPr>
      <w:b/>
      <w:bCs/>
    </w:rPr>
  </w:style>
  <w:style w:type="character" w:customStyle="1" w:styleId="CommentSubjectChar">
    <w:name w:val="Comment Subject Char"/>
    <w:basedOn w:val="CommentTextChar"/>
    <w:link w:val="CommentSubject"/>
    <w:uiPriority w:val="99"/>
    <w:semiHidden/>
    <w:rsid w:val="004C7B42"/>
    <w:rPr>
      <w:b/>
      <w:bCs/>
      <w:sz w:val="20"/>
      <w:szCs w:val="20"/>
      <w:lang w:val="en-NZ"/>
    </w:rPr>
  </w:style>
  <w:style w:type="paragraph" w:customStyle="1" w:styleId="BlockTextArial">
    <w:name w:val="Block Text (Arial)"/>
    <w:basedOn w:val="Normal"/>
    <w:link w:val="BlockTextArialChar"/>
    <w:rsid w:val="00505A35"/>
    <w:pPr>
      <w:widowControl w:val="0"/>
      <w:spacing w:after="0" w:line="240" w:lineRule="auto"/>
    </w:pPr>
    <w:rPr>
      <w:rFonts w:ascii="Arial" w:eastAsia="Times New Roman" w:hAnsi="Arial" w:cs="Times New Roman"/>
      <w:sz w:val="20"/>
      <w:szCs w:val="20"/>
      <w:lang w:val="en-AU" w:eastAsia="en-AU"/>
    </w:rPr>
  </w:style>
  <w:style w:type="character" w:customStyle="1" w:styleId="BlockTextArialChar">
    <w:name w:val="Block Text (Arial) Char"/>
    <w:link w:val="BlockTextArial"/>
    <w:rsid w:val="00505A35"/>
    <w:rPr>
      <w:rFonts w:ascii="Arial" w:eastAsia="Times New Roman" w:hAnsi="Arial" w:cs="Times New Roman"/>
      <w:sz w:val="20"/>
      <w:szCs w:val="20"/>
      <w:lang w:val="en-AU" w:eastAsia="en-AU"/>
    </w:rPr>
  </w:style>
  <w:style w:type="character" w:customStyle="1" w:styleId="UnresolvedMention1">
    <w:name w:val="Unresolved Mention1"/>
    <w:basedOn w:val="DefaultParagraphFont"/>
    <w:uiPriority w:val="99"/>
    <w:semiHidden/>
    <w:unhideWhenUsed/>
    <w:rsid w:val="003D281E"/>
    <w:rPr>
      <w:color w:val="808080"/>
      <w:shd w:val="clear" w:color="auto" w:fill="E6E6E6"/>
    </w:rPr>
  </w:style>
  <w:style w:type="table" w:customStyle="1" w:styleId="GridTable4-Accent61">
    <w:name w:val="Grid Table 4 - Accent 61"/>
    <w:basedOn w:val="TableNormal"/>
    <w:uiPriority w:val="49"/>
    <w:rsid w:val="00C425B3"/>
    <w:pPr>
      <w:spacing w:after="0" w:line="240" w:lineRule="auto"/>
    </w:pPr>
    <w:rPr>
      <w:lang w:val="en-NZ"/>
    </w:rPr>
    <w:tblPr>
      <w:tblStyleRowBandSize w:val="1"/>
      <w:tblStyleColBandSize w:val="1"/>
      <w:tblBorders>
        <w:top w:val="single" w:sz="4" w:space="0" w:color="B9FF3B" w:themeColor="accent6" w:themeTint="99"/>
        <w:left w:val="single" w:sz="4" w:space="0" w:color="B9FF3B" w:themeColor="accent6" w:themeTint="99"/>
        <w:bottom w:val="single" w:sz="4" w:space="0" w:color="B9FF3B" w:themeColor="accent6" w:themeTint="99"/>
        <w:right w:val="single" w:sz="4" w:space="0" w:color="B9FF3B" w:themeColor="accent6" w:themeTint="99"/>
        <w:insideH w:val="single" w:sz="4" w:space="0" w:color="B9FF3B" w:themeColor="accent6" w:themeTint="99"/>
        <w:insideV w:val="single" w:sz="4" w:space="0" w:color="B9FF3B" w:themeColor="accent6" w:themeTint="99"/>
      </w:tblBorders>
    </w:tblPr>
    <w:tblStylePr w:type="firstRow">
      <w:rPr>
        <w:b/>
        <w:bCs/>
        <w:color w:val="FFFFFF" w:themeColor="background1"/>
      </w:rPr>
      <w:tblPr/>
      <w:tcPr>
        <w:tcBorders>
          <w:top w:val="single" w:sz="4" w:space="0" w:color="77B800" w:themeColor="accent6"/>
          <w:left w:val="single" w:sz="4" w:space="0" w:color="77B800" w:themeColor="accent6"/>
          <w:bottom w:val="single" w:sz="4" w:space="0" w:color="77B800" w:themeColor="accent6"/>
          <w:right w:val="single" w:sz="4" w:space="0" w:color="77B800" w:themeColor="accent6"/>
          <w:insideH w:val="nil"/>
          <w:insideV w:val="nil"/>
        </w:tcBorders>
        <w:shd w:val="clear" w:color="auto" w:fill="77B800" w:themeFill="accent6"/>
      </w:tcPr>
    </w:tblStylePr>
    <w:tblStylePr w:type="lastRow">
      <w:rPr>
        <w:b/>
        <w:bCs/>
      </w:rPr>
      <w:tblPr/>
      <w:tcPr>
        <w:tcBorders>
          <w:top w:val="double" w:sz="4" w:space="0" w:color="77B800" w:themeColor="accent6"/>
        </w:tcBorders>
      </w:tcPr>
    </w:tblStylePr>
    <w:tblStylePr w:type="firstCol">
      <w:rPr>
        <w:b/>
        <w:bCs/>
      </w:rPr>
    </w:tblStylePr>
    <w:tblStylePr w:type="lastCol">
      <w:rPr>
        <w:b/>
        <w:bCs/>
      </w:rPr>
    </w:tblStylePr>
    <w:tblStylePr w:type="band1Vert">
      <w:tblPr/>
      <w:tcPr>
        <w:shd w:val="clear" w:color="auto" w:fill="E7FFBD" w:themeFill="accent6" w:themeFillTint="33"/>
      </w:tcPr>
    </w:tblStylePr>
    <w:tblStylePr w:type="band1Horz">
      <w:tblPr/>
      <w:tcPr>
        <w:shd w:val="clear" w:color="auto" w:fill="E7FFBD" w:themeFill="accent6" w:themeFillTint="33"/>
      </w:tcPr>
    </w:tblStylePr>
  </w:style>
  <w:style w:type="character" w:customStyle="1" w:styleId="UnresolvedMention2">
    <w:name w:val="Unresolved Mention2"/>
    <w:basedOn w:val="DefaultParagraphFont"/>
    <w:uiPriority w:val="99"/>
    <w:semiHidden/>
    <w:unhideWhenUsed/>
    <w:rsid w:val="008C7DCD"/>
    <w:rPr>
      <w:color w:val="808080"/>
      <w:shd w:val="clear" w:color="auto" w:fill="E6E6E6"/>
    </w:rPr>
  </w:style>
  <w:style w:type="paragraph" w:styleId="BodyText2">
    <w:name w:val="Body Text 2"/>
    <w:basedOn w:val="Normal"/>
    <w:link w:val="BodyText2Char"/>
    <w:uiPriority w:val="99"/>
    <w:semiHidden/>
    <w:unhideWhenUsed/>
    <w:rsid w:val="00027837"/>
    <w:pPr>
      <w:spacing w:after="120" w:line="480" w:lineRule="auto"/>
    </w:pPr>
  </w:style>
  <w:style w:type="character" w:customStyle="1" w:styleId="BodyText2Char">
    <w:name w:val="Body Text 2 Char"/>
    <w:basedOn w:val="DefaultParagraphFont"/>
    <w:link w:val="BodyText2"/>
    <w:uiPriority w:val="99"/>
    <w:semiHidden/>
    <w:rsid w:val="00027837"/>
    <w:rPr>
      <w:lang w:val="en-NZ"/>
    </w:rPr>
  </w:style>
  <w:style w:type="paragraph" w:styleId="EndnoteText">
    <w:name w:val="endnote text"/>
    <w:basedOn w:val="Normal"/>
    <w:link w:val="EndnoteTextChar"/>
    <w:uiPriority w:val="99"/>
    <w:semiHidden/>
    <w:unhideWhenUsed/>
    <w:rsid w:val="00027837"/>
    <w:pPr>
      <w:autoSpaceDE w:val="0"/>
      <w:autoSpaceDN w:val="0"/>
      <w:spacing w:after="0" w:line="240" w:lineRule="auto"/>
    </w:pPr>
    <w:rPr>
      <w:rFonts w:ascii="CG Omega" w:eastAsia="Times New Roman" w:hAnsi="CG Omega" w:cs="CG Omega"/>
      <w:sz w:val="20"/>
      <w:szCs w:val="20"/>
      <w:lang w:val="en-GB" w:eastAsia="en-GB"/>
    </w:rPr>
  </w:style>
  <w:style w:type="character" w:customStyle="1" w:styleId="EndnoteTextChar">
    <w:name w:val="Endnote Text Char"/>
    <w:basedOn w:val="DefaultParagraphFont"/>
    <w:link w:val="EndnoteText"/>
    <w:uiPriority w:val="99"/>
    <w:semiHidden/>
    <w:rsid w:val="00027837"/>
    <w:rPr>
      <w:rFonts w:ascii="CG Omega" w:eastAsia="Times New Roman" w:hAnsi="CG Omega" w:cs="CG Omega"/>
      <w:sz w:val="20"/>
      <w:szCs w:val="20"/>
      <w:lang w:val="en-GB" w:eastAsia="en-GB"/>
    </w:rPr>
  </w:style>
  <w:style w:type="character" w:styleId="EndnoteReference">
    <w:name w:val="endnote reference"/>
    <w:basedOn w:val="DefaultParagraphFont"/>
    <w:uiPriority w:val="99"/>
    <w:semiHidden/>
    <w:unhideWhenUsed/>
    <w:rsid w:val="00027837"/>
    <w:rPr>
      <w:rFonts w:ascii="Times New Roman" w:hAnsi="Times New Roman" w:cs="Times New Roman" w:hint="default"/>
      <w:vertAlign w:val="superscript"/>
    </w:rPr>
  </w:style>
  <w:style w:type="character" w:customStyle="1" w:styleId="glossarylink">
    <w:name w:val="glossarylink"/>
    <w:basedOn w:val="DefaultParagraphFont"/>
    <w:rsid w:val="005725FA"/>
  </w:style>
  <w:style w:type="paragraph" w:customStyle="1" w:styleId="Default">
    <w:name w:val="Default"/>
    <w:rsid w:val="0079196B"/>
    <w:pPr>
      <w:autoSpaceDE w:val="0"/>
      <w:autoSpaceDN w:val="0"/>
      <w:adjustRightInd w:val="0"/>
      <w:spacing w:after="0" w:line="240" w:lineRule="auto"/>
    </w:pPr>
    <w:rPr>
      <w:rFonts w:ascii="Times New Roman" w:hAnsi="Times New Roman" w:cs="Times New Roman"/>
      <w:color w:val="000000"/>
      <w:sz w:val="24"/>
      <w:szCs w:val="24"/>
      <w:lang w:val="en-NZ"/>
    </w:rPr>
  </w:style>
  <w:style w:type="paragraph" w:styleId="Revision">
    <w:name w:val="Revision"/>
    <w:hidden/>
    <w:uiPriority w:val="99"/>
    <w:semiHidden/>
    <w:rsid w:val="003C7B1E"/>
    <w:pPr>
      <w:spacing w:after="0" w:line="240" w:lineRule="auto"/>
    </w:pPr>
    <w:rPr>
      <w:lang w:val="en-NZ"/>
    </w:rPr>
  </w:style>
  <w:style w:type="character" w:styleId="SubtleEmphasis">
    <w:name w:val="Subtle Emphasis"/>
    <w:basedOn w:val="DefaultParagraphFont"/>
    <w:uiPriority w:val="21"/>
    <w:qFormat/>
    <w:rsid w:val="00D87BCF"/>
    <w:rPr>
      <w:i/>
      <w:iCs/>
      <w:color w:val="404040" w:themeColor="text1" w:themeTint="BF"/>
    </w:rPr>
  </w:style>
  <w:style w:type="paragraph" w:customStyle="1" w:styleId="Pa0">
    <w:name w:val="Pa0"/>
    <w:basedOn w:val="Default"/>
    <w:next w:val="Default"/>
    <w:uiPriority w:val="99"/>
    <w:rsid w:val="000B0822"/>
    <w:pPr>
      <w:spacing w:line="241" w:lineRule="atLeast"/>
    </w:pPr>
    <w:rPr>
      <w:rFonts w:ascii="Helvetica Neue" w:hAnsi="Helvetica Neue" w:cstheme="minorBidi"/>
      <w:color w:val="auto"/>
    </w:rPr>
  </w:style>
  <w:style w:type="character" w:customStyle="1" w:styleId="A2">
    <w:name w:val="A2"/>
    <w:uiPriority w:val="99"/>
    <w:rsid w:val="000B0822"/>
    <w:rPr>
      <w:rFonts w:cs="Helvetica Neue"/>
      <w:b/>
      <w:bCs/>
      <w:color w:val="000000"/>
      <w:sz w:val="36"/>
      <w:szCs w:val="36"/>
    </w:rPr>
  </w:style>
  <w:style w:type="character" w:customStyle="1" w:styleId="highwire-cite-journal">
    <w:name w:val="highwire-cite-journal"/>
    <w:basedOn w:val="DefaultParagraphFont"/>
    <w:rsid w:val="009B19C0"/>
  </w:style>
  <w:style w:type="character" w:customStyle="1" w:styleId="highwire-cite-published-year">
    <w:name w:val="highwire-cite-published-year"/>
    <w:basedOn w:val="DefaultParagraphFont"/>
    <w:rsid w:val="009B19C0"/>
  </w:style>
  <w:style w:type="character" w:customStyle="1" w:styleId="highwire-cite-volume-issue">
    <w:name w:val="highwire-cite-volume-issue"/>
    <w:basedOn w:val="DefaultParagraphFont"/>
    <w:rsid w:val="009B19C0"/>
  </w:style>
  <w:style w:type="character" w:customStyle="1" w:styleId="highwire-cite-doi">
    <w:name w:val="highwire-cite-doi"/>
    <w:basedOn w:val="DefaultParagraphFont"/>
    <w:rsid w:val="009B19C0"/>
  </w:style>
  <w:style w:type="character" w:customStyle="1" w:styleId="highwire-cite-date">
    <w:name w:val="highwire-cite-date"/>
    <w:basedOn w:val="DefaultParagraphFont"/>
    <w:rsid w:val="009B19C0"/>
  </w:style>
  <w:style w:type="character" w:customStyle="1" w:styleId="highwire-cite-article-as">
    <w:name w:val="highwire-cite-article-as"/>
    <w:basedOn w:val="DefaultParagraphFont"/>
    <w:rsid w:val="009B19C0"/>
  </w:style>
  <w:style w:type="character" w:customStyle="1" w:styleId="italic">
    <w:name w:val="italic"/>
    <w:basedOn w:val="DefaultParagraphFont"/>
    <w:rsid w:val="009B19C0"/>
  </w:style>
  <w:style w:type="character" w:styleId="FollowedHyperlink">
    <w:name w:val="FollowedHyperlink"/>
    <w:basedOn w:val="DefaultParagraphFont"/>
    <w:uiPriority w:val="99"/>
    <w:semiHidden/>
    <w:unhideWhenUsed/>
    <w:rsid w:val="0055619E"/>
    <w:rPr>
      <w:color w:val="800080" w:themeColor="followedHyperlink"/>
      <w:u w:val="single"/>
    </w:rPr>
  </w:style>
  <w:style w:type="character" w:customStyle="1" w:styleId="hitinf">
    <w:name w:val="hit_inf"/>
    <w:basedOn w:val="DefaultParagraphFont"/>
    <w:rsid w:val="0055619E"/>
  </w:style>
  <w:style w:type="table" w:customStyle="1" w:styleId="GridTable4-Accent62">
    <w:name w:val="Grid Table 4 - Accent 62"/>
    <w:basedOn w:val="TableNormal"/>
    <w:uiPriority w:val="49"/>
    <w:rsid w:val="0055619E"/>
    <w:pPr>
      <w:spacing w:after="0" w:line="240" w:lineRule="auto"/>
    </w:pPr>
    <w:rPr>
      <w:lang w:val="en-NZ"/>
    </w:rPr>
    <w:tblPr>
      <w:tblStyleRowBandSize w:val="1"/>
      <w:tblStyleColBandSize w:val="1"/>
      <w:tblBorders>
        <w:top w:val="single" w:sz="4" w:space="0" w:color="B9FF3B" w:themeColor="accent6" w:themeTint="99"/>
        <w:left w:val="single" w:sz="4" w:space="0" w:color="B9FF3B" w:themeColor="accent6" w:themeTint="99"/>
        <w:bottom w:val="single" w:sz="4" w:space="0" w:color="B9FF3B" w:themeColor="accent6" w:themeTint="99"/>
        <w:right w:val="single" w:sz="4" w:space="0" w:color="B9FF3B" w:themeColor="accent6" w:themeTint="99"/>
        <w:insideH w:val="single" w:sz="4" w:space="0" w:color="B9FF3B" w:themeColor="accent6" w:themeTint="99"/>
        <w:insideV w:val="single" w:sz="4" w:space="0" w:color="B9FF3B" w:themeColor="accent6" w:themeTint="99"/>
      </w:tblBorders>
    </w:tblPr>
    <w:tblStylePr w:type="firstRow">
      <w:rPr>
        <w:b/>
        <w:bCs/>
        <w:color w:val="FFFFFF" w:themeColor="background1"/>
      </w:rPr>
      <w:tblPr/>
      <w:tcPr>
        <w:tcBorders>
          <w:top w:val="single" w:sz="4" w:space="0" w:color="77B800" w:themeColor="accent6"/>
          <w:left w:val="single" w:sz="4" w:space="0" w:color="77B800" w:themeColor="accent6"/>
          <w:bottom w:val="single" w:sz="4" w:space="0" w:color="77B800" w:themeColor="accent6"/>
          <w:right w:val="single" w:sz="4" w:space="0" w:color="77B800" w:themeColor="accent6"/>
          <w:insideH w:val="nil"/>
          <w:insideV w:val="nil"/>
        </w:tcBorders>
        <w:shd w:val="clear" w:color="auto" w:fill="77B800" w:themeFill="accent6"/>
      </w:tcPr>
    </w:tblStylePr>
    <w:tblStylePr w:type="lastRow">
      <w:rPr>
        <w:b/>
        <w:bCs/>
      </w:rPr>
      <w:tblPr/>
      <w:tcPr>
        <w:tcBorders>
          <w:top w:val="double" w:sz="4" w:space="0" w:color="77B800" w:themeColor="accent6"/>
        </w:tcBorders>
      </w:tcPr>
    </w:tblStylePr>
    <w:tblStylePr w:type="firstCol">
      <w:rPr>
        <w:b/>
        <w:bCs/>
      </w:rPr>
    </w:tblStylePr>
    <w:tblStylePr w:type="lastCol">
      <w:rPr>
        <w:b/>
        <w:bCs/>
      </w:rPr>
    </w:tblStylePr>
    <w:tblStylePr w:type="band1Vert">
      <w:tblPr/>
      <w:tcPr>
        <w:shd w:val="clear" w:color="auto" w:fill="E7FFBD" w:themeFill="accent6" w:themeFillTint="33"/>
      </w:tcPr>
    </w:tblStylePr>
    <w:tblStylePr w:type="band1Horz">
      <w:tblPr/>
      <w:tcPr>
        <w:shd w:val="clear" w:color="auto" w:fill="E7FFBD" w:themeFill="accent6" w:themeFillTint="33"/>
      </w:tcPr>
    </w:tblStylePr>
  </w:style>
  <w:style w:type="paragraph" w:customStyle="1" w:styleId="lbexindentclause">
    <w:name w:val="lbexindentclause"/>
    <w:basedOn w:val="Normal"/>
    <w:rsid w:val="003C5F0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bexindentsubclause">
    <w:name w:val="lbexindentsubclause"/>
    <w:basedOn w:val="Normal"/>
    <w:rsid w:val="003C5F0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IntenseEmphasis">
    <w:name w:val="Intense Emphasis"/>
    <w:basedOn w:val="DefaultParagraphFont"/>
    <w:uiPriority w:val="23"/>
    <w:qFormat/>
    <w:rsid w:val="00E54D8B"/>
    <w:rPr>
      <w:i/>
      <w:iCs/>
      <w:color w:val="36424A" w:themeColor="accent1"/>
    </w:rPr>
  </w:style>
  <w:style w:type="character" w:customStyle="1" w:styleId="internalref">
    <w:name w:val="internalref"/>
    <w:basedOn w:val="DefaultParagraphFont"/>
    <w:rsid w:val="00BF6DB4"/>
  </w:style>
  <w:style w:type="table" w:customStyle="1" w:styleId="ListTable4-Accent61">
    <w:name w:val="List Table 4 - Accent 61"/>
    <w:basedOn w:val="TableNormal"/>
    <w:uiPriority w:val="49"/>
    <w:rsid w:val="00007037"/>
    <w:pPr>
      <w:spacing w:after="0" w:line="240" w:lineRule="auto"/>
    </w:pPr>
    <w:rPr>
      <w:lang w:val="en-NZ"/>
    </w:rPr>
    <w:tblPr>
      <w:tblStyleRowBandSize w:val="1"/>
      <w:tblStyleColBandSize w:val="1"/>
      <w:tblBorders>
        <w:top w:val="single" w:sz="4" w:space="0" w:color="B9FF3B" w:themeColor="accent6" w:themeTint="99"/>
        <w:left w:val="single" w:sz="4" w:space="0" w:color="B9FF3B" w:themeColor="accent6" w:themeTint="99"/>
        <w:bottom w:val="single" w:sz="4" w:space="0" w:color="B9FF3B" w:themeColor="accent6" w:themeTint="99"/>
        <w:right w:val="single" w:sz="4" w:space="0" w:color="B9FF3B" w:themeColor="accent6" w:themeTint="99"/>
        <w:insideH w:val="single" w:sz="4" w:space="0" w:color="B9FF3B" w:themeColor="accent6" w:themeTint="99"/>
      </w:tblBorders>
    </w:tblPr>
    <w:tblStylePr w:type="firstRow">
      <w:rPr>
        <w:b/>
        <w:bCs/>
        <w:color w:val="FFFFFF" w:themeColor="background1"/>
      </w:rPr>
      <w:tblPr/>
      <w:tcPr>
        <w:tcBorders>
          <w:top w:val="single" w:sz="4" w:space="0" w:color="77B800" w:themeColor="accent6"/>
          <w:left w:val="single" w:sz="4" w:space="0" w:color="77B800" w:themeColor="accent6"/>
          <w:bottom w:val="single" w:sz="4" w:space="0" w:color="77B800" w:themeColor="accent6"/>
          <w:right w:val="single" w:sz="4" w:space="0" w:color="77B800" w:themeColor="accent6"/>
          <w:insideH w:val="nil"/>
        </w:tcBorders>
        <w:shd w:val="clear" w:color="auto" w:fill="77B800" w:themeFill="accent6"/>
      </w:tcPr>
    </w:tblStylePr>
    <w:tblStylePr w:type="lastRow">
      <w:rPr>
        <w:b/>
        <w:bCs/>
      </w:rPr>
      <w:tblPr/>
      <w:tcPr>
        <w:tcBorders>
          <w:top w:val="double" w:sz="4" w:space="0" w:color="B9FF3B" w:themeColor="accent6" w:themeTint="99"/>
        </w:tcBorders>
      </w:tcPr>
    </w:tblStylePr>
    <w:tblStylePr w:type="firstCol">
      <w:rPr>
        <w:b/>
        <w:bCs/>
      </w:rPr>
    </w:tblStylePr>
    <w:tblStylePr w:type="lastCol">
      <w:rPr>
        <w:b/>
        <w:bCs/>
      </w:rPr>
    </w:tblStylePr>
    <w:tblStylePr w:type="band1Vert">
      <w:tblPr/>
      <w:tcPr>
        <w:shd w:val="clear" w:color="auto" w:fill="E7FFBD" w:themeFill="accent6" w:themeFillTint="33"/>
      </w:tcPr>
    </w:tblStylePr>
    <w:tblStylePr w:type="band1Horz">
      <w:tblPr/>
      <w:tcPr>
        <w:shd w:val="clear" w:color="auto" w:fill="E7FFBD" w:themeFill="accent6" w:themeFillTint="33"/>
      </w:tcPr>
    </w:tblStylePr>
  </w:style>
  <w:style w:type="paragraph" w:customStyle="1" w:styleId="p1">
    <w:name w:val="p1"/>
    <w:basedOn w:val="Normal"/>
    <w:rsid w:val="00B90E8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1">
    <w:name w:val="s1"/>
    <w:basedOn w:val="DefaultParagraphFont"/>
    <w:rsid w:val="00B90E8B"/>
  </w:style>
  <w:style w:type="character" w:customStyle="1" w:styleId="apple-converted-space">
    <w:name w:val="apple-converted-space"/>
    <w:basedOn w:val="DefaultParagraphFont"/>
    <w:rsid w:val="00B90E8B"/>
  </w:style>
  <w:style w:type="paragraph" w:customStyle="1" w:styleId="Normal0">
    <w:name w:val="[Normal]"/>
    <w:rsid w:val="00B404C0"/>
    <w:pPr>
      <w:widowControl w:val="0"/>
      <w:autoSpaceDE w:val="0"/>
      <w:autoSpaceDN w:val="0"/>
      <w:adjustRightInd w:val="0"/>
      <w:spacing w:after="0" w:line="240" w:lineRule="auto"/>
    </w:pPr>
    <w:rPr>
      <w:rFonts w:ascii="Arial" w:hAnsi="Arial" w:cs="Arial"/>
      <w:sz w:val="24"/>
      <w:szCs w:val="24"/>
      <w:lang w:val="en-NZ"/>
    </w:rPr>
  </w:style>
  <w:style w:type="character" w:customStyle="1" w:styleId="subhead-body">
    <w:name w:val="subhead-body"/>
    <w:basedOn w:val="DefaultParagraphFont"/>
    <w:rsid w:val="007412AB"/>
  </w:style>
  <w:style w:type="character" w:customStyle="1" w:styleId="element-citation">
    <w:name w:val="element-citation"/>
    <w:basedOn w:val="DefaultParagraphFont"/>
    <w:rsid w:val="006841B7"/>
  </w:style>
  <w:style w:type="character" w:customStyle="1" w:styleId="figpopup-sensitive-area">
    <w:name w:val="figpopup-sensitive-area"/>
    <w:basedOn w:val="DefaultParagraphFont"/>
    <w:rsid w:val="00B266A7"/>
  </w:style>
  <w:style w:type="paragraph" w:customStyle="1" w:styleId="para">
    <w:name w:val="para"/>
    <w:basedOn w:val="Normal"/>
    <w:rsid w:val="00A14B9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t-auth">
    <w:name w:val="cit-auth"/>
    <w:basedOn w:val="DefaultParagraphFont"/>
    <w:rsid w:val="00934921"/>
  </w:style>
  <w:style w:type="paragraph" w:customStyle="1" w:styleId="p">
    <w:name w:val="p"/>
    <w:basedOn w:val="Normal"/>
    <w:rsid w:val="00593C8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tationref">
    <w:name w:val="citationref"/>
    <w:basedOn w:val="DefaultParagraphFont"/>
    <w:rsid w:val="003754AE"/>
  </w:style>
  <w:style w:type="table" w:customStyle="1" w:styleId="TableGridLight1">
    <w:name w:val="Table Grid Light1"/>
    <w:basedOn w:val="TableNormal"/>
    <w:uiPriority w:val="40"/>
    <w:rsid w:val="00EF54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F54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D2202B"/>
    <w:pPr>
      <w:keepLines/>
      <w:spacing w:before="240" w:after="0" w:line="259" w:lineRule="auto"/>
      <w:jc w:val="left"/>
      <w:outlineLvl w:val="9"/>
    </w:pPr>
    <w:rPr>
      <w:rFonts w:eastAsiaTheme="majorEastAsia" w:cstheme="majorBidi"/>
      <w:b w:val="0"/>
      <w:caps w:val="0"/>
      <w:color w:val="283137" w:themeColor="accent1" w:themeShade="BF"/>
      <w:sz w:val="32"/>
      <w:szCs w:val="32"/>
      <w:lang w:val="en-US"/>
    </w:rPr>
  </w:style>
  <w:style w:type="paragraph" w:customStyle="1" w:styleId="EndNoteBibliographyTitle">
    <w:name w:val="EndNote Bibliography Title"/>
    <w:basedOn w:val="Normal"/>
    <w:link w:val="EndNoteBibliographyTitleChar"/>
    <w:rsid w:val="00FD21A0"/>
    <w:pPr>
      <w:spacing w:after="0"/>
      <w:jc w:val="center"/>
    </w:pPr>
    <w:rPr>
      <w:rFonts w:ascii="Cambria" w:hAnsi="Cambria"/>
      <w:noProof/>
      <w:lang w:val="en-US"/>
    </w:rPr>
  </w:style>
  <w:style w:type="character" w:customStyle="1" w:styleId="EndNoteBibliographyTitleChar">
    <w:name w:val="EndNote Bibliography Title Char"/>
    <w:basedOn w:val="BodyTextChar"/>
    <w:link w:val="EndNoteBibliographyTitle"/>
    <w:rsid w:val="00FD21A0"/>
    <w:rPr>
      <w:rFonts w:ascii="Cambria" w:hAnsi="Cambria"/>
      <w:noProof/>
      <w:lang w:val="en-NZ"/>
    </w:rPr>
  </w:style>
  <w:style w:type="paragraph" w:customStyle="1" w:styleId="EndNoteBibliography">
    <w:name w:val="EndNote Bibliography"/>
    <w:basedOn w:val="Normal"/>
    <w:link w:val="EndNoteBibliographyChar"/>
    <w:rsid w:val="00FD21A0"/>
    <w:pPr>
      <w:spacing w:line="240" w:lineRule="auto"/>
      <w:jc w:val="both"/>
    </w:pPr>
    <w:rPr>
      <w:rFonts w:ascii="Cambria" w:hAnsi="Cambria"/>
      <w:noProof/>
      <w:lang w:val="en-US"/>
    </w:rPr>
  </w:style>
  <w:style w:type="character" w:customStyle="1" w:styleId="EndNoteBibliographyChar">
    <w:name w:val="EndNote Bibliography Char"/>
    <w:basedOn w:val="BodyTextChar"/>
    <w:link w:val="EndNoteBibliography"/>
    <w:rsid w:val="00FD21A0"/>
    <w:rPr>
      <w:rFonts w:ascii="Cambria" w:hAnsi="Cambria"/>
      <w:noProof/>
      <w:lang w:val="en-NZ"/>
    </w:rPr>
  </w:style>
  <w:style w:type="character" w:customStyle="1" w:styleId="title-text">
    <w:name w:val="title-text"/>
    <w:basedOn w:val="DefaultParagraphFont"/>
    <w:rsid w:val="00A253C6"/>
  </w:style>
  <w:style w:type="character" w:customStyle="1" w:styleId="UnresolvedMention3">
    <w:name w:val="Unresolved Mention3"/>
    <w:basedOn w:val="DefaultParagraphFont"/>
    <w:uiPriority w:val="99"/>
    <w:semiHidden/>
    <w:unhideWhenUsed/>
    <w:rsid w:val="00594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265">
      <w:bodyDiv w:val="1"/>
      <w:marLeft w:val="0"/>
      <w:marRight w:val="0"/>
      <w:marTop w:val="0"/>
      <w:marBottom w:val="0"/>
      <w:divBdr>
        <w:top w:val="none" w:sz="0" w:space="0" w:color="auto"/>
        <w:left w:val="none" w:sz="0" w:space="0" w:color="auto"/>
        <w:bottom w:val="none" w:sz="0" w:space="0" w:color="auto"/>
        <w:right w:val="none" w:sz="0" w:space="0" w:color="auto"/>
      </w:divBdr>
      <w:divsChild>
        <w:div w:id="571433657">
          <w:marLeft w:val="480"/>
          <w:marRight w:val="0"/>
          <w:marTop w:val="0"/>
          <w:marBottom w:val="0"/>
          <w:divBdr>
            <w:top w:val="none" w:sz="0" w:space="0" w:color="auto"/>
            <w:left w:val="none" w:sz="0" w:space="0" w:color="auto"/>
            <w:bottom w:val="none" w:sz="0" w:space="0" w:color="auto"/>
            <w:right w:val="none" w:sz="0" w:space="0" w:color="auto"/>
          </w:divBdr>
          <w:divsChild>
            <w:div w:id="9828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622">
      <w:bodyDiv w:val="1"/>
      <w:marLeft w:val="0"/>
      <w:marRight w:val="0"/>
      <w:marTop w:val="0"/>
      <w:marBottom w:val="0"/>
      <w:divBdr>
        <w:top w:val="none" w:sz="0" w:space="0" w:color="auto"/>
        <w:left w:val="none" w:sz="0" w:space="0" w:color="auto"/>
        <w:bottom w:val="none" w:sz="0" w:space="0" w:color="auto"/>
        <w:right w:val="none" w:sz="0" w:space="0" w:color="auto"/>
      </w:divBdr>
    </w:div>
    <w:div w:id="32273030">
      <w:bodyDiv w:val="1"/>
      <w:marLeft w:val="0"/>
      <w:marRight w:val="0"/>
      <w:marTop w:val="0"/>
      <w:marBottom w:val="0"/>
      <w:divBdr>
        <w:top w:val="none" w:sz="0" w:space="0" w:color="auto"/>
        <w:left w:val="none" w:sz="0" w:space="0" w:color="auto"/>
        <w:bottom w:val="none" w:sz="0" w:space="0" w:color="auto"/>
        <w:right w:val="none" w:sz="0" w:space="0" w:color="auto"/>
      </w:divBdr>
      <w:divsChild>
        <w:div w:id="210072871">
          <w:marLeft w:val="0"/>
          <w:marRight w:val="0"/>
          <w:marTop w:val="240"/>
          <w:marBottom w:val="240"/>
          <w:divBdr>
            <w:top w:val="none" w:sz="0" w:space="0" w:color="auto"/>
            <w:left w:val="none" w:sz="0" w:space="0" w:color="auto"/>
            <w:bottom w:val="none" w:sz="0" w:space="0" w:color="auto"/>
            <w:right w:val="none" w:sz="0" w:space="0" w:color="auto"/>
          </w:divBdr>
        </w:div>
        <w:div w:id="630553665">
          <w:marLeft w:val="360"/>
          <w:marRight w:val="360"/>
          <w:marTop w:val="240"/>
          <w:marBottom w:val="300"/>
          <w:divBdr>
            <w:top w:val="none" w:sz="0" w:space="0" w:color="auto"/>
            <w:left w:val="none" w:sz="0" w:space="0" w:color="auto"/>
            <w:bottom w:val="none" w:sz="0" w:space="0" w:color="auto"/>
            <w:right w:val="none" w:sz="0" w:space="0" w:color="auto"/>
          </w:divBdr>
        </w:div>
      </w:divsChild>
    </w:div>
    <w:div w:id="41253730">
      <w:bodyDiv w:val="1"/>
      <w:marLeft w:val="0"/>
      <w:marRight w:val="0"/>
      <w:marTop w:val="0"/>
      <w:marBottom w:val="0"/>
      <w:divBdr>
        <w:top w:val="none" w:sz="0" w:space="0" w:color="auto"/>
        <w:left w:val="none" w:sz="0" w:space="0" w:color="auto"/>
        <w:bottom w:val="none" w:sz="0" w:space="0" w:color="auto"/>
        <w:right w:val="none" w:sz="0" w:space="0" w:color="auto"/>
      </w:divBdr>
    </w:div>
    <w:div w:id="85156737">
      <w:bodyDiv w:val="1"/>
      <w:marLeft w:val="0"/>
      <w:marRight w:val="0"/>
      <w:marTop w:val="0"/>
      <w:marBottom w:val="0"/>
      <w:divBdr>
        <w:top w:val="none" w:sz="0" w:space="0" w:color="auto"/>
        <w:left w:val="none" w:sz="0" w:space="0" w:color="auto"/>
        <w:bottom w:val="none" w:sz="0" w:space="0" w:color="auto"/>
        <w:right w:val="none" w:sz="0" w:space="0" w:color="auto"/>
      </w:divBdr>
    </w:div>
    <w:div w:id="86584406">
      <w:bodyDiv w:val="1"/>
      <w:marLeft w:val="0"/>
      <w:marRight w:val="0"/>
      <w:marTop w:val="0"/>
      <w:marBottom w:val="0"/>
      <w:divBdr>
        <w:top w:val="none" w:sz="0" w:space="0" w:color="auto"/>
        <w:left w:val="none" w:sz="0" w:space="0" w:color="auto"/>
        <w:bottom w:val="none" w:sz="0" w:space="0" w:color="auto"/>
        <w:right w:val="none" w:sz="0" w:space="0" w:color="auto"/>
      </w:divBdr>
      <w:divsChild>
        <w:div w:id="43456607">
          <w:marLeft w:val="480"/>
          <w:marRight w:val="0"/>
          <w:marTop w:val="0"/>
          <w:marBottom w:val="0"/>
          <w:divBdr>
            <w:top w:val="none" w:sz="0" w:space="0" w:color="auto"/>
            <w:left w:val="none" w:sz="0" w:space="0" w:color="auto"/>
            <w:bottom w:val="none" w:sz="0" w:space="0" w:color="auto"/>
            <w:right w:val="none" w:sz="0" w:space="0" w:color="auto"/>
          </w:divBdr>
          <w:divsChild>
            <w:div w:id="7538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2450">
      <w:bodyDiv w:val="1"/>
      <w:marLeft w:val="0"/>
      <w:marRight w:val="0"/>
      <w:marTop w:val="0"/>
      <w:marBottom w:val="0"/>
      <w:divBdr>
        <w:top w:val="none" w:sz="0" w:space="0" w:color="auto"/>
        <w:left w:val="none" w:sz="0" w:space="0" w:color="auto"/>
        <w:bottom w:val="none" w:sz="0" w:space="0" w:color="auto"/>
        <w:right w:val="none" w:sz="0" w:space="0" w:color="auto"/>
      </w:divBdr>
      <w:divsChild>
        <w:div w:id="510728380">
          <w:marLeft w:val="480"/>
          <w:marRight w:val="0"/>
          <w:marTop w:val="0"/>
          <w:marBottom w:val="0"/>
          <w:divBdr>
            <w:top w:val="none" w:sz="0" w:space="0" w:color="auto"/>
            <w:left w:val="none" w:sz="0" w:space="0" w:color="auto"/>
            <w:bottom w:val="none" w:sz="0" w:space="0" w:color="auto"/>
            <w:right w:val="none" w:sz="0" w:space="0" w:color="auto"/>
          </w:divBdr>
          <w:divsChild>
            <w:div w:id="18991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07240907">
      <w:bodyDiv w:val="1"/>
      <w:marLeft w:val="0"/>
      <w:marRight w:val="0"/>
      <w:marTop w:val="0"/>
      <w:marBottom w:val="0"/>
      <w:divBdr>
        <w:top w:val="none" w:sz="0" w:space="0" w:color="auto"/>
        <w:left w:val="none" w:sz="0" w:space="0" w:color="auto"/>
        <w:bottom w:val="none" w:sz="0" w:space="0" w:color="auto"/>
        <w:right w:val="none" w:sz="0" w:space="0" w:color="auto"/>
      </w:divBdr>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132479548">
      <w:bodyDiv w:val="1"/>
      <w:marLeft w:val="0"/>
      <w:marRight w:val="0"/>
      <w:marTop w:val="0"/>
      <w:marBottom w:val="0"/>
      <w:divBdr>
        <w:top w:val="none" w:sz="0" w:space="0" w:color="auto"/>
        <w:left w:val="none" w:sz="0" w:space="0" w:color="auto"/>
        <w:bottom w:val="none" w:sz="0" w:space="0" w:color="auto"/>
        <w:right w:val="none" w:sz="0" w:space="0" w:color="auto"/>
      </w:divBdr>
    </w:div>
    <w:div w:id="149488677">
      <w:bodyDiv w:val="1"/>
      <w:marLeft w:val="0"/>
      <w:marRight w:val="0"/>
      <w:marTop w:val="0"/>
      <w:marBottom w:val="0"/>
      <w:divBdr>
        <w:top w:val="none" w:sz="0" w:space="0" w:color="auto"/>
        <w:left w:val="none" w:sz="0" w:space="0" w:color="auto"/>
        <w:bottom w:val="none" w:sz="0" w:space="0" w:color="auto"/>
        <w:right w:val="none" w:sz="0" w:space="0" w:color="auto"/>
      </w:divBdr>
    </w:div>
    <w:div w:id="169302155">
      <w:bodyDiv w:val="1"/>
      <w:marLeft w:val="0"/>
      <w:marRight w:val="0"/>
      <w:marTop w:val="0"/>
      <w:marBottom w:val="0"/>
      <w:divBdr>
        <w:top w:val="none" w:sz="0" w:space="0" w:color="auto"/>
        <w:left w:val="none" w:sz="0" w:space="0" w:color="auto"/>
        <w:bottom w:val="none" w:sz="0" w:space="0" w:color="auto"/>
        <w:right w:val="none" w:sz="0" w:space="0" w:color="auto"/>
      </w:divBdr>
      <w:divsChild>
        <w:div w:id="1189102023">
          <w:marLeft w:val="480"/>
          <w:marRight w:val="0"/>
          <w:marTop w:val="0"/>
          <w:marBottom w:val="0"/>
          <w:divBdr>
            <w:top w:val="none" w:sz="0" w:space="0" w:color="auto"/>
            <w:left w:val="none" w:sz="0" w:space="0" w:color="auto"/>
            <w:bottom w:val="none" w:sz="0" w:space="0" w:color="auto"/>
            <w:right w:val="none" w:sz="0" w:space="0" w:color="auto"/>
          </w:divBdr>
          <w:divsChild>
            <w:div w:id="18642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9422">
      <w:marLeft w:val="0"/>
      <w:marRight w:val="0"/>
      <w:marTop w:val="0"/>
      <w:marBottom w:val="0"/>
      <w:divBdr>
        <w:top w:val="none" w:sz="0" w:space="0" w:color="auto"/>
        <w:left w:val="none" w:sz="0" w:space="0" w:color="auto"/>
        <w:bottom w:val="none" w:sz="0" w:space="0" w:color="auto"/>
        <w:right w:val="none" w:sz="0" w:space="0" w:color="auto"/>
      </w:divBdr>
    </w:div>
    <w:div w:id="185296078">
      <w:bodyDiv w:val="1"/>
      <w:marLeft w:val="0"/>
      <w:marRight w:val="0"/>
      <w:marTop w:val="0"/>
      <w:marBottom w:val="0"/>
      <w:divBdr>
        <w:top w:val="none" w:sz="0" w:space="0" w:color="auto"/>
        <w:left w:val="none" w:sz="0" w:space="0" w:color="auto"/>
        <w:bottom w:val="none" w:sz="0" w:space="0" w:color="auto"/>
        <w:right w:val="none" w:sz="0" w:space="0" w:color="auto"/>
      </w:divBdr>
      <w:divsChild>
        <w:div w:id="1987666641">
          <w:marLeft w:val="480"/>
          <w:marRight w:val="0"/>
          <w:marTop w:val="0"/>
          <w:marBottom w:val="0"/>
          <w:divBdr>
            <w:top w:val="none" w:sz="0" w:space="0" w:color="auto"/>
            <w:left w:val="none" w:sz="0" w:space="0" w:color="auto"/>
            <w:bottom w:val="none" w:sz="0" w:space="0" w:color="auto"/>
            <w:right w:val="none" w:sz="0" w:space="0" w:color="auto"/>
          </w:divBdr>
          <w:divsChild>
            <w:div w:id="15668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2537">
      <w:bodyDiv w:val="1"/>
      <w:marLeft w:val="0"/>
      <w:marRight w:val="0"/>
      <w:marTop w:val="0"/>
      <w:marBottom w:val="0"/>
      <w:divBdr>
        <w:top w:val="none" w:sz="0" w:space="0" w:color="auto"/>
        <w:left w:val="none" w:sz="0" w:space="0" w:color="auto"/>
        <w:bottom w:val="none" w:sz="0" w:space="0" w:color="auto"/>
        <w:right w:val="none" w:sz="0" w:space="0" w:color="auto"/>
      </w:divBdr>
      <w:divsChild>
        <w:div w:id="172889013">
          <w:marLeft w:val="480"/>
          <w:marRight w:val="0"/>
          <w:marTop w:val="0"/>
          <w:marBottom w:val="0"/>
          <w:divBdr>
            <w:top w:val="none" w:sz="0" w:space="0" w:color="auto"/>
            <w:left w:val="none" w:sz="0" w:space="0" w:color="auto"/>
            <w:bottom w:val="none" w:sz="0" w:space="0" w:color="auto"/>
            <w:right w:val="none" w:sz="0" w:space="0" w:color="auto"/>
          </w:divBdr>
          <w:divsChild>
            <w:div w:id="7295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1797">
      <w:bodyDiv w:val="1"/>
      <w:marLeft w:val="0"/>
      <w:marRight w:val="0"/>
      <w:marTop w:val="0"/>
      <w:marBottom w:val="0"/>
      <w:divBdr>
        <w:top w:val="none" w:sz="0" w:space="0" w:color="auto"/>
        <w:left w:val="none" w:sz="0" w:space="0" w:color="auto"/>
        <w:bottom w:val="none" w:sz="0" w:space="0" w:color="auto"/>
        <w:right w:val="none" w:sz="0" w:space="0" w:color="auto"/>
      </w:divBdr>
    </w:div>
    <w:div w:id="273485619">
      <w:bodyDiv w:val="1"/>
      <w:marLeft w:val="0"/>
      <w:marRight w:val="0"/>
      <w:marTop w:val="0"/>
      <w:marBottom w:val="0"/>
      <w:divBdr>
        <w:top w:val="none" w:sz="0" w:space="0" w:color="auto"/>
        <w:left w:val="none" w:sz="0" w:space="0" w:color="auto"/>
        <w:bottom w:val="none" w:sz="0" w:space="0" w:color="auto"/>
        <w:right w:val="none" w:sz="0" w:space="0" w:color="auto"/>
      </w:divBdr>
    </w:div>
    <w:div w:id="281303079">
      <w:bodyDiv w:val="1"/>
      <w:marLeft w:val="0"/>
      <w:marRight w:val="0"/>
      <w:marTop w:val="0"/>
      <w:marBottom w:val="0"/>
      <w:divBdr>
        <w:top w:val="none" w:sz="0" w:space="0" w:color="auto"/>
        <w:left w:val="none" w:sz="0" w:space="0" w:color="auto"/>
        <w:bottom w:val="none" w:sz="0" w:space="0" w:color="auto"/>
        <w:right w:val="none" w:sz="0" w:space="0" w:color="auto"/>
      </w:divBdr>
      <w:divsChild>
        <w:div w:id="810756326">
          <w:marLeft w:val="480"/>
          <w:marRight w:val="0"/>
          <w:marTop w:val="0"/>
          <w:marBottom w:val="0"/>
          <w:divBdr>
            <w:top w:val="none" w:sz="0" w:space="0" w:color="auto"/>
            <w:left w:val="none" w:sz="0" w:space="0" w:color="auto"/>
            <w:bottom w:val="none" w:sz="0" w:space="0" w:color="auto"/>
            <w:right w:val="none" w:sz="0" w:space="0" w:color="auto"/>
          </w:divBdr>
          <w:divsChild>
            <w:div w:id="692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96743">
      <w:bodyDiv w:val="1"/>
      <w:marLeft w:val="0"/>
      <w:marRight w:val="0"/>
      <w:marTop w:val="0"/>
      <w:marBottom w:val="0"/>
      <w:divBdr>
        <w:top w:val="none" w:sz="0" w:space="0" w:color="auto"/>
        <w:left w:val="none" w:sz="0" w:space="0" w:color="auto"/>
        <w:bottom w:val="none" w:sz="0" w:space="0" w:color="auto"/>
        <w:right w:val="none" w:sz="0" w:space="0" w:color="auto"/>
      </w:divBdr>
    </w:div>
    <w:div w:id="300699626">
      <w:marLeft w:val="0"/>
      <w:marRight w:val="0"/>
      <w:marTop w:val="0"/>
      <w:marBottom w:val="0"/>
      <w:divBdr>
        <w:top w:val="none" w:sz="0" w:space="0" w:color="auto"/>
        <w:left w:val="none" w:sz="0" w:space="0" w:color="auto"/>
        <w:bottom w:val="none" w:sz="0" w:space="0" w:color="auto"/>
        <w:right w:val="none" w:sz="0" w:space="0" w:color="auto"/>
      </w:divBdr>
    </w:div>
    <w:div w:id="303505194">
      <w:bodyDiv w:val="1"/>
      <w:marLeft w:val="0"/>
      <w:marRight w:val="0"/>
      <w:marTop w:val="0"/>
      <w:marBottom w:val="0"/>
      <w:divBdr>
        <w:top w:val="none" w:sz="0" w:space="0" w:color="auto"/>
        <w:left w:val="none" w:sz="0" w:space="0" w:color="auto"/>
        <w:bottom w:val="none" w:sz="0" w:space="0" w:color="auto"/>
        <w:right w:val="none" w:sz="0" w:space="0" w:color="auto"/>
      </w:divBdr>
    </w:div>
    <w:div w:id="305016568">
      <w:bodyDiv w:val="1"/>
      <w:marLeft w:val="0"/>
      <w:marRight w:val="0"/>
      <w:marTop w:val="0"/>
      <w:marBottom w:val="0"/>
      <w:divBdr>
        <w:top w:val="none" w:sz="0" w:space="0" w:color="auto"/>
        <w:left w:val="none" w:sz="0" w:space="0" w:color="auto"/>
        <w:bottom w:val="none" w:sz="0" w:space="0" w:color="auto"/>
        <w:right w:val="none" w:sz="0" w:space="0" w:color="auto"/>
      </w:divBdr>
    </w:div>
    <w:div w:id="307712982">
      <w:bodyDiv w:val="1"/>
      <w:marLeft w:val="0"/>
      <w:marRight w:val="0"/>
      <w:marTop w:val="0"/>
      <w:marBottom w:val="0"/>
      <w:divBdr>
        <w:top w:val="none" w:sz="0" w:space="0" w:color="auto"/>
        <w:left w:val="none" w:sz="0" w:space="0" w:color="auto"/>
        <w:bottom w:val="none" w:sz="0" w:space="0" w:color="auto"/>
        <w:right w:val="none" w:sz="0" w:space="0" w:color="auto"/>
      </w:divBdr>
    </w:div>
    <w:div w:id="308051745">
      <w:bodyDiv w:val="1"/>
      <w:marLeft w:val="0"/>
      <w:marRight w:val="0"/>
      <w:marTop w:val="0"/>
      <w:marBottom w:val="0"/>
      <w:divBdr>
        <w:top w:val="none" w:sz="0" w:space="0" w:color="auto"/>
        <w:left w:val="none" w:sz="0" w:space="0" w:color="auto"/>
        <w:bottom w:val="none" w:sz="0" w:space="0" w:color="auto"/>
        <w:right w:val="none" w:sz="0" w:space="0" w:color="auto"/>
      </w:divBdr>
    </w:div>
    <w:div w:id="324434311">
      <w:bodyDiv w:val="1"/>
      <w:marLeft w:val="0"/>
      <w:marRight w:val="0"/>
      <w:marTop w:val="0"/>
      <w:marBottom w:val="0"/>
      <w:divBdr>
        <w:top w:val="none" w:sz="0" w:space="0" w:color="auto"/>
        <w:left w:val="none" w:sz="0" w:space="0" w:color="auto"/>
        <w:bottom w:val="none" w:sz="0" w:space="0" w:color="auto"/>
        <w:right w:val="none" w:sz="0" w:space="0" w:color="auto"/>
      </w:divBdr>
      <w:divsChild>
        <w:div w:id="1746102260">
          <w:marLeft w:val="480"/>
          <w:marRight w:val="0"/>
          <w:marTop w:val="0"/>
          <w:marBottom w:val="0"/>
          <w:divBdr>
            <w:top w:val="none" w:sz="0" w:space="0" w:color="auto"/>
            <w:left w:val="none" w:sz="0" w:space="0" w:color="auto"/>
            <w:bottom w:val="none" w:sz="0" w:space="0" w:color="auto"/>
            <w:right w:val="none" w:sz="0" w:space="0" w:color="auto"/>
          </w:divBdr>
          <w:divsChild>
            <w:div w:id="6477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7756">
      <w:bodyDiv w:val="1"/>
      <w:marLeft w:val="0"/>
      <w:marRight w:val="0"/>
      <w:marTop w:val="0"/>
      <w:marBottom w:val="0"/>
      <w:divBdr>
        <w:top w:val="none" w:sz="0" w:space="0" w:color="auto"/>
        <w:left w:val="none" w:sz="0" w:space="0" w:color="auto"/>
        <w:bottom w:val="none" w:sz="0" w:space="0" w:color="auto"/>
        <w:right w:val="none" w:sz="0" w:space="0" w:color="auto"/>
      </w:divBdr>
    </w:div>
    <w:div w:id="363098437">
      <w:bodyDiv w:val="1"/>
      <w:marLeft w:val="0"/>
      <w:marRight w:val="0"/>
      <w:marTop w:val="0"/>
      <w:marBottom w:val="0"/>
      <w:divBdr>
        <w:top w:val="none" w:sz="0" w:space="0" w:color="auto"/>
        <w:left w:val="none" w:sz="0" w:space="0" w:color="auto"/>
        <w:bottom w:val="none" w:sz="0" w:space="0" w:color="auto"/>
        <w:right w:val="none" w:sz="0" w:space="0" w:color="auto"/>
      </w:divBdr>
    </w:div>
    <w:div w:id="365105001">
      <w:bodyDiv w:val="1"/>
      <w:marLeft w:val="0"/>
      <w:marRight w:val="0"/>
      <w:marTop w:val="0"/>
      <w:marBottom w:val="0"/>
      <w:divBdr>
        <w:top w:val="none" w:sz="0" w:space="0" w:color="auto"/>
        <w:left w:val="none" w:sz="0" w:space="0" w:color="auto"/>
        <w:bottom w:val="none" w:sz="0" w:space="0" w:color="auto"/>
        <w:right w:val="none" w:sz="0" w:space="0" w:color="auto"/>
      </w:divBdr>
    </w:div>
    <w:div w:id="375086987">
      <w:bodyDiv w:val="1"/>
      <w:marLeft w:val="0"/>
      <w:marRight w:val="0"/>
      <w:marTop w:val="0"/>
      <w:marBottom w:val="0"/>
      <w:divBdr>
        <w:top w:val="none" w:sz="0" w:space="0" w:color="auto"/>
        <w:left w:val="none" w:sz="0" w:space="0" w:color="auto"/>
        <w:bottom w:val="none" w:sz="0" w:space="0" w:color="auto"/>
        <w:right w:val="none" w:sz="0" w:space="0" w:color="auto"/>
      </w:divBdr>
    </w:div>
    <w:div w:id="450712698">
      <w:bodyDiv w:val="1"/>
      <w:marLeft w:val="0"/>
      <w:marRight w:val="0"/>
      <w:marTop w:val="0"/>
      <w:marBottom w:val="0"/>
      <w:divBdr>
        <w:top w:val="none" w:sz="0" w:space="0" w:color="auto"/>
        <w:left w:val="none" w:sz="0" w:space="0" w:color="auto"/>
        <w:bottom w:val="none" w:sz="0" w:space="0" w:color="auto"/>
        <w:right w:val="none" w:sz="0" w:space="0" w:color="auto"/>
      </w:divBdr>
      <w:divsChild>
        <w:div w:id="2106068029">
          <w:marLeft w:val="480"/>
          <w:marRight w:val="0"/>
          <w:marTop w:val="0"/>
          <w:marBottom w:val="0"/>
          <w:divBdr>
            <w:top w:val="none" w:sz="0" w:space="0" w:color="auto"/>
            <w:left w:val="none" w:sz="0" w:space="0" w:color="auto"/>
            <w:bottom w:val="none" w:sz="0" w:space="0" w:color="auto"/>
            <w:right w:val="none" w:sz="0" w:space="0" w:color="auto"/>
          </w:divBdr>
          <w:divsChild>
            <w:div w:id="7116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8845">
      <w:bodyDiv w:val="1"/>
      <w:marLeft w:val="0"/>
      <w:marRight w:val="0"/>
      <w:marTop w:val="0"/>
      <w:marBottom w:val="0"/>
      <w:divBdr>
        <w:top w:val="none" w:sz="0" w:space="0" w:color="auto"/>
        <w:left w:val="none" w:sz="0" w:space="0" w:color="auto"/>
        <w:bottom w:val="none" w:sz="0" w:space="0" w:color="auto"/>
        <w:right w:val="none" w:sz="0" w:space="0" w:color="auto"/>
      </w:divBdr>
      <w:divsChild>
        <w:div w:id="354497897">
          <w:marLeft w:val="480"/>
          <w:marRight w:val="0"/>
          <w:marTop w:val="0"/>
          <w:marBottom w:val="0"/>
          <w:divBdr>
            <w:top w:val="none" w:sz="0" w:space="0" w:color="auto"/>
            <w:left w:val="none" w:sz="0" w:space="0" w:color="auto"/>
            <w:bottom w:val="none" w:sz="0" w:space="0" w:color="auto"/>
            <w:right w:val="none" w:sz="0" w:space="0" w:color="auto"/>
          </w:divBdr>
          <w:divsChild>
            <w:div w:id="5169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0389">
      <w:bodyDiv w:val="1"/>
      <w:marLeft w:val="0"/>
      <w:marRight w:val="0"/>
      <w:marTop w:val="0"/>
      <w:marBottom w:val="0"/>
      <w:divBdr>
        <w:top w:val="none" w:sz="0" w:space="0" w:color="auto"/>
        <w:left w:val="none" w:sz="0" w:space="0" w:color="auto"/>
        <w:bottom w:val="none" w:sz="0" w:space="0" w:color="auto"/>
        <w:right w:val="none" w:sz="0" w:space="0" w:color="auto"/>
      </w:divBdr>
    </w:div>
    <w:div w:id="504589701">
      <w:bodyDiv w:val="1"/>
      <w:marLeft w:val="0"/>
      <w:marRight w:val="0"/>
      <w:marTop w:val="0"/>
      <w:marBottom w:val="0"/>
      <w:divBdr>
        <w:top w:val="none" w:sz="0" w:space="0" w:color="auto"/>
        <w:left w:val="none" w:sz="0" w:space="0" w:color="auto"/>
        <w:bottom w:val="none" w:sz="0" w:space="0" w:color="auto"/>
        <w:right w:val="none" w:sz="0" w:space="0" w:color="auto"/>
      </w:divBdr>
    </w:div>
    <w:div w:id="576746999">
      <w:bodyDiv w:val="1"/>
      <w:marLeft w:val="0"/>
      <w:marRight w:val="0"/>
      <w:marTop w:val="0"/>
      <w:marBottom w:val="0"/>
      <w:divBdr>
        <w:top w:val="none" w:sz="0" w:space="0" w:color="auto"/>
        <w:left w:val="none" w:sz="0" w:space="0" w:color="auto"/>
        <w:bottom w:val="none" w:sz="0" w:space="0" w:color="auto"/>
        <w:right w:val="none" w:sz="0" w:space="0" w:color="auto"/>
      </w:divBdr>
    </w:div>
    <w:div w:id="583493635">
      <w:bodyDiv w:val="1"/>
      <w:marLeft w:val="0"/>
      <w:marRight w:val="0"/>
      <w:marTop w:val="0"/>
      <w:marBottom w:val="0"/>
      <w:divBdr>
        <w:top w:val="none" w:sz="0" w:space="0" w:color="auto"/>
        <w:left w:val="none" w:sz="0" w:space="0" w:color="auto"/>
        <w:bottom w:val="none" w:sz="0" w:space="0" w:color="auto"/>
        <w:right w:val="none" w:sz="0" w:space="0" w:color="auto"/>
      </w:divBdr>
    </w:div>
    <w:div w:id="586691195">
      <w:bodyDiv w:val="1"/>
      <w:marLeft w:val="0"/>
      <w:marRight w:val="0"/>
      <w:marTop w:val="0"/>
      <w:marBottom w:val="0"/>
      <w:divBdr>
        <w:top w:val="none" w:sz="0" w:space="0" w:color="auto"/>
        <w:left w:val="none" w:sz="0" w:space="0" w:color="auto"/>
        <w:bottom w:val="none" w:sz="0" w:space="0" w:color="auto"/>
        <w:right w:val="none" w:sz="0" w:space="0" w:color="auto"/>
      </w:divBdr>
    </w:div>
    <w:div w:id="586958547">
      <w:bodyDiv w:val="1"/>
      <w:marLeft w:val="0"/>
      <w:marRight w:val="0"/>
      <w:marTop w:val="0"/>
      <w:marBottom w:val="0"/>
      <w:divBdr>
        <w:top w:val="none" w:sz="0" w:space="0" w:color="auto"/>
        <w:left w:val="none" w:sz="0" w:space="0" w:color="auto"/>
        <w:bottom w:val="none" w:sz="0" w:space="0" w:color="auto"/>
        <w:right w:val="none" w:sz="0" w:space="0" w:color="auto"/>
      </w:divBdr>
    </w:div>
    <w:div w:id="607851220">
      <w:bodyDiv w:val="1"/>
      <w:marLeft w:val="0"/>
      <w:marRight w:val="0"/>
      <w:marTop w:val="0"/>
      <w:marBottom w:val="0"/>
      <w:divBdr>
        <w:top w:val="none" w:sz="0" w:space="0" w:color="auto"/>
        <w:left w:val="none" w:sz="0" w:space="0" w:color="auto"/>
        <w:bottom w:val="none" w:sz="0" w:space="0" w:color="auto"/>
        <w:right w:val="none" w:sz="0" w:space="0" w:color="auto"/>
      </w:divBdr>
      <w:divsChild>
        <w:div w:id="2003074024">
          <w:marLeft w:val="480"/>
          <w:marRight w:val="0"/>
          <w:marTop w:val="0"/>
          <w:marBottom w:val="0"/>
          <w:divBdr>
            <w:top w:val="none" w:sz="0" w:space="0" w:color="auto"/>
            <w:left w:val="none" w:sz="0" w:space="0" w:color="auto"/>
            <w:bottom w:val="none" w:sz="0" w:space="0" w:color="auto"/>
            <w:right w:val="none" w:sz="0" w:space="0" w:color="auto"/>
          </w:divBdr>
          <w:divsChild>
            <w:div w:id="7794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60236">
      <w:bodyDiv w:val="1"/>
      <w:marLeft w:val="0"/>
      <w:marRight w:val="0"/>
      <w:marTop w:val="0"/>
      <w:marBottom w:val="0"/>
      <w:divBdr>
        <w:top w:val="none" w:sz="0" w:space="0" w:color="auto"/>
        <w:left w:val="none" w:sz="0" w:space="0" w:color="auto"/>
        <w:bottom w:val="none" w:sz="0" w:space="0" w:color="auto"/>
        <w:right w:val="none" w:sz="0" w:space="0" w:color="auto"/>
      </w:divBdr>
    </w:div>
    <w:div w:id="608508577">
      <w:bodyDiv w:val="1"/>
      <w:marLeft w:val="0"/>
      <w:marRight w:val="0"/>
      <w:marTop w:val="0"/>
      <w:marBottom w:val="0"/>
      <w:divBdr>
        <w:top w:val="none" w:sz="0" w:space="0" w:color="auto"/>
        <w:left w:val="none" w:sz="0" w:space="0" w:color="auto"/>
        <w:bottom w:val="none" w:sz="0" w:space="0" w:color="auto"/>
        <w:right w:val="none" w:sz="0" w:space="0" w:color="auto"/>
      </w:divBdr>
    </w:div>
    <w:div w:id="632760467">
      <w:bodyDiv w:val="1"/>
      <w:marLeft w:val="0"/>
      <w:marRight w:val="0"/>
      <w:marTop w:val="0"/>
      <w:marBottom w:val="0"/>
      <w:divBdr>
        <w:top w:val="none" w:sz="0" w:space="0" w:color="auto"/>
        <w:left w:val="none" w:sz="0" w:space="0" w:color="auto"/>
        <w:bottom w:val="none" w:sz="0" w:space="0" w:color="auto"/>
        <w:right w:val="none" w:sz="0" w:space="0" w:color="auto"/>
      </w:divBdr>
      <w:divsChild>
        <w:div w:id="219483882">
          <w:marLeft w:val="480"/>
          <w:marRight w:val="0"/>
          <w:marTop w:val="0"/>
          <w:marBottom w:val="0"/>
          <w:divBdr>
            <w:top w:val="none" w:sz="0" w:space="0" w:color="auto"/>
            <w:left w:val="none" w:sz="0" w:space="0" w:color="auto"/>
            <w:bottom w:val="none" w:sz="0" w:space="0" w:color="auto"/>
            <w:right w:val="none" w:sz="0" w:space="0" w:color="auto"/>
          </w:divBdr>
          <w:divsChild>
            <w:div w:id="8620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99628">
      <w:bodyDiv w:val="1"/>
      <w:marLeft w:val="0"/>
      <w:marRight w:val="0"/>
      <w:marTop w:val="0"/>
      <w:marBottom w:val="0"/>
      <w:divBdr>
        <w:top w:val="none" w:sz="0" w:space="0" w:color="auto"/>
        <w:left w:val="none" w:sz="0" w:space="0" w:color="auto"/>
        <w:bottom w:val="none" w:sz="0" w:space="0" w:color="auto"/>
        <w:right w:val="none" w:sz="0" w:space="0" w:color="auto"/>
      </w:divBdr>
      <w:divsChild>
        <w:div w:id="302464980">
          <w:marLeft w:val="0"/>
          <w:marRight w:val="0"/>
          <w:marTop w:val="0"/>
          <w:marBottom w:val="0"/>
          <w:divBdr>
            <w:top w:val="none" w:sz="0" w:space="0" w:color="auto"/>
            <w:left w:val="none" w:sz="0" w:space="0" w:color="auto"/>
            <w:bottom w:val="none" w:sz="0" w:space="0" w:color="auto"/>
            <w:right w:val="none" w:sz="0" w:space="0" w:color="auto"/>
          </w:divBdr>
        </w:div>
        <w:div w:id="920722508">
          <w:marLeft w:val="0"/>
          <w:marRight w:val="0"/>
          <w:marTop w:val="0"/>
          <w:marBottom w:val="0"/>
          <w:divBdr>
            <w:top w:val="none" w:sz="0" w:space="0" w:color="auto"/>
            <w:left w:val="none" w:sz="0" w:space="0" w:color="auto"/>
            <w:bottom w:val="none" w:sz="0" w:space="0" w:color="auto"/>
            <w:right w:val="none" w:sz="0" w:space="0" w:color="auto"/>
          </w:divBdr>
        </w:div>
        <w:div w:id="1635792603">
          <w:marLeft w:val="0"/>
          <w:marRight w:val="0"/>
          <w:marTop w:val="0"/>
          <w:marBottom w:val="0"/>
          <w:divBdr>
            <w:top w:val="none" w:sz="0" w:space="0" w:color="auto"/>
            <w:left w:val="none" w:sz="0" w:space="0" w:color="auto"/>
            <w:bottom w:val="none" w:sz="0" w:space="0" w:color="auto"/>
            <w:right w:val="none" w:sz="0" w:space="0" w:color="auto"/>
          </w:divBdr>
        </w:div>
      </w:divsChild>
    </w:div>
    <w:div w:id="651255920">
      <w:bodyDiv w:val="1"/>
      <w:marLeft w:val="0"/>
      <w:marRight w:val="0"/>
      <w:marTop w:val="0"/>
      <w:marBottom w:val="0"/>
      <w:divBdr>
        <w:top w:val="none" w:sz="0" w:space="0" w:color="auto"/>
        <w:left w:val="none" w:sz="0" w:space="0" w:color="auto"/>
        <w:bottom w:val="none" w:sz="0" w:space="0" w:color="auto"/>
        <w:right w:val="none" w:sz="0" w:space="0" w:color="auto"/>
      </w:divBdr>
    </w:div>
    <w:div w:id="665010707">
      <w:bodyDiv w:val="1"/>
      <w:marLeft w:val="0"/>
      <w:marRight w:val="0"/>
      <w:marTop w:val="0"/>
      <w:marBottom w:val="0"/>
      <w:divBdr>
        <w:top w:val="none" w:sz="0" w:space="0" w:color="auto"/>
        <w:left w:val="none" w:sz="0" w:space="0" w:color="auto"/>
        <w:bottom w:val="none" w:sz="0" w:space="0" w:color="auto"/>
        <w:right w:val="none" w:sz="0" w:space="0" w:color="auto"/>
      </w:divBdr>
    </w:div>
    <w:div w:id="669451248">
      <w:bodyDiv w:val="1"/>
      <w:marLeft w:val="0"/>
      <w:marRight w:val="0"/>
      <w:marTop w:val="0"/>
      <w:marBottom w:val="0"/>
      <w:divBdr>
        <w:top w:val="none" w:sz="0" w:space="0" w:color="auto"/>
        <w:left w:val="none" w:sz="0" w:space="0" w:color="auto"/>
        <w:bottom w:val="none" w:sz="0" w:space="0" w:color="auto"/>
        <w:right w:val="none" w:sz="0" w:space="0" w:color="auto"/>
      </w:divBdr>
    </w:div>
    <w:div w:id="692651577">
      <w:bodyDiv w:val="1"/>
      <w:marLeft w:val="0"/>
      <w:marRight w:val="0"/>
      <w:marTop w:val="0"/>
      <w:marBottom w:val="0"/>
      <w:divBdr>
        <w:top w:val="none" w:sz="0" w:space="0" w:color="auto"/>
        <w:left w:val="none" w:sz="0" w:space="0" w:color="auto"/>
        <w:bottom w:val="none" w:sz="0" w:space="0" w:color="auto"/>
        <w:right w:val="none" w:sz="0" w:space="0" w:color="auto"/>
      </w:divBdr>
      <w:divsChild>
        <w:div w:id="631640176">
          <w:marLeft w:val="480"/>
          <w:marRight w:val="0"/>
          <w:marTop w:val="0"/>
          <w:marBottom w:val="0"/>
          <w:divBdr>
            <w:top w:val="none" w:sz="0" w:space="0" w:color="auto"/>
            <w:left w:val="none" w:sz="0" w:space="0" w:color="auto"/>
            <w:bottom w:val="none" w:sz="0" w:space="0" w:color="auto"/>
            <w:right w:val="none" w:sz="0" w:space="0" w:color="auto"/>
          </w:divBdr>
          <w:divsChild>
            <w:div w:id="4278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4935">
      <w:bodyDiv w:val="1"/>
      <w:marLeft w:val="0"/>
      <w:marRight w:val="0"/>
      <w:marTop w:val="0"/>
      <w:marBottom w:val="0"/>
      <w:divBdr>
        <w:top w:val="none" w:sz="0" w:space="0" w:color="auto"/>
        <w:left w:val="none" w:sz="0" w:space="0" w:color="auto"/>
        <w:bottom w:val="none" w:sz="0" w:space="0" w:color="auto"/>
        <w:right w:val="none" w:sz="0" w:space="0" w:color="auto"/>
      </w:divBdr>
    </w:div>
    <w:div w:id="719984662">
      <w:bodyDiv w:val="1"/>
      <w:marLeft w:val="0"/>
      <w:marRight w:val="0"/>
      <w:marTop w:val="0"/>
      <w:marBottom w:val="0"/>
      <w:divBdr>
        <w:top w:val="none" w:sz="0" w:space="0" w:color="auto"/>
        <w:left w:val="none" w:sz="0" w:space="0" w:color="auto"/>
        <w:bottom w:val="none" w:sz="0" w:space="0" w:color="auto"/>
        <w:right w:val="none" w:sz="0" w:space="0" w:color="auto"/>
      </w:divBdr>
    </w:div>
    <w:div w:id="758716767">
      <w:bodyDiv w:val="1"/>
      <w:marLeft w:val="0"/>
      <w:marRight w:val="0"/>
      <w:marTop w:val="0"/>
      <w:marBottom w:val="0"/>
      <w:divBdr>
        <w:top w:val="none" w:sz="0" w:space="0" w:color="auto"/>
        <w:left w:val="none" w:sz="0" w:space="0" w:color="auto"/>
        <w:bottom w:val="none" w:sz="0" w:space="0" w:color="auto"/>
        <w:right w:val="none" w:sz="0" w:space="0" w:color="auto"/>
      </w:divBdr>
    </w:div>
    <w:div w:id="785124523">
      <w:marLeft w:val="0"/>
      <w:marRight w:val="0"/>
      <w:marTop w:val="0"/>
      <w:marBottom w:val="0"/>
      <w:divBdr>
        <w:top w:val="none" w:sz="0" w:space="0" w:color="auto"/>
        <w:left w:val="none" w:sz="0" w:space="0" w:color="auto"/>
        <w:bottom w:val="none" w:sz="0" w:space="0" w:color="auto"/>
        <w:right w:val="none" w:sz="0" w:space="0" w:color="auto"/>
      </w:divBdr>
    </w:div>
    <w:div w:id="817184831">
      <w:bodyDiv w:val="1"/>
      <w:marLeft w:val="0"/>
      <w:marRight w:val="0"/>
      <w:marTop w:val="0"/>
      <w:marBottom w:val="0"/>
      <w:divBdr>
        <w:top w:val="none" w:sz="0" w:space="0" w:color="auto"/>
        <w:left w:val="none" w:sz="0" w:space="0" w:color="auto"/>
        <w:bottom w:val="none" w:sz="0" w:space="0" w:color="auto"/>
        <w:right w:val="none" w:sz="0" w:space="0" w:color="auto"/>
      </w:divBdr>
      <w:divsChild>
        <w:div w:id="775518241">
          <w:marLeft w:val="480"/>
          <w:marRight w:val="0"/>
          <w:marTop w:val="0"/>
          <w:marBottom w:val="0"/>
          <w:divBdr>
            <w:top w:val="none" w:sz="0" w:space="0" w:color="auto"/>
            <w:left w:val="none" w:sz="0" w:space="0" w:color="auto"/>
            <w:bottom w:val="none" w:sz="0" w:space="0" w:color="auto"/>
            <w:right w:val="none" w:sz="0" w:space="0" w:color="auto"/>
          </w:divBdr>
          <w:divsChild>
            <w:div w:id="8917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9525">
      <w:bodyDiv w:val="1"/>
      <w:marLeft w:val="0"/>
      <w:marRight w:val="0"/>
      <w:marTop w:val="0"/>
      <w:marBottom w:val="0"/>
      <w:divBdr>
        <w:top w:val="none" w:sz="0" w:space="0" w:color="auto"/>
        <w:left w:val="none" w:sz="0" w:space="0" w:color="auto"/>
        <w:bottom w:val="none" w:sz="0" w:space="0" w:color="auto"/>
        <w:right w:val="none" w:sz="0" w:space="0" w:color="auto"/>
      </w:divBdr>
    </w:div>
    <w:div w:id="830176900">
      <w:marLeft w:val="0"/>
      <w:marRight w:val="0"/>
      <w:marTop w:val="0"/>
      <w:marBottom w:val="0"/>
      <w:divBdr>
        <w:top w:val="none" w:sz="0" w:space="0" w:color="auto"/>
        <w:left w:val="none" w:sz="0" w:space="0" w:color="auto"/>
        <w:bottom w:val="none" w:sz="0" w:space="0" w:color="auto"/>
        <w:right w:val="none" w:sz="0" w:space="0" w:color="auto"/>
      </w:divBdr>
    </w:div>
    <w:div w:id="857159736">
      <w:bodyDiv w:val="1"/>
      <w:marLeft w:val="0"/>
      <w:marRight w:val="0"/>
      <w:marTop w:val="0"/>
      <w:marBottom w:val="0"/>
      <w:divBdr>
        <w:top w:val="none" w:sz="0" w:space="0" w:color="auto"/>
        <w:left w:val="none" w:sz="0" w:space="0" w:color="auto"/>
        <w:bottom w:val="none" w:sz="0" w:space="0" w:color="auto"/>
        <w:right w:val="none" w:sz="0" w:space="0" w:color="auto"/>
      </w:divBdr>
    </w:div>
    <w:div w:id="857430352">
      <w:bodyDiv w:val="1"/>
      <w:marLeft w:val="0"/>
      <w:marRight w:val="0"/>
      <w:marTop w:val="0"/>
      <w:marBottom w:val="0"/>
      <w:divBdr>
        <w:top w:val="none" w:sz="0" w:space="0" w:color="auto"/>
        <w:left w:val="none" w:sz="0" w:space="0" w:color="auto"/>
        <w:bottom w:val="none" w:sz="0" w:space="0" w:color="auto"/>
        <w:right w:val="none" w:sz="0" w:space="0" w:color="auto"/>
      </w:divBdr>
      <w:divsChild>
        <w:div w:id="1212961963">
          <w:marLeft w:val="480"/>
          <w:marRight w:val="0"/>
          <w:marTop w:val="0"/>
          <w:marBottom w:val="0"/>
          <w:divBdr>
            <w:top w:val="none" w:sz="0" w:space="0" w:color="auto"/>
            <w:left w:val="none" w:sz="0" w:space="0" w:color="auto"/>
            <w:bottom w:val="none" w:sz="0" w:space="0" w:color="auto"/>
            <w:right w:val="none" w:sz="0" w:space="0" w:color="auto"/>
          </w:divBdr>
          <w:divsChild>
            <w:div w:id="16108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1906">
      <w:bodyDiv w:val="1"/>
      <w:marLeft w:val="0"/>
      <w:marRight w:val="0"/>
      <w:marTop w:val="0"/>
      <w:marBottom w:val="0"/>
      <w:divBdr>
        <w:top w:val="none" w:sz="0" w:space="0" w:color="auto"/>
        <w:left w:val="none" w:sz="0" w:space="0" w:color="auto"/>
        <w:bottom w:val="none" w:sz="0" w:space="0" w:color="auto"/>
        <w:right w:val="none" w:sz="0" w:space="0" w:color="auto"/>
      </w:divBdr>
      <w:divsChild>
        <w:div w:id="1471634536">
          <w:marLeft w:val="480"/>
          <w:marRight w:val="0"/>
          <w:marTop w:val="0"/>
          <w:marBottom w:val="0"/>
          <w:divBdr>
            <w:top w:val="none" w:sz="0" w:space="0" w:color="auto"/>
            <w:left w:val="none" w:sz="0" w:space="0" w:color="auto"/>
            <w:bottom w:val="none" w:sz="0" w:space="0" w:color="auto"/>
            <w:right w:val="none" w:sz="0" w:space="0" w:color="auto"/>
          </w:divBdr>
          <w:divsChild>
            <w:div w:id="14440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19633">
      <w:bodyDiv w:val="1"/>
      <w:marLeft w:val="0"/>
      <w:marRight w:val="0"/>
      <w:marTop w:val="0"/>
      <w:marBottom w:val="0"/>
      <w:divBdr>
        <w:top w:val="none" w:sz="0" w:space="0" w:color="auto"/>
        <w:left w:val="none" w:sz="0" w:space="0" w:color="auto"/>
        <w:bottom w:val="none" w:sz="0" w:space="0" w:color="auto"/>
        <w:right w:val="none" w:sz="0" w:space="0" w:color="auto"/>
      </w:divBdr>
    </w:div>
    <w:div w:id="920331500">
      <w:bodyDiv w:val="1"/>
      <w:marLeft w:val="0"/>
      <w:marRight w:val="0"/>
      <w:marTop w:val="0"/>
      <w:marBottom w:val="0"/>
      <w:divBdr>
        <w:top w:val="none" w:sz="0" w:space="0" w:color="auto"/>
        <w:left w:val="none" w:sz="0" w:space="0" w:color="auto"/>
        <w:bottom w:val="none" w:sz="0" w:space="0" w:color="auto"/>
        <w:right w:val="none" w:sz="0" w:space="0" w:color="auto"/>
      </w:divBdr>
    </w:div>
    <w:div w:id="955790147">
      <w:bodyDiv w:val="1"/>
      <w:marLeft w:val="0"/>
      <w:marRight w:val="0"/>
      <w:marTop w:val="0"/>
      <w:marBottom w:val="0"/>
      <w:divBdr>
        <w:top w:val="none" w:sz="0" w:space="0" w:color="auto"/>
        <w:left w:val="none" w:sz="0" w:space="0" w:color="auto"/>
        <w:bottom w:val="none" w:sz="0" w:space="0" w:color="auto"/>
        <w:right w:val="none" w:sz="0" w:space="0" w:color="auto"/>
      </w:divBdr>
      <w:divsChild>
        <w:div w:id="1036735572">
          <w:marLeft w:val="480"/>
          <w:marRight w:val="0"/>
          <w:marTop w:val="0"/>
          <w:marBottom w:val="0"/>
          <w:divBdr>
            <w:top w:val="none" w:sz="0" w:space="0" w:color="auto"/>
            <w:left w:val="none" w:sz="0" w:space="0" w:color="auto"/>
            <w:bottom w:val="none" w:sz="0" w:space="0" w:color="auto"/>
            <w:right w:val="none" w:sz="0" w:space="0" w:color="auto"/>
          </w:divBdr>
          <w:divsChild>
            <w:div w:id="10779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121">
      <w:bodyDiv w:val="1"/>
      <w:marLeft w:val="0"/>
      <w:marRight w:val="0"/>
      <w:marTop w:val="0"/>
      <w:marBottom w:val="0"/>
      <w:divBdr>
        <w:top w:val="none" w:sz="0" w:space="0" w:color="auto"/>
        <w:left w:val="none" w:sz="0" w:space="0" w:color="auto"/>
        <w:bottom w:val="none" w:sz="0" w:space="0" w:color="auto"/>
        <w:right w:val="none" w:sz="0" w:space="0" w:color="auto"/>
      </w:divBdr>
      <w:divsChild>
        <w:div w:id="251816061">
          <w:marLeft w:val="480"/>
          <w:marRight w:val="0"/>
          <w:marTop w:val="0"/>
          <w:marBottom w:val="0"/>
          <w:divBdr>
            <w:top w:val="none" w:sz="0" w:space="0" w:color="auto"/>
            <w:left w:val="none" w:sz="0" w:space="0" w:color="auto"/>
            <w:bottom w:val="none" w:sz="0" w:space="0" w:color="auto"/>
            <w:right w:val="none" w:sz="0" w:space="0" w:color="auto"/>
          </w:divBdr>
          <w:divsChild>
            <w:div w:id="585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3830">
      <w:bodyDiv w:val="1"/>
      <w:marLeft w:val="0"/>
      <w:marRight w:val="0"/>
      <w:marTop w:val="0"/>
      <w:marBottom w:val="0"/>
      <w:divBdr>
        <w:top w:val="none" w:sz="0" w:space="0" w:color="auto"/>
        <w:left w:val="none" w:sz="0" w:space="0" w:color="auto"/>
        <w:bottom w:val="none" w:sz="0" w:space="0" w:color="auto"/>
        <w:right w:val="none" w:sz="0" w:space="0" w:color="auto"/>
      </w:divBdr>
      <w:divsChild>
        <w:div w:id="441653201">
          <w:marLeft w:val="480"/>
          <w:marRight w:val="0"/>
          <w:marTop w:val="0"/>
          <w:marBottom w:val="0"/>
          <w:divBdr>
            <w:top w:val="none" w:sz="0" w:space="0" w:color="auto"/>
            <w:left w:val="none" w:sz="0" w:space="0" w:color="auto"/>
            <w:bottom w:val="none" w:sz="0" w:space="0" w:color="auto"/>
            <w:right w:val="none" w:sz="0" w:space="0" w:color="auto"/>
          </w:divBdr>
          <w:divsChild>
            <w:div w:id="3677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79793">
      <w:bodyDiv w:val="1"/>
      <w:marLeft w:val="0"/>
      <w:marRight w:val="0"/>
      <w:marTop w:val="0"/>
      <w:marBottom w:val="0"/>
      <w:divBdr>
        <w:top w:val="none" w:sz="0" w:space="0" w:color="auto"/>
        <w:left w:val="none" w:sz="0" w:space="0" w:color="auto"/>
        <w:bottom w:val="none" w:sz="0" w:space="0" w:color="auto"/>
        <w:right w:val="none" w:sz="0" w:space="0" w:color="auto"/>
      </w:divBdr>
      <w:divsChild>
        <w:div w:id="1797677785">
          <w:marLeft w:val="480"/>
          <w:marRight w:val="0"/>
          <w:marTop w:val="0"/>
          <w:marBottom w:val="0"/>
          <w:divBdr>
            <w:top w:val="none" w:sz="0" w:space="0" w:color="auto"/>
            <w:left w:val="none" w:sz="0" w:space="0" w:color="auto"/>
            <w:bottom w:val="none" w:sz="0" w:space="0" w:color="auto"/>
            <w:right w:val="none" w:sz="0" w:space="0" w:color="auto"/>
          </w:divBdr>
          <w:divsChild>
            <w:div w:id="20866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3231">
      <w:bodyDiv w:val="1"/>
      <w:marLeft w:val="0"/>
      <w:marRight w:val="0"/>
      <w:marTop w:val="0"/>
      <w:marBottom w:val="0"/>
      <w:divBdr>
        <w:top w:val="none" w:sz="0" w:space="0" w:color="auto"/>
        <w:left w:val="none" w:sz="0" w:space="0" w:color="auto"/>
        <w:bottom w:val="none" w:sz="0" w:space="0" w:color="auto"/>
        <w:right w:val="none" w:sz="0" w:space="0" w:color="auto"/>
      </w:divBdr>
      <w:divsChild>
        <w:div w:id="879704857">
          <w:marLeft w:val="480"/>
          <w:marRight w:val="0"/>
          <w:marTop w:val="0"/>
          <w:marBottom w:val="0"/>
          <w:divBdr>
            <w:top w:val="none" w:sz="0" w:space="0" w:color="auto"/>
            <w:left w:val="none" w:sz="0" w:space="0" w:color="auto"/>
            <w:bottom w:val="none" w:sz="0" w:space="0" w:color="auto"/>
            <w:right w:val="none" w:sz="0" w:space="0" w:color="auto"/>
          </w:divBdr>
          <w:divsChild>
            <w:div w:id="17787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0869">
      <w:bodyDiv w:val="1"/>
      <w:marLeft w:val="0"/>
      <w:marRight w:val="0"/>
      <w:marTop w:val="0"/>
      <w:marBottom w:val="0"/>
      <w:divBdr>
        <w:top w:val="none" w:sz="0" w:space="0" w:color="auto"/>
        <w:left w:val="none" w:sz="0" w:space="0" w:color="auto"/>
        <w:bottom w:val="none" w:sz="0" w:space="0" w:color="auto"/>
        <w:right w:val="none" w:sz="0" w:space="0" w:color="auto"/>
      </w:divBdr>
    </w:div>
    <w:div w:id="1090002489">
      <w:bodyDiv w:val="1"/>
      <w:marLeft w:val="0"/>
      <w:marRight w:val="0"/>
      <w:marTop w:val="0"/>
      <w:marBottom w:val="0"/>
      <w:divBdr>
        <w:top w:val="none" w:sz="0" w:space="0" w:color="auto"/>
        <w:left w:val="none" w:sz="0" w:space="0" w:color="auto"/>
        <w:bottom w:val="none" w:sz="0" w:space="0" w:color="auto"/>
        <w:right w:val="none" w:sz="0" w:space="0" w:color="auto"/>
      </w:divBdr>
    </w:div>
    <w:div w:id="1133451028">
      <w:bodyDiv w:val="1"/>
      <w:marLeft w:val="0"/>
      <w:marRight w:val="0"/>
      <w:marTop w:val="0"/>
      <w:marBottom w:val="0"/>
      <w:divBdr>
        <w:top w:val="none" w:sz="0" w:space="0" w:color="auto"/>
        <w:left w:val="none" w:sz="0" w:space="0" w:color="auto"/>
        <w:bottom w:val="none" w:sz="0" w:space="0" w:color="auto"/>
        <w:right w:val="none" w:sz="0" w:space="0" w:color="auto"/>
      </w:divBdr>
      <w:divsChild>
        <w:div w:id="788206588">
          <w:marLeft w:val="480"/>
          <w:marRight w:val="0"/>
          <w:marTop w:val="0"/>
          <w:marBottom w:val="0"/>
          <w:divBdr>
            <w:top w:val="none" w:sz="0" w:space="0" w:color="auto"/>
            <w:left w:val="none" w:sz="0" w:space="0" w:color="auto"/>
            <w:bottom w:val="none" w:sz="0" w:space="0" w:color="auto"/>
            <w:right w:val="none" w:sz="0" w:space="0" w:color="auto"/>
          </w:divBdr>
          <w:divsChild>
            <w:div w:id="8513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4387">
      <w:bodyDiv w:val="1"/>
      <w:marLeft w:val="0"/>
      <w:marRight w:val="0"/>
      <w:marTop w:val="0"/>
      <w:marBottom w:val="0"/>
      <w:divBdr>
        <w:top w:val="none" w:sz="0" w:space="0" w:color="auto"/>
        <w:left w:val="none" w:sz="0" w:space="0" w:color="auto"/>
        <w:bottom w:val="none" w:sz="0" w:space="0" w:color="auto"/>
        <w:right w:val="none" w:sz="0" w:space="0" w:color="auto"/>
      </w:divBdr>
    </w:div>
    <w:div w:id="1145317087">
      <w:bodyDiv w:val="1"/>
      <w:marLeft w:val="0"/>
      <w:marRight w:val="0"/>
      <w:marTop w:val="0"/>
      <w:marBottom w:val="0"/>
      <w:divBdr>
        <w:top w:val="none" w:sz="0" w:space="0" w:color="auto"/>
        <w:left w:val="none" w:sz="0" w:space="0" w:color="auto"/>
        <w:bottom w:val="none" w:sz="0" w:space="0" w:color="auto"/>
        <w:right w:val="none" w:sz="0" w:space="0" w:color="auto"/>
      </w:divBdr>
    </w:div>
    <w:div w:id="1154028894">
      <w:bodyDiv w:val="1"/>
      <w:marLeft w:val="0"/>
      <w:marRight w:val="0"/>
      <w:marTop w:val="0"/>
      <w:marBottom w:val="0"/>
      <w:divBdr>
        <w:top w:val="none" w:sz="0" w:space="0" w:color="auto"/>
        <w:left w:val="none" w:sz="0" w:space="0" w:color="auto"/>
        <w:bottom w:val="none" w:sz="0" w:space="0" w:color="auto"/>
        <w:right w:val="none" w:sz="0" w:space="0" w:color="auto"/>
      </w:divBdr>
      <w:divsChild>
        <w:div w:id="809785902">
          <w:marLeft w:val="480"/>
          <w:marRight w:val="0"/>
          <w:marTop w:val="0"/>
          <w:marBottom w:val="0"/>
          <w:divBdr>
            <w:top w:val="none" w:sz="0" w:space="0" w:color="auto"/>
            <w:left w:val="none" w:sz="0" w:space="0" w:color="auto"/>
            <w:bottom w:val="none" w:sz="0" w:space="0" w:color="auto"/>
            <w:right w:val="none" w:sz="0" w:space="0" w:color="auto"/>
          </w:divBdr>
          <w:divsChild>
            <w:div w:id="11892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00509">
      <w:bodyDiv w:val="1"/>
      <w:marLeft w:val="0"/>
      <w:marRight w:val="0"/>
      <w:marTop w:val="0"/>
      <w:marBottom w:val="0"/>
      <w:divBdr>
        <w:top w:val="none" w:sz="0" w:space="0" w:color="auto"/>
        <w:left w:val="none" w:sz="0" w:space="0" w:color="auto"/>
        <w:bottom w:val="none" w:sz="0" w:space="0" w:color="auto"/>
        <w:right w:val="none" w:sz="0" w:space="0" w:color="auto"/>
      </w:divBdr>
      <w:divsChild>
        <w:div w:id="1987737276">
          <w:marLeft w:val="480"/>
          <w:marRight w:val="0"/>
          <w:marTop w:val="0"/>
          <w:marBottom w:val="0"/>
          <w:divBdr>
            <w:top w:val="none" w:sz="0" w:space="0" w:color="auto"/>
            <w:left w:val="none" w:sz="0" w:space="0" w:color="auto"/>
            <w:bottom w:val="none" w:sz="0" w:space="0" w:color="auto"/>
            <w:right w:val="none" w:sz="0" w:space="0" w:color="auto"/>
          </w:divBdr>
          <w:divsChild>
            <w:div w:id="143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8103">
      <w:marLeft w:val="0"/>
      <w:marRight w:val="0"/>
      <w:marTop w:val="0"/>
      <w:marBottom w:val="0"/>
      <w:divBdr>
        <w:top w:val="none" w:sz="0" w:space="0" w:color="auto"/>
        <w:left w:val="none" w:sz="0" w:space="0" w:color="auto"/>
        <w:bottom w:val="none" w:sz="0" w:space="0" w:color="auto"/>
        <w:right w:val="none" w:sz="0" w:space="0" w:color="auto"/>
      </w:divBdr>
    </w:div>
    <w:div w:id="1178690148">
      <w:marLeft w:val="0"/>
      <w:marRight w:val="0"/>
      <w:marTop w:val="0"/>
      <w:marBottom w:val="0"/>
      <w:divBdr>
        <w:top w:val="none" w:sz="0" w:space="0" w:color="auto"/>
        <w:left w:val="none" w:sz="0" w:space="0" w:color="auto"/>
        <w:bottom w:val="none" w:sz="0" w:space="0" w:color="auto"/>
        <w:right w:val="none" w:sz="0" w:space="0" w:color="auto"/>
      </w:divBdr>
    </w:div>
    <w:div w:id="1217088250">
      <w:bodyDiv w:val="1"/>
      <w:marLeft w:val="0"/>
      <w:marRight w:val="0"/>
      <w:marTop w:val="0"/>
      <w:marBottom w:val="0"/>
      <w:divBdr>
        <w:top w:val="none" w:sz="0" w:space="0" w:color="auto"/>
        <w:left w:val="none" w:sz="0" w:space="0" w:color="auto"/>
        <w:bottom w:val="none" w:sz="0" w:space="0" w:color="auto"/>
        <w:right w:val="none" w:sz="0" w:space="0" w:color="auto"/>
      </w:divBdr>
      <w:divsChild>
        <w:div w:id="1943605982">
          <w:marLeft w:val="0"/>
          <w:marRight w:val="0"/>
          <w:marTop w:val="0"/>
          <w:marBottom w:val="0"/>
          <w:divBdr>
            <w:top w:val="none" w:sz="0" w:space="0" w:color="auto"/>
            <w:left w:val="none" w:sz="0" w:space="0" w:color="auto"/>
            <w:bottom w:val="none" w:sz="0" w:space="0" w:color="auto"/>
            <w:right w:val="none" w:sz="0" w:space="0" w:color="auto"/>
          </w:divBdr>
        </w:div>
      </w:divsChild>
    </w:div>
    <w:div w:id="1260987160">
      <w:bodyDiv w:val="1"/>
      <w:marLeft w:val="0"/>
      <w:marRight w:val="0"/>
      <w:marTop w:val="0"/>
      <w:marBottom w:val="0"/>
      <w:divBdr>
        <w:top w:val="none" w:sz="0" w:space="0" w:color="auto"/>
        <w:left w:val="none" w:sz="0" w:space="0" w:color="auto"/>
        <w:bottom w:val="none" w:sz="0" w:space="0" w:color="auto"/>
        <w:right w:val="none" w:sz="0" w:space="0" w:color="auto"/>
      </w:divBdr>
    </w:div>
    <w:div w:id="1274552003">
      <w:bodyDiv w:val="1"/>
      <w:marLeft w:val="0"/>
      <w:marRight w:val="0"/>
      <w:marTop w:val="0"/>
      <w:marBottom w:val="0"/>
      <w:divBdr>
        <w:top w:val="none" w:sz="0" w:space="0" w:color="auto"/>
        <w:left w:val="none" w:sz="0" w:space="0" w:color="auto"/>
        <w:bottom w:val="none" w:sz="0" w:space="0" w:color="auto"/>
        <w:right w:val="none" w:sz="0" w:space="0" w:color="auto"/>
      </w:divBdr>
    </w:div>
    <w:div w:id="1282763913">
      <w:bodyDiv w:val="1"/>
      <w:marLeft w:val="0"/>
      <w:marRight w:val="0"/>
      <w:marTop w:val="0"/>
      <w:marBottom w:val="0"/>
      <w:divBdr>
        <w:top w:val="none" w:sz="0" w:space="0" w:color="auto"/>
        <w:left w:val="none" w:sz="0" w:space="0" w:color="auto"/>
        <w:bottom w:val="none" w:sz="0" w:space="0" w:color="auto"/>
        <w:right w:val="none" w:sz="0" w:space="0" w:color="auto"/>
      </w:divBdr>
      <w:divsChild>
        <w:div w:id="1878541759">
          <w:marLeft w:val="480"/>
          <w:marRight w:val="0"/>
          <w:marTop w:val="0"/>
          <w:marBottom w:val="0"/>
          <w:divBdr>
            <w:top w:val="none" w:sz="0" w:space="0" w:color="auto"/>
            <w:left w:val="none" w:sz="0" w:space="0" w:color="auto"/>
            <w:bottom w:val="none" w:sz="0" w:space="0" w:color="auto"/>
            <w:right w:val="none" w:sz="0" w:space="0" w:color="auto"/>
          </w:divBdr>
          <w:divsChild>
            <w:div w:id="20128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3720">
      <w:bodyDiv w:val="1"/>
      <w:marLeft w:val="0"/>
      <w:marRight w:val="0"/>
      <w:marTop w:val="0"/>
      <w:marBottom w:val="0"/>
      <w:divBdr>
        <w:top w:val="none" w:sz="0" w:space="0" w:color="auto"/>
        <w:left w:val="none" w:sz="0" w:space="0" w:color="auto"/>
        <w:bottom w:val="none" w:sz="0" w:space="0" w:color="auto"/>
        <w:right w:val="none" w:sz="0" w:space="0" w:color="auto"/>
      </w:divBdr>
    </w:div>
    <w:div w:id="1336151598">
      <w:bodyDiv w:val="1"/>
      <w:marLeft w:val="0"/>
      <w:marRight w:val="0"/>
      <w:marTop w:val="0"/>
      <w:marBottom w:val="0"/>
      <w:divBdr>
        <w:top w:val="none" w:sz="0" w:space="0" w:color="auto"/>
        <w:left w:val="none" w:sz="0" w:space="0" w:color="auto"/>
        <w:bottom w:val="none" w:sz="0" w:space="0" w:color="auto"/>
        <w:right w:val="none" w:sz="0" w:space="0" w:color="auto"/>
      </w:divBdr>
      <w:divsChild>
        <w:div w:id="22873844">
          <w:marLeft w:val="480"/>
          <w:marRight w:val="0"/>
          <w:marTop w:val="0"/>
          <w:marBottom w:val="0"/>
          <w:divBdr>
            <w:top w:val="none" w:sz="0" w:space="0" w:color="auto"/>
            <w:left w:val="none" w:sz="0" w:space="0" w:color="auto"/>
            <w:bottom w:val="none" w:sz="0" w:space="0" w:color="auto"/>
            <w:right w:val="none" w:sz="0" w:space="0" w:color="auto"/>
          </w:divBdr>
          <w:divsChild>
            <w:div w:id="1706886">
              <w:marLeft w:val="0"/>
              <w:marRight w:val="0"/>
              <w:marTop w:val="0"/>
              <w:marBottom w:val="0"/>
              <w:divBdr>
                <w:top w:val="none" w:sz="0" w:space="0" w:color="auto"/>
                <w:left w:val="none" w:sz="0" w:space="0" w:color="auto"/>
                <w:bottom w:val="none" w:sz="0" w:space="0" w:color="auto"/>
                <w:right w:val="none" w:sz="0" w:space="0" w:color="auto"/>
              </w:divBdr>
            </w:div>
            <w:div w:id="56977165">
              <w:marLeft w:val="0"/>
              <w:marRight w:val="0"/>
              <w:marTop w:val="0"/>
              <w:marBottom w:val="0"/>
              <w:divBdr>
                <w:top w:val="none" w:sz="0" w:space="0" w:color="auto"/>
                <w:left w:val="none" w:sz="0" w:space="0" w:color="auto"/>
                <w:bottom w:val="none" w:sz="0" w:space="0" w:color="auto"/>
                <w:right w:val="none" w:sz="0" w:space="0" w:color="auto"/>
              </w:divBdr>
            </w:div>
            <w:div w:id="82074006">
              <w:marLeft w:val="0"/>
              <w:marRight w:val="0"/>
              <w:marTop w:val="0"/>
              <w:marBottom w:val="0"/>
              <w:divBdr>
                <w:top w:val="none" w:sz="0" w:space="0" w:color="auto"/>
                <w:left w:val="none" w:sz="0" w:space="0" w:color="auto"/>
                <w:bottom w:val="none" w:sz="0" w:space="0" w:color="auto"/>
                <w:right w:val="none" w:sz="0" w:space="0" w:color="auto"/>
              </w:divBdr>
            </w:div>
            <w:div w:id="94714100">
              <w:marLeft w:val="0"/>
              <w:marRight w:val="0"/>
              <w:marTop w:val="0"/>
              <w:marBottom w:val="0"/>
              <w:divBdr>
                <w:top w:val="none" w:sz="0" w:space="0" w:color="auto"/>
                <w:left w:val="none" w:sz="0" w:space="0" w:color="auto"/>
                <w:bottom w:val="none" w:sz="0" w:space="0" w:color="auto"/>
                <w:right w:val="none" w:sz="0" w:space="0" w:color="auto"/>
              </w:divBdr>
            </w:div>
            <w:div w:id="101580875">
              <w:marLeft w:val="0"/>
              <w:marRight w:val="0"/>
              <w:marTop w:val="0"/>
              <w:marBottom w:val="0"/>
              <w:divBdr>
                <w:top w:val="none" w:sz="0" w:space="0" w:color="auto"/>
                <w:left w:val="none" w:sz="0" w:space="0" w:color="auto"/>
                <w:bottom w:val="none" w:sz="0" w:space="0" w:color="auto"/>
                <w:right w:val="none" w:sz="0" w:space="0" w:color="auto"/>
              </w:divBdr>
            </w:div>
            <w:div w:id="118765398">
              <w:marLeft w:val="0"/>
              <w:marRight w:val="0"/>
              <w:marTop w:val="0"/>
              <w:marBottom w:val="0"/>
              <w:divBdr>
                <w:top w:val="none" w:sz="0" w:space="0" w:color="auto"/>
                <w:left w:val="none" w:sz="0" w:space="0" w:color="auto"/>
                <w:bottom w:val="none" w:sz="0" w:space="0" w:color="auto"/>
                <w:right w:val="none" w:sz="0" w:space="0" w:color="auto"/>
              </w:divBdr>
            </w:div>
            <w:div w:id="136996169">
              <w:marLeft w:val="0"/>
              <w:marRight w:val="0"/>
              <w:marTop w:val="0"/>
              <w:marBottom w:val="0"/>
              <w:divBdr>
                <w:top w:val="none" w:sz="0" w:space="0" w:color="auto"/>
                <w:left w:val="none" w:sz="0" w:space="0" w:color="auto"/>
                <w:bottom w:val="none" w:sz="0" w:space="0" w:color="auto"/>
                <w:right w:val="none" w:sz="0" w:space="0" w:color="auto"/>
              </w:divBdr>
            </w:div>
            <w:div w:id="187376004">
              <w:marLeft w:val="0"/>
              <w:marRight w:val="0"/>
              <w:marTop w:val="0"/>
              <w:marBottom w:val="0"/>
              <w:divBdr>
                <w:top w:val="none" w:sz="0" w:space="0" w:color="auto"/>
                <w:left w:val="none" w:sz="0" w:space="0" w:color="auto"/>
                <w:bottom w:val="none" w:sz="0" w:space="0" w:color="auto"/>
                <w:right w:val="none" w:sz="0" w:space="0" w:color="auto"/>
              </w:divBdr>
            </w:div>
            <w:div w:id="205534343">
              <w:marLeft w:val="0"/>
              <w:marRight w:val="0"/>
              <w:marTop w:val="0"/>
              <w:marBottom w:val="0"/>
              <w:divBdr>
                <w:top w:val="none" w:sz="0" w:space="0" w:color="auto"/>
                <w:left w:val="none" w:sz="0" w:space="0" w:color="auto"/>
                <w:bottom w:val="none" w:sz="0" w:space="0" w:color="auto"/>
                <w:right w:val="none" w:sz="0" w:space="0" w:color="auto"/>
              </w:divBdr>
            </w:div>
            <w:div w:id="250823751">
              <w:marLeft w:val="0"/>
              <w:marRight w:val="0"/>
              <w:marTop w:val="0"/>
              <w:marBottom w:val="0"/>
              <w:divBdr>
                <w:top w:val="none" w:sz="0" w:space="0" w:color="auto"/>
                <w:left w:val="none" w:sz="0" w:space="0" w:color="auto"/>
                <w:bottom w:val="none" w:sz="0" w:space="0" w:color="auto"/>
                <w:right w:val="none" w:sz="0" w:space="0" w:color="auto"/>
              </w:divBdr>
            </w:div>
            <w:div w:id="332268079">
              <w:marLeft w:val="0"/>
              <w:marRight w:val="0"/>
              <w:marTop w:val="0"/>
              <w:marBottom w:val="0"/>
              <w:divBdr>
                <w:top w:val="none" w:sz="0" w:space="0" w:color="auto"/>
                <w:left w:val="none" w:sz="0" w:space="0" w:color="auto"/>
                <w:bottom w:val="none" w:sz="0" w:space="0" w:color="auto"/>
                <w:right w:val="none" w:sz="0" w:space="0" w:color="auto"/>
              </w:divBdr>
            </w:div>
            <w:div w:id="340740273">
              <w:marLeft w:val="0"/>
              <w:marRight w:val="0"/>
              <w:marTop w:val="0"/>
              <w:marBottom w:val="0"/>
              <w:divBdr>
                <w:top w:val="none" w:sz="0" w:space="0" w:color="auto"/>
                <w:left w:val="none" w:sz="0" w:space="0" w:color="auto"/>
                <w:bottom w:val="none" w:sz="0" w:space="0" w:color="auto"/>
                <w:right w:val="none" w:sz="0" w:space="0" w:color="auto"/>
              </w:divBdr>
            </w:div>
            <w:div w:id="393049084">
              <w:marLeft w:val="0"/>
              <w:marRight w:val="0"/>
              <w:marTop w:val="0"/>
              <w:marBottom w:val="0"/>
              <w:divBdr>
                <w:top w:val="none" w:sz="0" w:space="0" w:color="auto"/>
                <w:left w:val="none" w:sz="0" w:space="0" w:color="auto"/>
                <w:bottom w:val="none" w:sz="0" w:space="0" w:color="auto"/>
                <w:right w:val="none" w:sz="0" w:space="0" w:color="auto"/>
              </w:divBdr>
            </w:div>
            <w:div w:id="435945694">
              <w:marLeft w:val="0"/>
              <w:marRight w:val="0"/>
              <w:marTop w:val="0"/>
              <w:marBottom w:val="0"/>
              <w:divBdr>
                <w:top w:val="none" w:sz="0" w:space="0" w:color="auto"/>
                <w:left w:val="none" w:sz="0" w:space="0" w:color="auto"/>
                <w:bottom w:val="none" w:sz="0" w:space="0" w:color="auto"/>
                <w:right w:val="none" w:sz="0" w:space="0" w:color="auto"/>
              </w:divBdr>
            </w:div>
            <w:div w:id="527835889">
              <w:marLeft w:val="0"/>
              <w:marRight w:val="0"/>
              <w:marTop w:val="0"/>
              <w:marBottom w:val="0"/>
              <w:divBdr>
                <w:top w:val="none" w:sz="0" w:space="0" w:color="auto"/>
                <w:left w:val="none" w:sz="0" w:space="0" w:color="auto"/>
                <w:bottom w:val="none" w:sz="0" w:space="0" w:color="auto"/>
                <w:right w:val="none" w:sz="0" w:space="0" w:color="auto"/>
              </w:divBdr>
            </w:div>
            <w:div w:id="537815965">
              <w:marLeft w:val="0"/>
              <w:marRight w:val="0"/>
              <w:marTop w:val="0"/>
              <w:marBottom w:val="0"/>
              <w:divBdr>
                <w:top w:val="none" w:sz="0" w:space="0" w:color="auto"/>
                <w:left w:val="none" w:sz="0" w:space="0" w:color="auto"/>
                <w:bottom w:val="none" w:sz="0" w:space="0" w:color="auto"/>
                <w:right w:val="none" w:sz="0" w:space="0" w:color="auto"/>
              </w:divBdr>
            </w:div>
            <w:div w:id="552039442">
              <w:marLeft w:val="0"/>
              <w:marRight w:val="0"/>
              <w:marTop w:val="0"/>
              <w:marBottom w:val="0"/>
              <w:divBdr>
                <w:top w:val="none" w:sz="0" w:space="0" w:color="auto"/>
                <w:left w:val="none" w:sz="0" w:space="0" w:color="auto"/>
                <w:bottom w:val="none" w:sz="0" w:space="0" w:color="auto"/>
                <w:right w:val="none" w:sz="0" w:space="0" w:color="auto"/>
              </w:divBdr>
            </w:div>
            <w:div w:id="569314478">
              <w:marLeft w:val="0"/>
              <w:marRight w:val="0"/>
              <w:marTop w:val="0"/>
              <w:marBottom w:val="0"/>
              <w:divBdr>
                <w:top w:val="none" w:sz="0" w:space="0" w:color="auto"/>
                <w:left w:val="none" w:sz="0" w:space="0" w:color="auto"/>
                <w:bottom w:val="none" w:sz="0" w:space="0" w:color="auto"/>
                <w:right w:val="none" w:sz="0" w:space="0" w:color="auto"/>
              </w:divBdr>
            </w:div>
            <w:div w:id="603390024">
              <w:marLeft w:val="0"/>
              <w:marRight w:val="0"/>
              <w:marTop w:val="0"/>
              <w:marBottom w:val="0"/>
              <w:divBdr>
                <w:top w:val="none" w:sz="0" w:space="0" w:color="auto"/>
                <w:left w:val="none" w:sz="0" w:space="0" w:color="auto"/>
                <w:bottom w:val="none" w:sz="0" w:space="0" w:color="auto"/>
                <w:right w:val="none" w:sz="0" w:space="0" w:color="auto"/>
              </w:divBdr>
            </w:div>
            <w:div w:id="623081780">
              <w:marLeft w:val="0"/>
              <w:marRight w:val="0"/>
              <w:marTop w:val="0"/>
              <w:marBottom w:val="0"/>
              <w:divBdr>
                <w:top w:val="none" w:sz="0" w:space="0" w:color="auto"/>
                <w:left w:val="none" w:sz="0" w:space="0" w:color="auto"/>
                <w:bottom w:val="none" w:sz="0" w:space="0" w:color="auto"/>
                <w:right w:val="none" w:sz="0" w:space="0" w:color="auto"/>
              </w:divBdr>
            </w:div>
            <w:div w:id="649292786">
              <w:marLeft w:val="0"/>
              <w:marRight w:val="0"/>
              <w:marTop w:val="0"/>
              <w:marBottom w:val="0"/>
              <w:divBdr>
                <w:top w:val="none" w:sz="0" w:space="0" w:color="auto"/>
                <w:left w:val="none" w:sz="0" w:space="0" w:color="auto"/>
                <w:bottom w:val="none" w:sz="0" w:space="0" w:color="auto"/>
                <w:right w:val="none" w:sz="0" w:space="0" w:color="auto"/>
              </w:divBdr>
            </w:div>
            <w:div w:id="654188083">
              <w:marLeft w:val="0"/>
              <w:marRight w:val="0"/>
              <w:marTop w:val="0"/>
              <w:marBottom w:val="0"/>
              <w:divBdr>
                <w:top w:val="none" w:sz="0" w:space="0" w:color="auto"/>
                <w:left w:val="none" w:sz="0" w:space="0" w:color="auto"/>
                <w:bottom w:val="none" w:sz="0" w:space="0" w:color="auto"/>
                <w:right w:val="none" w:sz="0" w:space="0" w:color="auto"/>
              </w:divBdr>
            </w:div>
            <w:div w:id="658655263">
              <w:marLeft w:val="0"/>
              <w:marRight w:val="0"/>
              <w:marTop w:val="0"/>
              <w:marBottom w:val="0"/>
              <w:divBdr>
                <w:top w:val="none" w:sz="0" w:space="0" w:color="auto"/>
                <w:left w:val="none" w:sz="0" w:space="0" w:color="auto"/>
                <w:bottom w:val="none" w:sz="0" w:space="0" w:color="auto"/>
                <w:right w:val="none" w:sz="0" w:space="0" w:color="auto"/>
              </w:divBdr>
            </w:div>
            <w:div w:id="661473188">
              <w:marLeft w:val="0"/>
              <w:marRight w:val="0"/>
              <w:marTop w:val="0"/>
              <w:marBottom w:val="0"/>
              <w:divBdr>
                <w:top w:val="none" w:sz="0" w:space="0" w:color="auto"/>
                <w:left w:val="none" w:sz="0" w:space="0" w:color="auto"/>
                <w:bottom w:val="none" w:sz="0" w:space="0" w:color="auto"/>
                <w:right w:val="none" w:sz="0" w:space="0" w:color="auto"/>
              </w:divBdr>
            </w:div>
            <w:div w:id="722368947">
              <w:marLeft w:val="0"/>
              <w:marRight w:val="0"/>
              <w:marTop w:val="0"/>
              <w:marBottom w:val="0"/>
              <w:divBdr>
                <w:top w:val="none" w:sz="0" w:space="0" w:color="auto"/>
                <w:left w:val="none" w:sz="0" w:space="0" w:color="auto"/>
                <w:bottom w:val="none" w:sz="0" w:space="0" w:color="auto"/>
                <w:right w:val="none" w:sz="0" w:space="0" w:color="auto"/>
              </w:divBdr>
            </w:div>
            <w:div w:id="725109789">
              <w:marLeft w:val="0"/>
              <w:marRight w:val="0"/>
              <w:marTop w:val="0"/>
              <w:marBottom w:val="0"/>
              <w:divBdr>
                <w:top w:val="none" w:sz="0" w:space="0" w:color="auto"/>
                <w:left w:val="none" w:sz="0" w:space="0" w:color="auto"/>
                <w:bottom w:val="none" w:sz="0" w:space="0" w:color="auto"/>
                <w:right w:val="none" w:sz="0" w:space="0" w:color="auto"/>
              </w:divBdr>
            </w:div>
            <w:div w:id="776677670">
              <w:marLeft w:val="0"/>
              <w:marRight w:val="0"/>
              <w:marTop w:val="0"/>
              <w:marBottom w:val="0"/>
              <w:divBdr>
                <w:top w:val="none" w:sz="0" w:space="0" w:color="auto"/>
                <w:left w:val="none" w:sz="0" w:space="0" w:color="auto"/>
                <w:bottom w:val="none" w:sz="0" w:space="0" w:color="auto"/>
                <w:right w:val="none" w:sz="0" w:space="0" w:color="auto"/>
              </w:divBdr>
            </w:div>
            <w:div w:id="777604129">
              <w:marLeft w:val="0"/>
              <w:marRight w:val="0"/>
              <w:marTop w:val="0"/>
              <w:marBottom w:val="0"/>
              <w:divBdr>
                <w:top w:val="none" w:sz="0" w:space="0" w:color="auto"/>
                <w:left w:val="none" w:sz="0" w:space="0" w:color="auto"/>
                <w:bottom w:val="none" w:sz="0" w:space="0" w:color="auto"/>
                <w:right w:val="none" w:sz="0" w:space="0" w:color="auto"/>
              </w:divBdr>
            </w:div>
            <w:div w:id="812209960">
              <w:marLeft w:val="0"/>
              <w:marRight w:val="0"/>
              <w:marTop w:val="0"/>
              <w:marBottom w:val="0"/>
              <w:divBdr>
                <w:top w:val="none" w:sz="0" w:space="0" w:color="auto"/>
                <w:left w:val="none" w:sz="0" w:space="0" w:color="auto"/>
                <w:bottom w:val="none" w:sz="0" w:space="0" w:color="auto"/>
                <w:right w:val="none" w:sz="0" w:space="0" w:color="auto"/>
              </w:divBdr>
            </w:div>
            <w:div w:id="825166778">
              <w:marLeft w:val="0"/>
              <w:marRight w:val="0"/>
              <w:marTop w:val="0"/>
              <w:marBottom w:val="0"/>
              <w:divBdr>
                <w:top w:val="none" w:sz="0" w:space="0" w:color="auto"/>
                <w:left w:val="none" w:sz="0" w:space="0" w:color="auto"/>
                <w:bottom w:val="none" w:sz="0" w:space="0" w:color="auto"/>
                <w:right w:val="none" w:sz="0" w:space="0" w:color="auto"/>
              </w:divBdr>
            </w:div>
            <w:div w:id="838426087">
              <w:marLeft w:val="0"/>
              <w:marRight w:val="0"/>
              <w:marTop w:val="0"/>
              <w:marBottom w:val="0"/>
              <w:divBdr>
                <w:top w:val="none" w:sz="0" w:space="0" w:color="auto"/>
                <w:left w:val="none" w:sz="0" w:space="0" w:color="auto"/>
                <w:bottom w:val="none" w:sz="0" w:space="0" w:color="auto"/>
                <w:right w:val="none" w:sz="0" w:space="0" w:color="auto"/>
              </w:divBdr>
            </w:div>
            <w:div w:id="874316154">
              <w:marLeft w:val="0"/>
              <w:marRight w:val="0"/>
              <w:marTop w:val="0"/>
              <w:marBottom w:val="0"/>
              <w:divBdr>
                <w:top w:val="none" w:sz="0" w:space="0" w:color="auto"/>
                <w:left w:val="none" w:sz="0" w:space="0" w:color="auto"/>
                <w:bottom w:val="none" w:sz="0" w:space="0" w:color="auto"/>
                <w:right w:val="none" w:sz="0" w:space="0" w:color="auto"/>
              </w:divBdr>
            </w:div>
            <w:div w:id="894195348">
              <w:marLeft w:val="0"/>
              <w:marRight w:val="0"/>
              <w:marTop w:val="0"/>
              <w:marBottom w:val="0"/>
              <w:divBdr>
                <w:top w:val="none" w:sz="0" w:space="0" w:color="auto"/>
                <w:left w:val="none" w:sz="0" w:space="0" w:color="auto"/>
                <w:bottom w:val="none" w:sz="0" w:space="0" w:color="auto"/>
                <w:right w:val="none" w:sz="0" w:space="0" w:color="auto"/>
              </w:divBdr>
            </w:div>
            <w:div w:id="981886283">
              <w:marLeft w:val="0"/>
              <w:marRight w:val="0"/>
              <w:marTop w:val="0"/>
              <w:marBottom w:val="0"/>
              <w:divBdr>
                <w:top w:val="none" w:sz="0" w:space="0" w:color="auto"/>
                <w:left w:val="none" w:sz="0" w:space="0" w:color="auto"/>
                <w:bottom w:val="none" w:sz="0" w:space="0" w:color="auto"/>
                <w:right w:val="none" w:sz="0" w:space="0" w:color="auto"/>
              </w:divBdr>
            </w:div>
            <w:div w:id="1007639368">
              <w:marLeft w:val="0"/>
              <w:marRight w:val="0"/>
              <w:marTop w:val="0"/>
              <w:marBottom w:val="0"/>
              <w:divBdr>
                <w:top w:val="none" w:sz="0" w:space="0" w:color="auto"/>
                <w:left w:val="none" w:sz="0" w:space="0" w:color="auto"/>
                <w:bottom w:val="none" w:sz="0" w:space="0" w:color="auto"/>
                <w:right w:val="none" w:sz="0" w:space="0" w:color="auto"/>
              </w:divBdr>
            </w:div>
            <w:div w:id="1009723489">
              <w:marLeft w:val="0"/>
              <w:marRight w:val="0"/>
              <w:marTop w:val="0"/>
              <w:marBottom w:val="0"/>
              <w:divBdr>
                <w:top w:val="none" w:sz="0" w:space="0" w:color="auto"/>
                <w:left w:val="none" w:sz="0" w:space="0" w:color="auto"/>
                <w:bottom w:val="none" w:sz="0" w:space="0" w:color="auto"/>
                <w:right w:val="none" w:sz="0" w:space="0" w:color="auto"/>
              </w:divBdr>
            </w:div>
            <w:div w:id="1032266822">
              <w:marLeft w:val="0"/>
              <w:marRight w:val="0"/>
              <w:marTop w:val="0"/>
              <w:marBottom w:val="0"/>
              <w:divBdr>
                <w:top w:val="none" w:sz="0" w:space="0" w:color="auto"/>
                <w:left w:val="none" w:sz="0" w:space="0" w:color="auto"/>
                <w:bottom w:val="none" w:sz="0" w:space="0" w:color="auto"/>
                <w:right w:val="none" w:sz="0" w:space="0" w:color="auto"/>
              </w:divBdr>
            </w:div>
            <w:div w:id="1064109372">
              <w:marLeft w:val="0"/>
              <w:marRight w:val="0"/>
              <w:marTop w:val="0"/>
              <w:marBottom w:val="0"/>
              <w:divBdr>
                <w:top w:val="none" w:sz="0" w:space="0" w:color="auto"/>
                <w:left w:val="none" w:sz="0" w:space="0" w:color="auto"/>
                <w:bottom w:val="none" w:sz="0" w:space="0" w:color="auto"/>
                <w:right w:val="none" w:sz="0" w:space="0" w:color="auto"/>
              </w:divBdr>
            </w:div>
            <w:div w:id="1149513513">
              <w:marLeft w:val="0"/>
              <w:marRight w:val="0"/>
              <w:marTop w:val="0"/>
              <w:marBottom w:val="0"/>
              <w:divBdr>
                <w:top w:val="none" w:sz="0" w:space="0" w:color="auto"/>
                <w:left w:val="none" w:sz="0" w:space="0" w:color="auto"/>
                <w:bottom w:val="none" w:sz="0" w:space="0" w:color="auto"/>
                <w:right w:val="none" w:sz="0" w:space="0" w:color="auto"/>
              </w:divBdr>
            </w:div>
            <w:div w:id="1287663574">
              <w:marLeft w:val="0"/>
              <w:marRight w:val="0"/>
              <w:marTop w:val="0"/>
              <w:marBottom w:val="0"/>
              <w:divBdr>
                <w:top w:val="none" w:sz="0" w:space="0" w:color="auto"/>
                <w:left w:val="none" w:sz="0" w:space="0" w:color="auto"/>
                <w:bottom w:val="none" w:sz="0" w:space="0" w:color="auto"/>
                <w:right w:val="none" w:sz="0" w:space="0" w:color="auto"/>
              </w:divBdr>
            </w:div>
            <w:div w:id="1288858780">
              <w:marLeft w:val="0"/>
              <w:marRight w:val="0"/>
              <w:marTop w:val="0"/>
              <w:marBottom w:val="0"/>
              <w:divBdr>
                <w:top w:val="none" w:sz="0" w:space="0" w:color="auto"/>
                <w:left w:val="none" w:sz="0" w:space="0" w:color="auto"/>
                <w:bottom w:val="none" w:sz="0" w:space="0" w:color="auto"/>
                <w:right w:val="none" w:sz="0" w:space="0" w:color="auto"/>
              </w:divBdr>
            </w:div>
            <w:div w:id="1371807266">
              <w:marLeft w:val="0"/>
              <w:marRight w:val="0"/>
              <w:marTop w:val="0"/>
              <w:marBottom w:val="0"/>
              <w:divBdr>
                <w:top w:val="none" w:sz="0" w:space="0" w:color="auto"/>
                <w:left w:val="none" w:sz="0" w:space="0" w:color="auto"/>
                <w:bottom w:val="none" w:sz="0" w:space="0" w:color="auto"/>
                <w:right w:val="none" w:sz="0" w:space="0" w:color="auto"/>
              </w:divBdr>
            </w:div>
            <w:div w:id="1420181195">
              <w:marLeft w:val="0"/>
              <w:marRight w:val="0"/>
              <w:marTop w:val="0"/>
              <w:marBottom w:val="0"/>
              <w:divBdr>
                <w:top w:val="none" w:sz="0" w:space="0" w:color="auto"/>
                <w:left w:val="none" w:sz="0" w:space="0" w:color="auto"/>
                <w:bottom w:val="none" w:sz="0" w:space="0" w:color="auto"/>
                <w:right w:val="none" w:sz="0" w:space="0" w:color="auto"/>
              </w:divBdr>
            </w:div>
            <w:div w:id="1438526337">
              <w:marLeft w:val="0"/>
              <w:marRight w:val="0"/>
              <w:marTop w:val="0"/>
              <w:marBottom w:val="0"/>
              <w:divBdr>
                <w:top w:val="none" w:sz="0" w:space="0" w:color="auto"/>
                <w:left w:val="none" w:sz="0" w:space="0" w:color="auto"/>
                <w:bottom w:val="none" w:sz="0" w:space="0" w:color="auto"/>
                <w:right w:val="none" w:sz="0" w:space="0" w:color="auto"/>
              </w:divBdr>
            </w:div>
            <w:div w:id="1453327523">
              <w:marLeft w:val="0"/>
              <w:marRight w:val="0"/>
              <w:marTop w:val="0"/>
              <w:marBottom w:val="0"/>
              <w:divBdr>
                <w:top w:val="none" w:sz="0" w:space="0" w:color="auto"/>
                <w:left w:val="none" w:sz="0" w:space="0" w:color="auto"/>
                <w:bottom w:val="none" w:sz="0" w:space="0" w:color="auto"/>
                <w:right w:val="none" w:sz="0" w:space="0" w:color="auto"/>
              </w:divBdr>
            </w:div>
            <w:div w:id="1459033843">
              <w:marLeft w:val="0"/>
              <w:marRight w:val="0"/>
              <w:marTop w:val="0"/>
              <w:marBottom w:val="0"/>
              <w:divBdr>
                <w:top w:val="none" w:sz="0" w:space="0" w:color="auto"/>
                <w:left w:val="none" w:sz="0" w:space="0" w:color="auto"/>
                <w:bottom w:val="none" w:sz="0" w:space="0" w:color="auto"/>
                <w:right w:val="none" w:sz="0" w:space="0" w:color="auto"/>
              </w:divBdr>
            </w:div>
            <w:div w:id="1560283534">
              <w:marLeft w:val="0"/>
              <w:marRight w:val="0"/>
              <w:marTop w:val="0"/>
              <w:marBottom w:val="0"/>
              <w:divBdr>
                <w:top w:val="none" w:sz="0" w:space="0" w:color="auto"/>
                <w:left w:val="none" w:sz="0" w:space="0" w:color="auto"/>
                <w:bottom w:val="none" w:sz="0" w:space="0" w:color="auto"/>
                <w:right w:val="none" w:sz="0" w:space="0" w:color="auto"/>
              </w:divBdr>
            </w:div>
            <w:div w:id="1573537885">
              <w:marLeft w:val="0"/>
              <w:marRight w:val="0"/>
              <w:marTop w:val="0"/>
              <w:marBottom w:val="0"/>
              <w:divBdr>
                <w:top w:val="none" w:sz="0" w:space="0" w:color="auto"/>
                <w:left w:val="none" w:sz="0" w:space="0" w:color="auto"/>
                <w:bottom w:val="none" w:sz="0" w:space="0" w:color="auto"/>
                <w:right w:val="none" w:sz="0" w:space="0" w:color="auto"/>
              </w:divBdr>
            </w:div>
            <w:div w:id="1618368936">
              <w:marLeft w:val="0"/>
              <w:marRight w:val="0"/>
              <w:marTop w:val="0"/>
              <w:marBottom w:val="0"/>
              <w:divBdr>
                <w:top w:val="none" w:sz="0" w:space="0" w:color="auto"/>
                <w:left w:val="none" w:sz="0" w:space="0" w:color="auto"/>
                <w:bottom w:val="none" w:sz="0" w:space="0" w:color="auto"/>
                <w:right w:val="none" w:sz="0" w:space="0" w:color="auto"/>
              </w:divBdr>
            </w:div>
            <w:div w:id="1650328075">
              <w:marLeft w:val="0"/>
              <w:marRight w:val="0"/>
              <w:marTop w:val="0"/>
              <w:marBottom w:val="0"/>
              <w:divBdr>
                <w:top w:val="none" w:sz="0" w:space="0" w:color="auto"/>
                <w:left w:val="none" w:sz="0" w:space="0" w:color="auto"/>
                <w:bottom w:val="none" w:sz="0" w:space="0" w:color="auto"/>
                <w:right w:val="none" w:sz="0" w:space="0" w:color="auto"/>
              </w:divBdr>
            </w:div>
            <w:div w:id="1714692533">
              <w:marLeft w:val="0"/>
              <w:marRight w:val="0"/>
              <w:marTop w:val="0"/>
              <w:marBottom w:val="0"/>
              <w:divBdr>
                <w:top w:val="none" w:sz="0" w:space="0" w:color="auto"/>
                <w:left w:val="none" w:sz="0" w:space="0" w:color="auto"/>
                <w:bottom w:val="none" w:sz="0" w:space="0" w:color="auto"/>
                <w:right w:val="none" w:sz="0" w:space="0" w:color="auto"/>
              </w:divBdr>
            </w:div>
            <w:div w:id="1745377901">
              <w:marLeft w:val="0"/>
              <w:marRight w:val="0"/>
              <w:marTop w:val="0"/>
              <w:marBottom w:val="0"/>
              <w:divBdr>
                <w:top w:val="none" w:sz="0" w:space="0" w:color="auto"/>
                <w:left w:val="none" w:sz="0" w:space="0" w:color="auto"/>
                <w:bottom w:val="none" w:sz="0" w:space="0" w:color="auto"/>
                <w:right w:val="none" w:sz="0" w:space="0" w:color="auto"/>
              </w:divBdr>
            </w:div>
            <w:div w:id="1786077088">
              <w:marLeft w:val="0"/>
              <w:marRight w:val="0"/>
              <w:marTop w:val="0"/>
              <w:marBottom w:val="0"/>
              <w:divBdr>
                <w:top w:val="none" w:sz="0" w:space="0" w:color="auto"/>
                <w:left w:val="none" w:sz="0" w:space="0" w:color="auto"/>
                <w:bottom w:val="none" w:sz="0" w:space="0" w:color="auto"/>
                <w:right w:val="none" w:sz="0" w:space="0" w:color="auto"/>
              </w:divBdr>
            </w:div>
            <w:div w:id="1805006326">
              <w:marLeft w:val="0"/>
              <w:marRight w:val="0"/>
              <w:marTop w:val="0"/>
              <w:marBottom w:val="0"/>
              <w:divBdr>
                <w:top w:val="none" w:sz="0" w:space="0" w:color="auto"/>
                <w:left w:val="none" w:sz="0" w:space="0" w:color="auto"/>
                <w:bottom w:val="none" w:sz="0" w:space="0" w:color="auto"/>
                <w:right w:val="none" w:sz="0" w:space="0" w:color="auto"/>
              </w:divBdr>
            </w:div>
            <w:div w:id="1821269007">
              <w:marLeft w:val="0"/>
              <w:marRight w:val="0"/>
              <w:marTop w:val="0"/>
              <w:marBottom w:val="0"/>
              <w:divBdr>
                <w:top w:val="none" w:sz="0" w:space="0" w:color="auto"/>
                <w:left w:val="none" w:sz="0" w:space="0" w:color="auto"/>
                <w:bottom w:val="none" w:sz="0" w:space="0" w:color="auto"/>
                <w:right w:val="none" w:sz="0" w:space="0" w:color="auto"/>
              </w:divBdr>
            </w:div>
            <w:div w:id="1887520159">
              <w:marLeft w:val="0"/>
              <w:marRight w:val="0"/>
              <w:marTop w:val="0"/>
              <w:marBottom w:val="0"/>
              <w:divBdr>
                <w:top w:val="none" w:sz="0" w:space="0" w:color="auto"/>
                <w:left w:val="none" w:sz="0" w:space="0" w:color="auto"/>
                <w:bottom w:val="none" w:sz="0" w:space="0" w:color="auto"/>
                <w:right w:val="none" w:sz="0" w:space="0" w:color="auto"/>
              </w:divBdr>
            </w:div>
            <w:div w:id="1893152696">
              <w:marLeft w:val="0"/>
              <w:marRight w:val="0"/>
              <w:marTop w:val="0"/>
              <w:marBottom w:val="0"/>
              <w:divBdr>
                <w:top w:val="none" w:sz="0" w:space="0" w:color="auto"/>
                <w:left w:val="none" w:sz="0" w:space="0" w:color="auto"/>
                <w:bottom w:val="none" w:sz="0" w:space="0" w:color="auto"/>
                <w:right w:val="none" w:sz="0" w:space="0" w:color="auto"/>
              </w:divBdr>
            </w:div>
            <w:div w:id="1903178186">
              <w:marLeft w:val="0"/>
              <w:marRight w:val="0"/>
              <w:marTop w:val="0"/>
              <w:marBottom w:val="0"/>
              <w:divBdr>
                <w:top w:val="none" w:sz="0" w:space="0" w:color="auto"/>
                <w:left w:val="none" w:sz="0" w:space="0" w:color="auto"/>
                <w:bottom w:val="none" w:sz="0" w:space="0" w:color="auto"/>
                <w:right w:val="none" w:sz="0" w:space="0" w:color="auto"/>
              </w:divBdr>
            </w:div>
            <w:div w:id="1929729747">
              <w:marLeft w:val="0"/>
              <w:marRight w:val="0"/>
              <w:marTop w:val="0"/>
              <w:marBottom w:val="0"/>
              <w:divBdr>
                <w:top w:val="none" w:sz="0" w:space="0" w:color="auto"/>
                <w:left w:val="none" w:sz="0" w:space="0" w:color="auto"/>
                <w:bottom w:val="none" w:sz="0" w:space="0" w:color="auto"/>
                <w:right w:val="none" w:sz="0" w:space="0" w:color="auto"/>
              </w:divBdr>
            </w:div>
            <w:div w:id="1933001787">
              <w:marLeft w:val="0"/>
              <w:marRight w:val="0"/>
              <w:marTop w:val="0"/>
              <w:marBottom w:val="0"/>
              <w:divBdr>
                <w:top w:val="none" w:sz="0" w:space="0" w:color="auto"/>
                <w:left w:val="none" w:sz="0" w:space="0" w:color="auto"/>
                <w:bottom w:val="none" w:sz="0" w:space="0" w:color="auto"/>
                <w:right w:val="none" w:sz="0" w:space="0" w:color="auto"/>
              </w:divBdr>
            </w:div>
            <w:div w:id="1946115490">
              <w:marLeft w:val="0"/>
              <w:marRight w:val="0"/>
              <w:marTop w:val="0"/>
              <w:marBottom w:val="0"/>
              <w:divBdr>
                <w:top w:val="none" w:sz="0" w:space="0" w:color="auto"/>
                <w:left w:val="none" w:sz="0" w:space="0" w:color="auto"/>
                <w:bottom w:val="none" w:sz="0" w:space="0" w:color="auto"/>
                <w:right w:val="none" w:sz="0" w:space="0" w:color="auto"/>
              </w:divBdr>
            </w:div>
            <w:div w:id="1965231688">
              <w:marLeft w:val="0"/>
              <w:marRight w:val="0"/>
              <w:marTop w:val="0"/>
              <w:marBottom w:val="0"/>
              <w:divBdr>
                <w:top w:val="none" w:sz="0" w:space="0" w:color="auto"/>
                <w:left w:val="none" w:sz="0" w:space="0" w:color="auto"/>
                <w:bottom w:val="none" w:sz="0" w:space="0" w:color="auto"/>
                <w:right w:val="none" w:sz="0" w:space="0" w:color="auto"/>
              </w:divBdr>
            </w:div>
            <w:div w:id="1965575982">
              <w:marLeft w:val="0"/>
              <w:marRight w:val="0"/>
              <w:marTop w:val="0"/>
              <w:marBottom w:val="0"/>
              <w:divBdr>
                <w:top w:val="none" w:sz="0" w:space="0" w:color="auto"/>
                <w:left w:val="none" w:sz="0" w:space="0" w:color="auto"/>
                <w:bottom w:val="none" w:sz="0" w:space="0" w:color="auto"/>
                <w:right w:val="none" w:sz="0" w:space="0" w:color="auto"/>
              </w:divBdr>
            </w:div>
            <w:div w:id="2033265196">
              <w:marLeft w:val="0"/>
              <w:marRight w:val="0"/>
              <w:marTop w:val="0"/>
              <w:marBottom w:val="0"/>
              <w:divBdr>
                <w:top w:val="none" w:sz="0" w:space="0" w:color="auto"/>
                <w:left w:val="none" w:sz="0" w:space="0" w:color="auto"/>
                <w:bottom w:val="none" w:sz="0" w:space="0" w:color="auto"/>
                <w:right w:val="none" w:sz="0" w:space="0" w:color="auto"/>
              </w:divBdr>
            </w:div>
            <w:div w:id="2042240797">
              <w:marLeft w:val="0"/>
              <w:marRight w:val="0"/>
              <w:marTop w:val="0"/>
              <w:marBottom w:val="0"/>
              <w:divBdr>
                <w:top w:val="none" w:sz="0" w:space="0" w:color="auto"/>
                <w:left w:val="none" w:sz="0" w:space="0" w:color="auto"/>
                <w:bottom w:val="none" w:sz="0" w:space="0" w:color="auto"/>
                <w:right w:val="none" w:sz="0" w:space="0" w:color="auto"/>
              </w:divBdr>
            </w:div>
            <w:div w:id="2053309487">
              <w:marLeft w:val="0"/>
              <w:marRight w:val="0"/>
              <w:marTop w:val="0"/>
              <w:marBottom w:val="0"/>
              <w:divBdr>
                <w:top w:val="none" w:sz="0" w:space="0" w:color="auto"/>
                <w:left w:val="none" w:sz="0" w:space="0" w:color="auto"/>
                <w:bottom w:val="none" w:sz="0" w:space="0" w:color="auto"/>
                <w:right w:val="none" w:sz="0" w:space="0" w:color="auto"/>
              </w:divBdr>
            </w:div>
            <w:div w:id="20685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5881">
      <w:bodyDiv w:val="1"/>
      <w:marLeft w:val="0"/>
      <w:marRight w:val="0"/>
      <w:marTop w:val="0"/>
      <w:marBottom w:val="0"/>
      <w:divBdr>
        <w:top w:val="none" w:sz="0" w:space="0" w:color="auto"/>
        <w:left w:val="none" w:sz="0" w:space="0" w:color="auto"/>
        <w:bottom w:val="none" w:sz="0" w:space="0" w:color="auto"/>
        <w:right w:val="none" w:sz="0" w:space="0" w:color="auto"/>
      </w:divBdr>
    </w:div>
    <w:div w:id="1366179220">
      <w:bodyDiv w:val="1"/>
      <w:marLeft w:val="0"/>
      <w:marRight w:val="0"/>
      <w:marTop w:val="0"/>
      <w:marBottom w:val="0"/>
      <w:divBdr>
        <w:top w:val="none" w:sz="0" w:space="0" w:color="auto"/>
        <w:left w:val="none" w:sz="0" w:space="0" w:color="auto"/>
        <w:bottom w:val="none" w:sz="0" w:space="0" w:color="auto"/>
        <w:right w:val="none" w:sz="0" w:space="0" w:color="auto"/>
      </w:divBdr>
    </w:div>
    <w:div w:id="1388409353">
      <w:bodyDiv w:val="1"/>
      <w:marLeft w:val="0"/>
      <w:marRight w:val="0"/>
      <w:marTop w:val="0"/>
      <w:marBottom w:val="0"/>
      <w:divBdr>
        <w:top w:val="none" w:sz="0" w:space="0" w:color="auto"/>
        <w:left w:val="none" w:sz="0" w:space="0" w:color="auto"/>
        <w:bottom w:val="none" w:sz="0" w:space="0" w:color="auto"/>
        <w:right w:val="none" w:sz="0" w:space="0" w:color="auto"/>
      </w:divBdr>
      <w:divsChild>
        <w:div w:id="1698584934">
          <w:marLeft w:val="480"/>
          <w:marRight w:val="0"/>
          <w:marTop w:val="0"/>
          <w:marBottom w:val="0"/>
          <w:divBdr>
            <w:top w:val="none" w:sz="0" w:space="0" w:color="auto"/>
            <w:left w:val="none" w:sz="0" w:space="0" w:color="auto"/>
            <w:bottom w:val="none" w:sz="0" w:space="0" w:color="auto"/>
            <w:right w:val="none" w:sz="0" w:space="0" w:color="auto"/>
          </w:divBdr>
          <w:divsChild>
            <w:div w:id="17981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9083">
      <w:bodyDiv w:val="1"/>
      <w:marLeft w:val="0"/>
      <w:marRight w:val="0"/>
      <w:marTop w:val="0"/>
      <w:marBottom w:val="0"/>
      <w:divBdr>
        <w:top w:val="none" w:sz="0" w:space="0" w:color="auto"/>
        <w:left w:val="none" w:sz="0" w:space="0" w:color="auto"/>
        <w:bottom w:val="none" w:sz="0" w:space="0" w:color="auto"/>
        <w:right w:val="none" w:sz="0" w:space="0" w:color="auto"/>
      </w:divBdr>
    </w:div>
    <w:div w:id="1457798176">
      <w:bodyDiv w:val="1"/>
      <w:marLeft w:val="0"/>
      <w:marRight w:val="0"/>
      <w:marTop w:val="0"/>
      <w:marBottom w:val="0"/>
      <w:divBdr>
        <w:top w:val="none" w:sz="0" w:space="0" w:color="auto"/>
        <w:left w:val="none" w:sz="0" w:space="0" w:color="auto"/>
        <w:bottom w:val="none" w:sz="0" w:space="0" w:color="auto"/>
        <w:right w:val="none" w:sz="0" w:space="0" w:color="auto"/>
      </w:divBdr>
    </w:div>
    <w:div w:id="1469325453">
      <w:bodyDiv w:val="1"/>
      <w:marLeft w:val="0"/>
      <w:marRight w:val="0"/>
      <w:marTop w:val="0"/>
      <w:marBottom w:val="0"/>
      <w:divBdr>
        <w:top w:val="none" w:sz="0" w:space="0" w:color="auto"/>
        <w:left w:val="none" w:sz="0" w:space="0" w:color="auto"/>
        <w:bottom w:val="none" w:sz="0" w:space="0" w:color="auto"/>
        <w:right w:val="none" w:sz="0" w:space="0" w:color="auto"/>
      </w:divBdr>
    </w:div>
    <w:div w:id="1474954942">
      <w:bodyDiv w:val="1"/>
      <w:marLeft w:val="0"/>
      <w:marRight w:val="0"/>
      <w:marTop w:val="0"/>
      <w:marBottom w:val="0"/>
      <w:divBdr>
        <w:top w:val="none" w:sz="0" w:space="0" w:color="auto"/>
        <w:left w:val="none" w:sz="0" w:space="0" w:color="auto"/>
        <w:bottom w:val="none" w:sz="0" w:space="0" w:color="auto"/>
        <w:right w:val="none" w:sz="0" w:space="0" w:color="auto"/>
      </w:divBdr>
      <w:divsChild>
        <w:div w:id="230359119">
          <w:marLeft w:val="480"/>
          <w:marRight w:val="0"/>
          <w:marTop w:val="0"/>
          <w:marBottom w:val="0"/>
          <w:divBdr>
            <w:top w:val="none" w:sz="0" w:space="0" w:color="auto"/>
            <w:left w:val="none" w:sz="0" w:space="0" w:color="auto"/>
            <w:bottom w:val="none" w:sz="0" w:space="0" w:color="auto"/>
            <w:right w:val="none" w:sz="0" w:space="0" w:color="auto"/>
          </w:divBdr>
          <w:divsChild>
            <w:div w:id="1542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4964">
      <w:bodyDiv w:val="1"/>
      <w:marLeft w:val="0"/>
      <w:marRight w:val="0"/>
      <w:marTop w:val="0"/>
      <w:marBottom w:val="0"/>
      <w:divBdr>
        <w:top w:val="none" w:sz="0" w:space="0" w:color="auto"/>
        <w:left w:val="none" w:sz="0" w:space="0" w:color="auto"/>
        <w:bottom w:val="none" w:sz="0" w:space="0" w:color="auto"/>
        <w:right w:val="none" w:sz="0" w:space="0" w:color="auto"/>
      </w:divBdr>
    </w:div>
    <w:div w:id="1495099725">
      <w:bodyDiv w:val="1"/>
      <w:marLeft w:val="0"/>
      <w:marRight w:val="0"/>
      <w:marTop w:val="0"/>
      <w:marBottom w:val="0"/>
      <w:divBdr>
        <w:top w:val="none" w:sz="0" w:space="0" w:color="auto"/>
        <w:left w:val="none" w:sz="0" w:space="0" w:color="auto"/>
        <w:bottom w:val="none" w:sz="0" w:space="0" w:color="auto"/>
        <w:right w:val="none" w:sz="0" w:space="0" w:color="auto"/>
      </w:divBdr>
      <w:divsChild>
        <w:div w:id="548225574">
          <w:marLeft w:val="480"/>
          <w:marRight w:val="0"/>
          <w:marTop w:val="0"/>
          <w:marBottom w:val="0"/>
          <w:divBdr>
            <w:top w:val="none" w:sz="0" w:space="0" w:color="auto"/>
            <w:left w:val="none" w:sz="0" w:space="0" w:color="auto"/>
            <w:bottom w:val="none" w:sz="0" w:space="0" w:color="auto"/>
            <w:right w:val="none" w:sz="0" w:space="0" w:color="auto"/>
          </w:divBdr>
          <w:divsChild>
            <w:div w:id="7996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2118">
      <w:marLeft w:val="0"/>
      <w:marRight w:val="0"/>
      <w:marTop w:val="0"/>
      <w:marBottom w:val="0"/>
      <w:divBdr>
        <w:top w:val="none" w:sz="0" w:space="0" w:color="auto"/>
        <w:left w:val="none" w:sz="0" w:space="0" w:color="auto"/>
        <w:bottom w:val="none" w:sz="0" w:space="0" w:color="auto"/>
        <w:right w:val="none" w:sz="0" w:space="0" w:color="auto"/>
      </w:divBdr>
    </w:div>
    <w:div w:id="1567954196">
      <w:bodyDiv w:val="1"/>
      <w:marLeft w:val="0"/>
      <w:marRight w:val="0"/>
      <w:marTop w:val="0"/>
      <w:marBottom w:val="0"/>
      <w:divBdr>
        <w:top w:val="none" w:sz="0" w:space="0" w:color="auto"/>
        <w:left w:val="none" w:sz="0" w:space="0" w:color="auto"/>
        <w:bottom w:val="none" w:sz="0" w:space="0" w:color="auto"/>
        <w:right w:val="none" w:sz="0" w:space="0" w:color="auto"/>
      </w:divBdr>
    </w:div>
    <w:div w:id="1587037344">
      <w:bodyDiv w:val="1"/>
      <w:marLeft w:val="0"/>
      <w:marRight w:val="0"/>
      <w:marTop w:val="0"/>
      <w:marBottom w:val="0"/>
      <w:divBdr>
        <w:top w:val="none" w:sz="0" w:space="0" w:color="auto"/>
        <w:left w:val="none" w:sz="0" w:space="0" w:color="auto"/>
        <w:bottom w:val="none" w:sz="0" w:space="0" w:color="auto"/>
        <w:right w:val="none" w:sz="0" w:space="0" w:color="auto"/>
      </w:divBdr>
      <w:divsChild>
        <w:div w:id="1972126504">
          <w:marLeft w:val="0"/>
          <w:marRight w:val="0"/>
          <w:marTop w:val="0"/>
          <w:marBottom w:val="240"/>
          <w:divBdr>
            <w:top w:val="none" w:sz="0" w:space="0" w:color="auto"/>
            <w:left w:val="none" w:sz="0" w:space="0" w:color="auto"/>
            <w:bottom w:val="single" w:sz="6" w:space="4" w:color="ECECEC"/>
            <w:right w:val="none" w:sz="0" w:space="0" w:color="auto"/>
          </w:divBdr>
          <w:divsChild>
            <w:div w:id="2060548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03344888">
      <w:bodyDiv w:val="1"/>
      <w:marLeft w:val="0"/>
      <w:marRight w:val="0"/>
      <w:marTop w:val="0"/>
      <w:marBottom w:val="0"/>
      <w:divBdr>
        <w:top w:val="none" w:sz="0" w:space="0" w:color="auto"/>
        <w:left w:val="none" w:sz="0" w:space="0" w:color="auto"/>
        <w:bottom w:val="none" w:sz="0" w:space="0" w:color="auto"/>
        <w:right w:val="none" w:sz="0" w:space="0" w:color="auto"/>
      </w:divBdr>
    </w:div>
    <w:div w:id="1610237248">
      <w:bodyDiv w:val="1"/>
      <w:marLeft w:val="0"/>
      <w:marRight w:val="0"/>
      <w:marTop w:val="0"/>
      <w:marBottom w:val="0"/>
      <w:divBdr>
        <w:top w:val="none" w:sz="0" w:space="0" w:color="auto"/>
        <w:left w:val="none" w:sz="0" w:space="0" w:color="auto"/>
        <w:bottom w:val="none" w:sz="0" w:space="0" w:color="auto"/>
        <w:right w:val="none" w:sz="0" w:space="0" w:color="auto"/>
      </w:divBdr>
      <w:divsChild>
        <w:div w:id="1273786809">
          <w:marLeft w:val="0"/>
          <w:marRight w:val="0"/>
          <w:marTop w:val="0"/>
          <w:marBottom w:val="0"/>
          <w:divBdr>
            <w:top w:val="none" w:sz="0" w:space="0" w:color="auto"/>
            <w:left w:val="none" w:sz="0" w:space="0" w:color="auto"/>
            <w:bottom w:val="none" w:sz="0" w:space="0" w:color="auto"/>
            <w:right w:val="none" w:sz="0" w:space="0" w:color="auto"/>
          </w:divBdr>
          <w:divsChild>
            <w:div w:id="483203505">
              <w:marLeft w:val="0"/>
              <w:marRight w:val="0"/>
              <w:marTop w:val="0"/>
              <w:marBottom w:val="0"/>
              <w:divBdr>
                <w:top w:val="none" w:sz="0" w:space="0" w:color="auto"/>
                <w:left w:val="none" w:sz="0" w:space="0" w:color="auto"/>
                <w:bottom w:val="none" w:sz="0" w:space="0" w:color="auto"/>
                <w:right w:val="none" w:sz="0" w:space="0" w:color="auto"/>
              </w:divBdr>
            </w:div>
            <w:div w:id="948048870">
              <w:marLeft w:val="0"/>
              <w:marRight w:val="0"/>
              <w:marTop w:val="0"/>
              <w:marBottom w:val="0"/>
              <w:divBdr>
                <w:top w:val="none" w:sz="0" w:space="0" w:color="auto"/>
                <w:left w:val="none" w:sz="0" w:space="0" w:color="auto"/>
                <w:bottom w:val="none" w:sz="0" w:space="0" w:color="auto"/>
                <w:right w:val="none" w:sz="0" w:space="0" w:color="auto"/>
              </w:divBdr>
            </w:div>
            <w:div w:id="963969046">
              <w:marLeft w:val="0"/>
              <w:marRight w:val="0"/>
              <w:marTop w:val="0"/>
              <w:marBottom w:val="0"/>
              <w:divBdr>
                <w:top w:val="none" w:sz="0" w:space="0" w:color="auto"/>
                <w:left w:val="none" w:sz="0" w:space="0" w:color="auto"/>
                <w:bottom w:val="none" w:sz="0" w:space="0" w:color="auto"/>
                <w:right w:val="none" w:sz="0" w:space="0" w:color="auto"/>
              </w:divBdr>
            </w:div>
            <w:div w:id="16213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40195">
      <w:bodyDiv w:val="1"/>
      <w:marLeft w:val="0"/>
      <w:marRight w:val="0"/>
      <w:marTop w:val="0"/>
      <w:marBottom w:val="0"/>
      <w:divBdr>
        <w:top w:val="none" w:sz="0" w:space="0" w:color="auto"/>
        <w:left w:val="none" w:sz="0" w:space="0" w:color="auto"/>
        <w:bottom w:val="none" w:sz="0" w:space="0" w:color="auto"/>
        <w:right w:val="none" w:sz="0" w:space="0" w:color="auto"/>
      </w:divBdr>
    </w:div>
    <w:div w:id="1649624135">
      <w:bodyDiv w:val="1"/>
      <w:marLeft w:val="0"/>
      <w:marRight w:val="0"/>
      <w:marTop w:val="0"/>
      <w:marBottom w:val="0"/>
      <w:divBdr>
        <w:top w:val="none" w:sz="0" w:space="0" w:color="auto"/>
        <w:left w:val="none" w:sz="0" w:space="0" w:color="auto"/>
        <w:bottom w:val="none" w:sz="0" w:space="0" w:color="auto"/>
        <w:right w:val="none" w:sz="0" w:space="0" w:color="auto"/>
      </w:divBdr>
      <w:divsChild>
        <w:div w:id="990983284">
          <w:marLeft w:val="480"/>
          <w:marRight w:val="0"/>
          <w:marTop w:val="0"/>
          <w:marBottom w:val="0"/>
          <w:divBdr>
            <w:top w:val="none" w:sz="0" w:space="0" w:color="auto"/>
            <w:left w:val="none" w:sz="0" w:space="0" w:color="auto"/>
            <w:bottom w:val="none" w:sz="0" w:space="0" w:color="auto"/>
            <w:right w:val="none" w:sz="0" w:space="0" w:color="auto"/>
          </w:divBdr>
          <w:divsChild>
            <w:div w:id="1100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3397">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707638128">
      <w:bodyDiv w:val="1"/>
      <w:marLeft w:val="0"/>
      <w:marRight w:val="0"/>
      <w:marTop w:val="0"/>
      <w:marBottom w:val="0"/>
      <w:divBdr>
        <w:top w:val="none" w:sz="0" w:space="0" w:color="auto"/>
        <w:left w:val="none" w:sz="0" w:space="0" w:color="auto"/>
        <w:bottom w:val="none" w:sz="0" w:space="0" w:color="auto"/>
        <w:right w:val="none" w:sz="0" w:space="0" w:color="auto"/>
      </w:divBdr>
    </w:div>
    <w:div w:id="1714961778">
      <w:bodyDiv w:val="1"/>
      <w:marLeft w:val="0"/>
      <w:marRight w:val="0"/>
      <w:marTop w:val="0"/>
      <w:marBottom w:val="0"/>
      <w:divBdr>
        <w:top w:val="none" w:sz="0" w:space="0" w:color="auto"/>
        <w:left w:val="none" w:sz="0" w:space="0" w:color="auto"/>
        <w:bottom w:val="none" w:sz="0" w:space="0" w:color="auto"/>
        <w:right w:val="none" w:sz="0" w:space="0" w:color="auto"/>
      </w:divBdr>
      <w:divsChild>
        <w:div w:id="665206434">
          <w:marLeft w:val="480"/>
          <w:marRight w:val="0"/>
          <w:marTop w:val="0"/>
          <w:marBottom w:val="0"/>
          <w:divBdr>
            <w:top w:val="none" w:sz="0" w:space="0" w:color="auto"/>
            <w:left w:val="none" w:sz="0" w:space="0" w:color="auto"/>
            <w:bottom w:val="none" w:sz="0" w:space="0" w:color="auto"/>
            <w:right w:val="none" w:sz="0" w:space="0" w:color="auto"/>
          </w:divBdr>
          <w:divsChild>
            <w:div w:id="19481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9385">
      <w:bodyDiv w:val="1"/>
      <w:marLeft w:val="0"/>
      <w:marRight w:val="0"/>
      <w:marTop w:val="0"/>
      <w:marBottom w:val="0"/>
      <w:divBdr>
        <w:top w:val="none" w:sz="0" w:space="0" w:color="auto"/>
        <w:left w:val="none" w:sz="0" w:space="0" w:color="auto"/>
        <w:bottom w:val="none" w:sz="0" w:space="0" w:color="auto"/>
        <w:right w:val="none" w:sz="0" w:space="0" w:color="auto"/>
      </w:divBdr>
      <w:divsChild>
        <w:div w:id="658312862">
          <w:marLeft w:val="0"/>
          <w:marRight w:val="0"/>
          <w:marTop w:val="0"/>
          <w:marBottom w:val="0"/>
          <w:divBdr>
            <w:top w:val="none" w:sz="0" w:space="0" w:color="auto"/>
            <w:left w:val="none" w:sz="0" w:space="0" w:color="auto"/>
            <w:bottom w:val="none" w:sz="0" w:space="0" w:color="auto"/>
            <w:right w:val="none" w:sz="0" w:space="0" w:color="auto"/>
          </w:divBdr>
        </w:div>
      </w:divsChild>
    </w:div>
    <w:div w:id="1720203141">
      <w:bodyDiv w:val="1"/>
      <w:marLeft w:val="0"/>
      <w:marRight w:val="0"/>
      <w:marTop w:val="0"/>
      <w:marBottom w:val="0"/>
      <w:divBdr>
        <w:top w:val="none" w:sz="0" w:space="0" w:color="auto"/>
        <w:left w:val="none" w:sz="0" w:space="0" w:color="auto"/>
        <w:bottom w:val="none" w:sz="0" w:space="0" w:color="auto"/>
        <w:right w:val="none" w:sz="0" w:space="0" w:color="auto"/>
      </w:divBdr>
    </w:div>
    <w:div w:id="1734422790">
      <w:bodyDiv w:val="1"/>
      <w:marLeft w:val="0"/>
      <w:marRight w:val="0"/>
      <w:marTop w:val="0"/>
      <w:marBottom w:val="0"/>
      <w:divBdr>
        <w:top w:val="none" w:sz="0" w:space="0" w:color="auto"/>
        <w:left w:val="none" w:sz="0" w:space="0" w:color="auto"/>
        <w:bottom w:val="none" w:sz="0" w:space="0" w:color="auto"/>
        <w:right w:val="none" w:sz="0" w:space="0" w:color="auto"/>
      </w:divBdr>
      <w:divsChild>
        <w:div w:id="399400926">
          <w:marLeft w:val="480"/>
          <w:marRight w:val="0"/>
          <w:marTop w:val="0"/>
          <w:marBottom w:val="0"/>
          <w:divBdr>
            <w:top w:val="none" w:sz="0" w:space="0" w:color="auto"/>
            <w:left w:val="none" w:sz="0" w:space="0" w:color="auto"/>
            <w:bottom w:val="none" w:sz="0" w:space="0" w:color="auto"/>
            <w:right w:val="none" w:sz="0" w:space="0" w:color="auto"/>
          </w:divBdr>
          <w:divsChild>
            <w:div w:id="7485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0597">
      <w:bodyDiv w:val="1"/>
      <w:marLeft w:val="0"/>
      <w:marRight w:val="0"/>
      <w:marTop w:val="0"/>
      <w:marBottom w:val="0"/>
      <w:divBdr>
        <w:top w:val="none" w:sz="0" w:space="0" w:color="auto"/>
        <w:left w:val="none" w:sz="0" w:space="0" w:color="auto"/>
        <w:bottom w:val="none" w:sz="0" w:space="0" w:color="auto"/>
        <w:right w:val="none" w:sz="0" w:space="0" w:color="auto"/>
      </w:divBdr>
      <w:divsChild>
        <w:div w:id="1379544947">
          <w:marLeft w:val="480"/>
          <w:marRight w:val="0"/>
          <w:marTop w:val="0"/>
          <w:marBottom w:val="0"/>
          <w:divBdr>
            <w:top w:val="none" w:sz="0" w:space="0" w:color="auto"/>
            <w:left w:val="none" w:sz="0" w:space="0" w:color="auto"/>
            <w:bottom w:val="none" w:sz="0" w:space="0" w:color="auto"/>
            <w:right w:val="none" w:sz="0" w:space="0" w:color="auto"/>
          </w:divBdr>
          <w:divsChild>
            <w:div w:id="4374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2792">
      <w:bodyDiv w:val="1"/>
      <w:marLeft w:val="0"/>
      <w:marRight w:val="0"/>
      <w:marTop w:val="0"/>
      <w:marBottom w:val="0"/>
      <w:divBdr>
        <w:top w:val="none" w:sz="0" w:space="0" w:color="auto"/>
        <w:left w:val="none" w:sz="0" w:space="0" w:color="auto"/>
        <w:bottom w:val="none" w:sz="0" w:space="0" w:color="auto"/>
        <w:right w:val="none" w:sz="0" w:space="0" w:color="auto"/>
      </w:divBdr>
      <w:divsChild>
        <w:div w:id="2067147735">
          <w:marLeft w:val="480"/>
          <w:marRight w:val="0"/>
          <w:marTop w:val="0"/>
          <w:marBottom w:val="0"/>
          <w:divBdr>
            <w:top w:val="none" w:sz="0" w:space="0" w:color="auto"/>
            <w:left w:val="none" w:sz="0" w:space="0" w:color="auto"/>
            <w:bottom w:val="none" w:sz="0" w:space="0" w:color="auto"/>
            <w:right w:val="none" w:sz="0" w:space="0" w:color="auto"/>
          </w:divBdr>
          <w:divsChild>
            <w:div w:id="2024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7357">
      <w:marLeft w:val="0"/>
      <w:marRight w:val="0"/>
      <w:marTop w:val="0"/>
      <w:marBottom w:val="0"/>
      <w:divBdr>
        <w:top w:val="none" w:sz="0" w:space="0" w:color="auto"/>
        <w:left w:val="none" w:sz="0" w:space="0" w:color="auto"/>
        <w:bottom w:val="none" w:sz="0" w:space="0" w:color="auto"/>
        <w:right w:val="none" w:sz="0" w:space="0" w:color="auto"/>
      </w:divBdr>
    </w:div>
    <w:div w:id="1804804853">
      <w:bodyDiv w:val="1"/>
      <w:marLeft w:val="0"/>
      <w:marRight w:val="0"/>
      <w:marTop w:val="0"/>
      <w:marBottom w:val="0"/>
      <w:divBdr>
        <w:top w:val="none" w:sz="0" w:space="0" w:color="auto"/>
        <w:left w:val="none" w:sz="0" w:space="0" w:color="auto"/>
        <w:bottom w:val="none" w:sz="0" w:space="0" w:color="auto"/>
        <w:right w:val="none" w:sz="0" w:space="0" w:color="auto"/>
      </w:divBdr>
    </w:div>
    <w:div w:id="1832016715">
      <w:bodyDiv w:val="1"/>
      <w:marLeft w:val="0"/>
      <w:marRight w:val="0"/>
      <w:marTop w:val="0"/>
      <w:marBottom w:val="0"/>
      <w:divBdr>
        <w:top w:val="none" w:sz="0" w:space="0" w:color="auto"/>
        <w:left w:val="none" w:sz="0" w:space="0" w:color="auto"/>
        <w:bottom w:val="none" w:sz="0" w:space="0" w:color="auto"/>
        <w:right w:val="none" w:sz="0" w:space="0" w:color="auto"/>
      </w:divBdr>
      <w:divsChild>
        <w:div w:id="1651712962">
          <w:marLeft w:val="480"/>
          <w:marRight w:val="0"/>
          <w:marTop w:val="0"/>
          <w:marBottom w:val="0"/>
          <w:divBdr>
            <w:top w:val="none" w:sz="0" w:space="0" w:color="auto"/>
            <w:left w:val="none" w:sz="0" w:space="0" w:color="auto"/>
            <w:bottom w:val="none" w:sz="0" w:space="0" w:color="auto"/>
            <w:right w:val="none" w:sz="0" w:space="0" w:color="auto"/>
          </w:divBdr>
          <w:divsChild>
            <w:div w:id="17911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1899">
      <w:bodyDiv w:val="1"/>
      <w:marLeft w:val="0"/>
      <w:marRight w:val="0"/>
      <w:marTop w:val="0"/>
      <w:marBottom w:val="0"/>
      <w:divBdr>
        <w:top w:val="none" w:sz="0" w:space="0" w:color="auto"/>
        <w:left w:val="none" w:sz="0" w:space="0" w:color="auto"/>
        <w:bottom w:val="none" w:sz="0" w:space="0" w:color="auto"/>
        <w:right w:val="none" w:sz="0" w:space="0" w:color="auto"/>
      </w:divBdr>
    </w:div>
    <w:div w:id="1862351722">
      <w:bodyDiv w:val="1"/>
      <w:marLeft w:val="0"/>
      <w:marRight w:val="0"/>
      <w:marTop w:val="0"/>
      <w:marBottom w:val="0"/>
      <w:divBdr>
        <w:top w:val="none" w:sz="0" w:space="0" w:color="auto"/>
        <w:left w:val="none" w:sz="0" w:space="0" w:color="auto"/>
        <w:bottom w:val="none" w:sz="0" w:space="0" w:color="auto"/>
        <w:right w:val="none" w:sz="0" w:space="0" w:color="auto"/>
      </w:divBdr>
      <w:divsChild>
        <w:div w:id="1150363167">
          <w:marLeft w:val="0"/>
          <w:marRight w:val="0"/>
          <w:marTop w:val="0"/>
          <w:marBottom w:val="0"/>
          <w:divBdr>
            <w:top w:val="none" w:sz="0" w:space="0" w:color="auto"/>
            <w:left w:val="none" w:sz="0" w:space="0" w:color="auto"/>
            <w:bottom w:val="none" w:sz="0" w:space="0" w:color="auto"/>
            <w:right w:val="none" w:sz="0" w:space="0" w:color="auto"/>
          </w:divBdr>
        </w:div>
        <w:div w:id="2143885019">
          <w:marLeft w:val="0"/>
          <w:marRight w:val="0"/>
          <w:marTop w:val="0"/>
          <w:marBottom w:val="0"/>
          <w:divBdr>
            <w:top w:val="none" w:sz="0" w:space="0" w:color="auto"/>
            <w:left w:val="none" w:sz="0" w:space="0" w:color="auto"/>
            <w:bottom w:val="none" w:sz="0" w:space="0" w:color="auto"/>
            <w:right w:val="none" w:sz="0" w:space="0" w:color="auto"/>
          </w:divBdr>
        </w:div>
      </w:divsChild>
    </w:div>
    <w:div w:id="1877617679">
      <w:bodyDiv w:val="1"/>
      <w:marLeft w:val="0"/>
      <w:marRight w:val="0"/>
      <w:marTop w:val="0"/>
      <w:marBottom w:val="0"/>
      <w:divBdr>
        <w:top w:val="none" w:sz="0" w:space="0" w:color="auto"/>
        <w:left w:val="none" w:sz="0" w:space="0" w:color="auto"/>
        <w:bottom w:val="none" w:sz="0" w:space="0" w:color="auto"/>
        <w:right w:val="none" w:sz="0" w:space="0" w:color="auto"/>
      </w:divBdr>
    </w:div>
    <w:div w:id="1877694372">
      <w:bodyDiv w:val="1"/>
      <w:marLeft w:val="0"/>
      <w:marRight w:val="0"/>
      <w:marTop w:val="0"/>
      <w:marBottom w:val="0"/>
      <w:divBdr>
        <w:top w:val="none" w:sz="0" w:space="0" w:color="auto"/>
        <w:left w:val="none" w:sz="0" w:space="0" w:color="auto"/>
        <w:bottom w:val="none" w:sz="0" w:space="0" w:color="auto"/>
        <w:right w:val="none" w:sz="0" w:space="0" w:color="auto"/>
      </w:divBdr>
    </w:div>
    <w:div w:id="1882594072">
      <w:bodyDiv w:val="1"/>
      <w:marLeft w:val="0"/>
      <w:marRight w:val="0"/>
      <w:marTop w:val="0"/>
      <w:marBottom w:val="0"/>
      <w:divBdr>
        <w:top w:val="none" w:sz="0" w:space="0" w:color="auto"/>
        <w:left w:val="none" w:sz="0" w:space="0" w:color="auto"/>
        <w:bottom w:val="none" w:sz="0" w:space="0" w:color="auto"/>
        <w:right w:val="none" w:sz="0" w:space="0" w:color="auto"/>
      </w:divBdr>
    </w:div>
    <w:div w:id="1883402732">
      <w:bodyDiv w:val="1"/>
      <w:marLeft w:val="0"/>
      <w:marRight w:val="0"/>
      <w:marTop w:val="0"/>
      <w:marBottom w:val="0"/>
      <w:divBdr>
        <w:top w:val="none" w:sz="0" w:space="0" w:color="auto"/>
        <w:left w:val="none" w:sz="0" w:space="0" w:color="auto"/>
        <w:bottom w:val="none" w:sz="0" w:space="0" w:color="auto"/>
        <w:right w:val="none" w:sz="0" w:space="0" w:color="auto"/>
      </w:divBdr>
    </w:div>
    <w:div w:id="1952122796">
      <w:bodyDiv w:val="1"/>
      <w:marLeft w:val="0"/>
      <w:marRight w:val="0"/>
      <w:marTop w:val="0"/>
      <w:marBottom w:val="0"/>
      <w:divBdr>
        <w:top w:val="none" w:sz="0" w:space="0" w:color="auto"/>
        <w:left w:val="none" w:sz="0" w:space="0" w:color="auto"/>
        <w:bottom w:val="none" w:sz="0" w:space="0" w:color="auto"/>
        <w:right w:val="none" w:sz="0" w:space="0" w:color="auto"/>
      </w:divBdr>
    </w:div>
    <w:div w:id="1964463465">
      <w:bodyDiv w:val="1"/>
      <w:marLeft w:val="0"/>
      <w:marRight w:val="0"/>
      <w:marTop w:val="0"/>
      <w:marBottom w:val="0"/>
      <w:divBdr>
        <w:top w:val="none" w:sz="0" w:space="0" w:color="auto"/>
        <w:left w:val="none" w:sz="0" w:space="0" w:color="auto"/>
        <w:bottom w:val="none" w:sz="0" w:space="0" w:color="auto"/>
        <w:right w:val="none" w:sz="0" w:space="0" w:color="auto"/>
      </w:divBdr>
    </w:div>
    <w:div w:id="210032592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86">
          <w:marLeft w:val="480"/>
          <w:marRight w:val="0"/>
          <w:marTop w:val="0"/>
          <w:marBottom w:val="0"/>
          <w:divBdr>
            <w:top w:val="none" w:sz="0" w:space="0" w:color="auto"/>
            <w:left w:val="none" w:sz="0" w:space="0" w:color="auto"/>
            <w:bottom w:val="none" w:sz="0" w:space="0" w:color="auto"/>
            <w:right w:val="none" w:sz="0" w:space="0" w:color="auto"/>
          </w:divBdr>
          <w:divsChild>
            <w:div w:id="20307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6521">
      <w:bodyDiv w:val="1"/>
      <w:marLeft w:val="0"/>
      <w:marRight w:val="0"/>
      <w:marTop w:val="0"/>
      <w:marBottom w:val="0"/>
      <w:divBdr>
        <w:top w:val="none" w:sz="0" w:space="0" w:color="auto"/>
        <w:left w:val="none" w:sz="0" w:space="0" w:color="auto"/>
        <w:bottom w:val="none" w:sz="0" w:space="0" w:color="auto"/>
        <w:right w:val="none" w:sz="0" w:space="0" w:color="auto"/>
      </w:divBdr>
    </w:div>
    <w:div w:id="2131778720">
      <w:bodyDiv w:val="1"/>
      <w:marLeft w:val="0"/>
      <w:marRight w:val="0"/>
      <w:marTop w:val="0"/>
      <w:marBottom w:val="0"/>
      <w:divBdr>
        <w:top w:val="none" w:sz="0" w:space="0" w:color="auto"/>
        <w:left w:val="none" w:sz="0" w:space="0" w:color="auto"/>
        <w:bottom w:val="none" w:sz="0" w:space="0" w:color="auto"/>
        <w:right w:val="none" w:sz="0" w:space="0" w:color="auto"/>
      </w:divBdr>
    </w:div>
    <w:div w:id="213903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https://www-sciencedirect-com.ezproxy.otago.ac.nz/topics/medicine-and-dentistry/breast-cancer" TargetMode="External"/><Relationship Id="rId34" Type="http://schemas.openxmlformats.org/officeDocument/2006/relationships/hyperlink" Target="https://www-sciencedirect-com.ezproxy.otago.ac.nz/topics/medicine-and-dentistry/tomosynthesis" TargetMode="Externa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yperlink" Target="https://www.uptodate.com/contents/tamoxifen-drug-information?source=see_link" TargetMode="External"/><Relationship Id="rId29" Type="http://schemas.openxmlformats.org/officeDocument/2006/relationships/hyperlink" Target="https://www.cancer.org/cancer/breast-cancer/screening-tests-and-early-detection/mammograms/breast-density-and-your-mammogram-report.html" TargetMode="External"/><Relationship Id="rId41"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sciencedirect-com.ezproxy.otago.ac.nz/topics/medicine-and-dentistry/breast-cancer-screening" TargetMode="External"/><Relationship Id="rId32" Type="http://schemas.openxmlformats.org/officeDocument/2006/relationships/footer" Target="footer7.xml"/><Relationship Id="rId37" Type="http://schemas.openxmlformats.org/officeDocument/2006/relationships/hyperlink" Target="https://www-sciencedirect-com.ezproxy.otago.ac.nz/topics/medicine-and-dentistry/breast-cancer" TargetMode="Externa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www.informd.org.au"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hyperlink" Target="https://www-sciencedirect-com.ezproxy.otago.ac.nz/topics/medicine-and-dentistry/mammography" TargetMode="External"/><Relationship Id="rId10" Type="http://schemas.openxmlformats.org/officeDocument/2006/relationships/image" Target="media/image2.emf"/><Relationship Id="rId19" Type="http://schemas.openxmlformats.org/officeDocument/2006/relationships/hyperlink" Target="https://www.sciencedirect.com/topics/medicine-and-dentistry/predictive-value-of-tests" TargetMode="Externa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uptodate.com/contents/tamoxifen-drug-information?source=see_link"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s://www-sciencedirect-com.ezproxy.otago.ac.nz/topics/medicine-and-dentistry/population-screening"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0.emf"/><Relationship Id="rId17" Type="http://schemas.openxmlformats.org/officeDocument/2006/relationships/hyperlink" Target="http://www.clinicaltrials.gov" TargetMode="External"/><Relationship Id="rId25" Type="http://schemas.openxmlformats.org/officeDocument/2006/relationships/header" Target="header1.xml"/><Relationship Id="rId33" Type="http://schemas.openxmlformats.org/officeDocument/2006/relationships/footer" Target="footer8.xml"/><Relationship Id="rId38" Type="http://schemas.openxmlformats.org/officeDocument/2006/relationships/fontTable" Target="fontTable.xml"/></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C98B5D-42C4-41DB-8706-8936E2DF0AEC}">
  <ds:schemaRefs>
    <ds:schemaRef ds:uri="http://schemas.openxmlformats.org/officeDocument/2006/bibliography"/>
  </ds:schemaRefs>
</ds:datastoreItem>
</file>

<file path=customXml/itemProps2.xml><?xml version="1.0" encoding="utf-8"?>
<ds:datastoreItem xmlns:ds="http://schemas.openxmlformats.org/officeDocument/2006/customXml" ds:itemID="{E7D55DBF-1421-4A9D-A896-38C2B7890CA9}"/>
</file>

<file path=customXml/itemProps3.xml><?xml version="1.0" encoding="utf-8"?>
<ds:datastoreItem xmlns:ds="http://schemas.openxmlformats.org/officeDocument/2006/customXml" ds:itemID="{0B25C907-0D17-45D8-960A-ACD22839DDBC}"/>
</file>

<file path=customXml/itemProps4.xml><?xml version="1.0" encoding="utf-8"?>
<ds:datastoreItem xmlns:ds="http://schemas.openxmlformats.org/officeDocument/2006/customXml" ds:itemID="{32B6380F-2800-4C4C-A09F-9EBE88544DEF}"/>
</file>

<file path=docProps/app.xml><?xml version="1.0" encoding="utf-8"?>
<Properties xmlns="http://schemas.openxmlformats.org/officeDocument/2006/extended-properties" xmlns:vt="http://schemas.openxmlformats.org/officeDocument/2006/docPropsVTypes">
  <Template>Normal.dotm</Template>
  <TotalTime>304</TotalTime>
  <Pages>151</Pages>
  <Words>70217</Words>
  <Characters>400238</Characters>
  <Application>Microsoft Office Word</Application>
  <DocSecurity>0</DocSecurity>
  <Lines>3335</Lines>
  <Paragraphs>939</Paragraphs>
  <ScaleCrop>false</ScaleCrop>
  <HeadingPairs>
    <vt:vector size="2" baseType="variant">
      <vt:variant>
        <vt:lpstr>Title</vt:lpstr>
      </vt:variant>
      <vt:variant>
        <vt:i4>1</vt:i4>
      </vt:variant>
    </vt:vector>
  </HeadingPairs>
  <TitlesOfParts>
    <vt:vector size="1" baseType="lpstr">
      <vt:lpstr>Breast Density</vt:lpstr>
    </vt:vector>
  </TitlesOfParts>
  <Company/>
  <LinksUpToDate>false</LinksUpToDate>
  <CharactersWithSpaces>469516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 density literature review</dc:title>
  <dc:subject/>
  <dc:creator>Department of Health</dc:creator>
  <cp:keywords>canceer; preventive health; women's health</cp:keywords>
  <dc:description/>
  <cp:lastPrinted>2018-03-07T22:54:00Z</cp:lastPrinted>
  <dcterms:created xsi:type="dcterms:W3CDTF">2018-12-09T21:43:00Z</dcterms:created>
  <dcterms:modified xsi:type="dcterms:W3CDTF">2019-09-12T07:30:00Z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