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52EF" w14:textId="0CA02AA6" w:rsidR="008F2E23" w:rsidRPr="004F348A" w:rsidRDefault="008A5F3A" w:rsidP="004F348A">
      <w:pPr>
        <w:pStyle w:val="Heading1"/>
      </w:pPr>
      <w:r w:rsidRPr="004F348A">
        <w:t>Private health insurance reforms</w:t>
      </w:r>
      <w:proofErr w:type="gramStart"/>
      <w:r w:rsidRPr="004F348A">
        <w:t>:</w:t>
      </w:r>
      <w:proofErr w:type="gramEnd"/>
      <w:r w:rsidRPr="004F348A">
        <w:br/>
      </w:r>
      <w:r w:rsidR="00372CD7" w:rsidRPr="00372CD7">
        <w:t>Changing coverage for some natural therapies</w:t>
      </w:r>
    </w:p>
    <w:p w14:paraId="221B8500" w14:textId="0F2E3368" w:rsidR="008F2E23" w:rsidRDefault="00372CD7" w:rsidP="004F348A">
      <w:pPr>
        <w:pStyle w:val="IntroPara"/>
      </w:pPr>
      <w:r w:rsidRPr="00372CD7">
        <w:t>There will be changes to the way that natural therapies are covered by private health insurance from 1 April 2019</w:t>
      </w:r>
      <w:bookmarkStart w:id="0" w:name="_GoBack"/>
      <w:bookmarkEnd w:id="0"/>
    </w:p>
    <w:p w14:paraId="394E37AC" w14:textId="77777777" w:rsidR="00372CD7" w:rsidRPr="00372CD7" w:rsidRDefault="00372CD7" w:rsidP="00372CD7">
      <w:pPr>
        <w:pStyle w:val="ListBullet"/>
      </w:pPr>
      <w:r w:rsidRPr="00372CD7">
        <w:t xml:space="preserve">From 1 April 2019 the following natural therapies will be excluded from the definition of private health insurance general treatment and will no longer receive the private health insurance rebate as part of a general treatment policy: Alexander technique, aromatherapy, Bowen therapy, </w:t>
      </w:r>
      <w:proofErr w:type="spellStart"/>
      <w:r w:rsidRPr="00372CD7">
        <w:t>Buteyko</w:t>
      </w:r>
      <w:proofErr w:type="spellEnd"/>
      <w:r w:rsidRPr="00372CD7">
        <w:t>, Feldenkrais, Western herbalism, homeopathy, iridology, kinesiology, naturopathy, Pilates, reflexology, Rolfing, shiatsu, tai chi, and yoga.</w:t>
      </w:r>
    </w:p>
    <w:p w14:paraId="08BA9DA6" w14:textId="77777777" w:rsidR="00372CD7" w:rsidRPr="00372CD7" w:rsidRDefault="00372CD7" w:rsidP="00372CD7">
      <w:pPr>
        <w:pStyle w:val="ListBullet"/>
      </w:pPr>
      <w:r w:rsidRPr="00372CD7">
        <w:t>Rules have been made to exclude these natural therapies from the definition of general treatment under section 121-10 of the Private Health Insurance Act 2007. Insurers will then not be able to offer benefits for these therapies as part of a complying health insurance policy.</w:t>
      </w:r>
    </w:p>
    <w:p w14:paraId="7A3EACD0" w14:textId="77777777" w:rsidR="00372CD7" w:rsidRPr="00372CD7" w:rsidRDefault="00372CD7" w:rsidP="00372CD7">
      <w:pPr>
        <w:pStyle w:val="ListBullet"/>
      </w:pPr>
      <w:r w:rsidRPr="00372CD7">
        <w:t>Insurers can offer incentives to purchasers of private health insurance as long as the incentives meet the requirements of the Private Health Insurance (Complying Product) Rules. These incentives could include services provided by a natural therapist. It will be up to each insurer to decide whether to offer this type of incentive.</w:t>
      </w:r>
    </w:p>
    <w:p w14:paraId="51789AA7" w14:textId="77777777" w:rsidR="00372CD7" w:rsidRPr="00372CD7" w:rsidRDefault="00372CD7" w:rsidP="00372CD7">
      <w:pPr>
        <w:pStyle w:val="ListBullet"/>
      </w:pPr>
      <w:r w:rsidRPr="00372CD7">
        <w:t>Consumers will still be able to choose to access these natural therapies outside the private health insurance system.</w:t>
      </w:r>
    </w:p>
    <w:p w14:paraId="6263F397" w14:textId="77777777" w:rsidR="008A5F3A" w:rsidRDefault="008A5F3A" w:rsidP="004F348A">
      <w:pPr>
        <w:pStyle w:val="Heading2"/>
      </w:pPr>
      <w:r w:rsidRPr="00724B94">
        <w:t xml:space="preserve">Why is this </w:t>
      </w:r>
      <w:r w:rsidRPr="008A5F3A">
        <w:t>important</w:t>
      </w:r>
      <w:r w:rsidRPr="00724B94">
        <w:t>?</w:t>
      </w:r>
    </w:p>
    <w:p w14:paraId="61E1E836" w14:textId="77777777" w:rsidR="00372CD7" w:rsidRDefault="00372CD7" w:rsidP="00372CD7">
      <w:pPr>
        <w:pStyle w:val="ListBullet"/>
      </w:pPr>
      <w:r>
        <w:t>A review chaired by the former Commonwealth Chief Medical Officer found there is no clear evidence demonstrating the efficacy of the excluded natural</w:t>
      </w:r>
      <w:r>
        <w:rPr>
          <w:spacing w:val="-13"/>
        </w:rPr>
        <w:t xml:space="preserve"> </w:t>
      </w:r>
      <w:r>
        <w:t>therapies.</w:t>
      </w:r>
    </w:p>
    <w:p w14:paraId="329658B4" w14:textId="3139F9B2" w:rsidR="00372CD7" w:rsidRDefault="00372CD7" w:rsidP="00372CD7">
      <w:pPr>
        <w:pStyle w:val="ListBullet"/>
      </w:pPr>
      <w:r>
        <w:t>This review was</w:t>
      </w:r>
      <w:r w:rsidR="00665F4F">
        <w:t xml:space="preserve"> informed by an evaluation of the evidence</w:t>
      </w:r>
      <w:r>
        <w:t xml:space="preserve"> undertaken by the National Health and Medical Research Council (NHMRC)</w:t>
      </w:r>
      <w:r w:rsidR="00665F4F">
        <w:t>. The NHMRC</w:t>
      </w:r>
      <w:r>
        <w:t xml:space="preserve"> was tasked with reviewing scientific literature examining the effectiveness and, where available, the safety and cost effectiveness of 17 natural therapies. Th</w:t>
      </w:r>
      <w:r w:rsidR="00665F4F">
        <w:t>is was</w:t>
      </w:r>
      <w:r>
        <w:t xml:space="preserve"> conducted in line with NHMRC’s approach to assessing evidence</w:t>
      </w:r>
      <w:r w:rsidR="00665F4F">
        <w:t>, and was</w:t>
      </w:r>
      <w:r>
        <w:t xml:space="preserve"> undertaken for the specific purpose of informing the Australian Government’s Natural Therapies</w:t>
      </w:r>
      <w:r>
        <w:rPr>
          <w:spacing w:val="-2"/>
        </w:rPr>
        <w:t xml:space="preserve"> </w:t>
      </w:r>
      <w:r>
        <w:t>Review.</w:t>
      </w:r>
    </w:p>
    <w:p w14:paraId="4CD5B93F" w14:textId="77777777" w:rsidR="00372CD7" w:rsidRDefault="00372CD7" w:rsidP="00372CD7">
      <w:pPr>
        <w:pStyle w:val="ListBullet"/>
      </w:pPr>
      <w:r>
        <w:t>Changing coverage for the excluded natural therapies will ensure taxpayer funds are spent appropriately and are not directed to therapies that do not demonstrate evidence of clinical efficacy.</w:t>
      </w:r>
    </w:p>
    <w:p w14:paraId="0C720A8E" w14:textId="6043A561" w:rsidR="008F2E23" w:rsidRDefault="00CF02EC" w:rsidP="004F348A">
      <w:pPr>
        <w:pStyle w:val="Heading2"/>
      </w:pPr>
      <w:r>
        <w:t>Who will benefit</w:t>
      </w:r>
      <w:r w:rsidR="008F2E23" w:rsidRPr="008F2E23">
        <w:t>?</w:t>
      </w:r>
    </w:p>
    <w:p w14:paraId="02877667" w14:textId="116FD0D7" w:rsidR="004F348A" w:rsidRPr="004F348A" w:rsidRDefault="00372CD7" w:rsidP="00372CD7">
      <w:pPr>
        <w:pStyle w:val="ListBullet"/>
      </w:pPr>
      <w:r w:rsidRPr="00372CD7">
        <w:t>Around 54 per cent of the Australian population is covered by general treatment (extras) insurance. Changing coverage for the excluded natural therapies will remove costs from the system and contribute to reducing private health insurance premium growth.</w:t>
      </w:r>
    </w:p>
    <w:p w14:paraId="515CF2F5" w14:textId="19F411FD" w:rsidR="00CF02EC" w:rsidRDefault="00CF02EC" w:rsidP="004F348A">
      <w:pPr>
        <w:pStyle w:val="Heading2"/>
      </w:pPr>
      <w:r>
        <w:lastRenderedPageBreak/>
        <w:t>What impact will this change have on private health insurance?</w:t>
      </w:r>
    </w:p>
    <w:p w14:paraId="1BC62D73" w14:textId="3FE6794E" w:rsidR="00CF02EC" w:rsidRDefault="00372CD7" w:rsidP="004F348A">
      <w:r w:rsidRPr="00372CD7">
        <w:t>This change will contribute to reducing private health insurance premium price increases.</w:t>
      </w:r>
    </w:p>
    <w:sectPr w:rsidR="00CF02EC" w:rsidSect="00CF02EC">
      <w:headerReference w:type="default" r:id="rId11"/>
      <w:footerReference w:type="default" r:id="rId12"/>
      <w:headerReference w:type="first" r:id="rId13"/>
      <w:footerReference w:type="first" r:id="rId14"/>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73967"/>
      <w:docPartObj>
        <w:docPartGallery w:val="Page Numbers (Bottom of Page)"/>
        <w:docPartUnique/>
      </w:docPartObj>
    </w:sdtPr>
    <w:sdtEndPr>
      <w:rPr>
        <w:noProof/>
      </w:rPr>
    </w:sdtEndPr>
    <w:sdtContent>
      <w:p w14:paraId="565350D1" w14:textId="032F3870"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A7359A">
          <w:rPr>
            <w:noProof/>
          </w:rPr>
          <w:t>2</w:t>
        </w:r>
        <w:r w:rsidR="00790DD7" w:rsidRPr="00033A2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01840"/>
      <w:docPartObj>
        <w:docPartGallery w:val="Page Numbers (Bottom of Page)"/>
        <w:docPartUnique/>
      </w:docPartObj>
    </w:sdtPr>
    <w:sdtEndPr>
      <w:rPr>
        <w:noProof/>
      </w:rPr>
    </w:sdtEndPr>
    <w:sdtContent>
      <w:p w14:paraId="0AA31A81" w14:textId="74EC5F44" w:rsidR="005F5857" w:rsidRPr="005F5857" w:rsidRDefault="005F5857" w:rsidP="004F348A">
        <w:pPr>
          <w:pStyle w:val="Footer"/>
        </w:pPr>
        <w:r w:rsidRPr="00CF02EC">
          <w:t>Private health insurance – simpler, more affordable</w:t>
        </w:r>
        <w:r w:rsidRPr="00033A2E">
          <w:tab/>
        </w:r>
        <w:r w:rsidRPr="00033A2E">
          <w:fldChar w:fldCharType="begin"/>
        </w:r>
        <w:r w:rsidRPr="00033A2E">
          <w:instrText xml:space="preserve"> PAGE   \* MERGEFORMAT </w:instrText>
        </w:r>
        <w:r w:rsidRPr="00033A2E">
          <w:fldChar w:fldCharType="separate"/>
        </w:r>
        <w:r w:rsidR="00A7359A">
          <w:rPr>
            <w:noProof/>
          </w:rPr>
          <w:t>1</w:t>
        </w:r>
        <w:r w:rsidRPr="00033A2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3D59" w14:textId="06B377ED" w:rsidR="00F77677" w:rsidRDefault="00CF02EC" w:rsidP="004F348A">
    <w:pPr>
      <w:pStyle w:val="Header"/>
    </w:pPr>
    <w:r>
      <w:rPr>
        <w:noProof/>
        <w:lang w:val="en-AU"/>
      </w:rPr>
      <w:drawing>
        <wp:anchor distT="0" distB="0" distL="114300" distR="114300" simplePos="0" relativeHeight="251665408" behindDoc="0" locked="0" layoutInCell="1" allowOverlap="1" wp14:anchorId="6DE46F87" wp14:editId="2E0C71D3">
          <wp:simplePos x="0" y="0"/>
          <wp:positionH relativeFrom="column">
            <wp:posOffset>-712177</wp:posOffset>
          </wp:positionH>
          <wp:positionV relativeFrom="paragraph">
            <wp:posOffset>-1424989</wp:posOffset>
          </wp:positionV>
          <wp:extent cx="7560000" cy="1440000"/>
          <wp:effectExtent l="0" t="0" r="3175" b="8255"/>
          <wp:wrapNone/>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813C" w14:textId="0EFC4D52" w:rsidR="00CF02EC" w:rsidRDefault="00CF02EC" w:rsidP="004F348A">
    <w:pPr>
      <w:pStyle w:val="Header"/>
    </w:pPr>
    <w:r>
      <w:rPr>
        <w:noProof/>
        <w:lang w:val="en-AU"/>
      </w:rPr>
      <w:drawing>
        <wp:anchor distT="0" distB="0" distL="114300" distR="114300" simplePos="0" relativeHeight="251663360" behindDoc="0" locked="0" layoutInCell="1" allowOverlap="1" wp14:anchorId="6607CE27" wp14:editId="002EE916">
          <wp:simplePos x="0" y="0"/>
          <wp:positionH relativeFrom="column">
            <wp:posOffset>-712177</wp:posOffset>
          </wp:positionH>
          <wp:positionV relativeFrom="paragraph">
            <wp:posOffset>-1424989</wp:posOffset>
          </wp:positionV>
          <wp:extent cx="7560000" cy="1435764"/>
          <wp:effectExtent l="0" t="0" r="3175" b="0"/>
          <wp:wrapNone/>
          <wp:docPr id="6" name="Picture 6" descr="Australian Government, Department of Health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15:restartNumberingAfterBreak="0">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82E07"/>
    <w:multiLevelType w:val="hybridMultilevel"/>
    <w:tmpl w:val="80FCC754"/>
    <w:lvl w:ilvl="0" w:tplc="5A12D7BC">
      <w:numFmt w:val="bullet"/>
      <w:lvlText w:val=""/>
      <w:lvlJc w:val="left"/>
      <w:pPr>
        <w:ind w:left="470" w:hanging="358"/>
      </w:pPr>
      <w:rPr>
        <w:rFonts w:ascii="Symbol" w:eastAsia="Symbol" w:hAnsi="Symbol" w:cs="Symbol" w:hint="default"/>
        <w:color w:val="005B9B"/>
        <w:w w:val="100"/>
        <w:sz w:val="21"/>
        <w:szCs w:val="21"/>
        <w:lang w:val="en-US" w:eastAsia="en-US" w:bidi="en-US"/>
      </w:rPr>
    </w:lvl>
    <w:lvl w:ilvl="1" w:tplc="A64C398C">
      <w:numFmt w:val="bullet"/>
      <w:lvlText w:val="•"/>
      <w:lvlJc w:val="left"/>
      <w:pPr>
        <w:ind w:left="1404" w:hanging="358"/>
      </w:pPr>
      <w:rPr>
        <w:rFonts w:hint="default"/>
        <w:lang w:val="en-US" w:eastAsia="en-US" w:bidi="en-US"/>
      </w:rPr>
    </w:lvl>
    <w:lvl w:ilvl="2" w:tplc="FA68225E">
      <w:numFmt w:val="bullet"/>
      <w:lvlText w:val="•"/>
      <w:lvlJc w:val="left"/>
      <w:pPr>
        <w:ind w:left="2329" w:hanging="358"/>
      </w:pPr>
      <w:rPr>
        <w:rFonts w:hint="default"/>
        <w:lang w:val="en-US" w:eastAsia="en-US" w:bidi="en-US"/>
      </w:rPr>
    </w:lvl>
    <w:lvl w:ilvl="3" w:tplc="B5CE1F88">
      <w:numFmt w:val="bullet"/>
      <w:lvlText w:val="•"/>
      <w:lvlJc w:val="left"/>
      <w:pPr>
        <w:ind w:left="3253" w:hanging="358"/>
      </w:pPr>
      <w:rPr>
        <w:rFonts w:hint="default"/>
        <w:lang w:val="en-US" w:eastAsia="en-US" w:bidi="en-US"/>
      </w:rPr>
    </w:lvl>
    <w:lvl w:ilvl="4" w:tplc="14182B1A">
      <w:numFmt w:val="bullet"/>
      <w:lvlText w:val="•"/>
      <w:lvlJc w:val="left"/>
      <w:pPr>
        <w:ind w:left="4178" w:hanging="358"/>
      </w:pPr>
      <w:rPr>
        <w:rFonts w:hint="default"/>
        <w:lang w:val="en-US" w:eastAsia="en-US" w:bidi="en-US"/>
      </w:rPr>
    </w:lvl>
    <w:lvl w:ilvl="5" w:tplc="F4784BF0">
      <w:numFmt w:val="bullet"/>
      <w:lvlText w:val="•"/>
      <w:lvlJc w:val="left"/>
      <w:pPr>
        <w:ind w:left="5103" w:hanging="358"/>
      </w:pPr>
      <w:rPr>
        <w:rFonts w:hint="default"/>
        <w:lang w:val="en-US" w:eastAsia="en-US" w:bidi="en-US"/>
      </w:rPr>
    </w:lvl>
    <w:lvl w:ilvl="6" w:tplc="C652BC66">
      <w:numFmt w:val="bullet"/>
      <w:lvlText w:val="•"/>
      <w:lvlJc w:val="left"/>
      <w:pPr>
        <w:ind w:left="6027" w:hanging="358"/>
      </w:pPr>
      <w:rPr>
        <w:rFonts w:hint="default"/>
        <w:lang w:val="en-US" w:eastAsia="en-US" w:bidi="en-US"/>
      </w:rPr>
    </w:lvl>
    <w:lvl w:ilvl="7" w:tplc="1616A864">
      <w:numFmt w:val="bullet"/>
      <w:lvlText w:val="•"/>
      <w:lvlJc w:val="left"/>
      <w:pPr>
        <w:ind w:left="6952" w:hanging="358"/>
      </w:pPr>
      <w:rPr>
        <w:rFonts w:hint="default"/>
        <w:lang w:val="en-US" w:eastAsia="en-US" w:bidi="en-US"/>
      </w:rPr>
    </w:lvl>
    <w:lvl w:ilvl="8" w:tplc="822C6362">
      <w:numFmt w:val="bullet"/>
      <w:lvlText w:val="•"/>
      <w:lvlJc w:val="left"/>
      <w:pPr>
        <w:ind w:left="7877" w:hanging="358"/>
      </w:pPr>
      <w:rPr>
        <w:rFonts w:hint="default"/>
        <w:lang w:val="en-US" w:eastAsia="en-US" w:bidi="en-US"/>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33A2E"/>
    <w:rsid w:val="00061AF3"/>
    <w:rsid w:val="00067456"/>
    <w:rsid w:val="000A35FD"/>
    <w:rsid w:val="001B3443"/>
    <w:rsid w:val="001D095A"/>
    <w:rsid w:val="001E2491"/>
    <w:rsid w:val="001E265E"/>
    <w:rsid w:val="002937C1"/>
    <w:rsid w:val="002E2D16"/>
    <w:rsid w:val="002F3AE3"/>
    <w:rsid w:val="0030786C"/>
    <w:rsid w:val="00372CD7"/>
    <w:rsid w:val="003D17F9"/>
    <w:rsid w:val="003E071D"/>
    <w:rsid w:val="00440060"/>
    <w:rsid w:val="004867E2"/>
    <w:rsid w:val="004F348A"/>
    <w:rsid w:val="00545812"/>
    <w:rsid w:val="00591CAB"/>
    <w:rsid w:val="005F5857"/>
    <w:rsid w:val="006468FD"/>
    <w:rsid w:val="00656763"/>
    <w:rsid w:val="00665F4F"/>
    <w:rsid w:val="00724B94"/>
    <w:rsid w:val="00790DD7"/>
    <w:rsid w:val="008264EB"/>
    <w:rsid w:val="00865937"/>
    <w:rsid w:val="008A5F3A"/>
    <w:rsid w:val="008F2E23"/>
    <w:rsid w:val="00905865"/>
    <w:rsid w:val="009F654F"/>
    <w:rsid w:val="00A4512D"/>
    <w:rsid w:val="00A705AF"/>
    <w:rsid w:val="00A7359A"/>
    <w:rsid w:val="00B34AFA"/>
    <w:rsid w:val="00B42851"/>
    <w:rsid w:val="00B95830"/>
    <w:rsid w:val="00BB1B5E"/>
    <w:rsid w:val="00BC6210"/>
    <w:rsid w:val="00C65279"/>
    <w:rsid w:val="00C80038"/>
    <w:rsid w:val="00CB0960"/>
    <w:rsid w:val="00CB5B1A"/>
    <w:rsid w:val="00CF02EC"/>
    <w:rsid w:val="00D13B9A"/>
    <w:rsid w:val="00D511DE"/>
    <w:rsid w:val="00DD6EBA"/>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67E799"/>
  <w15:docId w15:val="{0E978443-D2DE-458F-AB1A-A25DE4B7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505B-251D-4FDE-B5C0-41777C71FC38}">
  <ds:schemaRefs>
    <ds:schemaRef ds:uri="http://schemas.microsoft.com/sharepoint/v3/contenttype/forms"/>
  </ds:schemaRefs>
</ds:datastoreItem>
</file>

<file path=customXml/itemProps2.xml><?xml version="1.0" encoding="utf-8"?>
<ds:datastoreItem xmlns:ds="http://schemas.openxmlformats.org/officeDocument/2006/customXml" ds:itemID="{73A7462F-84FD-4EF2-B0D0-3F3B26BAFD0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CD01E63-BDF4-48E0-A886-9A79F425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0EFDBC-D2F8-45EC-8C69-8AF0E365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health insurance reforms: Changing coverage for some natural therapies</vt:lpstr>
    </vt:vector>
  </TitlesOfParts>
  <Company>Dept Health And Ageing</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Changing coverage for some natural therapies</dc:title>
  <dc:subject>Private health insurance reforms</dc:subject>
  <dc:creator>Department of Health</dc:creator>
  <cp:keywords>Private health insurance reforms; natural therapies</cp:keywords>
  <dc:description>This factsheet list the changes to the way that natural therapies are covered by private health insurance from 1 April 2019.</dc:description>
  <cp:lastModifiedBy>Chan, Sharon</cp:lastModifiedBy>
  <cp:revision>4</cp:revision>
  <cp:lastPrinted>2018-07-06T01:02:00Z</cp:lastPrinted>
  <dcterms:created xsi:type="dcterms:W3CDTF">2019-04-15T05:02:00Z</dcterms:created>
  <dcterms:modified xsi:type="dcterms:W3CDTF">2019-04-16T05:17:00Z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